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D3AF1" w:rsidRPr="00AD7C60" w:rsidRDefault="000202E5" w:rsidP="000202E5">
      <w:pPr>
        <w:pStyle w:val="Pagedecouverture"/>
        <w:rPr>
          <w:noProof/>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1" type="#_x0000_t75" alt="2C21C5F1-5A0B-43D4-BE6A-07E5685B9804" style="width:455.25pt;height:479.25pt">
            <v:imagedata r:id="rId8" o:title=""/>
          </v:shape>
        </w:pict>
      </w:r>
    </w:p>
    <w:p w:rsidR="00ED3AF1" w:rsidRPr="00AD7C60" w:rsidRDefault="00ED3AF1" w:rsidP="00ED3AF1">
      <w:pPr>
        <w:rPr>
          <w:noProof/>
        </w:rPr>
        <w:sectPr w:rsidR="00ED3AF1" w:rsidRPr="00AD7C60" w:rsidSect="000202E5">
          <w:footerReference w:type="even" r:id="rId9"/>
          <w:footerReference w:type="default" r:id="rId10"/>
          <w:pgSz w:w="11907" w:h="16839"/>
          <w:pgMar w:top="1134" w:right="1417" w:bottom="1134" w:left="1417" w:header="709" w:footer="709" w:gutter="0"/>
          <w:pgNumType w:start="0"/>
          <w:cols w:space="720"/>
          <w:docGrid w:linePitch="360"/>
        </w:sectPr>
      </w:pPr>
    </w:p>
    <w:p w:rsidR="00ED3AF1" w:rsidRPr="00AD7C60" w:rsidRDefault="00ED3AF1" w:rsidP="00BB6B30">
      <w:pPr>
        <w:pStyle w:val="Exposdesmotifstitre"/>
        <w:rPr>
          <w:noProof/>
        </w:rPr>
      </w:pPr>
      <w:bookmarkStart w:id="0" w:name="_GoBack"/>
      <w:bookmarkEnd w:id="0"/>
      <w:r w:rsidRPr="00AD7C60">
        <w:rPr>
          <w:noProof/>
        </w:rPr>
        <w:lastRenderedPageBreak/>
        <w:t>EXPOSÉ DES MOTIFS</w:t>
      </w:r>
    </w:p>
    <w:p w:rsidR="00ED3AF1" w:rsidRPr="00AD7C60" w:rsidRDefault="00C10683" w:rsidP="00C10683">
      <w:pPr>
        <w:pStyle w:val="ManualHeading1"/>
        <w:rPr>
          <w:rFonts w:eastAsia="Arial Unicode MS"/>
          <w:noProof/>
        </w:rPr>
      </w:pPr>
      <w:r w:rsidRPr="00C10683">
        <w:rPr>
          <w:noProof/>
        </w:rPr>
        <w:t>1.</w:t>
      </w:r>
      <w:r w:rsidRPr="00C10683">
        <w:rPr>
          <w:noProof/>
        </w:rPr>
        <w:tab/>
      </w:r>
      <w:r w:rsidR="00ED3AF1" w:rsidRPr="00AD7C60">
        <w:rPr>
          <w:noProof/>
        </w:rPr>
        <w:t>Objet de la proposition</w:t>
      </w:r>
    </w:p>
    <w:p w:rsidR="00ED3AF1" w:rsidRPr="00AD7C60" w:rsidRDefault="00236EB3" w:rsidP="00736AA9">
      <w:pPr>
        <w:rPr>
          <w:rFonts w:eastAsia="Arial Unicode MS"/>
          <w:noProof/>
        </w:rPr>
      </w:pPr>
      <w:r w:rsidRPr="00AD7C60">
        <w:rPr>
          <w:noProof/>
        </w:rPr>
        <w:t xml:space="preserve">La présente proposition concerne la décision établissant la position à prendre, au nom de l'Union, au sein du comité mixte de l’accord d'association euro-méditerranéen intérimaire relatif aux échanges commerciaux et à la coopération entre la Communauté européenne, d’une part, et l’Organisation de libération de la Palestine (OLP), agissant pour le compte de l’Autorité palestinienne de la Cisjordanie et de la bande de Gaza, d’autre part, dans la perspective de l’adoption envisagée d’une décision </w:t>
      </w:r>
      <w:bookmarkStart w:id="1" w:name="_Hlk141795547"/>
      <w:r w:rsidRPr="00AD7C60">
        <w:rPr>
          <w:noProof/>
        </w:rPr>
        <w:t>établissant les conditions générales applicables aux preuves de l’origine délivrées par voie électronique.</w:t>
      </w:r>
      <w:bookmarkEnd w:id="1"/>
    </w:p>
    <w:p w:rsidR="00ED3AF1" w:rsidRPr="00AD7C60" w:rsidRDefault="00C10683" w:rsidP="00C10683">
      <w:pPr>
        <w:pStyle w:val="ManualHeading1"/>
        <w:rPr>
          <w:noProof/>
        </w:rPr>
      </w:pPr>
      <w:r w:rsidRPr="00C10683">
        <w:rPr>
          <w:noProof/>
        </w:rPr>
        <w:t>2.</w:t>
      </w:r>
      <w:r w:rsidRPr="00C10683">
        <w:rPr>
          <w:noProof/>
        </w:rPr>
        <w:tab/>
      </w:r>
      <w:r w:rsidR="00ED3AF1" w:rsidRPr="00AD7C60">
        <w:rPr>
          <w:noProof/>
        </w:rPr>
        <w:t>Contexte de la proposition</w:t>
      </w:r>
    </w:p>
    <w:p w:rsidR="00ED3AF1" w:rsidRPr="00AD7C60" w:rsidRDefault="00C10683" w:rsidP="00C10683">
      <w:pPr>
        <w:pStyle w:val="ManualHeading2"/>
        <w:rPr>
          <w:noProof/>
        </w:rPr>
      </w:pPr>
      <w:bookmarkStart w:id="2" w:name="_Hlk141778324"/>
      <w:r w:rsidRPr="00C10683">
        <w:rPr>
          <w:noProof/>
        </w:rPr>
        <w:t>2.1.</w:t>
      </w:r>
      <w:r w:rsidRPr="00C10683">
        <w:rPr>
          <w:noProof/>
        </w:rPr>
        <w:tab/>
      </w:r>
      <w:r w:rsidR="00236EB3" w:rsidRPr="00AD7C60">
        <w:rPr>
          <w:noProof/>
        </w:rPr>
        <w:t>L'accord d'association euro-méditerranéen intérimaire relatif aux échanges commerciaux et à la coopération entre la Communauté européenne, d'une part, et l'Organisation de libération de la Palestine (OLP), agissant pour le compte de l'Autorité palestinienne de la Cisjordanie et de la bande de Gaza, d'autre part</w:t>
      </w:r>
    </w:p>
    <w:bookmarkEnd w:id="2"/>
    <w:p w:rsidR="00ED3AF1" w:rsidRPr="00AD7C60" w:rsidRDefault="00236EB3" w:rsidP="00736AA9">
      <w:pPr>
        <w:rPr>
          <w:rFonts w:eastAsia="Arial Unicode MS"/>
          <w:noProof/>
        </w:rPr>
      </w:pPr>
      <w:r w:rsidRPr="00AD7C60">
        <w:rPr>
          <w:noProof/>
        </w:rPr>
        <w:t>L'accord d'association euro-méditerranéen intérimaire relatif aux échanges commerciaux et à la coopération entre la Communauté européenne, d'une part, et l'Organisation de libération de la Palestine (OLP), agissant pour le compte de l'Autorité palestinienne de la Cisjordanie et de la bande de Gaza, d'autre part</w:t>
      </w:r>
      <w:r w:rsidRPr="00AD7C60">
        <w:rPr>
          <w:rStyle w:val="FootnoteReference"/>
          <w:noProof/>
        </w:rPr>
        <w:footnoteReference w:id="1"/>
      </w:r>
      <w:r w:rsidR="00F45478">
        <w:rPr>
          <w:noProof/>
        </w:rPr>
        <w:t>,</w:t>
      </w:r>
      <w:r w:rsidRPr="00AD7C60">
        <w:rPr>
          <w:noProof/>
        </w:rPr>
        <w:t xml:space="preserve"> (ci-après l’«accord») vise à créer les conditions d'une libéralisation progressive des échanges. L’accord est entré en vigueur le 1</w:t>
      </w:r>
      <w:r w:rsidRPr="00AD7C60">
        <w:rPr>
          <w:noProof/>
          <w:vertAlign w:val="superscript"/>
        </w:rPr>
        <w:t>er</w:t>
      </w:r>
      <w:r w:rsidRPr="00AD7C60">
        <w:rPr>
          <w:noProof/>
        </w:rPr>
        <w:t> juillet 1997.</w:t>
      </w:r>
    </w:p>
    <w:p w:rsidR="00ED3AF1" w:rsidRPr="00AD7C60" w:rsidRDefault="00C10683" w:rsidP="00C10683">
      <w:pPr>
        <w:pStyle w:val="ManualHeading2"/>
        <w:rPr>
          <w:noProof/>
        </w:rPr>
      </w:pPr>
      <w:r w:rsidRPr="00C10683">
        <w:rPr>
          <w:noProof/>
        </w:rPr>
        <w:t>2.2.</w:t>
      </w:r>
      <w:r w:rsidRPr="00C10683">
        <w:rPr>
          <w:noProof/>
        </w:rPr>
        <w:tab/>
      </w:r>
      <w:r w:rsidR="00ED3AF1" w:rsidRPr="00AD7C60">
        <w:rPr>
          <w:noProof/>
        </w:rPr>
        <w:t>Le comité mixte</w:t>
      </w:r>
    </w:p>
    <w:p w:rsidR="00ED3AF1" w:rsidRPr="00AD7C60" w:rsidRDefault="00236EB3" w:rsidP="00736AA9">
      <w:pPr>
        <w:rPr>
          <w:rFonts w:eastAsia="Arial Unicode MS"/>
          <w:noProof/>
        </w:rPr>
      </w:pPr>
      <w:r w:rsidRPr="00AD7C60">
        <w:rPr>
          <w:noProof/>
        </w:rPr>
        <w:t>Le comité mixte institué conformément aux dispositions de l'article 63 de l’accord peut formuler des recommandations et arrêter des décisions. Le comité mixte arrête ses décisions et formule ses recommandations d’un commun accord entre les deux parties.</w:t>
      </w:r>
    </w:p>
    <w:p w:rsidR="00ED3AF1" w:rsidRPr="00AD7C60" w:rsidRDefault="00C10683" w:rsidP="00C10683">
      <w:pPr>
        <w:pStyle w:val="ManualHeading2"/>
        <w:rPr>
          <w:noProof/>
        </w:rPr>
      </w:pPr>
      <w:r w:rsidRPr="00C10683">
        <w:rPr>
          <w:noProof/>
        </w:rPr>
        <w:t>2.3.</w:t>
      </w:r>
      <w:r w:rsidRPr="00C10683">
        <w:rPr>
          <w:noProof/>
        </w:rPr>
        <w:tab/>
      </w:r>
      <w:r w:rsidR="00ED3AF1" w:rsidRPr="00AD7C60">
        <w:rPr>
          <w:noProof/>
        </w:rPr>
        <w:t>L’acte envisagé du comité mixte</w:t>
      </w:r>
    </w:p>
    <w:p w:rsidR="00ED3AF1" w:rsidRPr="00AD7C60" w:rsidRDefault="00472B50" w:rsidP="00736AA9">
      <w:pPr>
        <w:rPr>
          <w:rFonts w:eastAsia="Arial Unicode MS"/>
          <w:noProof/>
        </w:rPr>
      </w:pPr>
      <w:r w:rsidRPr="00AD7C60">
        <w:rPr>
          <w:noProof/>
        </w:rPr>
        <w:t xml:space="preserve">Lors de sa prochaine réunion ou par échange de lettres, le comité mixte doit adopter une décision </w:t>
      </w:r>
      <w:bookmarkStart w:id="3" w:name="_Hlk141780086"/>
      <w:r w:rsidRPr="00AD7C60">
        <w:rPr>
          <w:noProof/>
        </w:rPr>
        <w:t>établissant les conditions générales applicables aux preuves de l’origine délivrées par voie électronique</w:t>
      </w:r>
      <w:bookmarkEnd w:id="3"/>
      <w:r w:rsidRPr="00AD7C60">
        <w:rPr>
          <w:noProof/>
        </w:rPr>
        <w:t xml:space="preserve"> (ci-après l’«acte envisagé»).</w:t>
      </w:r>
    </w:p>
    <w:p w:rsidR="00ED3AF1" w:rsidRPr="00AD7C60" w:rsidRDefault="00ED3AF1" w:rsidP="00736AA9">
      <w:pPr>
        <w:rPr>
          <w:rFonts w:eastAsia="Arial Unicode MS"/>
          <w:noProof/>
        </w:rPr>
      </w:pPr>
      <w:r w:rsidRPr="00AD7C60">
        <w:rPr>
          <w:noProof/>
        </w:rPr>
        <w:t xml:space="preserve">L’acte envisagé a pour objet d’établir les conditions générales applicables aux </w:t>
      </w:r>
      <w:bookmarkStart w:id="4" w:name="_Hlk141780823"/>
      <w:r w:rsidRPr="00AD7C60">
        <w:rPr>
          <w:noProof/>
        </w:rPr>
        <w:t>preuves de l’origine délivrées par voie électronique.</w:t>
      </w:r>
      <w:bookmarkEnd w:id="4"/>
    </w:p>
    <w:p w:rsidR="00ED3AF1" w:rsidRPr="00AD7C60" w:rsidRDefault="00C10683" w:rsidP="00C10683">
      <w:pPr>
        <w:pStyle w:val="ManualHeading1"/>
        <w:rPr>
          <w:rFonts w:eastAsia="Arial Unicode MS"/>
          <w:noProof/>
        </w:rPr>
      </w:pPr>
      <w:r w:rsidRPr="00C10683">
        <w:rPr>
          <w:noProof/>
        </w:rPr>
        <w:t>3.</w:t>
      </w:r>
      <w:r w:rsidRPr="00C10683">
        <w:rPr>
          <w:noProof/>
        </w:rPr>
        <w:tab/>
      </w:r>
      <w:r w:rsidR="00ED3AF1" w:rsidRPr="00AD7C60">
        <w:rPr>
          <w:noProof/>
        </w:rPr>
        <w:t>Position à prendre au nom de l’Union</w:t>
      </w:r>
    </w:p>
    <w:p w:rsidR="0014497F" w:rsidRPr="00AD7C60" w:rsidRDefault="0014497F" w:rsidP="0014497F">
      <w:pPr>
        <w:rPr>
          <w:rFonts w:eastAsia="Arial Unicode MS"/>
          <w:noProof/>
        </w:rPr>
      </w:pPr>
      <w:r w:rsidRPr="00AD7C60">
        <w:rPr>
          <w:noProof/>
        </w:rPr>
        <w:t>Lors de la première réunion technique sur les règles d’origine transitoires qui s’est tenue à Bruxelles le 5 février 2020, la majorité des parties contractantes à la convention régionale sur les règles d’origine préférentielles paneuro-méditerranéennes (ci-après la «convention»)</w:t>
      </w:r>
      <w:r w:rsidRPr="00AD7C60">
        <w:rPr>
          <w:rStyle w:val="FootnoteReference"/>
          <w:rFonts w:eastAsia="Arial Unicode MS"/>
          <w:noProof/>
        </w:rPr>
        <w:footnoteReference w:id="2"/>
      </w:r>
      <w:r w:rsidRPr="00AD7C60">
        <w:rPr>
          <w:noProof/>
        </w:rPr>
        <w:t xml:space="preserve"> sont convenues de mettre en œuvre les règles révisées de la convention (ci-après les «règles d’origine transitoires»</w:t>
      </w:r>
      <w:r w:rsidRPr="00AD7C60">
        <w:rPr>
          <w:rStyle w:val="FootnoteReference"/>
          <w:rFonts w:eastAsia="Arial Unicode MS"/>
          <w:noProof/>
        </w:rPr>
        <w:footnoteReference w:id="3"/>
      </w:r>
      <w:r w:rsidRPr="00AD7C60">
        <w:rPr>
          <w:noProof/>
        </w:rPr>
        <w:t>) parallèlement aux règles de la convention, sur une base bilatérale transitoire, dans l’attente de l’adoption des règles révisées de la convention.</w:t>
      </w:r>
    </w:p>
    <w:p w:rsidR="0014497F" w:rsidRPr="00AD7C60" w:rsidRDefault="0014497F" w:rsidP="0014497F">
      <w:pPr>
        <w:rPr>
          <w:rFonts w:eastAsia="Arial Unicode MS"/>
          <w:noProof/>
        </w:rPr>
      </w:pPr>
      <w:r w:rsidRPr="00AD7C60">
        <w:rPr>
          <w:noProof/>
        </w:rPr>
        <w:t>Depuis le 1</w:t>
      </w:r>
      <w:r w:rsidRPr="00AD7C60">
        <w:rPr>
          <w:noProof/>
          <w:vertAlign w:val="superscript"/>
        </w:rPr>
        <w:t>er</w:t>
      </w:r>
      <w:r w:rsidRPr="00AD7C60">
        <w:rPr>
          <w:noProof/>
        </w:rPr>
        <w:t xml:space="preserve"> septembre 2021, un réseau de protocoles bilatéraux sur les règles d’origine entre les parties contractantes à la convention est entré en vigueur, rendant les règles transitoires applicables, y compris entre l’Union européenne et l’Organisation de libération de la Palestine (OLP), agissant pour le compte de l'Autorité palestinienne de la Cisjordanie et de la bande de Gaza. </w:t>
      </w:r>
    </w:p>
    <w:p w:rsidR="00ED3AF1" w:rsidRPr="00AD7C60" w:rsidRDefault="0014497F" w:rsidP="0014497F">
      <w:pPr>
        <w:rPr>
          <w:rFonts w:eastAsia="Arial Unicode MS"/>
          <w:noProof/>
        </w:rPr>
      </w:pPr>
      <w:r w:rsidRPr="00AD7C60">
        <w:rPr>
          <w:noProof/>
        </w:rPr>
        <w:t>L’objectif des règles d’origine transitoires est d’assouplir les règles afin de faciliter l’obtention, pour les marchandises, du caractère originaire à titre préférentiel et d’instaurer la possibilité d’utiliser des preuves de l’origine délivrées et/ou présentées par voie électronique.</w:t>
      </w:r>
    </w:p>
    <w:p w:rsidR="00BC0624" w:rsidRPr="00AD7C60" w:rsidRDefault="00BC0624" w:rsidP="0014497F">
      <w:pPr>
        <w:rPr>
          <w:rFonts w:eastAsia="Arial Unicode MS"/>
          <w:noProof/>
        </w:rPr>
      </w:pPr>
      <w:r w:rsidRPr="00AD7C60">
        <w:rPr>
          <w:noProof/>
        </w:rPr>
        <w:t>L’Union européenne et l’Organisation de libération de la Palestine (OLP), agissant pour le compte de l'Autorité palestinienne de la Cisjordanie et de la bande de Gaza, sont convenues d’appliquer les dispositions de l’article 17, paragraphe 4, de l’appendice A du protocole nº 3 de l’accord, en ce qui concerne les preuves de l’origine délivrées par voie électronique; il convient dès lors de définir un cadre de conditions générales.</w:t>
      </w:r>
    </w:p>
    <w:p w:rsidR="0086039E" w:rsidRPr="00AD7C60" w:rsidRDefault="0086039E" w:rsidP="0014497F">
      <w:pPr>
        <w:rPr>
          <w:rFonts w:eastAsia="Arial Unicode MS"/>
          <w:noProof/>
        </w:rPr>
      </w:pPr>
      <w:r w:rsidRPr="00AD7C60">
        <w:rPr>
          <w:noProof/>
        </w:rPr>
        <w:t>Lors de la réunion du comité mixte de la convention du 7 décembre 2023, les parties contractantes ont adopté à l’unanimité la recommandation du comité mixte sur l’utilisation de certificats électroniques dans le cadre de la convention en vigueur. La recommandation établit une liste de conditions qui, une fois remplies, permettent à la partie importatrice d’accepter une preuve de l’origine sous la forme d’un certificat de circulation des marchandises EUR.1.</w:t>
      </w:r>
    </w:p>
    <w:p w:rsidR="00E76C7A" w:rsidRPr="00AD7C60" w:rsidRDefault="00E76C7A" w:rsidP="0014497F">
      <w:pPr>
        <w:rPr>
          <w:rFonts w:eastAsia="Arial Unicode MS"/>
          <w:noProof/>
        </w:rPr>
      </w:pPr>
      <w:r w:rsidRPr="00AD7C60">
        <w:rPr>
          <w:noProof/>
        </w:rPr>
        <w:t xml:space="preserve">Ces conditions sont identiques à celles qui établissent les conditions générales applicables aux preuves de l’origine délivrées par voie électronique figurant dans la présente proposition. </w:t>
      </w:r>
    </w:p>
    <w:p w:rsidR="0014497F" w:rsidRPr="00AD7C60" w:rsidRDefault="00472B50" w:rsidP="0014497F">
      <w:pPr>
        <w:rPr>
          <w:rFonts w:eastAsia="Arial Unicode MS"/>
          <w:noProof/>
        </w:rPr>
      </w:pPr>
      <w:r w:rsidRPr="00AD7C60">
        <w:rPr>
          <w:noProof/>
        </w:rPr>
        <w:t>Afin d’assurer l’application uniforme des dispositions relatives aux preuves de l’origine sous forme de certificats de circulation délivrés par voie électronique dans l’Union européenne, la Commission envisage de mettre en place un système électronique pour la présentation des demandes de certificats de circulation délivrés par voie électronique, pour la délivrance de ces certificats ainsi que pour le stockage et l’échange d’informations entre les autorités douanières des États membres et avec les parties contractantes à la convention. Le système électronique de certificats d'origine (le système e-PoC de l’UE) devrait être mis en place conformément au règlement (UE) nº 952/2013 du Parlement européen et du Conseil et à ses dispositions d’application. Il convient que la position à adopter par l’Union européenne au sein du comité mixte soit établie par le Conseil.</w:t>
      </w:r>
    </w:p>
    <w:p w:rsidR="0014497F" w:rsidRPr="00AD7C60" w:rsidRDefault="0014497F" w:rsidP="0014497F">
      <w:pPr>
        <w:rPr>
          <w:rFonts w:eastAsia="Arial Unicode MS"/>
          <w:noProof/>
        </w:rPr>
      </w:pPr>
      <w:r w:rsidRPr="00AD7C60">
        <w:rPr>
          <w:noProof/>
        </w:rPr>
        <w:t>Le cadre proposé est de nature technique, concerne les règles d’origine transitoires actuellement applicables entre les parties et n’a pas d’incidence sur le contenu du protocole sur les règles d’origine. Par conséquent, il n’est pas nécessaire de procéder à une analyse d’impact.</w:t>
      </w:r>
    </w:p>
    <w:p w:rsidR="00ED3AF1" w:rsidRPr="00AD7C60" w:rsidRDefault="00C10683" w:rsidP="00C10683">
      <w:pPr>
        <w:pStyle w:val="ManualHeading1"/>
        <w:rPr>
          <w:noProof/>
        </w:rPr>
      </w:pPr>
      <w:r w:rsidRPr="00C10683">
        <w:rPr>
          <w:noProof/>
        </w:rPr>
        <w:t>4.</w:t>
      </w:r>
      <w:r w:rsidRPr="00C10683">
        <w:rPr>
          <w:noProof/>
        </w:rPr>
        <w:tab/>
      </w:r>
      <w:r w:rsidR="00ED3AF1" w:rsidRPr="00AD7C60">
        <w:rPr>
          <w:noProof/>
        </w:rPr>
        <w:t>Base juridique</w:t>
      </w:r>
    </w:p>
    <w:p w:rsidR="00ED3AF1" w:rsidRPr="00AD7C60" w:rsidRDefault="00C10683" w:rsidP="00C10683">
      <w:pPr>
        <w:pStyle w:val="ManualHeading2"/>
        <w:rPr>
          <w:noProof/>
        </w:rPr>
      </w:pPr>
      <w:r w:rsidRPr="00C10683">
        <w:rPr>
          <w:noProof/>
        </w:rPr>
        <w:t>4.1.</w:t>
      </w:r>
      <w:r w:rsidRPr="00C10683">
        <w:rPr>
          <w:noProof/>
        </w:rPr>
        <w:tab/>
      </w:r>
      <w:r w:rsidR="00ED3AF1" w:rsidRPr="00AD7C60">
        <w:rPr>
          <w:noProof/>
        </w:rPr>
        <w:t>Base juridique procédurale</w:t>
      </w:r>
    </w:p>
    <w:p w:rsidR="00ED3AF1" w:rsidRPr="00AD7C60" w:rsidRDefault="00C10683" w:rsidP="00C10683">
      <w:pPr>
        <w:pStyle w:val="ManualHeading3"/>
        <w:rPr>
          <w:noProof/>
        </w:rPr>
      </w:pPr>
      <w:r w:rsidRPr="00C10683">
        <w:rPr>
          <w:noProof/>
        </w:rPr>
        <w:t>4.1.1.</w:t>
      </w:r>
      <w:r w:rsidRPr="00C10683">
        <w:rPr>
          <w:noProof/>
        </w:rPr>
        <w:tab/>
      </w:r>
      <w:r w:rsidR="00ED3AF1" w:rsidRPr="00AD7C60">
        <w:rPr>
          <w:noProof/>
        </w:rPr>
        <w:t>Principes</w:t>
      </w:r>
    </w:p>
    <w:p w:rsidR="00ED3AF1" w:rsidRPr="00AD7C60" w:rsidRDefault="00ED3AF1" w:rsidP="00736AA9">
      <w:pPr>
        <w:rPr>
          <w:noProof/>
        </w:rPr>
      </w:pPr>
      <w:r w:rsidRPr="00AD7C60">
        <w:rPr>
          <w:noProof/>
        </w:rPr>
        <w:t>L’article 218, paragraphe 9, du traité sur le fonctionnement de l’Union européenne (TFUE) prévoit des décisions établissant «</w:t>
      </w:r>
      <w:r w:rsidRPr="00AD7C60">
        <w:rPr>
          <w:i/>
          <w:noProof/>
        </w:rPr>
        <w:t>les positions à prendre au nom de l’Union dans une instance créée par un accord, lorsque cette instance est appelée à adopter des actes ayant des effets juridiques, à l’exception des actes complétant ou modifiant le cadre institutionnel de l’accord</w:t>
      </w:r>
      <w:r w:rsidRPr="00AD7C60">
        <w:rPr>
          <w:noProof/>
        </w:rPr>
        <w:t>».</w:t>
      </w:r>
    </w:p>
    <w:p w:rsidR="00ED3AF1" w:rsidRPr="00AD7C60" w:rsidRDefault="00ED3AF1" w:rsidP="00736AA9">
      <w:pPr>
        <w:rPr>
          <w:noProof/>
        </w:rPr>
      </w:pPr>
      <w:r w:rsidRPr="00AD7C60">
        <w:rPr>
          <w:noProof/>
        </w:rPr>
        <w:t>La notion d’«</w:t>
      </w:r>
      <w:r w:rsidRPr="00AD7C60">
        <w:rPr>
          <w:i/>
          <w:noProof/>
        </w:rPr>
        <w:t>actes ayant des effets juridiques</w:t>
      </w:r>
      <w:r w:rsidRPr="00AD7C60">
        <w:rPr>
          <w:noProof/>
        </w:rPr>
        <w:t>» englobe les actes ayant des effets juridiques en vertu des règles de droit international régissant l’instance en question. Elle englobe également des instruments auxquels le droit international ne confère aucun effet contraignant, mais qui ont «</w:t>
      </w:r>
      <w:r w:rsidRPr="00AD7C60">
        <w:rPr>
          <w:i/>
          <w:noProof/>
        </w:rPr>
        <w:t>vocation à influencer de manière déterminante le contenu de la réglementation adoptée par le législateur de l’Union</w:t>
      </w:r>
      <w:r w:rsidRPr="00AD7C60">
        <w:rPr>
          <w:noProof/>
        </w:rPr>
        <w:t>»</w:t>
      </w:r>
      <w:r w:rsidRPr="00AD7C60">
        <w:rPr>
          <w:rStyle w:val="FootnoteReference"/>
          <w:noProof/>
        </w:rPr>
        <w:footnoteReference w:id="4"/>
      </w:r>
      <w:r w:rsidRPr="00AD7C60">
        <w:rPr>
          <w:noProof/>
        </w:rPr>
        <w:t>.</w:t>
      </w:r>
    </w:p>
    <w:p w:rsidR="00ED3AF1" w:rsidRPr="00AD7C60" w:rsidRDefault="00C10683" w:rsidP="00C10683">
      <w:pPr>
        <w:pStyle w:val="ManualHeading3"/>
        <w:rPr>
          <w:noProof/>
        </w:rPr>
      </w:pPr>
      <w:r w:rsidRPr="00C10683">
        <w:rPr>
          <w:noProof/>
        </w:rPr>
        <w:t>4.1.2.</w:t>
      </w:r>
      <w:r w:rsidRPr="00C10683">
        <w:rPr>
          <w:noProof/>
        </w:rPr>
        <w:tab/>
      </w:r>
      <w:r w:rsidR="00ED3AF1" w:rsidRPr="00AD7C60">
        <w:rPr>
          <w:noProof/>
        </w:rPr>
        <w:t>Application en l'espèce</w:t>
      </w:r>
    </w:p>
    <w:p w:rsidR="00ED3AF1" w:rsidRPr="00AD7C60" w:rsidRDefault="00236EB3" w:rsidP="00854794">
      <w:pPr>
        <w:spacing w:before="0" w:after="0"/>
        <w:rPr>
          <w:noProof/>
        </w:rPr>
      </w:pPr>
      <w:bookmarkStart w:id="5" w:name="_Hlk141793658"/>
      <w:r w:rsidRPr="00AD7C60">
        <w:rPr>
          <w:noProof/>
        </w:rPr>
        <w:t>Le comité mixte est une instance créée par un accord, à savoir l'accord d'association euro-méditerranéen intérimaire relatif aux échanges commerciaux et à la coopération entre la Communauté européenne, d'une part, et l'Organisation de libération de la Palestine (OLP), agissant pour le compte de l'Autorité palestinienne de la Cisjordanie et de la bande de Gaza, d'autre part.</w:t>
      </w:r>
    </w:p>
    <w:bookmarkEnd w:id="5"/>
    <w:p w:rsidR="00ED3AF1" w:rsidRPr="00AD7C60" w:rsidRDefault="00ED3AF1" w:rsidP="00854794">
      <w:pPr>
        <w:spacing w:before="0" w:after="0"/>
        <w:rPr>
          <w:noProof/>
        </w:rPr>
      </w:pPr>
      <w:r w:rsidRPr="00AD7C60">
        <w:rPr>
          <w:noProof/>
        </w:rPr>
        <w:t xml:space="preserve">L’acte que le comité mixte est appelé à adopter est un acte ayant des effets juridiques. </w:t>
      </w:r>
    </w:p>
    <w:p w:rsidR="00ED3AF1" w:rsidRPr="00AD7C60" w:rsidRDefault="00ED3AF1" w:rsidP="00854794">
      <w:pPr>
        <w:spacing w:before="0" w:after="0"/>
        <w:rPr>
          <w:noProof/>
        </w:rPr>
      </w:pPr>
      <w:r w:rsidRPr="00AD7C60">
        <w:rPr>
          <w:noProof/>
        </w:rPr>
        <w:t>L’acte envisagé ne complète ni ne modifie le cadre institutionnel de l’accord.</w:t>
      </w:r>
    </w:p>
    <w:p w:rsidR="00ED3AF1" w:rsidRPr="00AD7C60" w:rsidRDefault="00ED3AF1" w:rsidP="00854794">
      <w:pPr>
        <w:spacing w:before="0" w:after="0"/>
        <w:rPr>
          <w:noProof/>
        </w:rPr>
      </w:pPr>
      <w:r w:rsidRPr="00AD7C60">
        <w:rPr>
          <w:noProof/>
        </w:rPr>
        <w:t>En conséquence, la base juridique procédurale de la décision proposée est l’article 218, paragraphe 9, du TFUE.</w:t>
      </w:r>
    </w:p>
    <w:p w:rsidR="00ED3AF1" w:rsidRPr="00AD7C60" w:rsidRDefault="00C10683" w:rsidP="00C10683">
      <w:pPr>
        <w:pStyle w:val="ManualHeading2"/>
        <w:rPr>
          <w:noProof/>
        </w:rPr>
      </w:pPr>
      <w:r w:rsidRPr="00C10683">
        <w:rPr>
          <w:noProof/>
        </w:rPr>
        <w:t>4.2.</w:t>
      </w:r>
      <w:r w:rsidRPr="00C10683">
        <w:rPr>
          <w:noProof/>
        </w:rPr>
        <w:tab/>
      </w:r>
      <w:r w:rsidR="00ED3AF1" w:rsidRPr="00AD7C60">
        <w:rPr>
          <w:noProof/>
        </w:rPr>
        <w:t>Base juridique matérielle</w:t>
      </w:r>
    </w:p>
    <w:p w:rsidR="00ED3AF1" w:rsidRPr="00AD7C60" w:rsidRDefault="00C10683" w:rsidP="00C10683">
      <w:pPr>
        <w:pStyle w:val="ManualHeading3"/>
        <w:rPr>
          <w:noProof/>
        </w:rPr>
      </w:pPr>
      <w:r w:rsidRPr="00C10683">
        <w:rPr>
          <w:noProof/>
        </w:rPr>
        <w:t>4.2.1.</w:t>
      </w:r>
      <w:r w:rsidRPr="00C10683">
        <w:rPr>
          <w:noProof/>
        </w:rPr>
        <w:tab/>
      </w:r>
      <w:r w:rsidR="00ED3AF1" w:rsidRPr="00AD7C60">
        <w:rPr>
          <w:noProof/>
        </w:rPr>
        <w:t>Principes</w:t>
      </w:r>
    </w:p>
    <w:p w:rsidR="00ED3AF1" w:rsidRPr="00AD7C60" w:rsidRDefault="00ED3AF1" w:rsidP="00736AA9">
      <w:pPr>
        <w:rPr>
          <w:noProof/>
        </w:rPr>
      </w:pPr>
      <w:r w:rsidRPr="00AD7C60">
        <w:rPr>
          <w:noProof/>
        </w:rPr>
        <w:t>La base juridique matérielle d’une décision au titre de l’article 218, paragraphe 9, du TFUE dépend avant tout de l’objectif et du contenu de l’acte envisagé à propos duquel une position est prise au nom de l’Union. Si l’acte envisagé poursuit deux finalités ou comporte deux composantes et si l’une de ces finalités ou de ces composantes est identifiable comme étant principale, tandis que l’autre n’est qu’accessoire, la décision au titre de l’article 218, paragraphe 9, du TFUE doit être fondée sur une seule base juridique matérielle, à savoir celle exigée par la finalité ou la composante principale ou prédominante.</w:t>
      </w:r>
    </w:p>
    <w:p w:rsidR="00ED3AF1" w:rsidRPr="00AD7C60" w:rsidRDefault="00C10683" w:rsidP="00C10683">
      <w:pPr>
        <w:pStyle w:val="ManualHeading3"/>
        <w:rPr>
          <w:noProof/>
        </w:rPr>
      </w:pPr>
      <w:r w:rsidRPr="00C10683">
        <w:rPr>
          <w:noProof/>
        </w:rPr>
        <w:t>4.2.2.</w:t>
      </w:r>
      <w:r w:rsidRPr="00C10683">
        <w:rPr>
          <w:noProof/>
        </w:rPr>
        <w:tab/>
      </w:r>
      <w:r w:rsidR="00ED3AF1" w:rsidRPr="00AD7C60">
        <w:rPr>
          <w:noProof/>
        </w:rPr>
        <w:t>Application en l'espèce</w:t>
      </w:r>
    </w:p>
    <w:p w:rsidR="00C91EBA" w:rsidRPr="00AD7C60" w:rsidRDefault="00ED3AF1" w:rsidP="00854794">
      <w:pPr>
        <w:spacing w:before="0" w:after="0"/>
        <w:rPr>
          <w:noProof/>
        </w:rPr>
      </w:pPr>
      <w:r w:rsidRPr="00AD7C60">
        <w:rPr>
          <w:noProof/>
        </w:rPr>
        <w:t>L’objectif et le contenu de l’acte envisagé portent essentiellement sur la politique commerciale commune.</w:t>
      </w:r>
    </w:p>
    <w:p w:rsidR="00ED3AF1" w:rsidRPr="00AD7C60" w:rsidRDefault="00C91EBA" w:rsidP="00854794">
      <w:pPr>
        <w:spacing w:before="0" w:after="0"/>
        <w:rPr>
          <w:noProof/>
          <w:color w:val="0000FF"/>
        </w:rPr>
      </w:pPr>
      <w:r w:rsidRPr="00AD7C60">
        <w:rPr>
          <w:noProof/>
        </w:rPr>
        <w:t>La base juridique matérielle pour la décision proposée est donc l’article 207, paragraphe 4, premier alinéa, TFUE.</w:t>
      </w:r>
    </w:p>
    <w:p w:rsidR="00ED3AF1" w:rsidRPr="00AD7C60" w:rsidRDefault="00C10683" w:rsidP="00C10683">
      <w:pPr>
        <w:pStyle w:val="ManualHeading2"/>
        <w:rPr>
          <w:noProof/>
        </w:rPr>
      </w:pPr>
      <w:r w:rsidRPr="00C10683">
        <w:rPr>
          <w:noProof/>
        </w:rPr>
        <w:t>4.3.</w:t>
      </w:r>
      <w:r w:rsidRPr="00C10683">
        <w:rPr>
          <w:noProof/>
        </w:rPr>
        <w:tab/>
      </w:r>
      <w:r w:rsidR="00ED3AF1" w:rsidRPr="00AD7C60">
        <w:rPr>
          <w:noProof/>
        </w:rPr>
        <w:t>Conclusion</w:t>
      </w:r>
    </w:p>
    <w:p w:rsidR="00AE59CD" w:rsidRPr="00AD7C60" w:rsidRDefault="00ED3AF1" w:rsidP="00736AA9">
      <w:pPr>
        <w:rPr>
          <w:noProof/>
        </w:rPr>
      </w:pPr>
      <w:bookmarkStart w:id="6" w:name="_Hlk141881036"/>
      <w:r w:rsidRPr="00AD7C60">
        <w:rPr>
          <w:noProof/>
        </w:rPr>
        <w:t>La base juridique de la décision proposée devrait être l’article 207, paragraphe 4, premier alinéa, du TFUE, en liaison avec son article 218, paragraphe 9.</w:t>
      </w:r>
    </w:p>
    <w:bookmarkEnd w:id="6"/>
    <w:p w:rsidR="00ED3AF1" w:rsidRPr="00AD7C60" w:rsidRDefault="00C10683" w:rsidP="00C10683">
      <w:pPr>
        <w:pStyle w:val="ManualHeading1"/>
        <w:rPr>
          <w:noProof/>
        </w:rPr>
      </w:pPr>
      <w:r w:rsidRPr="00C10683">
        <w:rPr>
          <w:noProof/>
        </w:rPr>
        <w:t>5.</w:t>
      </w:r>
      <w:r w:rsidRPr="00C10683">
        <w:rPr>
          <w:noProof/>
        </w:rPr>
        <w:tab/>
      </w:r>
      <w:r w:rsidR="00AE59CD" w:rsidRPr="00AD7C60">
        <w:rPr>
          <w:noProof/>
        </w:rPr>
        <w:t>Incidence budgétaire</w:t>
      </w:r>
    </w:p>
    <w:p w:rsidR="00AE59CD" w:rsidRPr="00AD7C60" w:rsidRDefault="00AE59CD" w:rsidP="00736AA9">
      <w:pPr>
        <w:rPr>
          <w:noProof/>
        </w:rPr>
      </w:pPr>
      <w:bookmarkStart w:id="7" w:name="_Hlk141881171"/>
      <w:r w:rsidRPr="00AD7C60">
        <w:rPr>
          <w:noProof/>
        </w:rPr>
        <w:t xml:space="preserve">Les conditions générales applicables aux preuves de l’origine délivrées par voie électronique n’ont aucune incidence mesurable sur le budget de l’Union étant donné qu’elles visent essentiellement la facilitation des échanges et la consolidation des pratiques modernes des autorités douanières. Elles prévoient des simplifications dans les domaines qui continuent à relever de la compétence des autorités, sans qu’il soit porté atteinte au contenu des règles permettant aux marchandises d’acquérir le caractère originaire à titre préférentiel. </w:t>
      </w:r>
      <w:bookmarkEnd w:id="7"/>
      <w:r w:rsidRPr="00AD7C60">
        <w:rPr>
          <w:noProof/>
        </w:rPr>
        <w:t>L’utilisation de preuves de l’origine délivrées par voie électronique améliore l’efficacité des contrôles douaniers et réduit le risque de fraude en mettant en place un environnement sécurisé pour la délivrance et la vérification.</w:t>
      </w:r>
    </w:p>
    <w:p w:rsidR="00AE59CD" w:rsidRPr="00AD7C60" w:rsidRDefault="00C10683" w:rsidP="00C10683">
      <w:pPr>
        <w:pStyle w:val="ManualHeading1"/>
        <w:rPr>
          <w:noProof/>
        </w:rPr>
      </w:pPr>
      <w:r w:rsidRPr="00C10683">
        <w:rPr>
          <w:noProof/>
        </w:rPr>
        <w:t>6.</w:t>
      </w:r>
      <w:r w:rsidRPr="00C10683">
        <w:rPr>
          <w:noProof/>
        </w:rPr>
        <w:tab/>
      </w:r>
      <w:r w:rsidR="00AE59CD" w:rsidRPr="00AD7C60">
        <w:rPr>
          <w:noProof/>
        </w:rPr>
        <w:t>Publication de l’acte envisagé</w:t>
      </w:r>
    </w:p>
    <w:p w:rsidR="00AE59CD" w:rsidRPr="00AD7C60" w:rsidRDefault="00AE59CD" w:rsidP="00AE59CD">
      <w:pPr>
        <w:rPr>
          <w:noProof/>
        </w:rPr>
      </w:pPr>
      <w:r w:rsidRPr="00AD7C60">
        <w:rPr>
          <w:noProof/>
        </w:rPr>
        <w:t xml:space="preserve">Étant donné que l’acte du comité mixte complétera le protocole nº 3 de l’accord conclu entre les Communautés européennes, d’une part, et l'Organisation de libération de la Palestine (OLP), agissant pour le compte de l'Autorité palestinienne de la Cisjordanie et de la bande de Gaza, d’autre part, il y a lieu de le publier au </w:t>
      </w:r>
      <w:r w:rsidRPr="00AD7C60">
        <w:rPr>
          <w:i/>
          <w:noProof/>
        </w:rPr>
        <w:t>Journal officiel de l’Union européenne</w:t>
      </w:r>
      <w:r w:rsidRPr="00AD7C60">
        <w:rPr>
          <w:noProof/>
        </w:rPr>
        <w:t>, une fois qu'il sera adopté.</w:t>
      </w:r>
    </w:p>
    <w:p w:rsidR="00AE59CD" w:rsidRPr="00AD7C60" w:rsidRDefault="00AE59CD" w:rsidP="00736AA9">
      <w:pPr>
        <w:rPr>
          <w:noProof/>
        </w:rPr>
      </w:pPr>
    </w:p>
    <w:p w:rsidR="00ED3AF1" w:rsidRPr="00AD7C60" w:rsidRDefault="00ED3AF1" w:rsidP="00FD40BA">
      <w:pPr>
        <w:rPr>
          <w:noProof/>
        </w:rPr>
      </w:pPr>
    </w:p>
    <w:p w:rsidR="00AE59CD" w:rsidRPr="00AD7C60" w:rsidRDefault="00AE59CD" w:rsidP="00FD40BA">
      <w:pPr>
        <w:rPr>
          <w:noProof/>
        </w:rPr>
      </w:pPr>
    </w:p>
    <w:p w:rsidR="00AE59CD" w:rsidRPr="00AD7C60" w:rsidRDefault="00AE59CD" w:rsidP="00FD40BA">
      <w:pPr>
        <w:rPr>
          <w:noProof/>
        </w:rPr>
        <w:sectPr w:rsidR="00AE59CD" w:rsidRPr="00AD7C60" w:rsidSect="000202E5">
          <w:headerReference w:type="even" r:id="rId11"/>
          <w:footerReference w:type="even" r:id="rId12"/>
          <w:footerReference w:type="default" r:id="rId13"/>
          <w:headerReference w:type="first" r:id="rId14"/>
          <w:footerReference w:type="first" r:id="rId15"/>
          <w:pgSz w:w="11907" w:h="16839"/>
          <w:pgMar w:top="1134" w:right="1417" w:bottom="1134" w:left="1417" w:header="709" w:footer="709" w:gutter="0"/>
          <w:cols w:space="708"/>
          <w:docGrid w:linePitch="360"/>
        </w:sectPr>
      </w:pPr>
    </w:p>
    <w:p w:rsidR="0088570F" w:rsidRDefault="005211C3">
      <w:pPr>
        <w:pStyle w:val="Rfrenceinterinstitutionnelle"/>
        <w:rPr>
          <w:noProof/>
        </w:rPr>
      </w:pPr>
      <w:r>
        <w:rPr>
          <w:noProof/>
        </w:rPr>
        <w:t>2024/0189 (NLE)</w:t>
      </w:r>
    </w:p>
    <w:p w:rsidR="00ED3AF1" w:rsidRPr="00AD7C60" w:rsidRDefault="00AD7C60" w:rsidP="00AD7C60">
      <w:pPr>
        <w:pStyle w:val="Statut"/>
        <w:rPr>
          <w:noProof/>
        </w:rPr>
      </w:pPr>
      <w:r w:rsidRPr="00AD7C60">
        <w:rPr>
          <w:noProof/>
        </w:rPr>
        <w:t>Proposition de</w:t>
      </w:r>
    </w:p>
    <w:p w:rsidR="00ED3AF1" w:rsidRPr="00AD7C60" w:rsidRDefault="00AD7C60" w:rsidP="00AD7C60">
      <w:pPr>
        <w:pStyle w:val="Typedudocument"/>
        <w:rPr>
          <w:noProof/>
        </w:rPr>
      </w:pPr>
      <w:r w:rsidRPr="00AD7C60">
        <w:rPr>
          <w:noProof/>
        </w:rPr>
        <w:t>DÉCISION DU CONSEIL</w:t>
      </w:r>
    </w:p>
    <w:p w:rsidR="00ED3AF1" w:rsidRPr="00AD7C60" w:rsidRDefault="00AD7C60" w:rsidP="00AD7C60">
      <w:pPr>
        <w:pStyle w:val="Titreobjet"/>
        <w:rPr>
          <w:noProof/>
        </w:rPr>
      </w:pPr>
      <w:r w:rsidRPr="00AD7C60">
        <w:rPr>
          <w:noProof/>
        </w:rPr>
        <w:t xml:space="preserve">relative à la position à prendre, au nom de l’Union, au sein du comité mixte institué par l’accord d’association euro-méditerranéen intérimaire relatif aux échanges et à la coopération entre la Communauté européenne, d’une part, et l’Organisation de libération de la Palestine (OLP), agissant pour le compte de l’Autorité palestinienne de la Cisjordanie et de la bande de Gaza, d’autre part, concernant l’établissement des conditions générales applicables aux preuves de l’origine délivrées par voie électronique conformément à l’article 17, paragraphe 4, de l’appendice A du protocole nº 3 dudit accord </w:t>
      </w:r>
      <w:r w:rsidRPr="00AD7C60">
        <w:rPr>
          <w:noProof/>
        </w:rPr>
        <w:br/>
      </w:r>
      <w:r w:rsidRPr="00AD7C60">
        <w:rPr>
          <w:noProof/>
        </w:rPr>
        <w:br/>
      </w:r>
      <w:r w:rsidRPr="00AD7C60">
        <w:rPr>
          <w:noProof/>
        </w:rPr>
        <w:br/>
      </w:r>
    </w:p>
    <w:p w:rsidR="00ED3AF1" w:rsidRPr="00AD7C60" w:rsidRDefault="00ED3AF1" w:rsidP="00BE7CB9">
      <w:pPr>
        <w:pStyle w:val="Institutionquiagit"/>
        <w:rPr>
          <w:noProof/>
        </w:rPr>
      </w:pPr>
      <w:r w:rsidRPr="00AD7C60">
        <w:rPr>
          <w:noProof/>
        </w:rPr>
        <w:t>LE CONSEIL DE L’UNION EUROPÉENNE,</w:t>
      </w:r>
    </w:p>
    <w:p w:rsidR="00ED3AF1" w:rsidRPr="00AD7C60" w:rsidRDefault="00ED3AF1" w:rsidP="00BE7CB9">
      <w:pPr>
        <w:rPr>
          <w:noProof/>
        </w:rPr>
      </w:pPr>
      <w:r w:rsidRPr="00AD7C60">
        <w:rPr>
          <w:noProof/>
        </w:rPr>
        <w:t>vu le traité sur le fonctionnement de l’Union européenne, et notamment son article 207, paragraphe 4, premier alinéa, en liaison avec l’article 218, paragraphe 9,</w:t>
      </w:r>
    </w:p>
    <w:p w:rsidR="00ED3AF1" w:rsidRPr="00AD7C60" w:rsidRDefault="00ED3AF1" w:rsidP="00BE7CB9">
      <w:pPr>
        <w:rPr>
          <w:noProof/>
        </w:rPr>
      </w:pPr>
      <w:r w:rsidRPr="00AD7C60">
        <w:rPr>
          <w:noProof/>
        </w:rPr>
        <w:t>vu la proposition de la Commission européenne,</w:t>
      </w:r>
    </w:p>
    <w:p w:rsidR="00ED3AF1" w:rsidRPr="00AD7C60" w:rsidRDefault="00ED3AF1" w:rsidP="00BE7CB9">
      <w:pPr>
        <w:rPr>
          <w:noProof/>
        </w:rPr>
      </w:pPr>
      <w:r w:rsidRPr="00AD7C60">
        <w:rPr>
          <w:noProof/>
        </w:rPr>
        <w:t>considérant ce qui suit:</w:t>
      </w:r>
    </w:p>
    <w:p w:rsidR="00ED3AF1" w:rsidRPr="00AD7C60" w:rsidRDefault="00C10683" w:rsidP="00C10683">
      <w:pPr>
        <w:pStyle w:val="ManualConsidrant"/>
        <w:rPr>
          <w:noProof/>
        </w:rPr>
      </w:pPr>
      <w:r w:rsidRPr="00C10683">
        <w:rPr>
          <w:noProof/>
        </w:rPr>
        <w:t>(1)</w:t>
      </w:r>
      <w:r w:rsidRPr="00C10683">
        <w:rPr>
          <w:noProof/>
        </w:rPr>
        <w:tab/>
      </w:r>
      <w:r w:rsidR="002A76D9" w:rsidRPr="00AD7C60">
        <w:rPr>
          <w:noProof/>
        </w:rPr>
        <w:t>L'accord d’association euro-méditerranéen intérimaire relatif aux échanges commerciaux et à la coopération entre la Communauté européenne, d'une part, et l'Organisation de libération de la Palestine (OLP), agissant pour le compte de l'Autorité palestinienne de la Cisjordanie et de la bande de Gaza, d'autre part, (ci-après l’«accord») a été conclu par l'Union en vertu de la décision 97/430/CE du Conseil</w:t>
      </w:r>
      <w:r w:rsidR="00472B50" w:rsidRPr="00AD7C60">
        <w:rPr>
          <w:rStyle w:val="FootnoteReference"/>
          <w:noProof/>
        </w:rPr>
        <w:footnoteReference w:id="5"/>
      </w:r>
      <w:r w:rsidR="002A76D9" w:rsidRPr="00AD7C60">
        <w:rPr>
          <w:noProof/>
        </w:rPr>
        <w:t xml:space="preserve"> et est entré en vigueur le 1</w:t>
      </w:r>
      <w:r w:rsidR="002A76D9" w:rsidRPr="00AD7C60">
        <w:rPr>
          <w:noProof/>
          <w:vertAlign w:val="superscript"/>
        </w:rPr>
        <w:t>er</w:t>
      </w:r>
      <w:r w:rsidR="002A76D9" w:rsidRPr="00AD7C60">
        <w:rPr>
          <w:noProof/>
        </w:rPr>
        <w:t> juillet 1997.</w:t>
      </w:r>
    </w:p>
    <w:p w:rsidR="00ED3AF1" w:rsidRPr="00AD7C60" w:rsidRDefault="00C10683" w:rsidP="00C10683">
      <w:pPr>
        <w:pStyle w:val="ManualConsidrant"/>
        <w:rPr>
          <w:noProof/>
        </w:rPr>
      </w:pPr>
      <w:r w:rsidRPr="00C10683">
        <w:rPr>
          <w:noProof/>
        </w:rPr>
        <w:t>(2)</w:t>
      </w:r>
      <w:r w:rsidRPr="00C10683">
        <w:rPr>
          <w:noProof/>
        </w:rPr>
        <w:tab/>
      </w:r>
      <w:r w:rsidR="00ED3AF1" w:rsidRPr="00AD7C60">
        <w:rPr>
          <w:noProof/>
        </w:rPr>
        <w:t xml:space="preserve">En vertu de l’article 63 de l’accord, le comité mixte, institué conformément aux dispositions de l’article 63 de l’accord, peut adopter des décisions. </w:t>
      </w:r>
    </w:p>
    <w:p w:rsidR="00ED3AF1" w:rsidRPr="00AD7C60" w:rsidRDefault="00C10683" w:rsidP="00C10683">
      <w:pPr>
        <w:pStyle w:val="ManualConsidrant"/>
        <w:rPr>
          <w:noProof/>
        </w:rPr>
      </w:pPr>
      <w:r w:rsidRPr="00C10683">
        <w:rPr>
          <w:noProof/>
        </w:rPr>
        <w:t>(3)</w:t>
      </w:r>
      <w:r w:rsidRPr="00C10683">
        <w:rPr>
          <w:noProof/>
        </w:rPr>
        <w:tab/>
      </w:r>
      <w:r w:rsidR="00ED3AF1" w:rsidRPr="00AD7C60">
        <w:rPr>
          <w:noProof/>
        </w:rPr>
        <w:t>Le comité mixte, lors de sa prochaine réunion, doit adopter une décision établissant les conditions générales applicables aux preuves de l’origine délivrées par voie électronique.</w:t>
      </w:r>
    </w:p>
    <w:p w:rsidR="00ED3AF1" w:rsidRPr="00AD7C60" w:rsidRDefault="00C10683" w:rsidP="00C10683">
      <w:pPr>
        <w:pStyle w:val="ManualConsidrant"/>
        <w:rPr>
          <w:noProof/>
        </w:rPr>
      </w:pPr>
      <w:r w:rsidRPr="00C10683">
        <w:rPr>
          <w:noProof/>
        </w:rPr>
        <w:t>(4)</w:t>
      </w:r>
      <w:r w:rsidRPr="00C10683">
        <w:rPr>
          <w:noProof/>
        </w:rPr>
        <w:tab/>
      </w:r>
      <w:r w:rsidR="00324D28" w:rsidRPr="00AD7C60">
        <w:rPr>
          <w:noProof/>
        </w:rPr>
        <w:t xml:space="preserve">Il y a lieu d’arrêter la position à prendre, au nom de l’Union, au sein du comité mixte, étant donné que la décision du comité mixte sera contraignante pour l’Union. </w:t>
      </w:r>
    </w:p>
    <w:p w:rsidR="00472B50" w:rsidRPr="00AD7C60" w:rsidRDefault="00C10683" w:rsidP="00C10683">
      <w:pPr>
        <w:pStyle w:val="ManualConsidrant"/>
        <w:rPr>
          <w:noProof/>
        </w:rPr>
      </w:pPr>
      <w:bookmarkStart w:id="8" w:name="_Hlk167193883"/>
      <w:r w:rsidRPr="00C10683">
        <w:rPr>
          <w:noProof/>
        </w:rPr>
        <w:t>(5)</w:t>
      </w:r>
      <w:r w:rsidRPr="00C10683">
        <w:rPr>
          <w:noProof/>
        </w:rPr>
        <w:tab/>
      </w:r>
      <w:r w:rsidR="00472B50" w:rsidRPr="00AD7C60">
        <w:rPr>
          <w:noProof/>
        </w:rPr>
        <w:t>Lors de la première réunion technique sur les règles d’origine transitoires qui s’est tenue à Bruxelles le 5 février 2020, la majorité des parties contractantes à la convention régionale sur les règles d’origine préférentielles paneuro-méditerranéennes (ci-après la «convention»)</w:t>
      </w:r>
      <w:r w:rsidR="00472B50" w:rsidRPr="00AD7C60">
        <w:rPr>
          <w:rStyle w:val="FootnoteReference"/>
          <w:rFonts w:eastAsia="Arial Unicode MS"/>
          <w:noProof/>
        </w:rPr>
        <w:footnoteReference w:id="6"/>
      </w:r>
      <w:r w:rsidR="00472B50" w:rsidRPr="00AD7C60">
        <w:rPr>
          <w:noProof/>
        </w:rPr>
        <w:t xml:space="preserve"> sont convenues de mettre en œuvre les règles révisées de la convention (ci-après les «règles d’origine transitoires»</w:t>
      </w:r>
      <w:r w:rsidR="00472B50" w:rsidRPr="00AD7C60">
        <w:rPr>
          <w:rStyle w:val="FootnoteReference"/>
          <w:rFonts w:eastAsia="Arial Unicode MS"/>
          <w:noProof/>
        </w:rPr>
        <w:footnoteReference w:id="7"/>
      </w:r>
      <w:r w:rsidR="00472B50" w:rsidRPr="00AD7C60">
        <w:rPr>
          <w:noProof/>
        </w:rPr>
        <w:t>) parallèlement aux règles de la convention, sur une base bilatérale transitoire, dans l’attente de l’adoption des règles révisées de la convention.</w:t>
      </w:r>
    </w:p>
    <w:bookmarkEnd w:id="8"/>
    <w:p w:rsidR="00472B50" w:rsidRPr="00AD7C60" w:rsidRDefault="00C10683" w:rsidP="00C10683">
      <w:pPr>
        <w:pStyle w:val="ManualConsidrant"/>
        <w:rPr>
          <w:noProof/>
        </w:rPr>
      </w:pPr>
      <w:r w:rsidRPr="00C10683">
        <w:rPr>
          <w:noProof/>
        </w:rPr>
        <w:t>(6)</w:t>
      </w:r>
      <w:r w:rsidRPr="00C10683">
        <w:rPr>
          <w:noProof/>
        </w:rPr>
        <w:tab/>
      </w:r>
      <w:r w:rsidR="00472B50" w:rsidRPr="00AD7C60">
        <w:rPr>
          <w:noProof/>
          <w:shd w:val="clear" w:color="auto" w:fill="FFFFFF"/>
        </w:rPr>
        <w:t>L’application des règles d’origine transitoires garantit l’adaptation des flux commerciaux et des pratiques douanières dans l’attente de l’entrée en vigueur, le 1</w:t>
      </w:r>
      <w:r w:rsidR="00472B50" w:rsidRPr="00AD7C60">
        <w:rPr>
          <w:noProof/>
          <w:shd w:val="clear" w:color="auto" w:fill="FFFFFF"/>
          <w:vertAlign w:val="superscript"/>
        </w:rPr>
        <w:t>er</w:t>
      </w:r>
      <w:r w:rsidR="00472B50" w:rsidRPr="00AD7C60">
        <w:rPr>
          <w:noProof/>
          <w:shd w:val="clear" w:color="auto" w:fill="FFFFFF"/>
        </w:rPr>
        <w:t xml:space="preserve"> janvier 2025, des règles révisées de la convention, sur lesquelles se fondent les règles d’origine transitoires.</w:t>
      </w:r>
      <w:r w:rsidR="00472B50" w:rsidRPr="00AD7C60">
        <w:rPr>
          <w:noProof/>
          <w:color w:val="000000"/>
          <w:shd w:val="clear" w:color="auto" w:fill="FFFFFF"/>
        </w:rPr>
        <w:t> </w:t>
      </w:r>
      <w:r w:rsidR="00472B50" w:rsidRPr="00AD7C60">
        <w:rPr>
          <w:rFonts w:ascii="Segoe UI" w:hAnsi="Segoe UI"/>
          <w:noProof/>
          <w:color w:val="000000"/>
          <w:sz w:val="20"/>
        </w:rPr>
        <w:t xml:space="preserve"> </w:t>
      </w:r>
    </w:p>
    <w:p w:rsidR="009A6777" w:rsidRPr="00AD7C60" w:rsidRDefault="00C10683" w:rsidP="00C10683">
      <w:pPr>
        <w:pStyle w:val="ManualConsidrant"/>
        <w:rPr>
          <w:noProof/>
        </w:rPr>
      </w:pPr>
      <w:r w:rsidRPr="00C10683">
        <w:rPr>
          <w:noProof/>
        </w:rPr>
        <w:t>(7)</w:t>
      </w:r>
      <w:r w:rsidRPr="00C10683">
        <w:rPr>
          <w:noProof/>
        </w:rPr>
        <w:tab/>
      </w:r>
      <w:r w:rsidR="009A6777" w:rsidRPr="00AD7C60">
        <w:rPr>
          <w:noProof/>
        </w:rPr>
        <w:t>Depuis le 1</w:t>
      </w:r>
      <w:r w:rsidR="009A6777" w:rsidRPr="00AD7C60">
        <w:rPr>
          <w:noProof/>
          <w:vertAlign w:val="superscript"/>
        </w:rPr>
        <w:t>er</w:t>
      </w:r>
      <w:r w:rsidR="009A6777" w:rsidRPr="00AD7C60">
        <w:rPr>
          <w:noProof/>
        </w:rPr>
        <w:t> septembre 2021, un réseau de protocoles bilatéraux sur les règles d’origine conclus entre les parties contractantes à la convention</w:t>
      </w:r>
      <w:r w:rsidR="004E33F7" w:rsidRPr="00AD7C60">
        <w:rPr>
          <w:rStyle w:val="FootnoteReference"/>
          <w:noProof/>
        </w:rPr>
        <w:footnoteReference w:id="8"/>
      </w:r>
      <w:r w:rsidR="009A6777" w:rsidRPr="00AD7C60">
        <w:rPr>
          <w:noProof/>
        </w:rPr>
        <w:t xml:space="preserve"> est en vigueur, rendant les règles d’origine transitoires applicables</w:t>
      </w:r>
      <w:r w:rsidR="009A6777" w:rsidRPr="00AD7C60">
        <w:rPr>
          <w:rStyle w:val="FootnoteReference"/>
          <w:iCs/>
          <w:noProof/>
          <w:szCs w:val="24"/>
        </w:rPr>
        <w:footnoteReference w:id="9"/>
      </w:r>
      <w:r w:rsidR="009A6777" w:rsidRPr="00AD7C60">
        <w:rPr>
          <w:noProof/>
        </w:rPr>
        <w:t>, dans l’attente de l’entrée en vigueur de la modification de la convention.</w:t>
      </w:r>
    </w:p>
    <w:p w:rsidR="006D09BC" w:rsidRPr="00AD7C60" w:rsidRDefault="00C10683" w:rsidP="00C10683">
      <w:pPr>
        <w:pStyle w:val="ManualConsidrant"/>
        <w:rPr>
          <w:noProof/>
        </w:rPr>
      </w:pPr>
      <w:r w:rsidRPr="00C10683">
        <w:rPr>
          <w:noProof/>
        </w:rPr>
        <w:t>(8)</w:t>
      </w:r>
      <w:r w:rsidRPr="00C10683">
        <w:rPr>
          <w:noProof/>
        </w:rPr>
        <w:tab/>
      </w:r>
      <w:r w:rsidR="002C56D5" w:rsidRPr="00AD7C60">
        <w:rPr>
          <w:noProof/>
        </w:rPr>
        <w:t>Les deux objectifs principaux des règles d’origine transitoires</w:t>
      </w:r>
      <w:r w:rsidR="006D09BC" w:rsidRPr="00AD7C60">
        <w:rPr>
          <w:rStyle w:val="FootnoteReference"/>
          <w:noProof/>
        </w:rPr>
        <w:footnoteReference w:id="10"/>
      </w:r>
      <w:r w:rsidR="002C56D5" w:rsidRPr="00AD7C60">
        <w:rPr>
          <w:noProof/>
        </w:rPr>
        <w:t xml:space="preserve"> sont d’assouplir les règles afin de faciliter l’obtention, pour les marchandises, du caractère originaire à titre préférentiel; et d’instaurer la possibilité d’utiliser des preuves de l’origine délivrées et/ou présentées par voie électronique. </w:t>
      </w:r>
    </w:p>
    <w:p w:rsidR="00877D3D" w:rsidRPr="00AD7C60" w:rsidRDefault="00C10683" w:rsidP="00C10683">
      <w:pPr>
        <w:pStyle w:val="ManualConsidrant"/>
        <w:rPr>
          <w:noProof/>
        </w:rPr>
      </w:pPr>
      <w:r w:rsidRPr="00C10683">
        <w:rPr>
          <w:noProof/>
        </w:rPr>
        <w:t>(9)</w:t>
      </w:r>
      <w:r w:rsidRPr="00C10683">
        <w:rPr>
          <w:noProof/>
        </w:rPr>
        <w:tab/>
      </w:r>
      <w:r w:rsidR="002C56D5" w:rsidRPr="00AD7C60">
        <w:rPr>
          <w:noProof/>
        </w:rPr>
        <w:t>L’Union européenne et l’Organisation de libération de la Palestine (OLP), agissant pour le compte de l'Autorité palestinienne de la Cisjordanie et de la bande de Gaza, sont convenues d’appliquer les dispositions de l’article 17, paragraphe 4, de l’appendice A du protocole nº 3 de l’accord, en ce qui concerne les preuves de l’origine délivrées par voie électronique. Il convient dès lors de définir un cadre de conditions générales,</w:t>
      </w:r>
    </w:p>
    <w:p w:rsidR="00ED3AF1" w:rsidRPr="00AD7C60" w:rsidRDefault="00ED3AF1" w:rsidP="00BE7CB9">
      <w:pPr>
        <w:pStyle w:val="Formuledadoption"/>
        <w:rPr>
          <w:noProof/>
        </w:rPr>
      </w:pPr>
      <w:r w:rsidRPr="00AD7C60">
        <w:rPr>
          <w:noProof/>
        </w:rPr>
        <w:t>A ADOPTÉ LA PRÉSENTE DÉCISION:</w:t>
      </w:r>
    </w:p>
    <w:p w:rsidR="00ED3AF1" w:rsidRPr="00AD7C60" w:rsidRDefault="00ED3AF1" w:rsidP="00BE7CB9">
      <w:pPr>
        <w:pStyle w:val="Titrearticle"/>
        <w:rPr>
          <w:noProof/>
        </w:rPr>
      </w:pPr>
      <w:r w:rsidRPr="00AD7C60">
        <w:rPr>
          <w:noProof/>
        </w:rPr>
        <w:t>Article premier</w:t>
      </w:r>
    </w:p>
    <w:p w:rsidR="008928A1" w:rsidRPr="00AD7C60" w:rsidRDefault="008928A1" w:rsidP="00BE7CB9">
      <w:pPr>
        <w:rPr>
          <w:noProof/>
        </w:rPr>
      </w:pPr>
      <w:r w:rsidRPr="00AD7C60">
        <w:rPr>
          <w:noProof/>
        </w:rPr>
        <w:t>La position à prendre, au nom de l'Union, au sein du comité mixte, est fondée sur le projet d’acte du comité mixte joint à la présente décision.</w:t>
      </w:r>
    </w:p>
    <w:p w:rsidR="00ED3AF1" w:rsidRPr="00AD7C60" w:rsidRDefault="00ED3AF1" w:rsidP="00BE7CB9">
      <w:pPr>
        <w:pStyle w:val="Titrearticle"/>
        <w:rPr>
          <w:noProof/>
        </w:rPr>
      </w:pPr>
      <w:r w:rsidRPr="00AD7C60">
        <w:rPr>
          <w:noProof/>
        </w:rPr>
        <w:t>Article 2</w:t>
      </w:r>
    </w:p>
    <w:p w:rsidR="00ED3AF1" w:rsidRPr="00AD7C60" w:rsidRDefault="00ED3AF1" w:rsidP="00BE7CB9">
      <w:pPr>
        <w:rPr>
          <w:noProof/>
        </w:rPr>
      </w:pPr>
      <w:r w:rsidRPr="00AD7C60">
        <w:rPr>
          <w:noProof/>
        </w:rPr>
        <w:t>La Commission est destinataire de la présente décision.</w:t>
      </w:r>
    </w:p>
    <w:p w:rsidR="002C4760" w:rsidRPr="00AD7C60" w:rsidRDefault="002C4760" w:rsidP="00BE7CB9">
      <w:pPr>
        <w:rPr>
          <w:noProof/>
        </w:rPr>
      </w:pPr>
    </w:p>
    <w:p w:rsidR="004018E6" w:rsidRPr="00AD7C60" w:rsidRDefault="00AD7C60" w:rsidP="007C0E23">
      <w:pPr>
        <w:pStyle w:val="Fait"/>
        <w:rPr>
          <w:noProof/>
        </w:rPr>
      </w:pPr>
      <w:r>
        <w:rPr>
          <w:noProof/>
        </w:rPr>
        <w:t>Fait à Bruxelles, le</w:t>
      </w:r>
    </w:p>
    <w:p w:rsidR="00BE216A" w:rsidRPr="00AD7C60" w:rsidRDefault="00BE216A" w:rsidP="007C0E23">
      <w:pPr>
        <w:pStyle w:val="Institutionquisigne"/>
        <w:rPr>
          <w:noProof/>
        </w:rPr>
      </w:pPr>
      <w:r w:rsidRPr="00AD7C60">
        <w:rPr>
          <w:noProof/>
        </w:rPr>
        <w:tab/>
        <w:t>Par le Conseil</w:t>
      </w:r>
    </w:p>
    <w:p w:rsidR="00ED3AF1" w:rsidRPr="00AD7C60" w:rsidRDefault="00BE216A" w:rsidP="00DC27CC">
      <w:pPr>
        <w:pStyle w:val="Personnequisigne"/>
        <w:rPr>
          <w:noProof/>
        </w:rPr>
      </w:pPr>
      <w:r w:rsidRPr="00AD7C60">
        <w:rPr>
          <w:noProof/>
        </w:rPr>
        <w:tab/>
        <w:t>Le président</w:t>
      </w:r>
    </w:p>
    <w:sectPr w:rsidR="00ED3AF1" w:rsidRPr="00AD7C60" w:rsidSect="000202E5">
      <w:footnotePr>
        <w:numRestart w:val="eachSect"/>
      </w:footnotePr>
      <w:pgSz w:w="11907" w:h="16839"/>
      <w:pgMar w:top="1134" w:right="1417" w:bottom="1134" w:left="141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D3AF1" w:rsidRDefault="00ED3AF1" w:rsidP="00ED3AF1">
      <w:pPr>
        <w:spacing w:before="0" w:after="0"/>
      </w:pPr>
      <w:r>
        <w:separator/>
      </w:r>
    </w:p>
  </w:endnote>
  <w:endnote w:type="continuationSeparator" w:id="0">
    <w:p w:rsidR="00ED3AF1" w:rsidRDefault="00ED3AF1" w:rsidP="00ED3AF1">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202E5" w:rsidRPr="000202E5" w:rsidRDefault="000202E5" w:rsidP="000202E5">
    <w:pPr>
      <w:pStyle w:val="Footer"/>
      <w:rPr>
        <w:rFonts w:ascii="Arial" w:hAnsi="Arial" w:cs="Arial"/>
        <w:b/>
        <w:sz w:val="48"/>
      </w:rPr>
    </w:pPr>
    <w:r w:rsidRPr="000202E5">
      <w:rPr>
        <w:rFonts w:ascii="Arial" w:hAnsi="Arial" w:cs="Arial"/>
        <w:b/>
        <w:sz w:val="48"/>
      </w:rPr>
      <w:t>FR</w:t>
    </w:r>
    <w:r w:rsidRPr="000202E5">
      <w:rPr>
        <w:rFonts w:ascii="Arial" w:hAnsi="Arial" w:cs="Arial"/>
        <w:b/>
        <w:sz w:val="48"/>
      </w:rPr>
      <w:tab/>
    </w:r>
    <w:r w:rsidRPr="000202E5">
      <w:rPr>
        <w:rFonts w:ascii="Arial" w:hAnsi="Arial" w:cs="Arial"/>
        <w:b/>
        <w:sz w:val="48"/>
      </w:rPr>
      <w:tab/>
    </w:r>
    <w:r w:rsidRPr="000202E5">
      <w:tab/>
    </w:r>
    <w:r w:rsidRPr="000202E5">
      <w:rPr>
        <w:rFonts w:ascii="Arial" w:hAnsi="Arial" w:cs="Arial"/>
        <w:b/>
        <w:sz w:val="48"/>
      </w:rPr>
      <w:t>FR</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202E5" w:rsidRPr="000202E5" w:rsidRDefault="000202E5" w:rsidP="000202E5">
    <w:pPr>
      <w:pStyle w:val="Footer"/>
      <w:rPr>
        <w:rFonts w:ascii="Arial" w:hAnsi="Arial" w:cs="Arial"/>
        <w:b/>
        <w:sz w:val="48"/>
      </w:rPr>
    </w:pPr>
    <w:r w:rsidRPr="000202E5">
      <w:rPr>
        <w:rFonts w:ascii="Arial" w:hAnsi="Arial" w:cs="Arial"/>
        <w:b/>
        <w:sz w:val="48"/>
      </w:rPr>
      <w:t>FR</w:t>
    </w:r>
    <w:r w:rsidRPr="000202E5">
      <w:rPr>
        <w:rFonts w:ascii="Arial" w:hAnsi="Arial" w:cs="Arial"/>
        <w:b/>
        <w:sz w:val="48"/>
      </w:rPr>
      <w:tab/>
    </w:r>
    <w:r w:rsidRPr="000202E5">
      <w:rPr>
        <w:rFonts w:ascii="Arial" w:hAnsi="Arial" w:cs="Arial"/>
        <w:b/>
        <w:sz w:val="48"/>
      </w:rPr>
      <w:tab/>
    </w:r>
    <w:r w:rsidRPr="000202E5">
      <w:tab/>
    </w:r>
    <w:r w:rsidRPr="000202E5">
      <w:rPr>
        <w:rFonts w:ascii="Arial" w:hAnsi="Arial" w:cs="Arial"/>
        <w:b/>
        <w:sz w:val="48"/>
      </w:rPr>
      <w:t>FR</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202E5" w:rsidRDefault="000202E5">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202E5" w:rsidRPr="000202E5" w:rsidRDefault="000202E5" w:rsidP="000202E5">
    <w:pPr>
      <w:pStyle w:val="Footer"/>
      <w:rPr>
        <w:rFonts w:ascii="Arial" w:hAnsi="Arial" w:cs="Arial"/>
        <w:b/>
        <w:sz w:val="48"/>
      </w:rPr>
    </w:pPr>
    <w:r w:rsidRPr="000202E5">
      <w:rPr>
        <w:rFonts w:ascii="Arial" w:hAnsi="Arial" w:cs="Arial"/>
        <w:b/>
        <w:sz w:val="48"/>
      </w:rPr>
      <w:t>FR</w:t>
    </w:r>
    <w:r w:rsidRPr="000202E5">
      <w:rPr>
        <w:rFonts w:ascii="Arial" w:hAnsi="Arial" w:cs="Arial"/>
        <w:b/>
        <w:sz w:val="48"/>
      </w:rPr>
      <w:tab/>
    </w:r>
    <w:r>
      <w:fldChar w:fldCharType="begin"/>
    </w:r>
    <w:r>
      <w:instrText xml:space="preserve"> PAGE  \* MERGEFORMAT </w:instrText>
    </w:r>
    <w:r>
      <w:fldChar w:fldCharType="separate"/>
    </w:r>
    <w:r w:rsidR="007C0E23">
      <w:rPr>
        <w:noProof/>
      </w:rPr>
      <w:t>6</w:t>
    </w:r>
    <w:r>
      <w:fldChar w:fldCharType="end"/>
    </w:r>
    <w:r>
      <w:tab/>
    </w:r>
    <w:r w:rsidRPr="000202E5">
      <w:tab/>
    </w:r>
    <w:r w:rsidRPr="000202E5">
      <w:rPr>
        <w:rFonts w:ascii="Arial" w:hAnsi="Arial" w:cs="Arial"/>
        <w:b/>
        <w:sz w:val="48"/>
      </w:rPr>
      <w:t>FR</w:t>
    </w: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202E5" w:rsidRDefault="000202E5" w:rsidP="000202E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D3AF1" w:rsidRDefault="00ED3AF1" w:rsidP="00ED3AF1">
      <w:pPr>
        <w:spacing w:before="0" w:after="0"/>
      </w:pPr>
      <w:r>
        <w:separator/>
      </w:r>
    </w:p>
  </w:footnote>
  <w:footnote w:type="continuationSeparator" w:id="0">
    <w:p w:rsidR="00ED3AF1" w:rsidRDefault="00ED3AF1" w:rsidP="00ED3AF1">
      <w:pPr>
        <w:spacing w:before="0" w:after="0"/>
      </w:pPr>
      <w:r>
        <w:continuationSeparator/>
      </w:r>
    </w:p>
  </w:footnote>
  <w:footnote w:id="1">
    <w:p w:rsidR="00236EB3" w:rsidRPr="00AD7C60" w:rsidRDefault="00236EB3" w:rsidP="00236EB3">
      <w:pPr>
        <w:pStyle w:val="FootnoteText"/>
        <w:rPr>
          <w:rStyle w:val="Hyperlink"/>
          <w:color w:val="337AB7"/>
          <w:sz w:val="19"/>
          <w:szCs w:val="19"/>
          <w:shd w:val="clear" w:color="auto" w:fill="FFFFFF"/>
          <w:lang w:val="fr-BE"/>
        </w:rPr>
      </w:pPr>
      <w:r>
        <w:rPr>
          <w:rStyle w:val="FootnoteReference"/>
        </w:rPr>
        <w:footnoteRef/>
      </w:r>
      <w:r w:rsidRPr="00AD7C60">
        <w:rPr>
          <w:lang w:val="fr-BE"/>
        </w:rPr>
        <w:tab/>
      </w:r>
      <w:r w:rsidRPr="00AD7C60">
        <w:rPr>
          <w:sz w:val="19"/>
          <w:shd w:val="clear" w:color="auto" w:fill="FFFFFF"/>
          <w:lang w:val="fr-BE"/>
        </w:rPr>
        <w:t>JO L 187 du 16.7.1997, p. 3.</w:t>
      </w:r>
    </w:p>
  </w:footnote>
  <w:footnote w:id="2">
    <w:p w:rsidR="0014497F" w:rsidRPr="00AD7C60" w:rsidRDefault="0014497F">
      <w:pPr>
        <w:pStyle w:val="FootnoteText"/>
        <w:rPr>
          <w:lang w:val="fr-BE"/>
        </w:rPr>
      </w:pPr>
      <w:r>
        <w:rPr>
          <w:rStyle w:val="FootnoteReference"/>
        </w:rPr>
        <w:footnoteRef/>
      </w:r>
      <w:r w:rsidRPr="00AD7C60">
        <w:rPr>
          <w:lang w:val="fr-BE"/>
        </w:rPr>
        <w:tab/>
      </w:r>
      <w:r w:rsidRPr="00AD7C60">
        <w:rPr>
          <w:sz w:val="19"/>
          <w:shd w:val="clear" w:color="auto" w:fill="FFFFFF"/>
          <w:lang w:val="fr-BE"/>
        </w:rPr>
        <w:t>JO L 54 du 26.2.2013, p. 4.</w:t>
      </w:r>
    </w:p>
  </w:footnote>
  <w:footnote w:id="3">
    <w:p w:rsidR="0014497F" w:rsidRPr="00AD7C60" w:rsidRDefault="0014497F">
      <w:pPr>
        <w:pStyle w:val="FootnoteText"/>
        <w:rPr>
          <w:lang w:val="fr-BE"/>
        </w:rPr>
      </w:pPr>
      <w:r>
        <w:rPr>
          <w:rStyle w:val="FootnoteReference"/>
        </w:rPr>
        <w:footnoteRef/>
      </w:r>
      <w:r w:rsidRPr="00AD7C60">
        <w:rPr>
          <w:lang w:val="fr-BE"/>
        </w:rPr>
        <w:tab/>
      </w:r>
      <w:r w:rsidRPr="00AD7C60">
        <w:rPr>
          <w:sz w:val="19"/>
          <w:shd w:val="clear" w:color="auto" w:fill="FFFFFF"/>
          <w:lang w:val="fr-BE"/>
        </w:rPr>
        <w:t>JO L 339 du 30.12.2019, p. 1.</w:t>
      </w:r>
    </w:p>
  </w:footnote>
  <w:footnote w:id="4">
    <w:p w:rsidR="00ED3AF1" w:rsidRPr="00AD7C60" w:rsidRDefault="00ED3AF1" w:rsidP="00736AA9">
      <w:pPr>
        <w:pStyle w:val="FootnoteText"/>
        <w:rPr>
          <w:lang w:val="fr-BE"/>
        </w:rPr>
      </w:pPr>
      <w:r>
        <w:rPr>
          <w:rStyle w:val="FootnoteReference"/>
        </w:rPr>
        <w:footnoteRef/>
      </w:r>
      <w:r w:rsidRPr="00AD7C60">
        <w:rPr>
          <w:lang w:val="fr-BE"/>
        </w:rPr>
        <w:tab/>
        <w:t xml:space="preserve">Arrêt de la Cour de justice du 7 octobre 2014, Allemagne/Conseil, C-399/12, ECLI:EU:C:2014:2258, points 61 à 64. </w:t>
      </w:r>
    </w:p>
  </w:footnote>
  <w:footnote w:id="5">
    <w:p w:rsidR="00472B50" w:rsidRPr="00AD7C60" w:rsidRDefault="00472B50">
      <w:pPr>
        <w:pStyle w:val="FootnoteText"/>
        <w:rPr>
          <w:lang w:val="fr-BE"/>
        </w:rPr>
      </w:pPr>
      <w:r>
        <w:rPr>
          <w:rStyle w:val="FootnoteReference"/>
        </w:rPr>
        <w:footnoteRef/>
      </w:r>
      <w:r w:rsidRPr="00AD7C60">
        <w:rPr>
          <w:lang w:val="fr-BE"/>
        </w:rPr>
        <w:tab/>
        <w:t>Décision du Conseil du 2 juin 1997 relative à la conclusion d'un accord d'association euro-méditerranéen intérimaire relatif aux échanges commerciaux et à la coopération entre la Communauté européenne, d'une part, et l'Organisation de libération de la Palestine (OLP), agissant pour le compte de l'Autorité palestinienne de la Cisjordanie et de la bande de Gaza, d'autre part.</w:t>
      </w:r>
    </w:p>
  </w:footnote>
  <w:footnote w:id="6">
    <w:p w:rsidR="00472B50" w:rsidRPr="00AD7C60" w:rsidRDefault="00472B50" w:rsidP="00472B50">
      <w:pPr>
        <w:pStyle w:val="FootnoteText"/>
        <w:rPr>
          <w:lang w:val="fr-BE"/>
        </w:rPr>
      </w:pPr>
      <w:r>
        <w:rPr>
          <w:rStyle w:val="FootnoteReference"/>
        </w:rPr>
        <w:footnoteRef/>
      </w:r>
      <w:r w:rsidRPr="00AD7C60">
        <w:rPr>
          <w:lang w:val="fr-BE"/>
        </w:rPr>
        <w:tab/>
      </w:r>
      <w:r w:rsidRPr="00AD7C60">
        <w:rPr>
          <w:sz w:val="19"/>
          <w:shd w:val="clear" w:color="auto" w:fill="FFFFFF"/>
          <w:lang w:val="fr-BE"/>
        </w:rPr>
        <w:t>JO L 54 du 26.2.2013, p. 4.</w:t>
      </w:r>
    </w:p>
  </w:footnote>
  <w:footnote w:id="7">
    <w:p w:rsidR="00472B50" w:rsidRPr="00AD7C60" w:rsidRDefault="00472B50" w:rsidP="00472B50">
      <w:pPr>
        <w:pStyle w:val="FootnoteText"/>
        <w:rPr>
          <w:lang w:val="fr-BE"/>
        </w:rPr>
      </w:pPr>
      <w:r>
        <w:rPr>
          <w:rStyle w:val="FootnoteReference"/>
        </w:rPr>
        <w:footnoteRef/>
      </w:r>
      <w:r w:rsidRPr="00AD7C60">
        <w:rPr>
          <w:lang w:val="fr-BE"/>
        </w:rPr>
        <w:tab/>
      </w:r>
      <w:r w:rsidRPr="00AD7C60">
        <w:rPr>
          <w:shd w:val="clear" w:color="auto" w:fill="FFFFFF"/>
          <w:lang w:val="fr-BE"/>
        </w:rPr>
        <w:t>JO L 339 du 30.12.2019, p. 1.</w:t>
      </w:r>
    </w:p>
  </w:footnote>
  <w:footnote w:id="8">
    <w:p w:rsidR="004E33F7" w:rsidRPr="00AD7C60" w:rsidRDefault="004E33F7" w:rsidP="004E33F7">
      <w:pPr>
        <w:pStyle w:val="FootnoteText"/>
        <w:rPr>
          <w:lang w:val="fr-BE"/>
        </w:rPr>
      </w:pPr>
      <w:r>
        <w:rPr>
          <w:rStyle w:val="FootnoteReference"/>
        </w:rPr>
        <w:footnoteRef/>
      </w:r>
      <w:r w:rsidRPr="00AD7C60">
        <w:rPr>
          <w:lang w:val="fr-BE"/>
        </w:rPr>
        <w:tab/>
        <w:t>Union européenne, Islande, Suisse (y compris le Liechtenstein), Norvège, Îles Féroé, Israël, Jordanie, Palestine (cette dénomination ne saurait être interprétée comme une reconnaissance d'un État de Palestine et est sans préjudice de la position de chaque État membre sur cette question), Albanie, Bosnie-Herzégovine, Kosovo (cette désignation est sans préjudice des positions sur le statut et est conforme à la résolution 1244/1999 du Conseil de sécurité des Nations unies ainsi qu'à l'avis de la CIJ sur la déclaration d'indépendance du Kosovo), Macédoine du Nord, Serbie, Monténégro, Géorgie, République de Moldavie et Ukraine.</w:t>
      </w:r>
    </w:p>
  </w:footnote>
  <w:footnote w:id="9">
    <w:p w:rsidR="009A6777" w:rsidRPr="00AD7C60" w:rsidRDefault="009A6777" w:rsidP="009A6777">
      <w:pPr>
        <w:pStyle w:val="FootnoteText"/>
        <w:rPr>
          <w:lang w:val="fr-BE"/>
        </w:rPr>
      </w:pPr>
      <w:r>
        <w:rPr>
          <w:rStyle w:val="FootnoteReference"/>
        </w:rPr>
        <w:footnoteRef/>
      </w:r>
      <w:r w:rsidRPr="00AD7C60">
        <w:rPr>
          <w:lang w:val="fr-BE"/>
        </w:rPr>
        <w:tab/>
        <w:t>JO C, C/2024/1637, 20.2.2024.</w:t>
      </w:r>
      <w:r w:rsidRPr="00AD7C60">
        <w:rPr>
          <w:lang w:val="fr-BE"/>
        </w:rPr>
        <w:tab/>
      </w:r>
    </w:p>
  </w:footnote>
  <w:footnote w:id="10">
    <w:p w:rsidR="006D09BC" w:rsidRPr="00AD7C60" w:rsidRDefault="006D09BC">
      <w:pPr>
        <w:pStyle w:val="FootnoteText"/>
        <w:rPr>
          <w:lang w:val="fr-BE"/>
        </w:rPr>
      </w:pPr>
      <w:r>
        <w:rPr>
          <w:rStyle w:val="FootnoteReference"/>
        </w:rPr>
        <w:footnoteRef/>
      </w:r>
      <w:r w:rsidRPr="00AD7C60">
        <w:rPr>
          <w:lang w:val="fr-BE"/>
        </w:rPr>
        <w:tab/>
        <w:t>JO L 328 du 16.9.2021, p. 23.</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202E5" w:rsidRDefault="000202E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202E5" w:rsidRDefault="000202E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1"/>
    <w:multiLevelType w:val="singleLevel"/>
    <w:tmpl w:val="B69284BE"/>
    <w:lvl w:ilvl="0">
      <w:start w:val="1"/>
      <w:numFmt w:val="bullet"/>
      <w:pStyle w:val="ListBullet4"/>
      <w:lvlText w:val=""/>
      <w:lvlJc w:val="left"/>
      <w:pPr>
        <w:tabs>
          <w:tab w:val="num" w:pos="1209"/>
        </w:tabs>
        <w:ind w:left="1209" w:hanging="360"/>
      </w:pPr>
      <w:rPr>
        <w:rFonts w:ascii="Symbol" w:hAnsi="Symbol" w:hint="default"/>
      </w:rPr>
    </w:lvl>
  </w:abstractNum>
  <w:abstractNum w:abstractNumId="1" w15:restartNumberingAfterBreak="0">
    <w:nsid w:val="FFFFFF82"/>
    <w:multiLevelType w:val="singleLevel"/>
    <w:tmpl w:val="F8206D58"/>
    <w:lvl w:ilvl="0">
      <w:start w:val="1"/>
      <w:numFmt w:val="bullet"/>
      <w:pStyle w:val="ListBullet3"/>
      <w:lvlText w:val=""/>
      <w:lvlJc w:val="left"/>
      <w:pPr>
        <w:tabs>
          <w:tab w:val="num" w:pos="926"/>
        </w:tabs>
        <w:ind w:left="926" w:hanging="360"/>
      </w:pPr>
      <w:rPr>
        <w:rFonts w:ascii="Symbol" w:hAnsi="Symbol" w:hint="default"/>
      </w:rPr>
    </w:lvl>
  </w:abstractNum>
  <w:abstractNum w:abstractNumId="2" w15:restartNumberingAfterBreak="0">
    <w:nsid w:val="FFFFFF83"/>
    <w:multiLevelType w:val="singleLevel"/>
    <w:tmpl w:val="833AA6D0"/>
    <w:lvl w:ilvl="0">
      <w:start w:val="1"/>
      <w:numFmt w:val="bullet"/>
      <w:pStyle w:val="ListBullet2"/>
      <w:lvlText w:val=""/>
      <w:lvlJc w:val="left"/>
      <w:pPr>
        <w:tabs>
          <w:tab w:val="num" w:pos="643"/>
        </w:tabs>
        <w:ind w:left="643" w:hanging="360"/>
      </w:pPr>
      <w:rPr>
        <w:rFonts w:ascii="Symbol" w:hAnsi="Symbol" w:hint="default"/>
      </w:rPr>
    </w:lvl>
  </w:abstractNum>
  <w:abstractNum w:abstractNumId="3" w15:restartNumberingAfterBreak="0">
    <w:nsid w:val="FFFFFF89"/>
    <w:multiLevelType w:val="singleLevel"/>
    <w:tmpl w:val="00D2EE36"/>
    <w:lvl w:ilvl="0">
      <w:start w:val="1"/>
      <w:numFmt w:val="bullet"/>
      <w:pStyle w:val="ListBullet"/>
      <w:lvlText w:val=""/>
      <w:lvlJc w:val="left"/>
      <w:pPr>
        <w:tabs>
          <w:tab w:val="num" w:pos="360"/>
        </w:tabs>
        <w:ind w:left="360" w:hanging="360"/>
      </w:pPr>
      <w:rPr>
        <w:rFonts w:ascii="Symbol" w:hAnsi="Symbol" w:hint="default"/>
      </w:rPr>
    </w:lvl>
  </w:abstractNum>
  <w:abstractNum w:abstractNumId="4" w15:restartNumberingAfterBreak="0">
    <w:nsid w:val="1B3C78B8"/>
    <w:multiLevelType w:val="multilevel"/>
    <w:tmpl w:val="2ED4F4D0"/>
    <w:name w:val="Point"/>
    <w:lvl w:ilvl="0">
      <w:start w:val="1"/>
      <w:numFmt w:val="decimal"/>
      <w:lvlRestart w:val="0"/>
      <w:pStyle w:val="Point0number"/>
      <w:lvlText w:val="(%1)"/>
      <w:lvlJc w:val="left"/>
      <w:pPr>
        <w:tabs>
          <w:tab w:val="num" w:pos="850"/>
        </w:tabs>
        <w:ind w:left="850" w:hanging="850"/>
      </w:pPr>
    </w:lvl>
    <w:lvl w:ilvl="1">
      <w:start w:val="1"/>
      <w:numFmt w:val="lowerLetter"/>
      <w:pStyle w:val="Point0letter"/>
      <w:lvlText w:val="(%2)"/>
      <w:lvlJc w:val="left"/>
      <w:pPr>
        <w:tabs>
          <w:tab w:val="num" w:pos="850"/>
        </w:tabs>
        <w:ind w:left="850" w:hanging="850"/>
      </w:pPr>
    </w:lvl>
    <w:lvl w:ilvl="2">
      <w:start w:val="1"/>
      <w:numFmt w:val="decimal"/>
      <w:pStyle w:val="Point1number"/>
      <w:lvlText w:val="(%3)"/>
      <w:lvlJc w:val="left"/>
      <w:pPr>
        <w:tabs>
          <w:tab w:val="num" w:pos="1417"/>
        </w:tabs>
        <w:ind w:left="1417" w:hanging="567"/>
      </w:pPr>
    </w:lvl>
    <w:lvl w:ilvl="3">
      <w:start w:val="1"/>
      <w:numFmt w:val="lowerLetter"/>
      <w:pStyle w:val="Point1letter"/>
      <w:lvlText w:val="(%4)"/>
      <w:lvlJc w:val="left"/>
      <w:pPr>
        <w:tabs>
          <w:tab w:val="num" w:pos="1417"/>
        </w:tabs>
        <w:ind w:left="1417" w:hanging="567"/>
      </w:pPr>
    </w:lvl>
    <w:lvl w:ilvl="4">
      <w:start w:val="1"/>
      <w:numFmt w:val="decimal"/>
      <w:pStyle w:val="Point2number"/>
      <w:lvlText w:val="(%5)"/>
      <w:lvlJc w:val="left"/>
      <w:pPr>
        <w:tabs>
          <w:tab w:val="num" w:pos="1984"/>
        </w:tabs>
        <w:ind w:left="1984" w:hanging="567"/>
      </w:pPr>
    </w:lvl>
    <w:lvl w:ilvl="5">
      <w:start w:val="1"/>
      <w:numFmt w:val="lowerLetter"/>
      <w:pStyle w:val="Point2letter"/>
      <w:lvlText w:val="(%6)"/>
      <w:lvlJc w:val="left"/>
      <w:pPr>
        <w:tabs>
          <w:tab w:val="num" w:pos="1984"/>
        </w:tabs>
        <w:ind w:left="1984" w:hanging="567"/>
      </w:pPr>
    </w:lvl>
    <w:lvl w:ilvl="6">
      <w:start w:val="1"/>
      <w:numFmt w:val="decimal"/>
      <w:pStyle w:val="Point3number"/>
      <w:lvlText w:val="(%7)"/>
      <w:lvlJc w:val="left"/>
      <w:pPr>
        <w:tabs>
          <w:tab w:val="num" w:pos="2551"/>
        </w:tabs>
        <w:ind w:left="2551" w:hanging="567"/>
      </w:pPr>
    </w:lvl>
    <w:lvl w:ilvl="7">
      <w:start w:val="1"/>
      <w:numFmt w:val="lowerLetter"/>
      <w:pStyle w:val="Point3letter"/>
      <w:lvlText w:val="(%8)"/>
      <w:lvlJc w:val="left"/>
      <w:pPr>
        <w:tabs>
          <w:tab w:val="num" w:pos="2551"/>
        </w:tabs>
        <w:ind w:left="2551" w:hanging="567"/>
      </w:pPr>
    </w:lvl>
    <w:lvl w:ilvl="8">
      <w:start w:val="1"/>
      <w:numFmt w:val="lowerLetter"/>
      <w:pStyle w:val="Point4letter"/>
      <w:lvlText w:val="(%9)"/>
      <w:lvlJc w:val="left"/>
      <w:pPr>
        <w:tabs>
          <w:tab w:val="num" w:pos="3118"/>
        </w:tabs>
        <w:ind w:left="3118" w:hanging="567"/>
      </w:pPr>
    </w:lvl>
  </w:abstractNum>
  <w:abstractNum w:abstractNumId="5" w15:restartNumberingAfterBreak="0">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decimal"/>
      <w:pStyle w:val="NumPar5"/>
      <w:lvlText w:val="%1.%2.%3.%4.%5."/>
      <w:lvlJc w:val="left"/>
      <w:pPr>
        <w:tabs>
          <w:tab w:val="num" w:pos="1417"/>
        </w:tabs>
        <w:ind w:left="1417" w:hanging="1417"/>
      </w:pPr>
    </w:lvl>
    <w:lvl w:ilvl="5">
      <w:start w:val="1"/>
      <w:numFmt w:val="decimal"/>
      <w:pStyle w:val="NumPar6"/>
      <w:lvlText w:val="%1.%2.%3.%4.%5.%6."/>
      <w:lvlJc w:val="left"/>
      <w:pPr>
        <w:tabs>
          <w:tab w:val="num" w:pos="1417"/>
        </w:tabs>
        <w:ind w:left="1417" w:hanging="1417"/>
      </w:pPr>
    </w:lvl>
    <w:lvl w:ilvl="6">
      <w:start w:val="1"/>
      <w:numFmt w:val="decimal"/>
      <w:pStyle w:val="NumPar7"/>
      <w:lvlText w:val="%1.%2.%3.%4.%5.%6.%7."/>
      <w:lvlJc w:val="left"/>
      <w:pPr>
        <w:tabs>
          <w:tab w:val="num" w:pos="1417"/>
        </w:tabs>
        <w:ind w:left="1417" w:hanging="1417"/>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2CB72C6E"/>
    <w:multiLevelType w:val="singleLevel"/>
    <w:tmpl w:val="10ACD464"/>
    <w:name w:val="Bullet 3"/>
    <w:lvl w:ilvl="0">
      <w:start w:val="1"/>
      <w:numFmt w:val="bullet"/>
      <w:lvlRestart w:val="0"/>
      <w:pStyle w:val="Bullet3"/>
      <w:lvlText w:val=""/>
      <w:lvlJc w:val="left"/>
      <w:pPr>
        <w:tabs>
          <w:tab w:val="num" w:pos="2551"/>
        </w:tabs>
        <w:ind w:left="2551" w:hanging="567"/>
      </w:pPr>
      <w:rPr>
        <w:rFonts w:ascii="Symbol" w:hAnsi="Symbol" w:hint="default"/>
      </w:rPr>
    </w:lvl>
  </w:abstractNum>
  <w:abstractNum w:abstractNumId="7" w15:restartNumberingAfterBreak="0">
    <w:nsid w:val="2CE9221F"/>
    <w:multiLevelType w:val="singleLevel"/>
    <w:tmpl w:val="9B4AFB48"/>
    <w:name w:val="Tiret 3"/>
    <w:lvl w:ilvl="0">
      <w:start w:val="1"/>
      <w:numFmt w:val="bullet"/>
      <w:lvlRestart w:val="0"/>
      <w:pStyle w:val="Tiret3"/>
      <w:lvlText w:val="–"/>
      <w:lvlJc w:val="left"/>
      <w:pPr>
        <w:tabs>
          <w:tab w:val="num" w:pos="2551"/>
        </w:tabs>
        <w:ind w:left="2551" w:hanging="567"/>
      </w:pPr>
    </w:lvl>
  </w:abstractNum>
  <w:abstractNum w:abstractNumId="8"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9" w15:restartNumberingAfterBreak="0">
    <w:nsid w:val="42FC0772"/>
    <w:multiLevelType w:val="singleLevel"/>
    <w:tmpl w:val="4128FCF8"/>
    <w:name w:val="Tiret 4"/>
    <w:lvl w:ilvl="0">
      <w:start w:val="1"/>
      <w:numFmt w:val="bullet"/>
      <w:lvlRestart w:val="0"/>
      <w:pStyle w:val="Tiret4"/>
      <w:lvlText w:val="–"/>
      <w:lvlJc w:val="left"/>
      <w:pPr>
        <w:tabs>
          <w:tab w:val="num" w:pos="3118"/>
        </w:tabs>
        <w:ind w:left="3118" w:hanging="567"/>
      </w:pPr>
    </w:lvl>
  </w:abstractNum>
  <w:abstractNum w:abstractNumId="10" w15:restartNumberingAfterBreak="0">
    <w:nsid w:val="42FC077D"/>
    <w:multiLevelType w:val="singleLevel"/>
    <w:tmpl w:val="4128FD03"/>
    <w:name w:val="Tiret 5"/>
    <w:lvl w:ilvl="0">
      <w:start w:val="1"/>
      <w:numFmt w:val="bullet"/>
      <w:lvlRestart w:val="0"/>
      <w:pStyle w:val="Tiret5"/>
      <w:lvlText w:val="–"/>
      <w:lvlJc w:val="left"/>
      <w:pPr>
        <w:tabs>
          <w:tab w:val="num" w:pos="3685"/>
        </w:tabs>
        <w:ind w:left="3685" w:hanging="567"/>
      </w:pPr>
    </w:lvl>
  </w:abstractNum>
  <w:abstractNum w:abstractNumId="11" w15:restartNumberingAfterBreak="0">
    <w:nsid w:val="4552127F"/>
    <w:multiLevelType w:val="singleLevel"/>
    <w:tmpl w:val="057A5296"/>
    <w:name w:val="Bullet 0"/>
    <w:lvl w:ilvl="0">
      <w:start w:val="1"/>
      <w:numFmt w:val="bullet"/>
      <w:lvlRestart w:val="0"/>
      <w:pStyle w:val="Bullet0"/>
      <w:lvlText w:val=""/>
      <w:lvlJc w:val="left"/>
      <w:pPr>
        <w:tabs>
          <w:tab w:val="num" w:pos="850"/>
        </w:tabs>
        <w:ind w:left="850" w:hanging="850"/>
      </w:pPr>
      <w:rPr>
        <w:rFonts w:ascii="Symbol" w:hAnsi="Symbol" w:hint="default"/>
      </w:rPr>
    </w:lvl>
  </w:abstractNum>
  <w:abstractNum w:abstractNumId="12" w15:restartNumberingAfterBreak="0">
    <w:nsid w:val="556E1D63"/>
    <w:multiLevelType w:val="singleLevel"/>
    <w:tmpl w:val="493AAFF0"/>
    <w:name w:val="Bullet 4"/>
    <w:lvl w:ilvl="0">
      <w:start w:val="1"/>
      <w:numFmt w:val="bullet"/>
      <w:lvlRestart w:val="0"/>
      <w:pStyle w:val="Bullet4"/>
      <w:lvlText w:val=""/>
      <w:lvlJc w:val="left"/>
      <w:pPr>
        <w:tabs>
          <w:tab w:val="num" w:pos="3118"/>
        </w:tabs>
        <w:ind w:left="3118" w:hanging="567"/>
      </w:pPr>
      <w:rPr>
        <w:rFonts w:ascii="Symbol" w:hAnsi="Symbol" w:hint="default"/>
      </w:rPr>
    </w:lvl>
  </w:abstractNum>
  <w:abstractNum w:abstractNumId="13" w15:restartNumberingAfterBreak="0">
    <w:nsid w:val="5B395AAA"/>
    <w:multiLevelType w:val="singleLevel"/>
    <w:tmpl w:val="96D02E8A"/>
    <w:name w:val="Bullet 1"/>
    <w:lvl w:ilvl="0">
      <w:start w:val="1"/>
      <w:numFmt w:val="bullet"/>
      <w:lvlRestart w:val="0"/>
      <w:pStyle w:val="Bullet1"/>
      <w:lvlText w:val=""/>
      <w:lvlJc w:val="left"/>
      <w:pPr>
        <w:tabs>
          <w:tab w:val="num" w:pos="1417"/>
        </w:tabs>
        <w:ind w:left="1417" w:hanging="567"/>
      </w:pPr>
      <w:rPr>
        <w:rFonts w:ascii="Symbol" w:hAnsi="Symbol" w:hint="default"/>
      </w:rPr>
    </w:lvl>
  </w:abstractNum>
  <w:abstractNum w:abstractNumId="14" w15:restartNumberingAfterBreak="0">
    <w:nsid w:val="5C056EE5"/>
    <w:multiLevelType w:val="singleLevel"/>
    <w:tmpl w:val="3378D27C"/>
    <w:name w:val="Bullet 2"/>
    <w:lvl w:ilvl="0">
      <w:start w:val="1"/>
      <w:numFmt w:val="bullet"/>
      <w:lvlRestart w:val="0"/>
      <w:pStyle w:val="Bullet2"/>
      <w:lvlText w:val=""/>
      <w:lvlJc w:val="left"/>
      <w:pPr>
        <w:tabs>
          <w:tab w:val="num" w:pos="1984"/>
        </w:tabs>
        <w:ind w:left="1984" w:hanging="567"/>
      </w:pPr>
      <w:rPr>
        <w:rFonts w:ascii="Symbol" w:hAnsi="Symbol" w:hint="default"/>
      </w:rPr>
    </w:lvl>
  </w:abstractNum>
  <w:abstractNum w:abstractNumId="15"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16" w15:restartNumberingAfterBreak="0">
    <w:nsid w:val="64A12FA4"/>
    <w:multiLevelType w:val="multilevel"/>
    <w:tmpl w:val="428ECF3E"/>
    <w:name w:val="Heading"/>
    <w:lvl w:ilvl="0">
      <w:start w:val="1"/>
      <w:numFmt w:val="decimal"/>
      <w:lvlRestart w:val="0"/>
      <w:pStyle w:val="Heading1"/>
      <w:lvlText w:val="%1."/>
      <w:lvlJc w:val="left"/>
      <w:pPr>
        <w:tabs>
          <w:tab w:val="num" w:pos="850"/>
        </w:tabs>
        <w:ind w:left="850" w:hanging="850"/>
      </w:pPr>
    </w:lvl>
    <w:lvl w:ilvl="1">
      <w:start w:val="1"/>
      <w:numFmt w:val="decimal"/>
      <w:pStyle w:val="Heading2"/>
      <w:lvlText w:val="%1.%2."/>
      <w:lvlJc w:val="left"/>
      <w:pPr>
        <w:tabs>
          <w:tab w:val="num" w:pos="850"/>
        </w:tabs>
        <w:ind w:left="850" w:hanging="850"/>
      </w:pPr>
    </w:lvl>
    <w:lvl w:ilvl="2">
      <w:start w:val="1"/>
      <w:numFmt w:val="decimal"/>
      <w:pStyle w:val="Heading3"/>
      <w:lvlText w:val="%1.%2.%3."/>
      <w:lvlJc w:val="left"/>
      <w:pPr>
        <w:tabs>
          <w:tab w:val="num" w:pos="850"/>
        </w:tabs>
        <w:ind w:left="850" w:hanging="850"/>
      </w:pPr>
    </w:lvl>
    <w:lvl w:ilvl="3">
      <w:start w:val="1"/>
      <w:numFmt w:val="decimal"/>
      <w:pStyle w:val="Heading4"/>
      <w:lvlText w:val="%1.%2.%3.%4."/>
      <w:lvlJc w:val="left"/>
      <w:pPr>
        <w:tabs>
          <w:tab w:val="num" w:pos="850"/>
        </w:tabs>
        <w:ind w:left="850" w:hanging="850"/>
      </w:pPr>
    </w:lvl>
    <w:lvl w:ilvl="4">
      <w:start w:val="1"/>
      <w:numFmt w:val="decimal"/>
      <w:pStyle w:val="Heading5"/>
      <w:lvlText w:val="%1.%2.%3.%4.%5."/>
      <w:lvlJc w:val="left"/>
      <w:pPr>
        <w:tabs>
          <w:tab w:val="num" w:pos="1417"/>
        </w:tabs>
        <w:ind w:left="1417" w:hanging="1417"/>
      </w:pPr>
    </w:lvl>
    <w:lvl w:ilvl="5">
      <w:start w:val="1"/>
      <w:numFmt w:val="decimal"/>
      <w:pStyle w:val="Heading6"/>
      <w:lvlText w:val="%1.%2.%3.%4.%5.%6."/>
      <w:lvlJc w:val="left"/>
      <w:pPr>
        <w:tabs>
          <w:tab w:val="num" w:pos="1417"/>
        </w:tabs>
        <w:ind w:left="1417" w:hanging="1417"/>
      </w:pPr>
    </w:lvl>
    <w:lvl w:ilvl="6">
      <w:start w:val="1"/>
      <w:numFmt w:val="decimal"/>
      <w:pStyle w:val="Heading7"/>
      <w:lvlText w:val="%1.%2.%3.%4.%5.%6.%7."/>
      <w:lvlJc w:val="left"/>
      <w:pPr>
        <w:tabs>
          <w:tab w:val="num" w:pos="1417"/>
        </w:tabs>
        <w:ind w:left="1417" w:hanging="1417"/>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67B856F6"/>
    <w:multiLevelType w:val="singleLevel"/>
    <w:tmpl w:val="0AB28E9C"/>
    <w:name w:val="Tiret 2"/>
    <w:lvl w:ilvl="0">
      <w:start w:val="1"/>
      <w:numFmt w:val="bullet"/>
      <w:lvlRestart w:val="0"/>
      <w:pStyle w:val="Tiret2"/>
      <w:lvlText w:val="–"/>
      <w:lvlJc w:val="left"/>
      <w:pPr>
        <w:tabs>
          <w:tab w:val="num" w:pos="1984"/>
        </w:tabs>
        <w:ind w:left="1984" w:hanging="567"/>
      </w:pPr>
    </w:lvl>
  </w:abstractNum>
  <w:abstractNum w:abstractNumId="18" w15:restartNumberingAfterBreak="0">
    <w:nsid w:val="7CBE4812"/>
    <w:multiLevelType w:val="singleLevel"/>
    <w:tmpl w:val="23C821E4"/>
    <w:name w:val="Considérant"/>
    <w:lvl w:ilvl="0">
      <w:start w:val="1"/>
      <w:numFmt w:val="decimal"/>
      <w:lvlRestart w:val="0"/>
      <w:pStyle w:val="Considrant"/>
      <w:lvlText w:val="(%1)"/>
      <w:lvlJc w:val="left"/>
      <w:pPr>
        <w:tabs>
          <w:tab w:val="num" w:pos="709"/>
        </w:tabs>
        <w:ind w:left="709" w:hanging="709"/>
      </w:pPr>
    </w:lvl>
  </w:abstractNum>
  <w:num w:numId="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8"/>
    <w:lvlOverride w:ilvl="0">
      <w:startOverride w:val="1"/>
    </w:lvlOverride>
  </w:num>
  <w:num w:numId="3">
    <w:abstractNumId w:val="3"/>
  </w:num>
  <w:num w:numId="4">
    <w:abstractNumId w:val="2"/>
  </w:num>
  <w:num w:numId="5">
    <w:abstractNumId w:val="1"/>
  </w:num>
  <w:num w:numId="6">
    <w:abstractNumId w:val="0"/>
  </w:num>
  <w:num w:numId="7">
    <w:abstractNumId w:val="15"/>
  </w:num>
  <w:num w:numId="8">
    <w:abstractNumId w:val="8"/>
  </w:num>
  <w:num w:numId="9">
    <w:abstractNumId w:val="17"/>
  </w:num>
  <w:num w:numId="10">
    <w:abstractNumId w:val="7"/>
  </w:num>
  <w:num w:numId="11">
    <w:abstractNumId w:val="9"/>
  </w:num>
  <w:num w:numId="12">
    <w:abstractNumId w:val="10"/>
  </w:num>
  <w:num w:numId="13">
    <w:abstractNumId w:val="5"/>
  </w:num>
  <w:num w:numId="14">
    <w:abstractNumId w:val="16"/>
  </w:num>
  <w:num w:numId="15">
    <w:abstractNumId w:val="4"/>
  </w:num>
  <w:num w:numId="16">
    <w:abstractNumId w:val="11"/>
  </w:num>
  <w:num w:numId="17">
    <w:abstractNumId w:val="13"/>
  </w:num>
  <w:num w:numId="18">
    <w:abstractNumId w:val="14"/>
  </w:num>
  <w:num w:numId="19">
    <w:abstractNumId w:val="6"/>
  </w:num>
  <w:num w:numId="20">
    <w:abstractNumId w:val="12"/>
  </w:num>
  <w:num w:numId="21">
    <w:abstractNumId w:val="18"/>
  </w:num>
  <w:num w:numId="22">
    <w:abstractNumId w:val="15"/>
  </w:num>
  <w:num w:numId="23">
    <w:abstractNumId w:val="8"/>
  </w:num>
  <w:num w:numId="24">
    <w:abstractNumId w:val="17"/>
  </w:num>
  <w:num w:numId="25">
    <w:abstractNumId w:val="7"/>
  </w:num>
  <w:num w:numId="26">
    <w:abstractNumId w:val="9"/>
  </w:num>
  <w:num w:numId="27">
    <w:abstractNumId w:val="10"/>
  </w:num>
  <w:num w:numId="28">
    <w:abstractNumId w:val="5"/>
  </w:num>
  <w:num w:numId="29">
    <w:abstractNumId w:val="16"/>
  </w:num>
  <w:num w:numId="30">
    <w:abstractNumId w:val="4"/>
  </w:num>
  <w:num w:numId="31">
    <w:abstractNumId w:val="11"/>
  </w:num>
  <w:num w:numId="32">
    <w:abstractNumId w:val="13"/>
  </w:num>
  <w:num w:numId="33">
    <w:abstractNumId w:val="14"/>
  </w:num>
  <w:num w:numId="34">
    <w:abstractNumId w:val="6"/>
  </w:num>
  <w:num w:numId="35">
    <w:abstractNumId w:val="12"/>
  </w:num>
  <w:num w:numId="36">
    <w:abstractNumId w:val="18"/>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hideSpellingErrors/>
  <w:hideGrammaticalErrors/>
  <w:attachedTemplate r:id="rId1"/>
  <w:revisionView w:markup="0"/>
  <w:defaultTabStop w:val="720"/>
  <w:hyphenationZone w:val="425"/>
  <w:characterSpacingControl w:val="doNotCompress"/>
  <w:hdrShapeDefaults>
    <o:shapedefaults v:ext="edit" spidmax="16793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R_RefLast" w:val="0"/>
    <w:docVar w:name="DQCDateTime" w:val="2024-07-22 11:54:58"/>
    <w:docVar w:name="DQCResult_Distribution" w:val="0;0"/>
    <w:docVar w:name="DQCResult_DocumentContent" w:val="0;0"/>
    <w:docVar w:name="DQCResult_DocumentSize" w:val="0;0"/>
    <w:docVar w:name="DQCResult_InvalidFootnotes" w:val="0;0"/>
    <w:docVar w:name="DQCResult_ModifiedMarkers" w:val="0;0"/>
    <w:docVar w:name="DQCResult_ModifiedNumbering" w:val="0;0"/>
    <w:docVar w:name="DQCResult_Objects" w:val="0;0"/>
    <w:docVar w:name="DQCResult_StructureCheck" w:val="0;0"/>
    <w:docVar w:name="DQCStatus" w:val="Green"/>
    <w:docVar w:name="DQCVersion" w:val="3"/>
    <w:docVar w:name="DQCWithWarnings" w:val="0"/>
    <w:docVar w:name="LW_CORRIGENDUM" w:val="&lt;UNUSED&gt;"/>
    <w:docVar w:name="LW_COVERPAGE_EXISTS" w:val="True"/>
    <w:docVar w:name="LW_COVERPAGE_GUID" w:val="2C21C5F1-5A0B-43D4-BE6A-07E5685B9804"/>
    <w:docVar w:name="LW_COVERPAGE_TYPE" w:val="1"/>
    <w:docVar w:name="LW_CROSSREFERENCE" w:val="&lt;UNUSED&gt;"/>
    <w:docVar w:name="LW_DocType" w:val="COM"/>
    <w:docVar w:name="LW_EMISSION" w:val="30.7.2024"/>
    <w:docVar w:name="LW_EMISSION_ISODATE" w:val="2024-07-30"/>
    <w:docVar w:name="LW_EMISSION_LOCATION" w:val="BRX"/>
    <w:docVar w:name="LW_EMISSION_PREFIX" w:val="Bruxelles, le "/>
    <w:docVar w:name="LW_EMISSION_SUFFIX" w:val=" "/>
    <w:docVar w:name="LW_ID_DOCMODEL" w:val="SJ-043"/>
    <w:docVar w:name="LW_ID_DOCSIGNATURE" w:val="SJ-019"/>
    <w:docVar w:name="LW_ID_DOCSTRUCTURE" w:val="COM/PL/ORG"/>
    <w:docVar w:name="LW_ID_DOCTYPE" w:val="SJ-043"/>
    <w:docVar w:name="LW_ID_STATUT" w:val="SJ-019"/>
    <w:docVar w:name="LW_INSERT_EXP.MOTIFS.NEW" w:val="1"/>
    <w:docVar w:name="LW_INTERETEEE.CP" w:val="&lt;UNUSED&gt;"/>
    <w:docVar w:name="LW_LANGUE" w:val="FR"/>
    <w:docVar w:name="LW_LEVEL_OF_SENSITIVITY" w:val="Standard treatment"/>
    <w:docVar w:name="LW_NOM.INST" w:val="COMMISSION EUROPÉENNE"/>
    <w:docVar w:name="LW_NOM.INST_JOINTDOC" w:val="&lt;EMPTY&gt;"/>
    <w:docVar w:name="LW_PART_NBR" w:val="1"/>
    <w:docVar w:name="LW_PART_NBR_TOTAL" w:val="1"/>
    <w:docVar w:name="LW_REF.II.NEW.CP" w:val="NLE"/>
    <w:docVar w:name="LW_REF.II.NEW.CP_NUMBER" w:val="0189"/>
    <w:docVar w:name="LW_REF.II.NEW.CP_YEAR" w:val="2024"/>
    <w:docVar w:name="LW_REF.INST.NEW" w:val="COM"/>
    <w:docVar w:name="LW_REF.INST.NEW_ADOPTED" w:val="final"/>
    <w:docVar w:name="LW_REF.INST.NEW_TEXT" w:val="(2024) 328"/>
    <w:docVar w:name="LW_REF.INTERNE" w:val="&lt;UNUSED&gt;"/>
    <w:docVar w:name="LW_SENSITIVITY" w:val="&lt;?xml version=&quot;1.0&quot; encoding=&quot;utf-8&quot;?&gt;_x000d__x000a_&lt;SensitivityLevel xmlns:xsd=&quot;http://www.w3.org/2001/XMLSchema&quot; xmlns:xsi=&quot;http://www.w3.org/2001/XMLSchema-instance&quot; id=&quot;standard&quot;&gt;_x000d__x000a_  &lt;nicename EN=&quot;Standard treatment&quot; FR=&quot;Traitement standard&quot; /&gt;_x000d__x000a_  &lt;documentProperty&gt;Standard treatment&lt;/documentProperty&gt;_x000d__x000a_  &lt;markingConfig isAvailable=&quot;false&quot; isMandatory=&quot;false&quot; sensitiveMarkingMandatory=&quot;false&quot; specialMarkingMandatory=&quot;true&quot; isOptionDisplayInHeaderAvailable=&quot;true&quot; sensitiveMarkingListSee=&quot;SensitiveMarkings&quot; specialMarkingListSee=&quot;SpecialMarkings&quot; sensitiveFootnoteTextSee=&quot;sensitiveFootnote&quot; specialFootnoteTextSee=&quot;specialFootnote&quot; /&gt;_x000d__x000a_  &lt;chosenMainMarking xsi:nil=&quot;true&quot; /&gt;_x000d__x000a_  &lt;dateMarking xsi:nil=&quot;true&quot; /&gt;_x000d__x000a_  &lt;releasableToConfig isAvailable=&quot;false&quot; institutionListSee=&quot;DefaultInstitutions&quot; /&gt;_x000d__x000a_  &lt;chosenReleasableTo xsi:nil=&quot;true&quot; /&gt;_x000d__x000a_  &lt;detached xsi:nil=&quot;true&quot; /&gt;_x000d__x000a_  &lt;declassify xsi:nil=&quot;true&quot; /&gt;_x000d__x000a_  &lt;headerTexts xsi:nil=&quot;true&quot; /&gt;_x000d__x000a_  &lt;footerTexts xsi:nil=&quot;true&quot; /&gt;_x000d__x000a_  &lt;isRestricted&gt;false&lt;/isRestricted&gt;_x000d__x000a_&lt;/SensitivityLevel&gt;"/>
    <w:docVar w:name="LW_STATUT.CP" w:val="Proposition de"/>
    <w:docVar w:name="LW_SUPERTITRE" w:val="&lt;UNUSED&gt;"/>
    <w:docVar w:name="LW_TITRE.OBJ.CP" w:val="relative à la position à prendre, au nom de l\u8217?Union, au sein du comité mixte institué par l\u8217?accord d\u8217?association euro-méditerranéen intérimaire relatif aux échanges et à la coopération entre la Communauté européenne, d\u8217?une part, et l\u8217?Organisation de libération de la Palestine (OLP), agissant pour le compte de l\u8217?Autorité palestinienne de la Cisjordanie et de la bande de Gaza, d\u8217?autre part, concernant l\u8217?établissement des conditions générales applicables aux preuves de l\u8217?origine délivrées par voie électronique conformément à l\u8217?article 17, paragraphe 4, de l\u8217?appendice A du protocole nº 3 dudit accord _x000b__x000b__x000b_"/>
    <w:docVar w:name="LW_TYPE.DOC.CP" w:val="DÉCISION DU CONSEIL"/>
    <w:docVar w:name="LwApiVersions" w:val="LW4CoDe 1.24.5.0; LW 9.0, Build 20240221"/>
  </w:docVars>
  <w:rsids>
    <w:rsidRoot w:val="00ED3AF1"/>
    <w:rsid w:val="00010E5A"/>
    <w:rsid w:val="000202E5"/>
    <w:rsid w:val="0002037B"/>
    <w:rsid w:val="00041CCB"/>
    <w:rsid w:val="00046000"/>
    <w:rsid w:val="000A11C2"/>
    <w:rsid w:val="000B65CF"/>
    <w:rsid w:val="000C7D41"/>
    <w:rsid w:val="000D201A"/>
    <w:rsid w:val="001065F5"/>
    <w:rsid w:val="00121F4D"/>
    <w:rsid w:val="001238EF"/>
    <w:rsid w:val="0013690F"/>
    <w:rsid w:val="0014497F"/>
    <w:rsid w:val="00145A49"/>
    <w:rsid w:val="00164F64"/>
    <w:rsid w:val="00165A74"/>
    <w:rsid w:val="00167786"/>
    <w:rsid w:val="00197613"/>
    <w:rsid w:val="001A1EE0"/>
    <w:rsid w:val="001B0208"/>
    <w:rsid w:val="001D53BB"/>
    <w:rsid w:val="002318BB"/>
    <w:rsid w:val="00233DC7"/>
    <w:rsid w:val="00236EB3"/>
    <w:rsid w:val="00242D0F"/>
    <w:rsid w:val="00247779"/>
    <w:rsid w:val="00253A2E"/>
    <w:rsid w:val="0026432F"/>
    <w:rsid w:val="00285BEE"/>
    <w:rsid w:val="00292F75"/>
    <w:rsid w:val="0029533F"/>
    <w:rsid w:val="002A76D9"/>
    <w:rsid w:val="002B30AF"/>
    <w:rsid w:val="002B64B5"/>
    <w:rsid w:val="002C4760"/>
    <w:rsid w:val="002C56D5"/>
    <w:rsid w:val="00303731"/>
    <w:rsid w:val="00320F6C"/>
    <w:rsid w:val="00324A85"/>
    <w:rsid w:val="00324D28"/>
    <w:rsid w:val="0033344A"/>
    <w:rsid w:val="00343017"/>
    <w:rsid w:val="00343606"/>
    <w:rsid w:val="003539C0"/>
    <w:rsid w:val="0039664E"/>
    <w:rsid w:val="003D4270"/>
    <w:rsid w:val="003F29E5"/>
    <w:rsid w:val="003F2FF4"/>
    <w:rsid w:val="004018E6"/>
    <w:rsid w:val="0042648E"/>
    <w:rsid w:val="00434C57"/>
    <w:rsid w:val="00441114"/>
    <w:rsid w:val="0045524E"/>
    <w:rsid w:val="004667FA"/>
    <w:rsid w:val="00472B50"/>
    <w:rsid w:val="00491451"/>
    <w:rsid w:val="004936D2"/>
    <w:rsid w:val="004C5628"/>
    <w:rsid w:val="004C65B7"/>
    <w:rsid w:val="004E33F7"/>
    <w:rsid w:val="004E5EEA"/>
    <w:rsid w:val="004F7AD4"/>
    <w:rsid w:val="005178E8"/>
    <w:rsid w:val="00530054"/>
    <w:rsid w:val="00560AC9"/>
    <w:rsid w:val="00573B3F"/>
    <w:rsid w:val="0058414E"/>
    <w:rsid w:val="005B1EB6"/>
    <w:rsid w:val="005E4261"/>
    <w:rsid w:val="006219EB"/>
    <w:rsid w:val="006404D8"/>
    <w:rsid w:val="00650F8D"/>
    <w:rsid w:val="00664DB2"/>
    <w:rsid w:val="00690BA9"/>
    <w:rsid w:val="006B4B3B"/>
    <w:rsid w:val="006C40EB"/>
    <w:rsid w:val="006D09BC"/>
    <w:rsid w:val="00703C85"/>
    <w:rsid w:val="00742C7A"/>
    <w:rsid w:val="00773331"/>
    <w:rsid w:val="00776DF9"/>
    <w:rsid w:val="00781516"/>
    <w:rsid w:val="007932EF"/>
    <w:rsid w:val="007C0E23"/>
    <w:rsid w:val="007C76E6"/>
    <w:rsid w:val="007D2A28"/>
    <w:rsid w:val="007E05B0"/>
    <w:rsid w:val="007F0668"/>
    <w:rsid w:val="008048F6"/>
    <w:rsid w:val="008214EA"/>
    <w:rsid w:val="00854794"/>
    <w:rsid w:val="0086039E"/>
    <w:rsid w:val="00861F50"/>
    <w:rsid w:val="00874D22"/>
    <w:rsid w:val="00877D3D"/>
    <w:rsid w:val="00882841"/>
    <w:rsid w:val="00883AD7"/>
    <w:rsid w:val="0088570F"/>
    <w:rsid w:val="008928A1"/>
    <w:rsid w:val="008962FA"/>
    <w:rsid w:val="008A2914"/>
    <w:rsid w:val="008C4944"/>
    <w:rsid w:val="008C562A"/>
    <w:rsid w:val="008C624E"/>
    <w:rsid w:val="008E4D8E"/>
    <w:rsid w:val="008E6552"/>
    <w:rsid w:val="008E77E4"/>
    <w:rsid w:val="008F3EA9"/>
    <w:rsid w:val="008F56D3"/>
    <w:rsid w:val="009072B0"/>
    <w:rsid w:val="00927BDD"/>
    <w:rsid w:val="00940EC6"/>
    <w:rsid w:val="00950476"/>
    <w:rsid w:val="00980D76"/>
    <w:rsid w:val="00982FC8"/>
    <w:rsid w:val="009A6777"/>
    <w:rsid w:val="009B5479"/>
    <w:rsid w:val="009C0EFA"/>
    <w:rsid w:val="009D2519"/>
    <w:rsid w:val="009E1138"/>
    <w:rsid w:val="009E58D6"/>
    <w:rsid w:val="00A02771"/>
    <w:rsid w:val="00A028E9"/>
    <w:rsid w:val="00A33971"/>
    <w:rsid w:val="00A4448D"/>
    <w:rsid w:val="00A5591D"/>
    <w:rsid w:val="00A82F1A"/>
    <w:rsid w:val="00A948BF"/>
    <w:rsid w:val="00AA1333"/>
    <w:rsid w:val="00AC27F1"/>
    <w:rsid w:val="00AC73D8"/>
    <w:rsid w:val="00AD7C60"/>
    <w:rsid w:val="00AE59CD"/>
    <w:rsid w:val="00AF7328"/>
    <w:rsid w:val="00B417C2"/>
    <w:rsid w:val="00B5566E"/>
    <w:rsid w:val="00B61B71"/>
    <w:rsid w:val="00B63574"/>
    <w:rsid w:val="00BB4F7C"/>
    <w:rsid w:val="00BC0624"/>
    <w:rsid w:val="00BC2E97"/>
    <w:rsid w:val="00BE216A"/>
    <w:rsid w:val="00BE5F5B"/>
    <w:rsid w:val="00BE7929"/>
    <w:rsid w:val="00BF1BC3"/>
    <w:rsid w:val="00C001F5"/>
    <w:rsid w:val="00C10683"/>
    <w:rsid w:val="00C12301"/>
    <w:rsid w:val="00C21F40"/>
    <w:rsid w:val="00C45049"/>
    <w:rsid w:val="00C91EBA"/>
    <w:rsid w:val="00CD511C"/>
    <w:rsid w:val="00CF0771"/>
    <w:rsid w:val="00D022A3"/>
    <w:rsid w:val="00D110D1"/>
    <w:rsid w:val="00D15C26"/>
    <w:rsid w:val="00D20381"/>
    <w:rsid w:val="00D269DC"/>
    <w:rsid w:val="00D26DA7"/>
    <w:rsid w:val="00D35024"/>
    <w:rsid w:val="00DB0C94"/>
    <w:rsid w:val="00DC27CC"/>
    <w:rsid w:val="00DC7C29"/>
    <w:rsid w:val="00DD1ADD"/>
    <w:rsid w:val="00DE1D07"/>
    <w:rsid w:val="00DE5C49"/>
    <w:rsid w:val="00DF22A3"/>
    <w:rsid w:val="00DF366D"/>
    <w:rsid w:val="00E23967"/>
    <w:rsid w:val="00E2503D"/>
    <w:rsid w:val="00E43DE4"/>
    <w:rsid w:val="00E50622"/>
    <w:rsid w:val="00E57739"/>
    <w:rsid w:val="00E74892"/>
    <w:rsid w:val="00E74E35"/>
    <w:rsid w:val="00E75528"/>
    <w:rsid w:val="00E76C7A"/>
    <w:rsid w:val="00E862AC"/>
    <w:rsid w:val="00E927EC"/>
    <w:rsid w:val="00EC5128"/>
    <w:rsid w:val="00EC5F7F"/>
    <w:rsid w:val="00ED3AF1"/>
    <w:rsid w:val="00EE0734"/>
    <w:rsid w:val="00EF6403"/>
    <w:rsid w:val="00F4162D"/>
    <w:rsid w:val="00F45478"/>
    <w:rsid w:val="00F52FFB"/>
    <w:rsid w:val="00F57B26"/>
    <w:rsid w:val="00F855C6"/>
    <w:rsid w:val="00F948EF"/>
    <w:rsid w:val="00FB03B2"/>
    <w:rsid w:val="00FB18A0"/>
    <w:rsid w:val="00FC38F8"/>
    <w:rsid w:val="00FC5F19"/>
    <w:rsid w:val="00FF3F3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67937"/>
    <o:shapelayout v:ext="edit">
      <o:idmap v:ext="edit" data="1"/>
    </o:shapelayout>
  </w:shapeDefaults>
  <w:decimalSymbol w:val=","/>
  <w:listSeparator w:val=";"/>
  <w15:docId w15:val="{C8793766-BD7E-4B47-A59D-44F76207A3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before="120" w:after="120" w:line="240" w:lineRule="auto"/>
      <w:jc w:val="both"/>
    </w:pPr>
    <w:rPr>
      <w:rFonts w:ascii="Times New Roman" w:hAnsi="Times New Roman" w:cs="Times New Roman"/>
      <w:sz w:val="24"/>
      <w:lang w:val="fr-FR"/>
    </w:rPr>
  </w:style>
  <w:style w:type="paragraph" w:styleId="Heading1">
    <w:name w:val="heading 1"/>
    <w:basedOn w:val="Normal"/>
    <w:next w:val="Text1"/>
    <w:link w:val="Heading1Char"/>
    <w:uiPriority w:val="9"/>
    <w:qFormat/>
    <w:pPr>
      <w:keepNext/>
      <w:numPr>
        <w:numId w:val="29"/>
      </w:numPr>
      <w:spacing w:before="360"/>
      <w:outlineLvl w:val="0"/>
    </w:pPr>
    <w:rPr>
      <w:rFonts w:eastAsiaTheme="majorEastAsia"/>
      <w:b/>
      <w:bCs/>
      <w:smallCaps/>
      <w:szCs w:val="28"/>
    </w:rPr>
  </w:style>
  <w:style w:type="paragraph" w:styleId="Heading2">
    <w:name w:val="heading 2"/>
    <w:basedOn w:val="Normal"/>
    <w:next w:val="Text1"/>
    <w:link w:val="Heading2Char"/>
    <w:uiPriority w:val="9"/>
    <w:semiHidden/>
    <w:unhideWhenUsed/>
    <w:qFormat/>
    <w:pPr>
      <w:keepNext/>
      <w:numPr>
        <w:ilvl w:val="1"/>
        <w:numId w:val="29"/>
      </w:numPr>
      <w:outlineLvl w:val="1"/>
    </w:pPr>
    <w:rPr>
      <w:rFonts w:eastAsiaTheme="majorEastAsia"/>
      <w:b/>
      <w:bCs/>
      <w:szCs w:val="26"/>
    </w:rPr>
  </w:style>
  <w:style w:type="paragraph" w:styleId="Heading3">
    <w:name w:val="heading 3"/>
    <w:basedOn w:val="Normal"/>
    <w:next w:val="Text1"/>
    <w:link w:val="Heading3Char"/>
    <w:uiPriority w:val="9"/>
    <w:semiHidden/>
    <w:unhideWhenUsed/>
    <w:qFormat/>
    <w:pPr>
      <w:keepNext/>
      <w:numPr>
        <w:ilvl w:val="2"/>
        <w:numId w:val="29"/>
      </w:numPr>
      <w:outlineLvl w:val="2"/>
    </w:pPr>
    <w:rPr>
      <w:rFonts w:eastAsiaTheme="majorEastAsia"/>
      <w:bCs/>
      <w:i/>
    </w:rPr>
  </w:style>
  <w:style w:type="paragraph" w:styleId="Heading4">
    <w:name w:val="heading 4"/>
    <w:basedOn w:val="Normal"/>
    <w:next w:val="Text1"/>
    <w:link w:val="Heading4Char"/>
    <w:uiPriority w:val="9"/>
    <w:semiHidden/>
    <w:unhideWhenUsed/>
    <w:qFormat/>
    <w:pPr>
      <w:keepNext/>
      <w:numPr>
        <w:ilvl w:val="3"/>
        <w:numId w:val="29"/>
      </w:numPr>
      <w:outlineLvl w:val="3"/>
    </w:pPr>
    <w:rPr>
      <w:rFonts w:eastAsiaTheme="majorEastAsia"/>
      <w:bCs/>
      <w:iCs/>
    </w:rPr>
  </w:style>
  <w:style w:type="paragraph" w:styleId="Heading5">
    <w:name w:val="heading 5"/>
    <w:basedOn w:val="Normal"/>
    <w:next w:val="Text2"/>
    <w:link w:val="Heading5Char"/>
    <w:uiPriority w:val="9"/>
    <w:semiHidden/>
    <w:unhideWhenUsed/>
    <w:qFormat/>
    <w:pPr>
      <w:keepNext/>
      <w:numPr>
        <w:ilvl w:val="4"/>
        <w:numId w:val="29"/>
      </w:numPr>
      <w:outlineLvl w:val="4"/>
    </w:pPr>
    <w:rPr>
      <w:rFonts w:eastAsiaTheme="majorEastAsia"/>
    </w:rPr>
  </w:style>
  <w:style w:type="paragraph" w:styleId="Heading6">
    <w:name w:val="heading 6"/>
    <w:basedOn w:val="Normal"/>
    <w:next w:val="Text2"/>
    <w:link w:val="Heading6Char"/>
    <w:uiPriority w:val="9"/>
    <w:semiHidden/>
    <w:unhideWhenUsed/>
    <w:qFormat/>
    <w:pPr>
      <w:keepNext/>
      <w:numPr>
        <w:ilvl w:val="5"/>
        <w:numId w:val="29"/>
      </w:numPr>
      <w:outlineLvl w:val="5"/>
    </w:pPr>
    <w:rPr>
      <w:rFonts w:eastAsiaTheme="majorEastAsia"/>
      <w:iCs/>
    </w:rPr>
  </w:style>
  <w:style w:type="paragraph" w:styleId="Heading7">
    <w:name w:val="heading 7"/>
    <w:basedOn w:val="Normal"/>
    <w:next w:val="Text2"/>
    <w:link w:val="Heading7Char"/>
    <w:uiPriority w:val="9"/>
    <w:semiHidden/>
    <w:unhideWhenUsed/>
    <w:qFormat/>
    <w:pPr>
      <w:keepNext/>
      <w:numPr>
        <w:ilvl w:val="6"/>
        <w:numId w:val="29"/>
      </w:numPr>
      <w:outlineLvl w:val="6"/>
    </w:pPr>
    <w:rPr>
      <w:rFonts w:eastAsiaTheme="majorEastAsia"/>
      <w:i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semiHidden/>
    <w:rsid w:val="0014497F"/>
    <w:rPr>
      <w:color w:val="0000FF" w:themeColor="hyperlink"/>
      <w:u w:val="single"/>
    </w:rPr>
  </w:style>
  <w:style w:type="character" w:styleId="CommentReference">
    <w:name w:val="annotation reference"/>
    <w:basedOn w:val="DefaultParagraphFont"/>
    <w:uiPriority w:val="99"/>
    <w:semiHidden/>
    <w:unhideWhenUsed/>
    <w:rsid w:val="005E4261"/>
    <w:rPr>
      <w:sz w:val="16"/>
      <w:szCs w:val="16"/>
    </w:rPr>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basedOn w:val="DefaultParagraphFont"/>
    <w:link w:val="CommentText"/>
    <w:uiPriority w:val="99"/>
    <w:semiHidden/>
    <w:rPr>
      <w:rFonts w:ascii="Times New Roman" w:hAnsi="Times New Roman" w:cs="Times New Roman"/>
      <w:sz w:val="20"/>
      <w:szCs w:val="20"/>
      <w:lang w:val="fr-FR"/>
    </w:rPr>
  </w:style>
  <w:style w:type="paragraph" w:styleId="ListBullet">
    <w:name w:val="List Bullet"/>
    <w:basedOn w:val="Normal"/>
    <w:uiPriority w:val="99"/>
    <w:semiHidden/>
    <w:unhideWhenUsed/>
    <w:rsid w:val="00F948EF"/>
    <w:pPr>
      <w:numPr>
        <w:numId w:val="3"/>
      </w:numPr>
      <w:contextualSpacing/>
    </w:pPr>
  </w:style>
  <w:style w:type="paragraph" w:styleId="ListBullet2">
    <w:name w:val="List Bullet 2"/>
    <w:basedOn w:val="Normal"/>
    <w:uiPriority w:val="99"/>
    <w:semiHidden/>
    <w:unhideWhenUsed/>
    <w:rsid w:val="00F948EF"/>
    <w:pPr>
      <w:numPr>
        <w:numId w:val="4"/>
      </w:numPr>
      <w:contextualSpacing/>
    </w:pPr>
  </w:style>
  <w:style w:type="paragraph" w:styleId="ListBullet3">
    <w:name w:val="List Bullet 3"/>
    <w:basedOn w:val="Normal"/>
    <w:uiPriority w:val="99"/>
    <w:semiHidden/>
    <w:unhideWhenUsed/>
    <w:rsid w:val="00F948EF"/>
    <w:pPr>
      <w:numPr>
        <w:numId w:val="5"/>
      </w:numPr>
      <w:contextualSpacing/>
    </w:pPr>
  </w:style>
  <w:style w:type="paragraph" w:styleId="ListBullet4">
    <w:name w:val="List Bullet 4"/>
    <w:basedOn w:val="Normal"/>
    <w:uiPriority w:val="99"/>
    <w:semiHidden/>
    <w:unhideWhenUsed/>
    <w:rsid w:val="00F948EF"/>
    <w:pPr>
      <w:numPr>
        <w:numId w:val="6"/>
      </w:numPr>
      <w:contextualSpacing/>
    </w:pPr>
  </w:style>
  <w:style w:type="paragraph" w:styleId="ListParagraph">
    <w:name w:val="List Paragraph"/>
    <w:basedOn w:val="Normal"/>
    <w:qFormat/>
    <w:rsid w:val="009A6777"/>
    <w:pPr>
      <w:spacing w:before="0" w:after="240"/>
      <w:ind w:left="720"/>
      <w:contextualSpacing/>
    </w:pPr>
    <w:rPr>
      <w:rFonts w:eastAsia="Times New Roman"/>
      <w:szCs w:val="20"/>
      <w:lang w:eastAsia="en-IE"/>
    </w:rPr>
  </w:style>
  <w:style w:type="paragraph" w:styleId="CommentSubject">
    <w:name w:val="annotation subject"/>
    <w:basedOn w:val="CommentText"/>
    <w:next w:val="CommentText"/>
    <w:link w:val="CommentSubjectChar"/>
    <w:uiPriority w:val="99"/>
    <w:semiHidden/>
    <w:unhideWhenUsed/>
    <w:rsid w:val="00DC27CC"/>
    <w:rPr>
      <w:b/>
      <w:bCs/>
    </w:rPr>
  </w:style>
  <w:style w:type="character" w:customStyle="1" w:styleId="CommentSubjectChar">
    <w:name w:val="Comment Subject Char"/>
    <w:basedOn w:val="CommentTextChar"/>
    <w:link w:val="CommentSubject"/>
    <w:uiPriority w:val="99"/>
    <w:semiHidden/>
    <w:rsid w:val="00DC27CC"/>
    <w:rPr>
      <w:rFonts w:ascii="Times New Roman" w:hAnsi="Times New Roman" w:cs="Times New Roman"/>
      <w:b/>
      <w:bCs/>
      <w:sz w:val="20"/>
      <w:szCs w:val="20"/>
      <w:lang w:val="fr-FR"/>
    </w:rPr>
  </w:style>
  <w:style w:type="character" w:customStyle="1" w:styleId="UnresolvedMention">
    <w:name w:val="Unresolved Mention"/>
    <w:basedOn w:val="DefaultParagraphFont"/>
    <w:uiPriority w:val="99"/>
    <w:semiHidden/>
    <w:unhideWhenUsed/>
    <w:rsid w:val="00DC27CC"/>
    <w:rPr>
      <w:color w:val="605E5C"/>
      <w:shd w:val="clear" w:color="auto" w:fill="E1DFDD"/>
    </w:rPr>
  </w:style>
  <w:style w:type="paragraph" w:styleId="EndnoteText">
    <w:name w:val="endnote text"/>
    <w:basedOn w:val="Normal"/>
    <w:link w:val="EndnoteTextChar"/>
    <w:uiPriority w:val="99"/>
    <w:semiHidden/>
    <w:unhideWhenUsed/>
    <w:rsid w:val="0039664E"/>
    <w:pPr>
      <w:spacing w:before="0" w:after="0"/>
    </w:pPr>
    <w:rPr>
      <w:sz w:val="20"/>
      <w:szCs w:val="20"/>
    </w:rPr>
  </w:style>
  <w:style w:type="character" w:customStyle="1" w:styleId="EndnoteTextChar">
    <w:name w:val="Endnote Text Char"/>
    <w:basedOn w:val="DefaultParagraphFont"/>
    <w:link w:val="EndnoteText"/>
    <w:uiPriority w:val="99"/>
    <w:semiHidden/>
    <w:rsid w:val="0039664E"/>
    <w:rPr>
      <w:rFonts w:ascii="Times New Roman" w:hAnsi="Times New Roman" w:cs="Times New Roman"/>
      <w:sz w:val="20"/>
      <w:szCs w:val="20"/>
      <w:lang w:val="fr-FR"/>
    </w:rPr>
  </w:style>
  <w:style w:type="character" w:styleId="EndnoteReference">
    <w:name w:val="endnote reference"/>
    <w:basedOn w:val="DefaultParagraphFont"/>
    <w:uiPriority w:val="99"/>
    <w:semiHidden/>
    <w:unhideWhenUsed/>
    <w:rsid w:val="0039664E"/>
    <w:rPr>
      <w:vertAlign w:val="superscript"/>
    </w:rPr>
  </w:style>
  <w:style w:type="character" w:styleId="FollowedHyperlink">
    <w:name w:val="FollowedHyperlink"/>
    <w:basedOn w:val="DefaultParagraphFont"/>
    <w:uiPriority w:val="99"/>
    <w:semiHidden/>
    <w:unhideWhenUsed/>
    <w:rsid w:val="00236EB3"/>
    <w:rPr>
      <w:color w:val="800080" w:themeColor="followedHyperlink"/>
      <w:u w:val="single"/>
    </w:rPr>
  </w:style>
  <w:style w:type="paragraph" w:styleId="Revision">
    <w:name w:val="Revision"/>
    <w:hidden/>
    <w:uiPriority w:val="99"/>
    <w:semiHidden/>
    <w:rsid w:val="00950476"/>
    <w:pPr>
      <w:spacing w:after="0" w:line="240" w:lineRule="auto"/>
    </w:pPr>
    <w:rPr>
      <w:rFonts w:ascii="Times New Roman" w:hAnsi="Times New Roman" w:cs="Times New Roman"/>
      <w:sz w:val="24"/>
    </w:rPr>
  </w:style>
  <w:style w:type="character" w:customStyle="1" w:styleId="normaltextrun">
    <w:name w:val="normaltextrun"/>
    <w:basedOn w:val="DefaultParagraphFont"/>
    <w:rsid w:val="00950476"/>
  </w:style>
  <w:style w:type="character" w:customStyle="1" w:styleId="HeaderChar">
    <w:name w:val="Header Char"/>
    <w:basedOn w:val="DefaultParagraphFont"/>
    <w:link w:val="Header"/>
    <w:uiPriority w:val="99"/>
    <w:rsid w:val="000202E5"/>
    <w:rPr>
      <w:rFonts w:ascii="Times New Roman" w:hAnsi="Times New Roman" w:cs="Times New Roman"/>
      <w:sz w:val="24"/>
      <w:lang w:val="fr-FR"/>
    </w:rPr>
  </w:style>
  <w:style w:type="character" w:customStyle="1" w:styleId="FooterChar">
    <w:name w:val="Footer Char"/>
    <w:basedOn w:val="DefaultParagraphFont"/>
    <w:link w:val="Footer"/>
    <w:uiPriority w:val="99"/>
    <w:rsid w:val="000202E5"/>
    <w:rPr>
      <w:rFonts w:ascii="Times New Roman" w:hAnsi="Times New Roman" w:cs="Times New Roman"/>
      <w:sz w:val="24"/>
      <w:lang w:val="fr-FR"/>
    </w:rPr>
  </w:style>
  <w:style w:type="paragraph" w:styleId="FootnoteText">
    <w:name w:val="footnote text"/>
    <w:basedOn w:val="Normal"/>
    <w:link w:val="FootnoteTextChar"/>
    <w:uiPriority w:val="99"/>
    <w:semiHidden/>
    <w:unhideWhenUsed/>
    <w:pPr>
      <w:spacing w:before="0" w:after="0"/>
      <w:ind w:left="720" w:hanging="720"/>
    </w:pPr>
    <w:rPr>
      <w:sz w:val="20"/>
      <w:szCs w:val="20"/>
    </w:rPr>
  </w:style>
  <w:style w:type="character" w:customStyle="1" w:styleId="FootnoteTextChar">
    <w:name w:val="Footnote Text Char"/>
    <w:basedOn w:val="DefaultParagraphFont"/>
    <w:link w:val="FootnoteText"/>
    <w:uiPriority w:val="99"/>
    <w:semiHidden/>
    <w:rPr>
      <w:rFonts w:ascii="Times New Roman" w:hAnsi="Times New Roman" w:cs="Times New Roman"/>
      <w:sz w:val="20"/>
      <w:szCs w:val="20"/>
      <w:shd w:val="clear" w:color="auto" w:fill="auto"/>
      <w:lang w:val="en-GB"/>
    </w:rPr>
  </w:style>
  <w:style w:type="character" w:customStyle="1" w:styleId="Heading1Char">
    <w:name w:val="Heading 1 Char"/>
    <w:basedOn w:val="DefaultParagraphFont"/>
    <w:link w:val="Heading1"/>
    <w:uiPriority w:val="9"/>
    <w:rPr>
      <w:rFonts w:ascii="Times New Roman" w:eastAsiaTheme="majorEastAsia" w:hAnsi="Times New Roman" w:cs="Times New Roman"/>
      <w:b/>
      <w:bCs/>
      <w:smallCaps/>
      <w:sz w:val="24"/>
      <w:szCs w:val="28"/>
      <w:shd w:val="clear" w:color="auto" w:fill="auto"/>
      <w:lang w:val="en-GB"/>
    </w:rPr>
  </w:style>
  <w:style w:type="character" w:customStyle="1" w:styleId="Heading2Char">
    <w:name w:val="Heading 2 Char"/>
    <w:basedOn w:val="DefaultParagraphFont"/>
    <w:link w:val="Heading2"/>
    <w:uiPriority w:val="9"/>
    <w:semiHidden/>
    <w:rPr>
      <w:rFonts w:ascii="Times New Roman" w:eastAsiaTheme="majorEastAsia" w:hAnsi="Times New Roman" w:cs="Times New Roman"/>
      <w:b/>
      <w:bCs/>
      <w:sz w:val="24"/>
      <w:szCs w:val="26"/>
      <w:shd w:val="clear" w:color="auto" w:fill="auto"/>
      <w:lang w:val="en-GB"/>
    </w:rPr>
  </w:style>
  <w:style w:type="character" w:customStyle="1" w:styleId="Heading3Char">
    <w:name w:val="Heading 3 Char"/>
    <w:basedOn w:val="DefaultParagraphFont"/>
    <w:link w:val="Heading3"/>
    <w:uiPriority w:val="9"/>
    <w:semiHidden/>
    <w:rPr>
      <w:rFonts w:ascii="Times New Roman" w:eastAsiaTheme="majorEastAsia" w:hAnsi="Times New Roman" w:cs="Times New Roman"/>
      <w:bCs/>
      <w:i/>
      <w:sz w:val="24"/>
      <w:shd w:val="clear" w:color="auto" w:fill="auto"/>
      <w:lang w:val="en-GB"/>
    </w:rPr>
  </w:style>
  <w:style w:type="character" w:customStyle="1" w:styleId="Heading4Char">
    <w:name w:val="Heading 4 Char"/>
    <w:basedOn w:val="DefaultParagraphFont"/>
    <w:link w:val="Heading4"/>
    <w:uiPriority w:val="9"/>
    <w:semiHidden/>
    <w:rPr>
      <w:rFonts w:ascii="Times New Roman" w:eastAsiaTheme="majorEastAsia" w:hAnsi="Times New Roman" w:cs="Times New Roman"/>
      <w:bCs/>
      <w:iCs/>
      <w:sz w:val="24"/>
      <w:shd w:val="clear" w:color="auto" w:fill="auto"/>
      <w:lang w:val="en-GB"/>
    </w:rPr>
  </w:style>
  <w:style w:type="character" w:customStyle="1" w:styleId="Heading5Char">
    <w:name w:val="Heading 5 Char"/>
    <w:basedOn w:val="DefaultParagraphFont"/>
    <w:link w:val="Heading5"/>
    <w:uiPriority w:val="9"/>
    <w:semiHidden/>
    <w:rPr>
      <w:rFonts w:ascii="Times New Roman" w:eastAsiaTheme="majorEastAsia" w:hAnsi="Times New Roman" w:cs="Times New Roman"/>
      <w:sz w:val="24"/>
      <w:shd w:val="clear" w:color="auto" w:fill="auto"/>
      <w:lang w:val="en-GB"/>
    </w:rPr>
  </w:style>
  <w:style w:type="character" w:customStyle="1" w:styleId="Heading6Char">
    <w:name w:val="Heading 6 Char"/>
    <w:basedOn w:val="DefaultParagraphFont"/>
    <w:link w:val="Heading6"/>
    <w:uiPriority w:val="9"/>
    <w:semiHidden/>
    <w:rPr>
      <w:rFonts w:ascii="Times New Roman" w:eastAsiaTheme="majorEastAsia" w:hAnsi="Times New Roman" w:cs="Times New Roman"/>
      <w:iCs/>
      <w:sz w:val="24"/>
      <w:shd w:val="clear" w:color="auto" w:fill="auto"/>
      <w:lang w:val="en-GB"/>
    </w:rPr>
  </w:style>
  <w:style w:type="character" w:customStyle="1" w:styleId="Heading7Char">
    <w:name w:val="Heading 7 Char"/>
    <w:basedOn w:val="DefaultParagraphFont"/>
    <w:link w:val="Heading7"/>
    <w:uiPriority w:val="9"/>
    <w:semiHidden/>
    <w:rPr>
      <w:rFonts w:ascii="Times New Roman" w:eastAsiaTheme="majorEastAsia" w:hAnsi="Times New Roman" w:cs="Times New Roman"/>
      <w:iCs/>
      <w:sz w:val="24"/>
      <w:shd w:val="clear" w:color="auto" w:fill="auto"/>
      <w:lang w:val="en-GB"/>
    </w:rPr>
  </w:style>
  <w:style w:type="paragraph" w:styleId="TOCHeading">
    <w:name w:val="TOC Heading"/>
    <w:basedOn w:val="Normal"/>
    <w:next w:val="Normal"/>
    <w:uiPriority w:val="39"/>
    <w:semiHidden/>
    <w:unhideWhenUsed/>
    <w:qFormat/>
    <w:pPr>
      <w:spacing w:after="240"/>
      <w:jc w:val="center"/>
    </w:pPr>
    <w:rPr>
      <w:b/>
      <w:sz w:val="28"/>
    </w:rPr>
  </w:style>
  <w:style w:type="paragraph" w:styleId="TOC1">
    <w:name w:val="toc 1"/>
    <w:basedOn w:val="Normal"/>
    <w:next w:val="Normal"/>
    <w:uiPriority w:val="39"/>
    <w:semiHidden/>
    <w:unhideWhenUsed/>
    <w:pPr>
      <w:tabs>
        <w:tab w:val="right" w:leader="dot" w:pos="9071"/>
      </w:tabs>
      <w:spacing w:before="60"/>
      <w:ind w:left="850" w:hanging="850"/>
      <w:jc w:val="left"/>
    </w:pPr>
  </w:style>
  <w:style w:type="paragraph" w:styleId="TOC2">
    <w:name w:val="toc 2"/>
    <w:basedOn w:val="Normal"/>
    <w:next w:val="Normal"/>
    <w:uiPriority w:val="39"/>
    <w:semiHidden/>
    <w:unhideWhenUsed/>
    <w:pPr>
      <w:tabs>
        <w:tab w:val="right" w:leader="dot" w:pos="9071"/>
      </w:tabs>
      <w:spacing w:before="60"/>
      <w:ind w:left="850" w:hanging="850"/>
      <w:jc w:val="left"/>
    </w:pPr>
  </w:style>
  <w:style w:type="paragraph" w:styleId="TOC3">
    <w:name w:val="toc 3"/>
    <w:basedOn w:val="Normal"/>
    <w:next w:val="Normal"/>
    <w:uiPriority w:val="39"/>
    <w:semiHidden/>
    <w:unhideWhenUsed/>
    <w:pPr>
      <w:tabs>
        <w:tab w:val="right" w:leader="dot" w:pos="9071"/>
      </w:tabs>
      <w:spacing w:before="60"/>
      <w:ind w:left="850" w:hanging="850"/>
      <w:jc w:val="left"/>
    </w:pPr>
  </w:style>
  <w:style w:type="paragraph" w:styleId="TOC4">
    <w:name w:val="toc 4"/>
    <w:basedOn w:val="Normal"/>
    <w:next w:val="Normal"/>
    <w:uiPriority w:val="39"/>
    <w:semiHidden/>
    <w:unhideWhenUsed/>
    <w:pPr>
      <w:tabs>
        <w:tab w:val="right" w:leader="dot" w:pos="9071"/>
      </w:tabs>
      <w:spacing w:before="60"/>
      <w:ind w:left="850" w:hanging="850"/>
      <w:jc w:val="left"/>
    </w:pPr>
  </w:style>
  <w:style w:type="paragraph" w:styleId="TOC5">
    <w:name w:val="toc 5"/>
    <w:basedOn w:val="Normal"/>
    <w:next w:val="Normal"/>
    <w:uiPriority w:val="39"/>
    <w:semiHidden/>
    <w:unhideWhenUsed/>
    <w:pPr>
      <w:tabs>
        <w:tab w:val="right" w:leader="dot" w:pos="9071"/>
      </w:tabs>
      <w:spacing w:before="300"/>
      <w:jc w:val="left"/>
    </w:pPr>
  </w:style>
  <w:style w:type="paragraph" w:styleId="TOC6">
    <w:name w:val="toc 6"/>
    <w:basedOn w:val="Normal"/>
    <w:next w:val="Normal"/>
    <w:uiPriority w:val="39"/>
    <w:semiHidden/>
    <w:unhideWhenUsed/>
    <w:pPr>
      <w:tabs>
        <w:tab w:val="right" w:leader="dot" w:pos="9071"/>
      </w:tabs>
      <w:spacing w:before="240"/>
      <w:jc w:val="left"/>
    </w:pPr>
  </w:style>
  <w:style w:type="paragraph" w:styleId="TOC7">
    <w:name w:val="toc 7"/>
    <w:basedOn w:val="Normal"/>
    <w:next w:val="Normal"/>
    <w:uiPriority w:val="39"/>
    <w:semiHidden/>
    <w:unhideWhenUsed/>
    <w:pPr>
      <w:tabs>
        <w:tab w:val="right" w:leader="dot" w:pos="9071"/>
      </w:tabs>
      <w:spacing w:before="180"/>
      <w:jc w:val="left"/>
    </w:pPr>
  </w:style>
  <w:style w:type="paragraph" w:styleId="TOC8">
    <w:name w:val="toc 8"/>
    <w:basedOn w:val="Normal"/>
    <w:next w:val="Normal"/>
    <w:uiPriority w:val="39"/>
    <w:semiHidden/>
    <w:unhideWhenUsed/>
    <w:pPr>
      <w:tabs>
        <w:tab w:val="right" w:leader="dot" w:pos="9071"/>
      </w:tabs>
      <w:jc w:val="left"/>
    </w:pPr>
  </w:style>
  <w:style w:type="paragraph" w:styleId="TOC9">
    <w:name w:val="toc 9"/>
    <w:basedOn w:val="Normal"/>
    <w:next w:val="Normal"/>
    <w:uiPriority w:val="39"/>
    <w:semiHidden/>
    <w:unhideWhenUsed/>
    <w:pPr>
      <w:tabs>
        <w:tab w:val="right" w:leader="dot" w:pos="9071"/>
      </w:tabs>
      <w:ind w:left="1417" w:hanging="1417"/>
      <w:jc w:val="left"/>
    </w:pPr>
  </w:style>
  <w:style w:type="character" w:styleId="FootnoteReference">
    <w:name w:val="footnote reference"/>
    <w:basedOn w:val="DefaultParagraphFont"/>
    <w:uiPriority w:val="99"/>
    <w:semiHidden/>
    <w:unhideWhenUsed/>
    <w:rPr>
      <w:shd w:val="clear" w:color="auto" w:fill="auto"/>
      <w:vertAlign w:val="superscript"/>
    </w:rPr>
  </w:style>
  <w:style w:type="paragraph" w:customStyle="1" w:styleId="HeaderSensitivity">
    <w:name w:val="Header Sensitivity"/>
    <w:basedOn w:val="Normal"/>
    <w:rsid w:val="000202E5"/>
    <w:pPr>
      <w:pBdr>
        <w:top w:val="single" w:sz="4" w:space="1" w:color="auto"/>
        <w:left w:val="single" w:sz="4" w:space="4" w:color="auto"/>
        <w:bottom w:val="single" w:sz="4" w:space="1" w:color="auto"/>
        <w:right w:val="single" w:sz="4" w:space="4" w:color="auto"/>
      </w:pBdr>
      <w:spacing w:before="0"/>
      <w:ind w:left="113" w:right="113"/>
      <w:jc w:val="center"/>
    </w:pPr>
    <w:rPr>
      <w:b/>
      <w:sz w:val="32"/>
    </w:rPr>
  </w:style>
  <w:style w:type="paragraph" w:customStyle="1" w:styleId="HeaderSensitivityRight">
    <w:name w:val="Header Sensitivity Right"/>
    <w:basedOn w:val="Normal"/>
    <w:rsid w:val="000202E5"/>
    <w:pPr>
      <w:spacing w:before="0"/>
      <w:jc w:val="right"/>
    </w:pPr>
    <w:rPr>
      <w:sz w:val="28"/>
    </w:rPr>
  </w:style>
  <w:style w:type="paragraph" w:customStyle="1" w:styleId="FooterSensitivity">
    <w:name w:val="Footer Sensitivity"/>
    <w:basedOn w:val="Normal"/>
    <w:rsid w:val="000202E5"/>
    <w:pPr>
      <w:pBdr>
        <w:top w:val="single" w:sz="4" w:space="1" w:color="auto"/>
        <w:left w:val="single" w:sz="4" w:space="4" w:color="auto"/>
        <w:bottom w:val="single" w:sz="4" w:space="1" w:color="auto"/>
        <w:right w:val="single" w:sz="4" w:space="4" w:color="auto"/>
      </w:pBdr>
      <w:spacing w:before="360" w:after="0"/>
      <w:ind w:left="113" w:right="113"/>
      <w:jc w:val="center"/>
    </w:pPr>
    <w:rPr>
      <w:b/>
      <w:sz w:val="32"/>
    </w:rPr>
  </w:style>
  <w:style w:type="paragraph" w:customStyle="1" w:styleId="Text1">
    <w:name w:val="Text 1"/>
    <w:basedOn w:val="Normal"/>
    <w:pPr>
      <w:ind w:left="850"/>
    </w:pPr>
  </w:style>
  <w:style w:type="paragraph" w:customStyle="1" w:styleId="Text2">
    <w:name w:val="Text 2"/>
    <w:basedOn w:val="Normal"/>
    <w:pPr>
      <w:ind w:left="1417"/>
    </w:pPr>
  </w:style>
  <w:style w:type="paragraph" w:customStyle="1" w:styleId="Text3">
    <w:name w:val="Text 3"/>
    <w:basedOn w:val="Normal"/>
    <w:pPr>
      <w:ind w:left="1984"/>
    </w:pPr>
  </w:style>
  <w:style w:type="paragraph" w:customStyle="1" w:styleId="Text4">
    <w:name w:val="Text 4"/>
    <w:basedOn w:val="Normal"/>
    <w:pPr>
      <w:ind w:left="2551"/>
    </w:pPr>
  </w:style>
  <w:style w:type="paragraph" w:customStyle="1" w:styleId="Text5">
    <w:name w:val="Text 5"/>
    <w:basedOn w:val="Normal"/>
    <w:pPr>
      <w:ind w:left="3118"/>
    </w:pPr>
  </w:style>
  <w:style w:type="paragraph" w:customStyle="1" w:styleId="Text6">
    <w:name w:val="Text 6"/>
    <w:basedOn w:val="Normal"/>
    <w:pPr>
      <w:ind w:left="3685"/>
    </w:pPr>
  </w:style>
  <w:style w:type="paragraph" w:customStyle="1" w:styleId="NormalCentered">
    <w:name w:val="Normal Centered"/>
    <w:basedOn w:val="Normal"/>
    <w:pPr>
      <w:jc w:val="center"/>
    </w:pPr>
  </w:style>
  <w:style w:type="paragraph" w:customStyle="1" w:styleId="NormalLeft">
    <w:name w:val="Normal Left"/>
    <w:basedOn w:val="Normal"/>
    <w:pPr>
      <w:jc w:val="left"/>
    </w:pPr>
  </w:style>
  <w:style w:type="paragraph" w:customStyle="1" w:styleId="NormalRight">
    <w:name w:val="Normal Right"/>
    <w:basedOn w:val="Normal"/>
    <w:pPr>
      <w:jc w:val="right"/>
    </w:pPr>
  </w:style>
  <w:style w:type="paragraph" w:customStyle="1" w:styleId="QuotedText">
    <w:name w:val="Quoted Text"/>
    <w:basedOn w:val="Normal"/>
    <w:pPr>
      <w:ind w:left="1417"/>
    </w:pPr>
  </w:style>
  <w:style w:type="paragraph" w:customStyle="1" w:styleId="Point0">
    <w:name w:val="Point 0"/>
    <w:basedOn w:val="Normal"/>
    <w:pPr>
      <w:ind w:left="850" w:hanging="850"/>
    </w:pPr>
  </w:style>
  <w:style w:type="paragraph" w:customStyle="1" w:styleId="Point1">
    <w:name w:val="Point 1"/>
    <w:basedOn w:val="Normal"/>
    <w:pPr>
      <w:ind w:left="1417" w:hanging="567"/>
    </w:pPr>
  </w:style>
  <w:style w:type="paragraph" w:customStyle="1" w:styleId="Point2">
    <w:name w:val="Point 2"/>
    <w:basedOn w:val="Normal"/>
    <w:pPr>
      <w:ind w:left="1984" w:hanging="567"/>
    </w:pPr>
  </w:style>
  <w:style w:type="paragraph" w:customStyle="1" w:styleId="Point3">
    <w:name w:val="Point 3"/>
    <w:basedOn w:val="Normal"/>
    <w:pPr>
      <w:ind w:left="2551" w:hanging="567"/>
    </w:pPr>
  </w:style>
  <w:style w:type="paragraph" w:customStyle="1" w:styleId="Point4">
    <w:name w:val="Point 4"/>
    <w:basedOn w:val="Normal"/>
    <w:pPr>
      <w:ind w:left="3118" w:hanging="567"/>
    </w:pPr>
  </w:style>
  <w:style w:type="paragraph" w:customStyle="1" w:styleId="Point5">
    <w:name w:val="Point 5"/>
    <w:basedOn w:val="Normal"/>
    <w:pPr>
      <w:ind w:left="3685" w:hanging="567"/>
    </w:pPr>
  </w:style>
  <w:style w:type="paragraph" w:customStyle="1" w:styleId="Tiret0">
    <w:name w:val="Tiret 0"/>
    <w:basedOn w:val="Point0"/>
    <w:pPr>
      <w:numPr>
        <w:numId w:val="22"/>
      </w:numPr>
    </w:pPr>
  </w:style>
  <w:style w:type="paragraph" w:customStyle="1" w:styleId="Tiret1">
    <w:name w:val="Tiret 1"/>
    <w:basedOn w:val="Point1"/>
    <w:pPr>
      <w:numPr>
        <w:numId w:val="23"/>
      </w:numPr>
    </w:pPr>
  </w:style>
  <w:style w:type="paragraph" w:customStyle="1" w:styleId="Tiret2">
    <w:name w:val="Tiret 2"/>
    <w:basedOn w:val="Point2"/>
    <w:pPr>
      <w:numPr>
        <w:numId w:val="24"/>
      </w:numPr>
    </w:pPr>
  </w:style>
  <w:style w:type="paragraph" w:customStyle="1" w:styleId="Tiret3">
    <w:name w:val="Tiret 3"/>
    <w:basedOn w:val="Point3"/>
    <w:pPr>
      <w:numPr>
        <w:numId w:val="25"/>
      </w:numPr>
    </w:pPr>
  </w:style>
  <w:style w:type="paragraph" w:customStyle="1" w:styleId="Tiret4">
    <w:name w:val="Tiret 4"/>
    <w:basedOn w:val="Point4"/>
    <w:pPr>
      <w:numPr>
        <w:numId w:val="26"/>
      </w:numPr>
    </w:pPr>
  </w:style>
  <w:style w:type="paragraph" w:customStyle="1" w:styleId="Tiret5">
    <w:name w:val="Tiret 5"/>
    <w:basedOn w:val="Point5"/>
    <w:pPr>
      <w:numPr>
        <w:numId w:val="27"/>
      </w:numPr>
    </w:pPr>
  </w:style>
  <w:style w:type="paragraph" w:customStyle="1" w:styleId="PointDouble0">
    <w:name w:val="PointDouble 0"/>
    <w:basedOn w:val="Normal"/>
    <w:pPr>
      <w:tabs>
        <w:tab w:val="left" w:pos="850"/>
      </w:tabs>
      <w:ind w:left="1417" w:hanging="1417"/>
    </w:pPr>
  </w:style>
  <w:style w:type="paragraph" w:customStyle="1" w:styleId="PointDouble1">
    <w:name w:val="PointDouble 1"/>
    <w:basedOn w:val="Normal"/>
    <w:pPr>
      <w:tabs>
        <w:tab w:val="left" w:pos="1417"/>
      </w:tabs>
      <w:ind w:left="1984" w:hanging="1134"/>
    </w:pPr>
  </w:style>
  <w:style w:type="paragraph" w:customStyle="1" w:styleId="PointDouble2">
    <w:name w:val="PointDouble 2"/>
    <w:basedOn w:val="Normal"/>
    <w:pPr>
      <w:tabs>
        <w:tab w:val="left" w:pos="1984"/>
      </w:tabs>
      <w:ind w:left="2551" w:hanging="1134"/>
    </w:pPr>
  </w:style>
  <w:style w:type="paragraph" w:customStyle="1" w:styleId="PointDouble3">
    <w:name w:val="PointDouble 3"/>
    <w:basedOn w:val="Normal"/>
    <w:pPr>
      <w:tabs>
        <w:tab w:val="left" w:pos="2551"/>
      </w:tabs>
      <w:ind w:left="3118" w:hanging="1134"/>
    </w:pPr>
  </w:style>
  <w:style w:type="paragraph" w:customStyle="1" w:styleId="PointDouble4">
    <w:name w:val="PointDouble 4"/>
    <w:basedOn w:val="Normal"/>
    <w:pPr>
      <w:tabs>
        <w:tab w:val="left" w:pos="3118"/>
      </w:tabs>
      <w:ind w:left="3685" w:hanging="1134"/>
    </w:pPr>
  </w:style>
  <w:style w:type="paragraph" w:customStyle="1" w:styleId="PointTriple0">
    <w:name w:val="PointTriple 0"/>
    <w:basedOn w:val="Normal"/>
    <w:pPr>
      <w:tabs>
        <w:tab w:val="left" w:pos="850"/>
        <w:tab w:val="left" w:pos="1417"/>
      </w:tabs>
      <w:ind w:left="1984" w:hanging="1984"/>
    </w:pPr>
  </w:style>
  <w:style w:type="paragraph" w:customStyle="1" w:styleId="PointTriple1">
    <w:name w:val="PointTriple 1"/>
    <w:basedOn w:val="Normal"/>
    <w:pPr>
      <w:tabs>
        <w:tab w:val="left" w:pos="1417"/>
        <w:tab w:val="left" w:pos="1984"/>
      </w:tabs>
      <w:ind w:left="2551" w:hanging="1701"/>
    </w:pPr>
  </w:style>
  <w:style w:type="paragraph" w:customStyle="1" w:styleId="PointTriple2">
    <w:name w:val="PointTriple 2"/>
    <w:basedOn w:val="Normal"/>
    <w:pPr>
      <w:tabs>
        <w:tab w:val="left" w:pos="1984"/>
        <w:tab w:val="left" w:pos="2551"/>
      </w:tabs>
      <w:ind w:left="3118" w:hanging="1701"/>
    </w:pPr>
  </w:style>
  <w:style w:type="paragraph" w:customStyle="1" w:styleId="PointTriple3">
    <w:name w:val="PointTriple 3"/>
    <w:basedOn w:val="Normal"/>
    <w:pPr>
      <w:tabs>
        <w:tab w:val="left" w:pos="2551"/>
        <w:tab w:val="left" w:pos="3118"/>
      </w:tabs>
      <w:ind w:left="3685" w:hanging="1701"/>
    </w:pPr>
  </w:style>
  <w:style w:type="paragraph" w:customStyle="1" w:styleId="PointTriple4">
    <w:name w:val="PointTriple 4"/>
    <w:basedOn w:val="Normal"/>
    <w:pPr>
      <w:tabs>
        <w:tab w:val="left" w:pos="3118"/>
        <w:tab w:val="left" w:pos="3685"/>
      </w:tabs>
      <w:ind w:left="4252" w:hanging="1701"/>
    </w:pPr>
  </w:style>
  <w:style w:type="paragraph" w:customStyle="1" w:styleId="NumPar1">
    <w:name w:val="NumPar 1"/>
    <w:basedOn w:val="Normal"/>
    <w:next w:val="Text1"/>
    <w:pPr>
      <w:numPr>
        <w:numId w:val="28"/>
      </w:numPr>
    </w:pPr>
  </w:style>
  <w:style w:type="paragraph" w:customStyle="1" w:styleId="NumPar2">
    <w:name w:val="NumPar 2"/>
    <w:basedOn w:val="Normal"/>
    <w:next w:val="Text1"/>
    <w:pPr>
      <w:numPr>
        <w:ilvl w:val="1"/>
        <w:numId w:val="28"/>
      </w:numPr>
    </w:pPr>
  </w:style>
  <w:style w:type="paragraph" w:customStyle="1" w:styleId="NumPar3">
    <w:name w:val="NumPar 3"/>
    <w:basedOn w:val="Normal"/>
    <w:next w:val="Text1"/>
    <w:pPr>
      <w:numPr>
        <w:ilvl w:val="2"/>
        <w:numId w:val="28"/>
      </w:numPr>
    </w:pPr>
  </w:style>
  <w:style w:type="paragraph" w:customStyle="1" w:styleId="NumPar4">
    <w:name w:val="NumPar 4"/>
    <w:basedOn w:val="Normal"/>
    <w:next w:val="Text1"/>
    <w:pPr>
      <w:numPr>
        <w:ilvl w:val="3"/>
        <w:numId w:val="28"/>
      </w:numPr>
    </w:pPr>
  </w:style>
  <w:style w:type="paragraph" w:customStyle="1" w:styleId="NumPar5">
    <w:name w:val="NumPar 5"/>
    <w:basedOn w:val="Normal"/>
    <w:next w:val="Text2"/>
    <w:pPr>
      <w:numPr>
        <w:ilvl w:val="4"/>
        <w:numId w:val="28"/>
      </w:numPr>
    </w:pPr>
  </w:style>
  <w:style w:type="paragraph" w:customStyle="1" w:styleId="NumPar6">
    <w:name w:val="NumPar 6"/>
    <w:basedOn w:val="Normal"/>
    <w:next w:val="Text2"/>
    <w:pPr>
      <w:numPr>
        <w:ilvl w:val="5"/>
        <w:numId w:val="28"/>
      </w:numPr>
    </w:pPr>
  </w:style>
  <w:style w:type="paragraph" w:customStyle="1" w:styleId="NumPar7">
    <w:name w:val="NumPar 7"/>
    <w:basedOn w:val="Normal"/>
    <w:next w:val="Text2"/>
    <w:pPr>
      <w:numPr>
        <w:ilvl w:val="6"/>
        <w:numId w:val="28"/>
      </w:numPr>
    </w:pPr>
  </w:style>
  <w:style w:type="paragraph" w:customStyle="1" w:styleId="ManualNumPar1">
    <w:name w:val="Manual NumPar 1"/>
    <w:basedOn w:val="Normal"/>
    <w:next w:val="Text1"/>
    <w:pPr>
      <w:ind w:left="850" w:hanging="850"/>
    </w:pPr>
  </w:style>
  <w:style w:type="paragraph" w:customStyle="1" w:styleId="ManualNumPar2">
    <w:name w:val="Manual NumPar 2"/>
    <w:basedOn w:val="Normal"/>
    <w:next w:val="Text1"/>
    <w:pPr>
      <w:ind w:left="850" w:hanging="850"/>
    </w:pPr>
  </w:style>
  <w:style w:type="paragraph" w:customStyle="1" w:styleId="ManualNumPar3">
    <w:name w:val="Manual NumPar 3"/>
    <w:basedOn w:val="Normal"/>
    <w:next w:val="Text1"/>
    <w:pPr>
      <w:ind w:left="850" w:hanging="850"/>
    </w:pPr>
  </w:style>
  <w:style w:type="paragraph" w:customStyle="1" w:styleId="ManualNumPar4">
    <w:name w:val="Manual NumPar 4"/>
    <w:basedOn w:val="Normal"/>
    <w:next w:val="Text1"/>
    <w:pPr>
      <w:ind w:left="850" w:hanging="850"/>
    </w:pPr>
  </w:style>
  <w:style w:type="paragraph" w:customStyle="1" w:styleId="ManualNumPar5">
    <w:name w:val="Manual NumPar 5"/>
    <w:basedOn w:val="Normal"/>
    <w:next w:val="Text2"/>
    <w:pPr>
      <w:ind w:left="1417" w:hanging="1417"/>
    </w:pPr>
  </w:style>
  <w:style w:type="paragraph" w:customStyle="1" w:styleId="ManualNumPar6">
    <w:name w:val="Manual NumPar 6"/>
    <w:basedOn w:val="Normal"/>
    <w:next w:val="Text2"/>
    <w:pPr>
      <w:ind w:left="1417" w:hanging="1417"/>
    </w:pPr>
  </w:style>
  <w:style w:type="paragraph" w:customStyle="1" w:styleId="ManualNumPar7">
    <w:name w:val="Manual NumPar 7"/>
    <w:basedOn w:val="Normal"/>
    <w:next w:val="Text2"/>
    <w:pPr>
      <w:ind w:left="1417" w:hanging="1417"/>
    </w:pPr>
  </w:style>
  <w:style w:type="paragraph" w:customStyle="1" w:styleId="QuotedNumPar">
    <w:name w:val="Quoted NumPar"/>
    <w:basedOn w:val="Normal"/>
    <w:pPr>
      <w:ind w:left="1417" w:hanging="567"/>
    </w:pPr>
  </w:style>
  <w:style w:type="paragraph" w:customStyle="1" w:styleId="ManualHeading1">
    <w:name w:val="Manual Heading 1"/>
    <w:basedOn w:val="Normal"/>
    <w:next w:val="Text1"/>
    <w:pPr>
      <w:keepNext/>
      <w:tabs>
        <w:tab w:val="left" w:pos="850"/>
      </w:tabs>
      <w:spacing w:before="360"/>
      <w:ind w:left="850" w:hanging="850"/>
      <w:outlineLvl w:val="0"/>
    </w:pPr>
    <w:rPr>
      <w:b/>
      <w:smallCaps/>
    </w:rPr>
  </w:style>
  <w:style w:type="paragraph" w:customStyle="1" w:styleId="ManualHeading2">
    <w:name w:val="Manual Heading 2"/>
    <w:basedOn w:val="Normal"/>
    <w:next w:val="Text1"/>
    <w:pPr>
      <w:keepNext/>
      <w:tabs>
        <w:tab w:val="left" w:pos="850"/>
      </w:tabs>
      <w:ind w:left="850" w:hanging="850"/>
      <w:outlineLvl w:val="1"/>
    </w:pPr>
    <w:rPr>
      <w:b/>
    </w:rPr>
  </w:style>
  <w:style w:type="paragraph" w:customStyle="1" w:styleId="ManualHeading3">
    <w:name w:val="Manual Heading 3"/>
    <w:basedOn w:val="Normal"/>
    <w:next w:val="Text1"/>
    <w:pPr>
      <w:keepNext/>
      <w:tabs>
        <w:tab w:val="left" w:pos="850"/>
      </w:tabs>
      <w:ind w:left="850" w:hanging="850"/>
      <w:outlineLvl w:val="2"/>
    </w:pPr>
    <w:rPr>
      <w:i/>
    </w:rPr>
  </w:style>
  <w:style w:type="paragraph" w:customStyle="1" w:styleId="ManualHeading4">
    <w:name w:val="Manual Heading 4"/>
    <w:basedOn w:val="Normal"/>
    <w:next w:val="Text1"/>
    <w:pPr>
      <w:keepNext/>
      <w:tabs>
        <w:tab w:val="left" w:pos="850"/>
      </w:tabs>
      <w:ind w:left="850" w:hanging="850"/>
      <w:outlineLvl w:val="3"/>
    </w:pPr>
  </w:style>
  <w:style w:type="paragraph" w:customStyle="1" w:styleId="ManualHeading5">
    <w:name w:val="Manual Heading 5"/>
    <w:basedOn w:val="Normal"/>
    <w:next w:val="Text2"/>
    <w:pPr>
      <w:keepNext/>
      <w:tabs>
        <w:tab w:val="left" w:pos="1417"/>
      </w:tabs>
      <w:ind w:left="1417" w:hanging="1417"/>
      <w:outlineLvl w:val="4"/>
    </w:pPr>
  </w:style>
  <w:style w:type="paragraph" w:customStyle="1" w:styleId="ManualHeading6">
    <w:name w:val="Manual Heading 6"/>
    <w:basedOn w:val="Normal"/>
    <w:next w:val="Text2"/>
    <w:pPr>
      <w:keepNext/>
      <w:tabs>
        <w:tab w:val="left" w:pos="1417"/>
      </w:tabs>
      <w:ind w:left="1417" w:hanging="1417"/>
      <w:outlineLvl w:val="5"/>
    </w:pPr>
  </w:style>
  <w:style w:type="paragraph" w:customStyle="1" w:styleId="ManualHeading7">
    <w:name w:val="Manual Heading 7"/>
    <w:basedOn w:val="Normal"/>
    <w:next w:val="Text2"/>
    <w:pPr>
      <w:keepNext/>
      <w:tabs>
        <w:tab w:val="left" w:pos="1417"/>
      </w:tabs>
      <w:ind w:left="1417" w:hanging="1417"/>
      <w:outlineLvl w:val="6"/>
    </w:pPr>
  </w:style>
  <w:style w:type="paragraph" w:customStyle="1" w:styleId="ChapterTitle">
    <w:name w:val="ChapterTitle"/>
    <w:basedOn w:val="Normal"/>
    <w:next w:val="Normal"/>
    <w:pPr>
      <w:keepNext/>
      <w:spacing w:after="360"/>
      <w:jc w:val="center"/>
    </w:pPr>
    <w:rPr>
      <w:b/>
      <w:sz w:val="32"/>
    </w:rPr>
  </w:style>
  <w:style w:type="paragraph" w:customStyle="1" w:styleId="PartTitle">
    <w:name w:val="PartTitle"/>
    <w:basedOn w:val="Normal"/>
    <w:next w:val="ChapterTitle"/>
    <w:pPr>
      <w:keepNext/>
      <w:pageBreakBefore/>
      <w:spacing w:after="360"/>
      <w:jc w:val="center"/>
    </w:pPr>
    <w:rPr>
      <w:b/>
      <w:sz w:val="36"/>
    </w:rPr>
  </w:style>
  <w:style w:type="paragraph" w:customStyle="1" w:styleId="SectionTitle">
    <w:name w:val="SectionTitle"/>
    <w:basedOn w:val="Normal"/>
    <w:next w:val="Heading1"/>
    <w:pPr>
      <w:keepNext/>
      <w:spacing w:after="360"/>
      <w:jc w:val="center"/>
    </w:pPr>
    <w:rPr>
      <w:b/>
      <w:smallCaps/>
      <w:sz w:val="28"/>
    </w:rPr>
  </w:style>
  <w:style w:type="paragraph" w:customStyle="1" w:styleId="TableTitle">
    <w:name w:val="Table Title"/>
    <w:basedOn w:val="Normal"/>
    <w:next w:val="Normal"/>
    <w:pPr>
      <w:jc w:val="center"/>
    </w:pPr>
    <w:rPr>
      <w:b/>
    </w:rPr>
  </w:style>
  <w:style w:type="character" w:customStyle="1" w:styleId="Marker">
    <w:name w:val="Marker"/>
    <w:basedOn w:val="DefaultParagraphFont"/>
    <w:rPr>
      <w:color w:val="0000FF"/>
      <w:shd w:val="clear" w:color="auto" w:fill="auto"/>
    </w:rPr>
  </w:style>
  <w:style w:type="character" w:customStyle="1" w:styleId="Marker1">
    <w:name w:val="Marker1"/>
    <w:basedOn w:val="DefaultParagraphFont"/>
    <w:rPr>
      <w:color w:val="008000"/>
      <w:shd w:val="clear" w:color="auto" w:fill="auto"/>
    </w:rPr>
  </w:style>
  <w:style w:type="character" w:customStyle="1" w:styleId="Marker2">
    <w:name w:val="Marker2"/>
    <w:basedOn w:val="DefaultParagraphFont"/>
    <w:rPr>
      <w:color w:val="FF0000"/>
      <w:shd w:val="clear" w:color="auto" w:fill="auto"/>
    </w:rPr>
  </w:style>
  <w:style w:type="paragraph" w:customStyle="1" w:styleId="Point0number">
    <w:name w:val="Point 0 (number)"/>
    <w:basedOn w:val="Normal"/>
    <w:pPr>
      <w:numPr>
        <w:numId w:val="30"/>
      </w:numPr>
    </w:pPr>
  </w:style>
  <w:style w:type="paragraph" w:customStyle="1" w:styleId="Point1number">
    <w:name w:val="Point 1 (number)"/>
    <w:basedOn w:val="Normal"/>
    <w:pPr>
      <w:numPr>
        <w:ilvl w:val="2"/>
        <w:numId w:val="30"/>
      </w:numPr>
    </w:pPr>
  </w:style>
  <w:style w:type="paragraph" w:customStyle="1" w:styleId="Point2number">
    <w:name w:val="Point 2 (number)"/>
    <w:basedOn w:val="Normal"/>
    <w:pPr>
      <w:numPr>
        <w:ilvl w:val="4"/>
        <w:numId w:val="30"/>
      </w:numPr>
    </w:pPr>
  </w:style>
  <w:style w:type="paragraph" w:customStyle="1" w:styleId="Point3number">
    <w:name w:val="Point 3 (number)"/>
    <w:basedOn w:val="Normal"/>
    <w:pPr>
      <w:numPr>
        <w:ilvl w:val="6"/>
        <w:numId w:val="30"/>
      </w:numPr>
    </w:pPr>
  </w:style>
  <w:style w:type="paragraph" w:customStyle="1" w:styleId="Point0letter">
    <w:name w:val="Point 0 (letter)"/>
    <w:basedOn w:val="Normal"/>
    <w:pPr>
      <w:numPr>
        <w:ilvl w:val="1"/>
        <w:numId w:val="30"/>
      </w:numPr>
    </w:pPr>
  </w:style>
  <w:style w:type="paragraph" w:customStyle="1" w:styleId="Point1letter">
    <w:name w:val="Point 1 (letter)"/>
    <w:basedOn w:val="Normal"/>
    <w:pPr>
      <w:numPr>
        <w:ilvl w:val="3"/>
        <w:numId w:val="30"/>
      </w:numPr>
    </w:pPr>
  </w:style>
  <w:style w:type="paragraph" w:customStyle="1" w:styleId="Point2letter">
    <w:name w:val="Point 2 (letter)"/>
    <w:basedOn w:val="Normal"/>
    <w:pPr>
      <w:numPr>
        <w:ilvl w:val="5"/>
        <w:numId w:val="30"/>
      </w:numPr>
    </w:pPr>
  </w:style>
  <w:style w:type="paragraph" w:customStyle="1" w:styleId="Point3letter">
    <w:name w:val="Point 3 (letter)"/>
    <w:basedOn w:val="Normal"/>
    <w:pPr>
      <w:numPr>
        <w:ilvl w:val="7"/>
        <w:numId w:val="30"/>
      </w:numPr>
    </w:pPr>
  </w:style>
  <w:style w:type="paragraph" w:customStyle="1" w:styleId="Point4letter">
    <w:name w:val="Point 4 (letter)"/>
    <w:basedOn w:val="Normal"/>
    <w:pPr>
      <w:numPr>
        <w:ilvl w:val="8"/>
        <w:numId w:val="30"/>
      </w:numPr>
    </w:pPr>
  </w:style>
  <w:style w:type="paragraph" w:customStyle="1" w:styleId="Bullet0">
    <w:name w:val="Bullet 0"/>
    <w:basedOn w:val="Normal"/>
    <w:pPr>
      <w:numPr>
        <w:numId w:val="31"/>
      </w:numPr>
    </w:pPr>
  </w:style>
  <w:style w:type="paragraph" w:customStyle="1" w:styleId="Bullet1">
    <w:name w:val="Bullet 1"/>
    <w:basedOn w:val="Normal"/>
    <w:pPr>
      <w:numPr>
        <w:numId w:val="32"/>
      </w:numPr>
    </w:pPr>
  </w:style>
  <w:style w:type="paragraph" w:customStyle="1" w:styleId="Bullet2">
    <w:name w:val="Bullet 2"/>
    <w:basedOn w:val="Normal"/>
    <w:pPr>
      <w:numPr>
        <w:numId w:val="33"/>
      </w:numPr>
    </w:pPr>
  </w:style>
  <w:style w:type="paragraph" w:customStyle="1" w:styleId="Bullet3">
    <w:name w:val="Bullet 3"/>
    <w:basedOn w:val="Normal"/>
    <w:pPr>
      <w:numPr>
        <w:numId w:val="34"/>
      </w:numPr>
    </w:pPr>
  </w:style>
  <w:style w:type="paragraph" w:customStyle="1" w:styleId="Bullet4">
    <w:name w:val="Bullet 4"/>
    <w:basedOn w:val="Normal"/>
    <w:pPr>
      <w:numPr>
        <w:numId w:val="35"/>
      </w:numPr>
    </w:pPr>
  </w:style>
  <w:style w:type="paragraph" w:customStyle="1" w:styleId="Langue">
    <w:name w:val="Langue"/>
    <w:basedOn w:val="Normal"/>
    <w:next w:val="Rfrenceinterne"/>
    <w:pPr>
      <w:framePr w:wrap="around" w:vAnchor="page" w:hAnchor="text" w:xAlign="center" w:y="14741"/>
      <w:spacing w:before="0" w:after="600"/>
      <w:jc w:val="center"/>
    </w:pPr>
    <w:rPr>
      <w:b/>
      <w:caps/>
    </w:rPr>
  </w:style>
  <w:style w:type="paragraph" w:customStyle="1" w:styleId="Nomdelinstitution">
    <w:name w:val="Nom de l'institution"/>
    <w:basedOn w:val="Normal"/>
    <w:next w:val="Emission"/>
    <w:pPr>
      <w:spacing w:before="0" w:after="0"/>
      <w:jc w:val="left"/>
    </w:pPr>
    <w:rPr>
      <w:rFonts w:ascii="Arial" w:hAnsi="Arial" w:cs="Arial"/>
    </w:rPr>
  </w:style>
  <w:style w:type="paragraph" w:customStyle="1" w:styleId="Emission">
    <w:name w:val="Emission"/>
    <w:basedOn w:val="Normal"/>
    <w:next w:val="Rfrenceinstitutionnelle"/>
    <w:pPr>
      <w:spacing w:before="0" w:after="0"/>
      <w:ind w:left="5103"/>
      <w:jc w:val="left"/>
    </w:pPr>
  </w:style>
  <w:style w:type="paragraph" w:customStyle="1" w:styleId="Rfrenceinstitutionnelle">
    <w:name w:val="Référence institutionnelle"/>
    <w:basedOn w:val="Normal"/>
    <w:next w:val="Confidentialit"/>
    <w:pPr>
      <w:spacing w:before="0" w:after="240"/>
      <w:ind w:left="5103"/>
      <w:jc w:val="left"/>
    </w:pPr>
  </w:style>
  <w:style w:type="paragraph" w:customStyle="1" w:styleId="Pagedecouverture">
    <w:name w:val="Page de couverture"/>
    <w:basedOn w:val="Normal"/>
    <w:next w:val="Normal"/>
    <w:pPr>
      <w:spacing w:before="0" w:after="0"/>
    </w:pPr>
  </w:style>
  <w:style w:type="paragraph" w:customStyle="1" w:styleId="Declassification">
    <w:name w:val="Declassification"/>
    <w:basedOn w:val="Normal"/>
    <w:next w:val="Normal"/>
    <w:pPr>
      <w:spacing w:before="0" w:after="0"/>
    </w:pPr>
  </w:style>
  <w:style w:type="paragraph" w:customStyle="1" w:styleId="Disclaimer">
    <w:name w:val="Disclaimer"/>
    <w:basedOn w:val="Normal"/>
    <w:pPr>
      <w:framePr w:w="8220" w:wrap="notBeside" w:hAnchor="margin" w:xAlign="center" w:y="10401"/>
      <w:pBdr>
        <w:top w:val="single" w:sz="6" w:space="4" w:color="auto"/>
        <w:left w:val="single" w:sz="6" w:space="7" w:color="auto"/>
        <w:bottom w:val="single" w:sz="6" w:space="4" w:color="auto"/>
        <w:right w:val="single" w:sz="6" w:space="7" w:color="auto"/>
      </w:pBdr>
      <w:shd w:val="clear" w:color="FFFFFF" w:fill="auto"/>
    </w:pPr>
  </w:style>
  <w:style w:type="paragraph" w:customStyle="1" w:styleId="SecurityMarking">
    <w:name w:val="SecurityMarking"/>
    <w:basedOn w:val="Normal"/>
    <w:pPr>
      <w:spacing w:before="0" w:after="0" w:line="276" w:lineRule="auto"/>
      <w:ind w:left="5103"/>
      <w:jc w:val="left"/>
    </w:pPr>
    <w:rPr>
      <w:sz w:val="28"/>
    </w:rPr>
  </w:style>
  <w:style w:type="paragraph" w:customStyle="1" w:styleId="DateMarking">
    <w:name w:val="DateMarking"/>
    <w:basedOn w:val="Normal"/>
    <w:pPr>
      <w:spacing w:before="0" w:after="0" w:line="276" w:lineRule="auto"/>
      <w:ind w:left="5103"/>
      <w:jc w:val="left"/>
    </w:pPr>
    <w:rPr>
      <w:i/>
      <w:sz w:val="28"/>
    </w:rPr>
  </w:style>
  <w:style w:type="paragraph" w:customStyle="1" w:styleId="ReleasableTo">
    <w:name w:val="ReleasableTo"/>
    <w:basedOn w:val="Normal"/>
    <w:pPr>
      <w:spacing w:before="0" w:after="0" w:line="276" w:lineRule="auto"/>
      <w:ind w:left="5103"/>
      <w:jc w:val="left"/>
    </w:pPr>
    <w:rPr>
      <w:i/>
      <w:sz w:val="28"/>
    </w:rPr>
  </w:style>
  <w:style w:type="paragraph" w:customStyle="1" w:styleId="Annexetitreexpos">
    <w:name w:val="Annexe titre (exposé)"/>
    <w:basedOn w:val="Normal"/>
    <w:next w:val="Normal"/>
    <w:pPr>
      <w:jc w:val="center"/>
    </w:pPr>
    <w:rPr>
      <w:b/>
      <w:u w:val="single"/>
    </w:rPr>
  </w:style>
  <w:style w:type="paragraph" w:customStyle="1" w:styleId="Annexetitre">
    <w:name w:val="Annexe titre"/>
    <w:basedOn w:val="Normal"/>
    <w:next w:val="Normal"/>
    <w:pPr>
      <w:jc w:val="center"/>
    </w:pPr>
    <w:rPr>
      <w:b/>
      <w:u w:val="single"/>
    </w:rPr>
  </w:style>
  <w:style w:type="paragraph" w:customStyle="1" w:styleId="Annexetitrefichefinancire">
    <w:name w:val="Annexe titre (fiche financière)"/>
    <w:basedOn w:val="Normal"/>
    <w:next w:val="Normal"/>
    <w:pPr>
      <w:jc w:val="center"/>
    </w:pPr>
    <w:rPr>
      <w:b/>
      <w:u w:val="single"/>
    </w:rPr>
  </w:style>
  <w:style w:type="paragraph" w:customStyle="1" w:styleId="Applicationdirecte">
    <w:name w:val="Application directe"/>
    <w:basedOn w:val="Normal"/>
    <w:next w:val="Fait"/>
    <w:pPr>
      <w:spacing w:before="480"/>
    </w:pPr>
  </w:style>
  <w:style w:type="paragraph" w:customStyle="1" w:styleId="Avertissementtitre">
    <w:name w:val="Avertissement titre"/>
    <w:basedOn w:val="Normal"/>
    <w:next w:val="Normal"/>
    <w:pPr>
      <w:keepNext/>
      <w:spacing w:before="480"/>
    </w:pPr>
    <w:rPr>
      <w:u w:val="single"/>
    </w:rPr>
  </w:style>
  <w:style w:type="paragraph" w:customStyle="1" w:styleId="Confidence">
    <w:name w:val="Confidence"/>
    <w:basedOn w:val="Normal"/>
    <w:next w:val="Normal"/>
    <w:pPr>
      <w:spacing w:before="360"/>
      <w:jc w:val="center"/>
    </w:pPr>
  </w:style>
  <w:style w:type="paragraph" w:customStyle="1" w:styleId="Confidentialit">
    <w:name w:val="Confidentialité"/>
    <w:basedOn w:val="Normal"/>
    <w:next w:val="TypedudocumentPagedecouverture"/>
    <w:pPr>
      <w:spacing w:before="240" w:after="240"/>
      <w:ind w:left="5103"/>
      <w:jc w:val="left"/>
    </w:pPr>
    <w:rPr>
      <w:i/>
      <w:sz w:val="32"/>
    </w:rPr>
  </w:style>
  <w:style w:type="paragraph" w:customStyle="1" w:styleId="Considrant">
    <w:name w:val="Considérant"/>
    <w:basedOn w:val="Normal"/>
    <w:pPr>
      <w:numPr>
        <w:numId w:val="36"/>
      </w:numPr>
    </w:pPr>
  </w:style>
  <w:style w:type="paragraph" w:customStyle="1" w:styleId="Corrigendum">
    <w:name w:val="Corrigendum"/>
    <w:basedOn w:val="Normal"/>
    <w:next w:val="Normal"/>
    <w:pPr>
      <w:spacing w:before="0" w:after="240"/>
      <w:jc w:val="left"/>
    </w:pPr>
  </w:style>
  <w:style w:type="paragraph" w:customStyle="1" w:styleId="Datedadoption">
    <w:name w:val="Date d'adoption"/>
    <w:basedOn w:val="Normal"/>
    <w:next w:val="Titreobjet"/>
    <w:pPr>
      <w:spacing w:before="360" w:after="0"/>
      <w:jc w:val="center"/>
    </w:pPr>
    <w:rPr>
      <w:b/>
    </w:rPr>
  </w:style>
  <w:style w:type="paragraph" w:customStyle="1" w:styleId="Exposdesmotifstitre">
    <w:name w:val="Exposé des motifs titre"/>
    <w:basedOn w:val="Normal"/>
    <w:next w:val="Normal"/>
    <w:pPr>
      <w:jc w:val="center"/>
    </w:pPr>
    <w:rPr>
      <w:b/>
      <w:u w:val="single"/>
    </w:rPr>
  </w:style>
  <w:style w:type="paragraph" w:customStyle="1" w:styleId="Fait">
    <w:name w:val="Fait à"/>
    <w:basedOn w:val="Normal"/>
    <w:next w:val="Institutionquisigne"/>
    <w:pPr>
      <w:keepNext/>
      <w:spacing w:after="0"/>
    </w:pPr>
  </w:style>
  <w:style w:type="paragraph" w:customStyle="1" w:styleId="Formuledadoption">
    <w:name w:val="Formule d'adoption"/>
    <w:basedOn w:val="Normal"/>
    <w:next w:val="Titrearticle"/>
    <w:pPr>
      <w:keepNext/>
    </w:pPr>
  </w:style>
  <w:style w:type="paragraph" w:customStyle="1" w:styleId="Institutionquiagit">
    <w:name w:val="Institution qui agit"/>
    <w:basedOn w:val="Normal"/>
    <w:next w:val="Normal"/>
    <w:pPr>
      <w:keepNext/>
      <w:spacing w:before="600"/>
    </w:pPr>
  </w:style>
  <w:style w:type="paragraph" w:customStyle="1" w:styleId="Institutionquisigne">
    <w:name w:val="Institution qui signe"/>
    <w:basedOn w:val="Normal"/>
    <w:next w:val="Personnequisigne"/>
    <w:pPr>
      <w:keepNext/>
      <w:tabs>
        <w:tab w:val="left" w:pos="4252"/>
      </w:tabs>
      <w:spacing w:before="720" w:after="0"/>
    </w:pPr>
    <w:rPr>
      <w:i/>
    </w:rPr>
  </w:style>
  <w:style w:type="paragraph" w:customStyle="1" w:styleId="ManualConsidrant">
    <w:name w:val="Manual Considérant"/>
    <w:basedOn w:val="Normal"/>
    <w:pPr>
      <w:ind w:left="709" w:hanging="709"/>
    </w:pPr>
  </w:style>
  <w:style w:type="paragraph" w:customStyle="1" w:styleId="Personnequisigne">
    <w:name w:val="Personne qui signe"/>
    <w:basedOn w:val="Normal"/>
    <w:next w:val="Institutionquisigne"/>
    <w:pPr>
      <w:tabs>
        <w:tab w:val="left" w:pos="4252"/>
      </w:tabs>
      <w:spacing w:before="0" w:after="0"/>
      <w:jc w:val="left"/>
    </w:pPr>
    <w:rPr>
      <w:i/>
    </w:rPr>
  </w:style>
  <w:style w:type="paragraph" w:customStyle="1" w:styleId="Rfrenceinterinstitutionnelle">
    <w:name w:val="Référence interinstitutionnelle"/>
    <w:basedOn w:val="Normal"/>
    <w:next w:val="Statut"/>
    <w:pPr>
      <w:spacing w:before="0" w:after="0"/>
      <w:ind w:left="5103"/>
      <w:jc w:val="left"/>
    </w:pPr>
  </w:style>
  <w:style w:type="paragraph" w:customStyle="1" w:styleId="Rfrenceinterne">
    <w:name w:val="Référence interne"/>
    <w:basedOn w:val="Normal"/>
    <w:next w:val="Rfrenceinterinstitutionnelle"/>
    <w:pPr>
      <w:spacing w:before="0" w:after="0"/>
      <w:ind w:left="5103"/>
      <w:jc w:val="left"/>
    </w:pPr>
  </w:style>
  <w:style w:type="paragraph" w:customStyle="1" w:styleId="Statut">
    <w:name w:val="Statut"/>
    <w:basedOn w:val="Normal"/>
    <w:next w:val="Typedudocument"/>
    <w:pPr>
      <w:spacing w:before="360" w:after="0"/>
      <w:jc w:val="center"/>
    </w:pPr>
  </w:style>
  <w:style w:type="paragraph" w:customStyle="1" w:styleId="Titrearticle">
    <w:name w:val="Titre article"/>
    <w:basedOn w:val="Normal"/>
    <w:next w:val="Normal"/>
    <w:pPr>
      <w:keepNext/>
      <w:spacing w:before="360"/>
      <w:jc w:val="center"/>
    </w:pPr>
    <w:rPr>
      <w:i/>
    </w:rPr>
  </w:style>
  <w:style w:type="paragraph" w:customStyle="1" w:styleId="Titreobjet">
    <w:name w:val="Titre objet"/>
    <w:basedOn w:val="Normal"/>
    <w:next w:val="IntrtEEE"/>
    <w:pPr>
      <w:spacing w:before="360" w:after="360"/>
      <w:jc w:val="center"/>
    </w:pPr>
    <w:rPr>
      <w:b/>
    </w:rPr>
  </w:style>
  <w:style w:type="paragraph" w:customStyle="1" w:styleId="Typedudocument">
    <w:name w:val="Type du document"/>
    <w:basedOn w:val="Normal"/>
    <w:next w:val="Titreobjet"/>
    <w:pPr>
      <w:spacing w:before="360" w:after="0"/>
      <w:jc w:val="center"/>
    </w:pPr>
    <w:rPr>
      <w:b/>
    </w:rPr>
  </w:style>
  <w:style w:type="character" w:customStyle="1" w:styleId="Added">
    <w:name w:val="Added"/>
    <w:basedOn w:val="DefaultParagraphFont"/>
    <w:rPr>
      <w:b/>
      <w:u w:val="single"/>
      <w:shd w:val="clear" w:color="auto" w:fill="auto"/>
    </w:rPr>
  </w:style>
  <w:style w:type="character" w:customStyle="1" w:styleId="Deleted">
    <w:name w:val="Deleted"/>
    <w:basedOn w:val="DefaultParagraphFont"/>
    <w:rPr>
      <w:strike/>
      <w:dstrike w:val="0"/>
      <w:shd w:val="clear" w:color="auto" w:fill="auto"/>
    </w:rPr>
  </w:style>
  <w:style w:type="paragraph" w:customStyle="1" w:styleId="Address">
    <w:name w:val="Address"/>
    <w:basedOn w:val="Normal"/>
    <w:next w:val="Normal"/>
    <w:pPr>
      <w:keepLines/>
      <w:spacing w:line="360" w:lineRule="auto"/>
      <w:ind w:left="3402"/>
      <w:jc w:val="left"/>
    </w:pPr>
  </w:style>
  <w:style w:type="paragraph" w:customStyle="1" w:styleId="Objetexterne">
    <w:name w:val="Objet externe"/>
    <w:basedOn w:val="Normal"/>
    <w:next w:val="Normal"/>
    <w:rPr>
      <w:i/>
      <w:caps/>
    </w:rPr>
  </w:style>
  <w:style w:type="paragraph" w:customStyle="1" w:styleId="Supertitre">
    <w:name w:val="Supertitre"/>
    <w:basedOn w:val="Normal"/>
    <w:next w:val="Normal"/>
    <w:pPr>
      <w:spacing w:before="0" w:after="600"/>
      <w:jc w:val="center"/>
    </w:pPr>
    <w:rPr>
      <w:b/>
    </w:rPr>
  </w:style>
  <w:style w:type="paragraph" w:customStyle="1" w:styleId="Languesfaisantfoi">
    <w:name w:val="Langues faisant foi"/>
    <w:basedOn w:val="Normal"/>
    <w:next w:val="Normal"/>
    <w:pPr>
      <w:spacing w:before="360" w:after="0"/>
      <w:jc w:val="center"/>
    </w:pPr>
  </w:style>
  <w:style w:type="paragraph" w:customStyle="1" w:styleId="Rfrencecroise">
    <w:name w:val="Référence croisée"/>
    <w:basedOn w:val="Normal"/>
    <w:pPr>
      <w:spacing w:before="0" w:after="0"/>
      <w:jc w:val="center"/>
    </w:pPr>
  </w:style>
  <w:style w:type="paragraph" w:customStyle="1" w:styleId="Fichefinanciretitre">
    <w:name w:val="Fiche financière titre"/>
    <w:basedOn w:val="Normal"/>
    <w:next w:val="Normal"/>
    <w:pPr>
      <w:jc w:val="center"/>
    </w:pPr>
    <w:rPr>
      <w:b/>
      <w:u w:val="single"/>
    </w:rPr>
  </w:style>
  <w:style w:type="paragraph" w:customStyle="1" w:styleId="DatedadoptionPagedecouverture">
    <w:name w:val="Date d'adoption (Page de couverture)"/>
    <w:basedOn w:val="Datedadoption"/>
    <w:next w:val="TitreobjetPagedecouverture"/>
  </w:style>
  <w:style w:type="paragraph" w:customStyle="1" w:styleId="RfrenceinterinstitutionnellePagedecouverture">
    <w:name w:val="Référence interinstitutionnelle (Page de couverture)"/>
    <w:basedOn w:val="Rfrenceinterinstitutionnelle"/>
    <w:next w:val="Confidentialit"/>
  </w:style>
  <w:style w:type="paragraph" w:customStyle="1" w:styleId="StatutPagedecouverture">
    <w:name w:val="Statut (Page de couverture)"/>
    <w:basedOn w:val="Statut"/>
    <w:next w:val="TypedudocumentPagedecouverture"/>
  </w:style>
  <w:style w:type="paragraph" w:customStyle="1" w:styleId="TitreobjetPagedecouverture">
    <w:name w:val="Titre objet (Page de couverture)"/>
    <w:basedOn w:val="Titreobjet"/>
    <w:next w:val="IntrtEEEPagedecouverture"/>
  </w:style>
  <w:style w:type="paragraph" w:customStyle="1" w:styleId="TypedudocumentPagedecouverture">
    <w:name w:val="Type du document (Page de couverture)"/>
    <w:basedOn w:val="Typedudocument"/>
    <w:next w:val="TitreobjetPagedecouverture"/>
  </w:style>
  <w:style w:type="paragraph" w:customStyle="1" w:styleId="Volume">
    <w:name w:val="Volume"/>
    <w:basedOn w:val="Normal"/>
    <w:next w:val="Confidentialit"/>
    <w:pPr>
      <w:spacing w:before="0" w:after="240"/>
      <w:ind w:left="5103"/>
      <w:jc w:val="left"/>
    </w:pPr>
  </w:style>
  <w:style w:type="paragraph" w:customStyle="1" w:styleId="IntrtEEE">
    <w:name w:val="Intérêt EEE"/>
    <w:basedOn w:val="Languesfaisantfoi"/>
    <w:next w:val="Normal"/>
    <w:pPr>
      <w:spacing w:after="240"/>
    </w:pPr>
  </w:style>
  <w:style w:type="paragraph" w:customStyle="1" w:styleId="Accompagnant">
    <w:name w:val="Accompagnant"/>
    <w:basedOn w:val="Normal"/>
    <w:next w:val="Typeacteprincipal"/>
    <w:pPr>
      <w:spacing w:before="0" w:after="240"/>
      <w:jc w:val="center"/>
    </w:pPr>
    <w:rPr>
      <w:b/>
      <w:i/>
    </w:rPr>
  </w:style>
  <w:style w:type="paragraph" w:customStyle="1" w:styleId="Typeacteprincipal">
    <w:name w:val="Type acte principal"/>
    <w:basedOn w:val="Normal"/>
    <w:next w:val="Objetacteprincipal"/>
    <w:pPr>
      <w:spacing w:before="0" w:after="240"/>
      <w:jc w:val="center"/>
    </w:pPr>
    <w:rPr>
      <w:b/>
    </w:rPr>
  </w:style>
  <w:style w:type="paragraph" w:customStyle="1" w:styleId="Objetacteprincipal">
    <w:name w:val="Objet acte principal"/>
    <w:basedOn w:val="Normal"/>
    <w:next w:val="Titrearticle"/>
    <w:pPr>
      <w:spacing w:before="0" w:after="360"/>
      <w:jc w:val="center"/>
    </w:pPr>
    <w:rPr>
      <w:b/>
    </w:rPr>
  </w:style>
  <w:style w:type="paragraph" w:customStyle="1" w:styleId="IntrtEEEPagedecouverture">
    <w:name w:val="Intérêt EEE (Page de couverture)"/>
    <w:basedOn w:val="IntrtEEE"/>
    <w:next w:val="Rfrencecroise"/>
  </w:style>
  <w:style w:type="paragraph" w:customStyle="1" w:styleId="AccompagnantPagedecouverture">
    <w:name w:val="Accompagnant (Page de couverture)"/>
    <w:basedOn w:val="Accompagnant"/>
    <w:next w:val="TypeacteprincipalPagedecouverture"/>
  </w:style>
  <w:style w:type="paragraph" w:customStyle="1" w:styleId="TypeacteprincipalPagedecouverture">
    <w:name w:val="Type acte principal (Page de couverture)"/>
    <w:basedOn w:val="Typeacteprincipal"/>
    <w:next w:val="ObjetacteprincipalPagedecouverture"/>
  </w:style>
  <w:style w:type="paragraph" w:customStyle="1" w:styleId="ObjetacteprincipalPagedecouverture">
    <w:name w:val="Objet acte principal (Page de couverture)"/>
    <w:basedOn w:val="Objetacteprincipal"/>
    <w:next w:val="Rfrencecroise"/>
  </w:style>
  <w:style w:type="paragraph" w:customStyle="1" w:styleId="LanguesfaisantfoiPagedecouverture">
    <w:name w:val="Langues faisant foi (Page de couverture)"/>
    <w:basedOn w:val="Normal"/>
    <w:next w:val="Normal"/>
    <w:pPr>
      <w:spacing w:before="360" w:after="0"/>
      <w:jc w:val="center"/>
    </w:pPr>
  </w:style>
  <w:style w:type="paragraph" w:styleId="Header">
    <w:name w:val="header"/>
    <w:basedOn w:val="Normal"/>
    <w:link w:val="HeaderChar"/>
    <w:uiPriority w:val="99"/>
    <w:unhideWhenUsed/>
    <w:rsid w:val="000202E5"/>
    <w:pPr>
      <w:tabs>
        <w:tab w:val="center" w:pos="4535"/>
        <w:tab w:val="right" w:pos="9071"/>
      </w:tabs>
      <w:spacing w:before="0"/>
    </w:pPr>
  </w:style>
  <w:style w:type="paragraph" w:customStyle="1" w:styleId="HeaderLandscape">
    <w:name w:val="HeaderLandscape"/>
    <w:basedOn w:val="Normal"/>
    <w:rsid w:val="000202E5"/>
    <w:pPr>
      <w:tabs>
        <w:tab w:val="center" w:pos="7285"/>
        <w:tab w:val="right" w:pos="14003"/>
      </w:tabs>
      <w:spacing w:before="0"/>
    </w:pPr>
  </w:style>
  <w:style w:type="paragraph" w:styleId="Footer">
    <w:name w:val="footer"/>
    <w:basedOn w:val="Normal"/>
    <w:link w:val="FooterChar"/>
    <w:uiPriority w:val="99"/>
    <w:unhideWhenUsed/>
    <w:rsid w:val="000202E5"/>
    <w:pPr>
      <w:tabs>
        <w:tab w:val="center" w:pos="4535"/>
        <w:tab w:val="right" w:pos="9071"/>
        <w:tab w:val="right" w:pos="9921"/>
      </w:tabs>
      <w:spacing w:before="360" w:after="0"/>
      <w:ind w:left="-850" w:right="-850"/>
      <w:jc w:val="left"/>
    </w:pPr>
  </w:style>
  <w:style w:type="paragraph" w:customStyle="1" w:styleId="FooterLandscape">
    <w:name w:val="FooterLandscape"/>
    <w:basedOn w:val="Normal"/>
    <w:rsid w:val="000202E5"/>
    <w:pPr>
      <w:tabs>
        <w:tab w:val="center" w:pos="7285"/>
        <w:tab w:val="center" w:pos="10913"/>
        <w:tab w:val="right" w:pos="15137"/>
      </w:tabs>
      <w:spacing w:before="360" w:after="0"/>
      <w:ind w:left="-567" w:right="-567"/>
      <w:jc w:val="lef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89393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5.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ublic\Documents\Templates\COM.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DC0157-4B9B-48E4-AAA1-8ABBA23482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COM.dotm</Template>
  <TotalTime>30</TotalTime>
  <Pages>7</Pages>
  <Words>2030</Words>
  <Characters>11577</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13580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59</cp:revision>
  <dcterms:created xsi:type="dcterms:W3CDTF">2024-05-22T17:25:00Z</dcterms:created>
  <dcterms:modified xsi:type="dcterms:W3CDTF">2024-07-22T09:54:00Z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tegory">
    <vt:lpwstr>COM/PL/ORG</vt:lpwstr>
  </property>
  <property fmtid="{D5CDD505-2E9C-101B-9397-08002B2CF9AE}" pid="3" name="Version">
    <vt:lpwstr>8.0.25.0</vt:lpwstr>
  </property>
  <property fmtid="{D5CDD505-2E9C-101B-9397-08002B2CF9AE}" pid="4" name="Last edited using">
    <vt:lpwstr>LW 9.0, Build 20230317</vt:lpwstr>
  </property>
  <property fmtid="{D5CDD505-2E9C-101B-9397-08002B2CF9AE}" pid="5" name="MSIP_Label_6bd9ddd1-4d20-43f6-abfa-fc3c07406f94_Enabled">
    <vt:lpwstr>true</vt:lpwstr>
  </property>
  <property fmtid="{D5CDD505-2E9C-101B-9397-08002B2CF9AE}" pid="6" name="MSIP_Label_6bd9ddd1-4d20-43f6-abfa-fc3c07406f94_SetDate">
    <vt:lpwstr>2023-08-01T08:14:47Z</vt:lpwstr>
  </property>
  <property fmtid="{D5CDD505-2E9C-101B-9397-08002B2CF9AE}" pid="7" name="MSIP_Label_6bd9ddd1-4d20-43f6-abfa-fc3c07406f94_Method">
    <vt:lpwstr>Standard</vt:lpwstr>
  </property>
  <property fmtid="{D5CDD505-2E9C-101B-9397-08002B2CF9AE}" pid="8" name="MSIP_Label_6bd9ddd1-4d20-43f6-abfa-fc3c07406f94_Name">
    <vt:lpwstr>Commission Use</vt:lpwstr>
  </property>
  <property fmtid="{D5CDD505-2E9C-101B-9397-08002B2CF9AE}" pid="9" name="MSIP_Label_6bd9ddd1-4d20-43f6-abfa-fc3c07406f94_SiteId">
    <vt:lpwstr>b24c8b06-522c-46fe-9080-70926f8dddb1</vt:lpwstr>
  </property>
  <property fmtid="{D5CDD505-2E9C-101B-9397-08002B2CF9AE}" pid="10" name="MSIP_Label_6bd9ddd1-4d20-43f6-abfa-fc3c07406f94_ActionId">
    <vt:lpwstr>ec45d43f-6d1f-4201-a2db-e9fa83930095</vt:lpwstr>
  </property>
  <property fmtid="{D5CDD505-2E9C-101B-9397-08002B2CF9AE}" pid="11" name="MSIP_Label_6bd9ddd1-4d20-43f6-abfa-fc3c07406f94_ContentBits">
    <vt:lpwstr>0</vt:lpwstr>
  </property>
  <property fmtid="{D5CDD505-2E9C-101B-9397-08002B2CF9AE}" pid="12" name="Created using">
    <vt:lpwstr>LW 9.0, Build 20230317</vt:lpwstr>
  </property>
  <property fmtid="{D5CDD505-2E9C-101B-9397-08002B2CF9AE}" pid="13" name="Part">
    <vt:lpwstr>1</vt:lpwstr>
  </property>
  <property fmtid="{D5CDD505-2E9C-101B-9397-08002B2CF9AE}" pid="14" name="Total parts">
    <vt:lpwstr>1</vt:lpwstr>
  </property>
  <property fmtid="{D5CDD505-2E9C-101B-9397-08002B2CF9AE}" pid="15" name="Level of sensitivity">
    <vt:lpwstr>Standard treatment</vt:lpwstr>
  </property>
  <property fmtid="{D5CDD505-2E9C-101B-9397-08002B2CF9AE}" pid="16" name="LWTemplateID">
    <vt:lpwstr>SJ-043</vt:lpwstr>
  </property>
  <property fmtid="{D5CDD505-2E9C-101B-9397-08002B2CF9AE}" pid="17" name="DQCStatus">
    <vt:lpwstr>Green (DQC version 03)</vt:lpwstr>
  </property>
  <property name="OP_sanitized" fmtid="{D5CDD505-2E9C-101B-9397-08002B2CF9AE}" pid="18">
    <vt:lpwstr>True</vt:lpwstr>
  </property>
</Properties>
</file>