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Pagedecouverture"/>
        <w:rPr>
          <w:noProof/>
        </w:rPr>
      </w:pPr>
      <w:bookmarkStart w:id="0" w:name="LW_BM_COVERPAGE"/>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5" type="#_x0000_t75" alt="E4CF52E5A6184064B8CE40F3E2937B0A" style="width:451.5pt;height:379.5pt">
            <v:imagedata r:id="rId7" o:title=""/>
          </v:shape>
        </w:pict>
      </w:r>
    </w:p>
    <w:bookmarkEnd w:id="0"/>
    <w:p>
      <w:pPr>
        <w:rPr>
          <w:noProof/>
        </w:rPr>
        <w:sectPr>
          <w:headerReference w:type="even" r:id="rId8"/>
          <w:headerReference w:type="default" r:id="rId9"/>
          <w:footerReference w:type="even" r:id="rId10"/>
          <w:footerReference w:type="default" r:id="rId11"/>
          <w:headerReference w:type="first" r:id="rId12"/>
          <w:footerReference w:type="first" r:id="rId13"/>
          <w:pgSz w:w="11906" w:h="16838"/>
          <w:pgMar w:top="1134" w:right="1417" w:bottom="1134" w:left="1417" w:header="709" w:footer="709" w:gutter="0"/>
          <w:pgNumType w:start="0"/>
          <w:cols w:space="720"/>
          <w:docGrid w:linePitch="360"/>
        </w:sectPr>
      </w:pPr>
    </w:p>
    <w:p>
      <w:pPr>
        <w:pStyle w:val="Annexetitre"/>
        <w:rPr>
          <w:noProof/>
        </w:rPr>
      </w:pPr>
      <w:bookmarkStart w:id="1" w:name="_GoBack"/>
      <w:bookmarkEnd w:id="1"/>
      <w:r>
        <w:rPr>
          <w:noProof/>
        </w:rPr>
        <w:lastRenderedPageBreak/>
        <w:t>BILAGA</w:t>
      </w:r>
    </w:p>
    <w:p>
      <w:pPr>
        <w:rPr>
          <w:noProof/>
        </w:rPr>
      </w:pPr>
    </w:p>
    <w:p>
      <w:pPr>
        <w:spacing w:before="120" w:after="120"/>
        <w:rPr>
          <w:b/>
          <w:noProof/>
        </w:rPr>
      </w:pPr>
      <w:r>
        <w:rPr>
          <w:b/>
          <w:noProof/>
        </w:rPr>
        <w:t>Tabell 1. Inköps- och arrendepriser för jordbruksmark i Kroatien, euro per hektar</w:t>
      </w:r>
    </w:p>
    <w:tbl>
      <w:tblPr>
        <w:tblStyle w:val="TableGrid"/>
        <w:tblW w:w="0" w:type="auto"/>
        <w:tblLook w:val="04A0" w:firstRow="1" w:lastRow="0" w:firstColumn="1" w:lastColumn="0" w:noHBand="0" w:noVBand="1"/>
      </w:tblPr>
      <w:tblGrid>
        <w:gridCol w:w="3368"/>
        <w:gridCol w:w="1417"/>
        <w:gridCol w:w="1418"/>
        <w:gridCol w:w="1417"/>
        <w:gridCol w:w="1668"/>
      </w:tblGrid>
      <w:tr>
        <w:tc>
          <w:tcPr>
            <w:tcW w:w="3369" w:type="dxa"/>
          </w:tcPr>
          <w:p>
            <w:pPr>
              <w:rPr>
                <w:b/>
                <w:noProof/>
              </w:rPr>
            </w:pPr>
          </w:p>
        </w:tc>
        <w:tc>
          <w:tcPr>
            <w:tcW w:w="1417" w:type="dxa"/>
          </w:tcPr>
          <w:p>
            <w:pPr>
              <w:jc w:val="center"/>
              <w:rPr>
                <w:b/>
                <w:noProof/>
              </w:rPr>
            </w:pPr>
            <w:r>
              <w:rPr>
                <w:b/>
                <w:noProof/>
              </w:rPr>
              <w:t>2007</w:t>
            </w:r>
          </w:p>
        </w:tc>
        <w:tc>
          <w:tcPr>
            <w:tcW w:w="1418" w:type="dxa"/>
          </w:tcPr>
          <w:p>
            <w:pPr>
              <w:jc w:val="center"/>
              <w:rPr>
                <w:b/>
                <w:noProof/>
              </w:rPr>
            </w:pPr>
            <w:r>
              <w:rPr>
                <w:b/>
                <w:noProof/>
              </w:rPr>
              <w:t>2012</w:t>
            </w:r>
          </w:p>
        </w:tc>
        <w:tc>
          <w:tcPr>
            <w:tcW w:w="1417" w:type="dxa"/>
          </w:tcPr>
          <w:p>
            <w:pPr>
              <w:jc w:val="center"/>
              <w:rPr>
                <w:b/>
                <w:noProof/>
              </w:rPr>
            </w:pPr>
            <w:r>
              <w:rPr>
                <w:b/>
                <w:noProof/>
              </w:rPr>
              <w:t>2013</w:t>
            </w:r>
          </w:p>
        </w:tc>
        <w:tc>
          <w:tcPr>
            <w:tcW w:w="1668" w:type="dxa"/>
          </w:tcPr>
          <w:p>
            <w:pPr>
              <w:jc w:val="center"/>
              <w:rPr>
                <w:b/>
                <w:noProof/>
              </w:rPr>
            </w:pPr>
            <w:r>
              <w:rPr>
                <w:b/>
                <w:noProof/>
              </w:rPr>
              <w:t>2014</w:t>
            </w:r>
          </w:p>
        </w:tc>
      </w:tr>
      <w:tr>
        <w:tc>
          <w:tcPr>
            <w:tcW w:w="3369" w:type="dxa"/>
          </w:tcPr>
          <w:p>
            <w:pPr>
              <w:rPr>
                <w:noProof/>
              </w:rPr>
            </w:pPr>
            <w:r>
              <w:rPr>
                <w:noProof/>
              </w:rPr>
              <w:t>Inköpspriser</w:t>
            </w:r>
          </w:p>
        </w:tc>
        <w:tc>
          <w:tcPr>
            <w:tcW w:w="1417" w:type="dxa"/>
          </w:tcPr>
          <w:p>
            <w:pPr>
              <w:jc w:val="center"/>
              <w:rPr>
                <w:noProof/>
                <w:sz w:val="22"/>
                <w:szCs w:val="22"/>
              </w:rPr>
            </w:pPr>
          </w:p>
        </w:tc>
        <w:tc>
          <w:tcPr>
            <w:tcW w:w="1418" w:type="dxa"/>
          </w:tcPr>
          <w:p>
            <w:pPr>
              <w:jc w:val="center"/>
              <w:rPr>
                <w:noProof/>
                <w:sz w:val="22"/>
                <w:szCs w:val="22"/>
              </w:rPr>
            </w:pPr>
            <w:r>
              <w:rPr>
                <w:noProof/>
                <w:sz w:val="22"/>
              </w:rPr>
              <w:t>6 028</w:t>
            </w:r>
          </w:p>
        </w:tc>
        <w:tc>
          <w:tcPr>
            <w:tcW w:w="1417" w:type="dxa"/>
          </w:tcPr>
          <w:p>
            <w:pPr>
              <w:jc w:val="center"/>
              <w:rPr>
                <w:noProof/>
                <w:sz w:val="22"/>
                <w:szCs w:val="22"/>
              </w:rPr>
            </w:pPr>
            <w:r>
              <w:rPr>
                <w:noProof/>
                <w:sz w:val="22"/>
              </w:rPr>
              <w:t>4 902</w:t>
            </w:r>
          </w:p>
        </w:tc>
        <w:tc>
          <w:tcPr>
            <w:tcW w:w="1668" w:type="dxa"/>
          </w:tcPr>
          <w:p>
            <w:pPr>
              <w:jc w:val="center"/>
              <w:rPr>
                <w:noProof/>
                <w:sz w:val="22"/>
                <w:szCs w:val="22"/>
              </w:rPr>
            </w:pPr>
            <w:r>
              <w:rPr>
                <w:noProof/>
                <w:sz w:val="22"/>
              </w:rPr>
              <w:t>4 935</w:t>
            </w:r>
          </w:p>
        </w:tc>
      </w:tr>
      <w:tr>
        <w:tc>
          <w:tcPr>
            <w:tcW w:w="3369" w:type="dxa"/>
          </w:tcPr>
          <w:p>
            <w:pPr>
              <w:rPr>
                <w:noProof/>
              </w:rPr>
            </w:pPr>
            <w:r>
              <w:rPr>
                <w:noProof/>
              </w:rPr>
              <w:t>Arrenden</w:t>
            </w:r>
          </w:p>
        </w:tc>
        <w:tc>
          <w:tcPr>
            <w:tcW w:w="1417" w:type="dxa"/>
          </w:tcPr>
          <w:p>
            <w:pPr>
              <w:jc w:val="center"/>
              <w:rPr>
                <w:noProof/>
                <w:sz w:val="22"/>
                <w:szCs w:val="22"/>
              </w:rPr>
            </w:pPr>
          </w:p>
        </w:tc>
        <w:tc>
          <w:tcPr>
            <w:tcW w:w="1418" w:type="dxa"/>
          </w:tcPr>
          <w:p>
            <w:pPr>
              <w:jc w:val="center"/>
              <w:rPr>
                <w:noProof/>
                <w:sz w:val="22"/>
                <w:szCs w:val="22"/>
              </w:rPr>
            </w:pPr>
          </w:p>
        </w:tc>
        <w:tc>
          <w:tcPr>
            <w:tcW w:w="1417" w:type="dxa"/>
          </w:tcPr>
          <w:p>
            <w:pPr>
              <w:jc w:val="center"/>
              <w:rPr>
                <w:noProof/>
                <w:sz w:val="22"/>
                <w:szCs w:val="22"/>
              </w:rPr>
            </w:pPr>
            <w:r>
              <w:rPr>
                <w:noProof/>
                <w:sz w:val="22"/>
              </w:rPr>
              <w:t>119</w:t>
            </w:r>
          </w:p>
        </w:tc>
        <w:tc>
          <w:tcPr>
            <w:tcW w:w="1668" w:type="dxa"/>
          </w:tcPr>
          <w:p>
            <w:pPr>
              <w:jc w:val="center"/>
              <w:rPr>
                <w:noProof/>
                <w:sz w:val="22"/>
                <w:szCs w:val="22"/>
              </w:rPr>
            </w:pPr>
            <w:r>
              <w:rPr>
                <w:noProof/>
                <w:sz w:val="22"/>
              </w:rPr>
              <w:t>107</w:t>
            </w:r>
          </w:p>
        </w:tc>
      </w:tr>
      <w:tr>
        <w:tc>
          <w:tcPr>
            <w:tcW w:w="3369" w:type="dxa"/>
          </w:tcPr>
          <w:p>
            <w:pPr>
              <w:rPr>
                <w:noProof/>
              </w:rPr>
            </w:pPr>
            <w:r>
              <w:rPr>
                <w:noProof/>
              </w:rPr>
              <w:t>Jordbruksmark i bruk (hektar)</w:t>
            </w:r>
          </w:p>
        </w:tc>
        <w:tc>
          <w:tcPr>
            <w:tcW w:w="1417" w:type="dxa"/>
          </w:tcPr>
          <w:p>
            <w:pPr>
              <w:jc w:val="center"/>
              <w:rPr>
                <w:noProof/>
                <w:sz w:val="22"/>
                <w:szCs w:val="22"/>
              </w:rPr>
            </w:pPr>
            <w:r>
              <w:rPr>
                <w:noProof/>
                <w:sz w:val="22"/>
              </w:rPr>
              <w:t>978 670</w:t>
            </w:r>
          </w:p>
        </w:tc>
        <w:tc>
          <w:tcPr>
            <w:tcW w:w="1418" w:type="dxa"/>
          </w:tcPr>
          <w:p>
            <w:pPr>
              <w:jc w:val="center"/>
              <w:rPr>
                <w:noProof/>
                <w:sz w:val="22"/>
                <w:szCs w:val="22"/>
              </w:rPr>
            </w:pPr>
          </w:p>
        </w:tc>
        <w:tc>
          <w:tcPr>
            <w:tcW w:w="1417" w:type="dxa"/>
          </w:tcPr>
          <w:p>
            <w:pPr>
              <w:jc w:val="center"/>
              <w:rPr>
                <w:noProof/>
                <w:sz w:val="22"/>
                <w:szCs w:val="22"/>
              </w:rPr>
            </w:pPr>
            <w:r>
              <w:rPr>
                <w:noProof/>
                <w:sz w:val="22"/>
              </w:rPr>
              <w:t>1 571 200</w:t>
            </w:r>
          </w:p>
        </w:tc>
        <w:tc>
          <w:tcPr>
            <w:tcW w:w="1668" w:type="dxa"/>
          </w:tcPr>
          <w:p>
            <w:pPr>
              <w:jc w:val="center"/>
              <w:rPr>
                <w:noProof/>
                <w:sz w:val="22"/>
                <w:szCs w:val="22"/>
              </w:rPr>
            </w:pPr>
          </w:p>
        </w:tc>
      </w:tr>
      <w:tr>
        <w:tc>
          <w:tcPr>
            <w:tcW w:w="9289" w:type="dxa"/>
            <w:gridSpan w:val="5"/>
          </w:tcPr>
          <w:p>
            <w:pPr>
              <w:rPr>
                <w:i/>
                <w:noProof/>
                <w:sz w:val="18"/>
                <w:szCs w:val="18"/>
              </w:rPr>
            </w:pPr>
          </w:p>
          <w:p>
            <w:pPr>
              <w:rPr>
                <w:noProof/>
                <w:sz w:val="18"/>
                <w:szCs w:val="18"/>
              </w:rPr>
            </w:pPr>
            <w:r>
              <w:rPr>
                <w:i/>
                <w:noProof/>
                <w:sz w:val="18"/>
              </w:rPr>
              <w:t>Källa</w:t>
            </w:r>
            <w:r>
              <w:rPr>
                <w:noProof/>
                <w:sz w:val="18"/>
              </w:rPr>
              <w:t>: Nationella uppgifter från skattemyndigheter.</w:t>
            </w:r>
          </w:p>
        </w:tc>
      </w:tr>
    </w:tbl>
    <w:p>
      <w:pPr>
        <w:rPr>
          <w:b/>
          <w:noProof/>
          <w:sz w:val="18"/>
          <w:szCs w:val="18"/>
        </w:rPr>
      </w:pPr>
    </w:p>
    <w:p>
      <w:pPr>
        <w:rPr>
          <w:b/>
          <w:noProof/>
        </w:rPr>
      </w:pPr>
    </w:p>
    <w:p>
      <w:pPr>
        <w:rPr>
          <w:b/>
          <w:noProof/>
        </w:rPr>
      </w:pPr>
    </w:p>
    <w:p>
      <w:pPr>
        <w:rPr>
          <w:b/>
          <w:noProof/>
        </w:rPr>
      </w:pPr>
    </w:p>
    <w:p>
      <w:pPr>
        <w:rPr>
          <w:b/>
          <w:noProof/>
        </w:rPr>
      </w:pPr>
    </w:p>
    <w:tbl>
      <w:tblPr>
        <w:tblStyle w:val="TableGrid"/>
        <w:tblW w:w="0" w:type="auto"/>
        <w:tblLook w:val="04A0" w:firstRow="1" w:lastRow="0" w:firstColumn="1" w:lastColumn="0" w:noHBand="0" w:noVBand="1"/>
      </w:tblPr>
      <w:tblGrid>
        <w:gridCol w:w="9288"/>
      </w:tblGrid>
      <w:tr>
        <w:tc>
          <w:tcPr>
            <w:tcW w:w="9288" w:type="dxa"/>
          </w:tcPr>
          <w:p>
            <w:pPr>
              <w:jc w:val="center"/>
              <w:rPr>
                <w:b/>
                <w:noProof/>
              </w:rPr>
            </w:pPr>
            <w:r>
              <w:rPr>
                <w:b/>
                <w:noProof/>
              </w:rPr>
              <w:t>Diagram 1. Förändringar av indexet för reell faktorinkomst i jordbruk per årsarbetsenhet (indikator A) 2005–2014,</w:t>
            </w:r>
          </w:p>
          <w:p>
            <w:pPr>
              <w:jc w:val="center"/>
              <w:rPr>
                <w:b/>
                <w:noProof/>
              </w:rPr>
            </w:pPr>
            <w:r>
              <w:rPr>
                <w:b/>
                <w:noProof/>
              </w:rPr>
              <w:t xml:space="preserve">Kroatien i jämförelse med EU-15 </w:t>
            </w:r>
          </w:p>
        </w:tc>
      </w:tr>
      <w:tr>
        <w:tc>
          <w:tcPr>
            <w:tcW w:w="9288" w:type="dxa"/>
          </w:tcPr>
          <w:p>
            <w:pPr>
              <w:jc w:val="center"/>
              <w:rPr>
                <w:b/>
                <w:noProof/>
              </w:rPr>
            </w:pPr>
            <w:r>
              <w:rPr>
                <w:b/>
                <w:noProof/>
                <w:lang w:val="en-US" w:eastAsia="en-US" w:bidi="ar-SA"/>
              </w:rPr>
              <w:drawing>
                <wp:inline distT="0" distB="0" distL="0" distR="0">
                  <wp:extent cx="3790950" cy="23622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790950" cy="2362200"/>
                          </a:xfrm>
                          <a:prstGeom prst="rect">
                            <a:avLst/>
                          </a:prstGeom>
                          <a:noFill/>
                          <a:ln>
                            <a:noFill/>
                          </a:ln>
                        </pic:spPr>
                      </pic:pic>
                    </a:graphicData>
                  </a:graphic>
                </wp:inline>
              </w:drawing>
            </w:r>
          </w:p>
        </w:tc>
      </w:tr>
      <w:tr>
        <w:tc>
          <w:tcPr>
            <w:tcW w:w="9288" w:type="dxa"/>
          </w:tcPr>
          <w:p>
            <w:pPr>
              <w:rPr>
                <w:noProof/>
                <w:sz w:val="18"/>
                <w:szCs w:val="18"/>
              </w:rPr>
            </w:pPr>
            <w:r>
              <w:rPr>
                <w:i/>
                <w:noProof/>
                <w:sz w:val="18"/>
              </w:rPr>
              <w:t>Källa</w:t>
            </w:r>
            <w:r>
              <w:rPr>
                <w:noProof/>
                <w:sz w:val="18"/>
              </w:rPr>
              <w:t>: Eurostat</w:t>
            </w:r>
          </w:p>
          <w:p>
            <w:pPr>
              <w:jc w:val="both"/>
              <w:rPr>
                <w:noProof/>
                <w:sz w:val="18"/>
                <w:szCs w:val="18"/>
              </w:rPr>
            </w:pPr>
            <w:r>
              <w:rPr>
                <w:i/>
                <w:noProof/>
                <w:sz w:val="18"/>
              </w:rPr>
              <w:t>Anmärkning</w:t>
            </w:r>
            <w:r>
              <w:rPr>
                <w:noProof/>
                <w:sz w:val="18"/>
              </w:rPr>
              <w:t xml:space="preserve">: 2005=100. En årsarbetsenhet motsvarar det arbete som utförs av en person som är sysselsatt på ett </w:t>
            </w:r>
            <w:hyperlink r:id="rId15">
              <w:r>
                <w:rPr>
                  <w:noProof/>
                  <w:sz w:val="18"/>
                </w:rPr>
                <w:t>jordbruksföretag</w:t>
              </w:r>
            </w:hyperlink>
            <w:r>
              <w:rPr>
                <w:noProof/>
                <w:sz w:val="18"/>
              </w:rPr>
              <w:t xml:space="preserve"> på heltid. Med heltid avses det minsta antal timmar som krävs enligt de relevanta nationella bestämmelserna om anställningsavtal. Om antalet timmar inte anges i de nationella bestämmelserna anses det minsta antalet arbetstimmar vara 1 800 timmar. Detta motsvarar 225 arbetsdagar på åtta timmar vardera.</w:t>
            </w:r>
          </w:p>
        </w:tc>
      </w:tr>
    </w:tbl>
    <w:p>
      <w:pPr>
        <w:rPr>
          <w:b/>
          <w:noProof/>
        </w:rPr>
      </w:pPr>
    </w:p>
    <w:p>
      <w:pPr>
        <w:rPr>
          <w:noProof/>
        </w:rPr>
      </w:pPr>
      <w:r>
        <w:rPr>
          <w:noProof/>
        </w:rPr>
        <w:br w:type="page"/>
      </w:r>
    </w:p>
    <w:p>
      <w:pPr>
        <w:rPr>
          <w:b/>
          <w:noProof/>
        </w:rPr>
      </w:pPr>
    </w:p>
    <w:p>
      <w:pPr>
        <w:jc w:val="center"/>
        <w:rPr>
          <w:b/>
          <w:noProof/>
        </w:rPr>
      </w:pPr>
      <w:r>
        <w:rPr>
          <w:b/>
          <w:noProof/>
        </w:rPr>
        <w:t>Tabell 2.</w:t>
      </w:r>
      <w:r>
        <w:rPr>
          <w:noProof/>
        </w:rPr>
        <w:t xml:space="preserve"> </w:t>
      </w:r>
      <w:r>
        <w:rPr>
          <w:b/>
          <w:noProof/>
          <w:u w:val="single"/>
        </w:rPr>
        <w:t>Kroatisk</w:t>
      </w:r>
      <w:r>
        <w:rPr>
          <w:b/>
          <w:noProof/>
        </w:rPr>
        <w:t xml:space="preserve"> jordbruksmarks överkomlighet</w:t>
      </w:r>
    </w:p>
    <w:p>
      <w:pPr>
        <w:jc w:val="center"/>
        <w:rPr>
          <w:noProof/>
        </w:rPr>
      </w:pPr>
      <w:r>
        <w:rPr>
          <w:b/>
          <w:noProof/>
        </w:rPr>
        <w:t>för jordbrukare i Kroatien och i resten av EU, 2012–2014</w:t>
      </w:r>
    </w:p>
    <w:p>
      <w:pPr>
        <w:rPr>
          <w:noProof/>
        </w:rPr>
      </w:pPr>
    </w:p>
    <w:tbl>
      <w:tblPr>
        <w:tblW w:w="7371" w:type="dxa"/>
        <w:tblInd w:w="5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1701"/>
        <w:gridCol w:w="2268"/>
        <w:gridCol w:w="1843"/>
        <w:gridCol w:w="1559"/>
      </w:tblGrid>
      <w:tr>
        <w:trPr>
          <w:trHeight w:hRule="exact" w:val="332"/>
        </w:trPr>
        <w:tc>
          <w:tcPr>
            <w:tcW w:w="1701" w:type="dxa"/>
            <w:shd w:val="clear" w:color="auto" w:fill="FFFFFF"/>
          </w:tcPr>
          <w:p>
            <w:pPr>
              <w:jc w:val="center"/>
              <w:rPr>
                <w:b/>
                <w:noProof/>
                <w:color w:val="000000"/>
                <w:sz w:val="10"/>
                <w:szCs w:val="10"/>
              </w:rPr>
            </w:pPr>
            <w:r>
              <w:rPr>
                <w:b/>
                <w:noProof/>
              </w:rPr>
              <w:t>Medlemsstat</w:t>
            </w:r>
          </w:p>
        </w:tc>
        <w:tc>
          <w:tcPr>
            <w:tcW w:w="2268" w:type="dxa"/>
            <w:shd w:val="clear" w:color="auto" w:fill="FFFFFF"/>
            <w:vAlign w:val="bottom"/>
            <w:hideMark/>
          </w:tcPr>
          <w:p>
            <w:pPr>
              <w:jc w:val="center"/>
              <w:rPr>
                <w:b/>
                <w:noProof/>
              </w:rPr>
            </w:pPr>
            <w:r>
              <w:rPr>
                <w:b/>
                <w:noProof/>
              </w:rPr>
              <w:t>2012</w:t>
            </w:r>
          </w:p>
        </w:tc>
        <w:tc>
          <w:tcPr>
            <w:tcW w:w="1843" w:type="dxa"/>
            <w:shd w:val="clear" w:color="auto" w:fill="FFFFFF"/>
            <w:vAlign w:val="bottom"/>
            <w:hideMark/>
          </w:tcPr>
          <w:p>
            <w:pPr>
              <w:jc w:val="center"/>
              <w:rPr>
                <w:b/>
                <w:noProof/>
              </w:rPr>
            </w:pPr>
            <w:r>
              <w:rPr>
                <w:b/>
                <w:noProof/>
              </w:rPr>
              <w:t>2013</w:t>
            </w:r>
          </w:p>
        </w:tc>
        <w:tc>
          <w:tcPr>
            <w:tcW w:w="1559" w:type="dxa"/>
            <w:shd w:val="clear" w:color="auto" w:fill="FFFFFF"/>
            <w:vAlign w:val="bottom"/>
            <w:hideMark/>
          </w:tcPr>
          <w:p>
            <w:pPr>
              <w:jc w:val="center"/>
              <w:rPr>
                <w:b/>
                <w:noProof/>
              </w:rPr>
            </w:pPr>
            <w:r>
              <w:rPr>
                <w:b/>
                <w:noProof/>
              </w:rPr>
              <w:t>2014</w:t>
            </w:r>
          </w:p>
        </w:tc>
      </w:tr>
      <w:tr>
        <w:trPr>
          <w:trHeight w:hRule="exact" w:val="327"/>
        </w:trPr>
        <w:tc>
          <w:tcPr>
            <w:tcW w:w="1701" w:type="dxa"/>
            <w:shd w:val="clear" w:color="auto" w:fill="FFFFFF"/>
            <w:vAlign w:val="bottom"/>
            <w:hideMark/>
          </w:tcPr>
          <w:p>
            <w:pPr>
              <w:jc w:val="both"/>
              <w:rPr>
                <w:noProof/>
                <w:sz w:val="22"/>
                <w:szCs w:val="22"/>
              </w:rPr>
            </w:pPr>
            <w:r>
              <w:rPr>
                <w:noProof/>
                <w:sz w:val="22"/>
              </w:rPr>
              <w:t>Belgien</w:t>
            </w:r>
          </w:p>
        </w:tc>
        <w:tc>
          <w:tcPr>
            <w:tcW w:w="2268" w:type="dxa"/>
            <w:shd w:val="clear" w:color="auto" w:fill="FFFFFF"/>
            <w:vAlign w:val="bottom"/>
            <w:hideMark/>
          </w:tcPr>
          <w:p>
            <w:pPr>
              <w:jc w:val="center"/>
              <w:rPr>
                <w:noProof/>
                <w:sz w:val="22"/>
                <w:szCs w:val="22"/>
              </w:rPr>
            </w:pPr>
            <w:r>
              <w:rPr>
                <w:noProof/>
                <w:sz w:val="22"/>
              </w:rPr>
              <w:t>7,01</w:t>
            </w:r>
          </w:p>
        </w:tc>
        <w:tc>
          <w:tcPr>
            <w:tcW w:w="1843" w:type="dxa"/>
            <w:shd w:val="clear" w:color="auto" w:fill="FFFFFF"/>
            <w:vAlign w:val="bottom"/>
            <w:hideMark/>
          </w:tcPr>
          <w:p>
            <w:pPr>
              <w:jc w:val="center"/>
              <w:rPr>
                <w:noProof/>
                <w:sz w:val="22"/>
                <w:szCs w:val="22"/>
              </w:rPr>
            </w:pPr>
            <w:r>
              <w:rPr>
                <w:noProof/>
                <w:sz w:val="22"/>
              </w:rPr>
              <w:t>7,05</w:t>
            </w:r>
          </w:p>
        </w:tc>
        <w:tc>
          <w:tcPr>
            <w:tcW w:w="1559" w:type="dxa"/>
            <w:shd w:val="clear" w:color="auto" w:fill="FFFFFF"/>
            <w:vAlign w:val="bottom"/>
            <w:hideMark/>
          </w:tcPr>
          <w:p>
            <w:pPr>
              <w:jc w:val="center"/>
              <w:rPr>
                <w:noProof/>
                <w:sz w:val="22"/>
                <w:szCs w:val="22"/>
              </w:rPr>
            </w:pPr>
            <w:r>
              <w:rPr>
                <w:noProof/>
                <w:sz w:val="22"/>
              </w:rPr>
              <w:t>6,25</w:t>
            </w:r>
          </w:p>
        </w:tc>
      </w:tr>
      <w:tr>
        <w:trPr>
          <w:trHeight w:hRule="exact" w:val="299"/>
        </w:trPr>
        <w:tc>
          <w:tcPr>
            <w:tcW w:w="1701" w:type="dxa"/>
            <w:shd w:val="clear" w:color="auto" w:fill="FFFFFF"/>
            <w:vAlign w:val="bottom"/>
            <w:hideMark/>
          </w:tcPr>
          <w:p>
            <w:pPr>
              <w:jc w:val="both"/>
              <w:rPr>
                <w:noProof/>
                <w:sz w:val="22"/>
                <w:szCs w:val="22"/>
              </w:rPr>
            </w:pPr>
            <w:r>
              <w:rPr>
                <w:noProof/>
                <w:sz w:val="22"/>
              </w:rPr>
              <w:t>Bulgarien</w:t>
            </w:r>
          </w:p>
        </w:tc>
        <w:tc>
          <w:tcPr>
            <w:tcW w:w="2268" w:type="dxa"/>
            <w:shd w:val="clear" w:color="auto" w:fill="FFFFFF"/>
            <w:vAlign w:val="bottom"/>
            <w:hideMark/>
          </w:tcPr>
          <w:p>
            <w:pPr>
              <w:jc w:val="center"/>
              <w:rPr>
                <w:noProof/>
                <w:sz w:val="22"/>
                <w:szCs w:val="22"/>
              </w:rPr>
            </w:pPr>
            <w:r>
              <w:rPr>
                <w:noProof/>
                <w:sz w:val="22"/>
              </w:rPr>
              <w:t>0,87</w:t>
            </w:r>
          </w:p>
        </w:tc>
        <w:tc>
          <w:tcPr>
            <w:tcW w:w="1843" w:type="dxa"/>
            <w:shd w:val="clear" w:color="auto" w:fill="FFFFFF"/>
            <w:vAlign w:val="bottom"/>
            <w:hideMark/>
          </w:tcPr>
          <w:p>
            <w:pPr>
              <w:jc w:val="center"/>
              <w:rPr>
                <w:noProof/>
                <w:sz w:val="22"/>
                <w:szCs w:val="22"/>
              </w:rPr>
            </w:pPr>
            <w:r>
              <w:rPr>
                <w:noProof/>
                <w:sz w:val="22"/>
              </w:rPr>
              <w:t>1,30</w:t>
            </w:r>
          </w:p>
        </w:tc>
        <w:tc>
          <w:tcPr>
            <w:tcW w:w="1559" w:type="dxa"/>
            <w:shd w:val="clear" w:color="auto" w:fill="FFFFFF"/>
            <w:vAlign w:val="bottom"/>
            <w:hideMark/>
          </w:tcPr>
          <w:p>
            <w:pPr>
              <w:jc w:val="center"/>
              <w:rPr>
                <w:noProof/>
                <w:sz w:val="22"/>
                <w:szCs w:val="22"/>
              </w:rPr>
            </w:pPr>
            <w:r>
              <w:rPr>
                <w:noProof/>
                <w:sz w:val="22"/>
              </w:rPr>
              <w:t>1,44</w:t>
            </w:r>
          </w:p>
        </w:tc>
      </w:tr>
      <w:tr>
        <w:trPr>
          <w:trHeight w:hRule="exact" w:val="294"/>
        </w:trPr>
        <w:tc>
          <w:tcPr>
            <w:tcW w:w="1701" w:type="dxa"/>
            <w:shd w:val="clear" w:color="auto" w:fill="FFFFFF"/>
            <w:vAlign w:val="bottom"/>
            <w:hideMark/>
          </w:tcPr>
          <w:p>
            <w:pPr>
              <w:jc w:val="both"/>
              <w:rPr>
                <w:noProof/>
                <w:sz w:val="22"/>
                <w:szCs w:val="22"/>
              </w:rPr>
            </w:pPr>
            <w:r>
              <w:rPr>
                <w:noProof/>
                <w:sz w:val="22"/>
              </w:rPr>
              <w:t>Tjeckien</w:t>
            </w:r>
          </w:p>
        </w:tc>
        <w:tc>
          <w:tcPr>
            <w:tcW w:w="2268" w:type="dxa"/>
            <w:shd w:val="clear" w:color="auto" w:fill="FFFFFF"/>
            <w:vAlign w:val="bottom"/>
            <w:hideMark/>
          </w:tcPr>
          <w:p>
            <w:pPr>
              <w:jc w:val="center"/>
              <w:rPr>
                <w:noProof/>
                <w:sz w:val="22"/>
                <w:szCs w:val="22"/>
              </w:rPr>
            </w:pPr>
            <w:r>
              <w:rPr>
                <w:noProof/>
                <w:sz w:val="22"/>
              </w:rPr>
              <w:t>2,89</w:t>
            </w:r>
          </w:p>
        </w:tc>
        <w:tc>
          <w:tcPr>
            <w:tcW w:w="1843" w:type="dxa"/>
            <w:shd w:val="clear" w:color="auto" w:fill="FFFFFF"/>
            <w:vAlign w:val="bottom"/>
            <w:hideMark/>
          </w:tcPr>
          <w:p>
            <w:pPr>
              <w:jc w:val="center"/>
              <w:rPr>
                <w:noProof/>
                <w:sz w:val="22"/>
                <w:szCs w:val="22"/>
              </w:rPr>
            </w:pPr>
            <w:r>
              <w:rPr>
                <w:noProof/>
                <w:sz w:val="22"/>
              </w:rPr>
              <w:t>3,58</w:t>
            </w:r>
          </w:p>
        </w:tc>
        <w:tc>
          <w:tcPr>
            <w:tcW w:w="1559" w:type="dxa"/>
            <w:shd w:val="clear" w:color="auto" w:fill="FFFFFF"/>
            <w:vAlign w:val="bottom"/>
            <w:hideMark/>
          </w:tcPr>
          <w:p>
            <w:pPr>
              <w:jc w:val="center"/>
              <w:rPr>
                <w:noProof/>
                <w:sz w:val="22"/>
                <w:szCs w:val="22"/>
              </w:rPr>
            </w:pPr>
            <w:r>
              <w:rPr>
                <w:noProof/>
                <w:sz w:val="22"/>
              </w:rPr>
              <w:t>4,10</w:t>
            </w:r>
          </w:p>
        </w:tc>
      </w:tr>
      <w:tr>
        <w:trPr>
          <w:trHeight w:hRule="exact" w:val="299"/>
        </w:trPr>
        <w:tc>
          <w:tcPr>
            <w:tcW w:w="1701" w:type="dxa"/>
            <w:shd w:val="clear" w:color="auto" w:fill="FFFFFF"/>
            <w:vAlign w:val="bottom"/>
            <w:hideMark/>
          </w:tcPr>
          <w:p>
            <w:pPr>
              <w:jc w:val="both"/>
              <w:rPr>
                <w:noProof/>
                <w:sz w:val="22"/>
                <w:szCs w:val="22"/>
              </w:rPr>
            </w:pPr>
            <w:r>
              <w:rPr>
                <w:noProof/>
                <w:sz w:val="22"/>
              </w:rPr>
              <w:t>Danmark</w:t>
            </w:r>
          </w:p>
        </w:tc>
        <w:tc>
          <w:tcPr>
            <w:tcW w:w="2268" w:type="dxa"/>
            <w:shd w:val="clear" w:color="auto" w:fill="FFFFFF"/>
            <w:vAlign w:val="bottom"/>
            <w:hideMark/>
          </w:tcPr>
          <w:p>
            <w:pPr>
              <w:jc w:val="center"/>
              <w:rPr>
                <w:noProof/>
                <w:sz w:val="22"/>
                <w:szCs w:val="22"/>
              </w:rPr>
            </w:pPr>
            <w:r>
              <w:rPr>
                <w:noProof/>
                <w:sz w:val="22"/>
              </w:rPr>
              <w:t>10,03</w:t>
            </w:r>
          </w:p>
        </w:tc>
        <w:tc>
          <w:tcPr>
            <w:tcW w:w="1843" w:type="dxa"/>
            <w:shd w:val="clear" w:color="auto" w:fill="FFFFFF"/>
            <w:vAlign w:val="bottom"/>
            <w:hideMark/>
          </w:tcPr>
          <w:p>
            <w:pPr>
              <w:jc w:val="center"/>
              <w:rPr>
                <w:noProof/>
                <w:sz w:val="22"/>
                <w:szCs w:val="22"/>
              </w:rPr>
            </w:pPr>
            <w:r>
              <w:rPr>
                <w:noProof/>
                <w:sz w:val="22"/>
              </w:rPr>
              <w:t>8,47</w:t>
            </w:r>
          </w:p>
        </w:tc>
        <w:tc>
          <w:tcPr>
            <w:tcW w:w="1559" w:type="dxa"/>
            <w:shd w:val="clear" w:color="auto" w:fill="FFFFFF"/>
            <w:vAlign w:val="bottom"/>
            <w:hideMark/>
          </w:tcPr>
          <w:p>
            <w:pPr>
              <w:jc w:val="center"/>
              <w:rPr>
                <w:noProof/>
                <w:sz w:val="22"/>
                <w:szCs w:val="22"/>
              </w:rPr>
            </w:pPr>
            <w:r>
              <w:rPr>
                <w:noProof/>
                <w:sz w:val="22"/>
              </w:rPr>
              <w:t>9,03</w:t>
            </w:r>
          </w:p>
        </w:tc>
      </w:tr>
      <w:tr>
        <w:trPr>
          <w:trHeight w:hRule="exact" w:val="294"/>
        </w:trPr>
        <w:tc>
          <w:tcPr>
            <w:tcW w:w="1701" w:type="dxa"/>
            <w:shd w:val="clear" w:color="auto" w:fill="FFFFFF"/>
            <w:vAlign w:val="bottom"/>
            <w:hideMark/>
          </w:tcPr>
          <w:p>
            <w:pPr>
              <w:jc w:val="both"/>
              <w:rPr>
                <w:noProof/>
                <w:sz w:val="22"/>
                <w:szCs w:val="22"/>
              </w:rPr>
            </w:pPr>
            <w:r>
              <w:rPr>
                <w:noProof/>
                <w:sz w:val="22"/>
              </w:rPr>
              <w:t>Tyskland</w:t>
            </w:r>
          </w:p>
        </w:tc>
        <w:tc>
          <w:tcPr>
            <w:tcW w:w="2268" w:type="dxa"/>
            <w:shd w:val="clear" w:color="auto" w:fill="FFFFFF"/>
            <w:vAlign w:val="bottom"/>
            <w:hideMark/>
          </w:tcPr>
          <w:p>
            <w:pPr>
              <w:jc w:val="center"/>
              <w:rPr>
                <w:noProof/>
                <w:sz w:val="22"/>
                <w:szCs w:val="22"/>
              </w:rPr>
            </w:pPr>
            <w:r>
              <w:rPr>
                <w:noProof/>
                <w:sz w:val="22"/>
              </w:rPr>
              <w:t>4,42</w:t>
            </w:r>
          </w:p>
        </w:tc>
        <w:tc>
          <w:tcPr>
            <w:tcW w:w="1843" w:type="dxa"/>
            <w:shd w:val="clear" w:color="auto" w:fill="FFFFFF"/>
            <w:vAlign w:val="bottom"/>
            <w:hideMark/>
          </w:tcPr>
          <w:p>
            <w:pPr>
              <w:jc w:val="center"/>
              <w:rPr>
                <w:noProof/>
                <w:sz w:val="22"/>
                <w:szCs w:val="22"/>
              </w:rPr>
            </w:pPr>
            <w:r>
              <w:rPr>
                <w:noProof/>
                <w:sz w:val="22"/>
              </w:rPr>
              <w:t>7,27</w:t>
            </w:r>
          </w:p>
        </w:tc>
        <w:tc>
          <w:tcPr>
            <w:tcW w:w="1559" w:type="dxa"/>
            <w:shd w:val="clear" w:color="auto" w:fill="FFFFFF"/>
            <w:vAlign w:val="bottom"/>
            <w:hideMark/>
          </w:tcPr>
          <w:p>
            <w:pPr>
              <w:jc w:val="center"/>
              <w:rPr>
                <w:noProof/>
                <w:sz w:val="22"/>
                <w:szCs w:val="22"/>
              </w:rPr>
            </w:pPr>
            <w:r>
              <w:rPr>
                <w:noProof/>
                <w:sz w:val="22"/>
              </w:rPr>
              <w:t>5,86</w:t>
            </w:r>
          </w:p>
        </w:tc>
      </w:tr>
      <w:tr>
        <w:trPr>
          <w:trHeight w:hRule="exact" w:val="294"/>
        </w:trPr>
        <w:tc>
          <w:tcPr>
            <w:tcW w:w="1701" w:type="dxa"/>
            <w:shd w:val="clear" w:color="auto" w:fill="FFFFFF"/>
            <w:vAlign w:val="bottom"/>
            <w:hideMark/>
          </w:tcPr>
          <w:p>
            <w:pPr>
              <w:jc w:val="both"/>
              <w:rPr>
                <w:noProof/>
                <w:sz w:val="22"/>
                <w:szCs w:val="22"/>
              </w:rPr>
            </w:pPr>
            <w:r>
              <w:rPr>
                <w:noProof/>
                <w:sz w:val="22"/>
              </w:rPr>
              <w:t>Estland</w:t>
            </w:r>
          </w:p>
        </w:tc>
        <w:tc>
          <w:tcPr>
            <w:tcW w:w="2268" w:type="dxa"/>
            <w:shd w:val="clear" w:color="auto" w:fill="FFFFFF"/>
            <w:vAlign w:val="bottom"/>
            <w:hideMark/>
          </w:tcPr>
          <w:p>
            <w:pPr>
              <w:jc w:val="center"/>
              <w:rPr>
                <w:noProof/>
                <w:sz w:val="22"/>
                <w:szCs w:val="22"/>
              </w:rPr>
            </w:pPr>
            <w:r>
              <w:rPr>
                <w:noProof/>
                <w:sz w:val="22"/>
              </w:rPr>
              <w:t>2,99</w:t>
            </w:r>
          </w:p>
        </w:tc>
        <w:tc>
          <w:tcPr>
            <w:tcW w:w="1843" w:type="dxa"/>
            <w:shd w:val="clear" w:color="auto" w:fill="FFFFFF"/>
            <w:vAlign w:val="bottom"/>
            <w:hideMark/>
          </w:tcPr>
          <w:p>
            <w:pPr>
              <w:jc w:val="center"/>
              <w:rPr>
                <w:noProof/>
                <w:sz w:val="22"/>
                <w:szCs w:val="22"/>
              </w:rPr>
            </w:pPr>
            <w:r>
              <w:rPr>
                <w:noProof/>
                <w:sz w:val="22"/>
              </w:rPr>
              <w:t>3,40</w:t>
            </w:r>
          </w:p>
        </w:tc>
        <w:tc>
          <w:tcPr>
            <w:tcW w:w="1559" w:type="dxa"/>
            <w:shd w:val="clear" w:color="auto" w:fill="FFFFFF"/>
            <w:vAlign w:val="bottom"/>
            <w:hideMark/>
          </w:tcPr>
          <w:p>
            <w:pPr>
              <w:jc w:val="center"/>
              <w:rPr>
                <w:noProof/>
                <w:sz w:val="22"/>
                <w:szCs w:val="22"/>
              </w:rPr>
            </w:pPr>
            <w:r>
              <w:rPr>
                <w:noProof/>
                <w:sz w:val="22"/>
              </w:rPr>
              <w:t>3,16</w:t>
            </w:r>
          </w:p>
        </w:tc>
      </w:tr>
      <w:tr>
        <w:trPr>
          <w:trHeight w:hRule="exact" w:val="299"/>
        </w:trPr>
        <w:tc>
          <w:tcPr>
            <w:tcW w:w="1701" w:type="dxa"/>
            <w:shd w:val="clear" w:color="auto" w:fill="FFFFFF"/>
            <w:vAlign w:val="bottom"/>
            <w:hideMark/>
          </w:tcPr>
          <w:p>
            <w:pPr>
              <w:jc w:val="both"/>
              <w:rPr>
                <w:noProof/>
                <w:sz w:val="22"/>
                <w:szCs w:val="22"/>
              </w:rPr>
            </w:pPr>
            <w:r>
              <w:rPr>
                <w:noProof/>
                <w:sz w:val="22"/>
              </w:rPr>
              <w:t>Irland</w:t>
            </w:r>
          </w:p>
        </w:tc>
        <w:tc>
          <w:tcPr>
            <w:tcW w:w="2268" w:type="dxa"/>
            <w:shd w:val="clear" w:color="auto" w:fill="FFFFFF"/>
            <w:vAlign w:val="bottom"/>
            <w:hideMark/>
          </w:tcPr>
          <w:p>
            <w:pPr>
              <w:jc w:val="center"/>
              <w:rPr>
                <w:noProof/>
                <w:sz w:val="22"/>
                <w:szCs w:val="22"/>
              </w:rPr>
            </w:pPr>
            <w:r>
              <w:rPr>
                <w:noProof/>
                <w:sz w:val="22"/>
              </w:rPr>
              <w:t>2,69</w:t>
            </w:r>
          </w:p>
        </w:tc>
        <w:tc>
          <w:tcPr>
            <w:tcW w:w="1843" w:type="dxa"/>
            <w:shd w:val="clear" w:color="auto" w:fill="FFFFFF"/>
            <w:vAlign w:val="bottom"/>
            <w:hideMark/>
          </w:tcPr>
          <w:p>
            <w:pPr>
              <w:jc w:val="center"/>
              <w:rPr>
                <w:noProof/>
                <w:sz w:val="22"/>
                <w:szCs w:val="22"/>
              </w:rPr>
            </w:pPr>
            <w:r>
              <w:rPr>
                <w:noProof/>
                <w:sz w:val="22"/>
              </w:rPr>
              <w:t>3,46</w:t>
            </w:r>
          </w:p>
        </w:tc>
        <w:tc>
          <w:tcPr>
            <w:tcW w:w="1559" w:type="dxa"/>
            <w:shd w:val="clear" w:color="auto" w:fill="FFFFFF"/>
            <w:vAlign w:val="bottom"/>
            <w:hideMark/>
          </w:tcPr>
          <w:p>
            <w:pPr>
              <w:jc w:val="center"/>
              <w:rPr>
                <w:noProof/>
                <w:sz w:val="22"/>
                <w:szCs w:val="22"/>
              </w:rPr>
            </w:pPr>
            <w:r>
              <w:rPr>
                <w:noProof/>
                <w:sz w:val="22"/>
              </w:rPr>
              <w:t>3,55</w:t>
            </w:r>
          </w:p>
        </w:tc>
      </w:tr>
      <w:tr>
        <w:trPr>
          <w:trHeight w:hRule="exact" w:val="294"/>
        </w:trPr>
        <w:tc>
          <w:tcPr>
            <w:tcW w:w="1701" w:type="dxa"/>
            <w:shd w:val="clear" w:color="auto" w:fill="FFFFFF"/>
            <w:vAlign w:val="bottom"/>
            <w:hideMark/>
          </w:tcPr>
          <w:p>
            <w:pPr>
              <w:jc w:val="both"/>
              <w:rPr>
                <w:noProof/>
                <w:sz w:val="22"/>
                <w:szCs w:val="22"/>
              </w:rPr>
            </w:pPr>
            <w:r>
              <w:rPr>
                <w:noProof/>
                <w:sz w:val="22"/>
              </w:rPr>
              <w:t>Grekland</w:t>
            </w:r>
          </w:p>
        </w:tc>
        <w:tc>
          <w:tcPr>
            <w:tcW w:w="2268" w:type="dxa"/>
            <w:shd w:val="clear" w:color="auto" w:fill="FFFFFF"/>
            <w:vAlign w:val="bottom"/>
            <w:hideMark/>
          </w:tcPr>
          <w:p>
            <w:pPr>
              <w:jc w:val="center"/>
              <w:rPr>
                <w:noProof/>
                <w:sz w:val="22"/>
                <w:szCs w:val="22"/>
              </w:rPr>
            </w:pPr>
            <w:r>
              <w:rPr>
                <w:noProof/>
                <w:sz w:val="22"/>
              </w:rPr>
              <w:t>2,22</w:t>
            </w:r>
          </w:p>
        </w:tc>
        <w:tc>
          <w:tcPr>
            <w:tcW w:w="1843" w:type="dxa"/>
            <w:shd w:val="clear" w:color="auto" w:fill="FFFFFF"/>
            <w:vAlign w:val="bottom"/>
            <w:hideMark/>
          </w:tcPr>
          <w:p>
            <w:pPr>
              <w:jc w:val="center"/>
              <w:rPr>
                <w:noProof/>
                <w:sz w:val="22"/>
                <w:szCs w:val="22"/>
              </w:rPr>
            </w:pPr>
            <w:r>
              <w:rPr>
                <w:noProof/>
                <w:sz w:val="22"/>
              </w:rPr>
              <w:t>2,54</w:t>
            </w:r>
          </w:p>
        </w:tc>
        <w:tc>
          <w:tcPr>
            <w:tcW w:w="1559" w:type="dxa"/>
            <w:shd w:val="clear" w:color="auto" w:fill="FFFFFF"/>
            <w:vAlign w:val="bottom"/>
            <w:hideMark/>
          </w:tcPr>
          <w:p>
            <w:pPr>
              <w:jc w:val="center"/>
              <w:rPr>
                <w:noProof/>
                <w:sz w:val="22"/>
                <w:szCs w:val="22"/>
              </w:rPr>
            </w:pPr>
            <w:r>
              <w:rPr>
                <w:noProof/>
                <w:sz w:val="22"/>
              </w:rPr>
              <w:t>2,73</w:t>
            </w:r>
          </w:p>
        </w:tc>
      </w:tr>
      <w:tr>
        <w:trPr>
          <w:trHeight w:hRule="exact" w:val="294"/>
        </w:trPr>
        <w:tc>
          <w:tcPr>
            <w:tcW w:w="1701" w:type="dxa"/>
            <w:shd w:val="clear" w:color="auto" w:fill="FFFFFF"/>
            <w:vAlign w:val="bottom"/>
            <w:hideMark/>
          </w:tcPr>
          <w:p>
            <w:pPr>
              <w:jc w:val="both"/>
              <w:rPr>
                <w:noProof/>
                <w:sz w:val="22"/>
                <w:szCs w:val="22"/>
              </w:rPr>
            </w:pPr>
            <w:r>
              <w:rPr>
                <w:noProof/>
                <w:sz w:val="22"/>
              </w:rPr>
              <w:t>Spanien</w:t>
            </w:r>
          </w:p>
        </w:tc>
        <w:tc>
          <w:tcPr>
            <w:tcW w:w="2268" w:type="dxa"/>
            <w:shd w:val="clear" w:color="auto" w:fill="FFFFFF"/>
            <w:vAlign w:val="bottom"/>
            <w:hideMark/>
          </w:tcPr>
          <w:p>
            <w:pPr>
              <w:jc w:val="center"/>
              <w:rPr>
                <w:noProof/>
                <w:sz w:val="22"/>
                <w:szCs w:val="22"/>
              </w:rPr>
            </w:pPr>
            <w:r>
              <w:rPr>
                <w:noProof/>
                <w:sz w:val="22"/>
              </w:rPr>
              <w:t>4,14</w:t>
            </w:r>
          </w:p>
        </w:tc>
        <w:tc>
          <w:tcPr>
            <w:tcW w:w="1843" w:type="dxa"/>
            <w:shd w:val="clear" w:color="auto" w:fill="FFFFFF"/>
            <w:vAlign w:val="bottom"/>
            <w:hideMark/>
          </w:tcPr>
          <w:p>
            <w:pPr>
              <w:jc w:val="center"/>
              <w:rPr>
                <w:noProof/>
                <w:sz w:val="22"/>
                <w:szCs w:val="22"/>
              </w:rPr>
            </w:pPr>
            <w:r>
              <w:rPr>
                <w:noProof/>
                <w:sz w:val="22"/>
              </w:rPr>
              <w:t>5,58</w:t>
            </w:r>
          </w:p>
        </w:tc>
        <w:tc>
          <w:tcPr>
            <w:tcW w:w="1559" w:type="dxa"/>
            <w:shd w:val="clear" w:color="auto" w:fill="FFFFFF"/>
            <w:vAlign w:val="bottom"/>
            <w:hideMark/>
          </w:tcPr>
          <w:p>
            <w:pPr>
              <w:jc w:val="center"/>
              <w:rPr>
                <w:noProof/>
                <w:sz w:val="22"/>
                <w:szCs w:val="22"/>
              </w:rPr>
            </w:pPr>
            <w:r>
              <w:rPr>
                <w:noProof/>
                <w:sz w:val="22"/>
              </w:rPr>
              <w:t>5,32</w:t>
            </w:r>
          </w:p>
        </w:tc>
      </w:tr>
      <w:tr>
        <w:trPr>
          <w:trHeight w:hRule="exact" w:val="294"/>
        </w:trPr>
        <w:tc>
          <w:tcPr>
            <w:tcW w:w="1701" w:type="dxa"/>
            <w:tcBorders>
              <w:bottom w:val="single" w:sz="4" w:space="0" w:color="auto"/>
            </w:tcBorders>
            <w:shd w:val="clear" w:color="auto" w:fill="FFFFFF"/>
            <w:vAlign w:val="bottom"/>
            <w:hideMark/>
          </w:tcPr>
          <w:p>
            <w:pPr>
              <w:jc w:val="both"/>
              <w:rPr>
                <w:noProof/>
                <w:sz w:val="22"/>
                <w:szCs w:val="22"/>
              </w:rPr>
            </w:pPr>
            <w:r>
              <w:rPr>
                <w:noProof/>
                <w:sz w:val="22"/>
              </w:rPr>
              <w:t>Frankrike</w:t>
            </w:r>
          </w:p>
        </w:tc>
        <w:tc>
          <w:tcPr>
            <w:tcW w:w="2268" w:type="dxa"/>
            <w:tcBorders>
              <w:bottom w:val="single" w:sz="4" w:space="0" w:color="auto"/>
            </w:tcBorders>
            <w:shd w:val="clear" w:color="auto" w:fill="FFFFFF"/>
            <w:vAlign w:val="bottom"/>
            <w:hideMark/>
          </w:tcPr>
          <w:p>
            <w:pPr>
              <w:jc w:val="center"/>
              <w:rPr>
                <w:noProof/>
                <w:sz w:val="22"/>
                <w:szCs w:val="22"/>
              </w:rPr>
            </w:pPr>
            <w:r>
              <w:rPr>
                <w:noProof/>
                <w:sz w:val="22"/>
              </w:rPr>
              <w:t>5,33</w:t>
            </w:r>
          </w:p>
        </w:tc>
        <w:tc>
          <w:tcPr>
            <w:tcW w:w="1843" w:type="dxa"/>
            <w:tcBorders>
              <w:bottom w:val="single" w:sz="4" w:space="0" w:color="auto"/>
            </w:tcBorders>
            <w:shd w:val="clear" w:color="auto" w:fill="FFFFFF"/>
            <w:vAlign w:val="bottom"/>
            <w:hideMark/>
          </w:tcPr>
          <w:p>
            <w:pPr>
              <w:jc w:val="center"/>
              <w:rPr>
                <w:noProof/>
                <w:sz w:val="22"/>
                <w:szCs w:val="22"/>
              </w:rPr>
            </w:pPr>
            <w:r>
              <w:rPr>
                <w:noProof/>
                <w:sz w:val="22"/>
              </w:rPr>
              <w:t>5,54</w:t>
            </w:r>
          </w:p>
        </w:tc>
        <w:tc>
          <w:tcPr>
            <w:tcW w:w="1559" w:type="dxa"/>
            <w:tcBorders>
              <w:bottom w:val="single" w:sz="4" w:space="0" w:color="auto"/>
            </w:tcBorders>
            <w:shd w:val="clear" w:color="auto" w:fill="FFFFFF"/>
            <w:vAlign w:val="bottom"/>
            <w:hideMark/>
          </w:tcPr>
          <w:p>
            <w:pPr>
              <w:jc w:val="center"/>
              <w:rPr>
                <w:noProof/>
                <w:sz w:val="22"/>
                <w:szCs w:val="22"/>
              </w:rPr>
            </w:pPr>
            <w:r>
              <w:rPr>
                <w:noProof/>
                <w:sz w:val="22"/>
              </w:rPr>
              <w:t>6,03</w:t>
            </w:r>
          </w:p>
        </w:tc>
      </w:tr>
      <w:tr>
        <w:trPr>
          <w:trHeight w:hRule="exact" w:val="294"/>
        </w:trPr>
        <w:tc>
          <w:tcPr>
            <w:tcW w:w="1701" w:type="dxa"/>
            <w:shd w:val="pct5" w:color="auto" w:fill="FFFFFF"/>
            <w:vAlign w:val="bottom"/>
            <w:hideMark/>
          </w:tcPr>
          <w:p>
            <w:pPr>
              <w:jc w:val="both"/>
              <w:rPr>
                <w:noProof/>
                <w:sz w:val="22"/>
                <w:szCs w:val="22"/>
              </w:rPr>
            </w:pPr>
            <w:r>
              <w:rPr>
                <w:noProof/>
                <w:sz w:val="22"/>
              </w:rPr>
              <w:t>Kroatien</w:t>
            </w:r>
          </w:p>
        </w:tc>
        <w:tc>
          <w:tcPr>
            <w:tcW w:w="2268" w:type="dxa"/>
            <w:shd w:val="pct5" w:color="auto" w:fill="FFFFFF"/>
            <w:vAlign w:val="bottom"/>
            <w:hideMark/>
          </w:tcPr>
          <w:p>
            <w:pPr>
              <w:jc w:val="center"/>
              <w:rPr>
                <w:noProof/>
                <w:sz w:val="22"/>
                <w:szCs w:val="22"/>
              </w:rPr>
            </w:pPr>
            <w:r>
              <w:rPr>
                <w:noProof/>
                <w:sz w:val="22"/>
              </w:rPr>
              <w:t>0,69</w:t>
            </w:r>
          </w:p>
        </w:tc>
        <w:tc>
          <w:tcPr>
            <w:tcW w:w="1843" w:type="dxa"/>
            <w:shd w:val="pct5" w:color="auto" w:fill="FFFFFF"/>
            <w:vAlign w:val="bottom"/>
            <w:hideMark/>
          </w:tcPr>
          <w:p>
            <w:pPr>
              <w:jc w:val="center"/>
              <w:rPr>
                <w:noProof/>
                <w:sz w:val="22"/>
                <w:szCs w:val="22"/>
              </w:rPr>
            </w:pPr>
            <w:r>
              <w:rPr>
                <w:noProof/>
                <w:sz w:val="22"/>
              </w:rPr>
              <w:t>0,88</w:t>
            </w:r>
          </w:p>
        </w:tc>
        <w:tc>
          <w:tcPr>
            <w:tcW w:w="1559" w:type="dxa"/>
            <w:shd w:val="pct5" w:color="auto" w:fill="FFFFFF"/>
            <w:vAlign w:val="bottom"/>
            <w:hideMark/>
          </w:tcPr>
          <w:p>
            <w:pPr>
              <w:jc w:val="center"/>
              <w:rPr>
                <w:noProof/>
                <w:sz w:val="22"/>
                <w:szCs w:val="22"/>
              </w:rPr>
            </w:pPr>
            <w:r>
              <w:rPr>
                <w:noProof/>
                <w:sz w:val="22"/>
              </w:rPr>
              <w:t>0,79</w:t>
            </w:r>
          </w:p>
        </w:tc>
      </w:tr>
      <w:tr>
        <w:trPr>
          <w:trHeight w:hRule="exact" w:val="294"/>
        </w:trPr>
        <w:tc>
          <w:tcPr>
            <w:tcW w:w="1701" w:type="dxa"/>
            <w:shd w:val="clear" w:color="auto" w:fill="FFFFFF"/>
            <w:vAlign w:val="bottom"/>
            <w:hideMark/>
          </w:tcPr>
          <w:p>
            <w:pPr>
              <w:jc w:val="both"/>
              <w:rPr>
                <w:noProof/>
                <w:sz w:val="22"/>
                <w:szCs w:val="22"/>
              </w:rPr>
            </w:pPr>
            <w:r>
              <w:rPr>
                <w:noProof/>
                <w:sz w:val="22"/>
              </w:rPr>
              <w:t>Italien</w:t>
            </w:r>
          </w:p>
        </w:tc>
        <w:tc>
          <w:tcPr>
            <w:tcW w:w="2268" w:type="dxa"/>
            <w:shd w:val="clear" w:color="auto" w:fill="FFFFFF"/>
            <w:vAlign w:val="bottom"/>
            <w:hideMark/>
          </w:tcPr>
          <w:p>
            <w:pPr>
              <w:jc w:val="center"/>
              <w:rPr>
                <w:noProof/>
                <w:sz w:val="22"/>
                <w:szCs w:val="22"/>
              </w:rPr>
            </w:pPr>
            <w:r>
              <w:rPr>
                <w:noProof/>
                <w:sz w:val="22"/>
              </w:rPr>
              <w:t>3,06</w:t>
            </w:r>
          </w:p>
        </w:tc>
        <w:tc>
          <w:tcPr>
            <w:tcW w:w="1843" w:type="dxa"/>
            <w:shd w:val="clear" w:color="auto" w:fill="FFFFFF"/>
            <w:vAlign w:val="bottom"/>
            <w:hideMark/>
          </w:tcPr>
          <w:p>
            <w:pPr>
              <w:jc w:val="center"/>
              <w:rPr>
                <w:noProof/>
                <w:sz w:val="22"/>
                <w:szCs w:val="22"/>
              </w:rPr>
            </w:pPr>
            <w:r>
              <w:rPr>
                <w:noProof/>
                <w:sz w:val="22"/>
              </w:rPr>
              <w:t>4,48</w:t>
            </w:r>
          </w:p>
        </w:tc>
        <w:tc>
          <w:tcPr>
            <w:tcW w:w="1559" w:type="dxa"/>
            <w:shd w:val="clear" w:color="auto" w:fill="FFFFFF"/>
            <w:vAlign w:val="bottom"/>
            <w:hideMark/>
          </w:tcPr>
          <w:p>
            <w:pPr>
              <w:jc w:val="center"/>
              <w:rPr>
                <w:noProof/>
                <w:sz w:val="22"/>
                <w:szCs w:val="22"/>
              </w:rPr>
            </w:pPr>
            <w:r>
              <w:rPr>
                <w:noProof/>
                <w:sz w:val="22"/>
              </w:rPr>
              <w:t>3,99</w:t>
            </w:r>
          </w:p>
        </w:tc>
      </w:tr>
      <w:tr>
        <w:trPr>
          <w:trHeight w:hRule="exact" w:val="294"/>
        </w:trPr>
        <w:tc>
          <w:tcPr>
            <w:tcW w:w="1701" w:type="dxa"/>
            <w:shd w:val="clear" w:color="auto" w:fill="FFFFFF"/>
            <w:vAlign w:val="bottom"/>
            <w:hideMark/>
          </w:tcPr>
          <w:p>
            <w:pPr>
              <w:jc w:val="both"/>
              <w:rPr>
                <w:noProof/>
                <w:sz w:val="22"/>
                <w:szCs w:val="22"/>
              </w:rPr>
            </w:pPr>
            <w:r>
              <w:rPr>
                <w:noProof/>
                <w:sz w:val="22"/>
              </w:rPr>
              <w:t>Cypern</w:t>
            </w:r>
          </w:p>
        </w:tc>
        <w:tc>
          <w:tcPr>
            <w:tcW w:w="2268" w:type="dxa"/>
            <w:shd w:val="clear" w:color="auto" w:fill="FFFFFF"/>
            <w:vAlign w:val="bottom"/>
            <w:hideMark/>
          </w:tcPr>
          <w:p>
            <w:pPr>
              <w:jc w:val="center"/>
              <w:rPr>
                <w:noProof/>
                <w:sz w:val="22"/>
                <w:szCs w:val="22"/>
              </w:rPr>
            </w:pPr>
            <w:r>
              <w:rPr>
                <w:noProof/>
                <w:sz w:val="22"/>
              </w:rPr>
              <w:t>2,20</w:t>
            </w:r>
          </w:p>
        </w:tc>
        <w:tc>
          <w:tcPr>
            <w:tcW w:w="1843" w:type="dxa"/>
            <w:shd w:val="clear" w:color="auto" w:fill="FFFFFF"/>
            <w:vAlign w:val="bottom"/>
            <w:hideMark/>
          </w:tcPr>
          <w:p>
            <w:pPr>
              <w:jc w:val="center"/>
              <w:rPr>
                <w:noProof/>
                <w:sz w:val="22"/>
                <w:szCs w:val="22"/>
              </w:rPr>
            </w:pPr>
            <w:r>
              <w:rPr>
                <w:noProof/>
                <w:sz w:val="22"/>
              </w:rPr>
              <w:t>2,81</w:t>
            </w:r>
          </w:p>
        </w:tc>
        <w:tc>
          <w:tcPr>
            <w:tcW w:w="1559" w:type="dxa"/>
            <w:shd w:val="clear" w:color="auto" w:fill="FFFFFF"/>
            <w:vAlign w:val="bottom"/>
            <w:hideMark/>
          </w:tcPr>
          <w:p>
            <w:pPr>
              <w:jc w:val="center"/>
              <w:rPr>
                <w:noProof/>
                <w:sz w:val="22"/>
                <w:szCs w:val="22"/>
              </w:rPr>
            </w:pPr>
            <w:r>
              <w:rPr>
                <w:noProof/>
                <w:sz w:val="22"/>
              </w:rPr>
              <w:t>2,86</w:t>
            </w:r>
          </w:p>
        </w:tc>
      </w:tr>
      <w:tr>
        <w:trPr>
          <w:trHeight w:hRule="exact" w:val="299"/>
        </w:trPr>
        <w:tc>
          <w:tcPr>
            <w:tcW w:w="1701" w:type="dxa"/>
            <w:shd w:val="clear" w:color="auto" w:fill="FFFFFF"/>
            <w:vAlign w:val="bottom"/>
            <w:hideMark/>
          </w:tcPr>
          <w:p>
            <w:pPr>
              <w:jc w:val="both"/>
              <w:rPr>
                <w:noProof/>
                <w:sz w:val="22"/>
                <w:szCs w:val="22"/>
              </w:rPr>
            </w:pPr>
            <w:r>
              <w:rPr>
                <w:noProof/>
                <w:sz w:val="22"/>
              </w:rPr>
              <w:t>Lettland</w:t>
            </w:r>
          </w:p>
        </w:tc>
        <w:tc>
          <w:tcPr>
            <w:tcW w:w="2268" w:type="dxa"/>
            <w:shd w:val="clear" w:color="auto" w:fill="FFFFFF"/>
            <w:vAlign w:val="bottom"/>
            <w:hideMark/>
          </w:tcPr>
          <w:p>
            <w:pPr>
              <w:jc w:val="center"/>
              <w:rPr>
                <w:noProof/>
                <w:sz w:val="22"/>
                <w:szCs w:val="22"/>
              </w:rPr>
            </w:pPr>
            <w:r>
              <w:rPr>
                <w:noProof/>
                <w:sz w:val="22"/>
              </w:rPr>
              <w:t>0,83</w:t>
            </w:r>
          </w:p>
        </w:tc>
        <w:tc>
          <w:tcPr>
            <w:tcW w:w="1843" w:type="dxa"/>
            <w:shd w:val="clear" w:color="auto" w:fill="FFFFFF"/>
            <w:vAlign w:val="bottom"/>
            <w:hideMark/>
          </w:tcPr>
          <w:p>
            <w:pPr>
              <w:jc w:val="center"/>
              <w:rPr>
                <w:noProof/>
                <w:sz w:val="22"/>
                <w:szCs w:val="22"/>
              </w:rPr>
            </w:pPr>
            <w:r>
              <w:rPr>
                <w:noProof/>
                <w:sz w:val="22"/>
              </w:rPr>
              <w:t>0,91</w:t>
            </w:r>
          </w:p>
        </w:tc>
        <w:tc>
          <w:tcPr>
            <w:tcW w:w="1559" w:type="dxa"/>
            <w:shd w:val="clear" w:color="auto" w:fill="FFFFFF"/>
            <w:vAlign w:val="bottom"/>
            <w:hideMark/>
          </w:tcPr>
          <w:p>
            <w:pPr>
              <w:jc w:val="center"/>
              <w:rPr>
                <w:noProof/>
                <w:sz w:val="22"/>
                <w:szCs w:val="22"/>
              </w:rPr>
            </w:pPr>
            <w:r>
              <w:rPr>
                <w:noProof/>
                <w:sz w:val="22"/>
              </w:rPr>
              <w:t>0,90</w:t>
            </w:r>
          </w:p>
        </w:tc>
      </w:tr>
      <w:tr>
        <w:trPr>
          <w:trHeight w:hRule="exact" w:val="294"/>
        </w:trPr>
        <w:tc>
          <w:tcPr>
            <w:tcW w:w="1701" w:type="dxa"/>
            <w:shd w:val="clear" w:color="auto" w:fill="FFFFFF"/>
            <w:vAlign w:val="bottom"/>
            <w:hideMark/>
          </w:tcPr>
          <w:p>
            <w:pPr>
              <w:jc w:val="both"/>
              <w:rPr>
                <w:noProof/>
                <w:sz w:val="22"/>
                <w:szCs w:val="22"/>
              </w:rPr>
            </w:pPr>
            <w:r>
              <w:rPr>
                <w:noProof/>
                <w:sz w:val="22"/>
              </w:rPr>
              <w:t>Litauen</w:t>
            </w:r>
          </w:p>
        </w:tc>
        <w:tc>
          <w:tcPr>
            <w:tcW w:w="2268" w:type="dxa"/>
            <w:shd w:val="clear" w:color="auto" w:fill="FFFFFF"/>
            <w:vAlign w:val="bottom"/>
            <w:hideMark/>
          </w:tcPr>
          <w:p>
            <w:pPr>
              <w:jc w:val="center"/>
              <w:rPr>
                <w:noProof/>
                <w:sz w:val="22"/>
                <w:szCs w:val="22"/>
              </w:rPr>
            </w:pPr>
            <w:r>
              <w:rPr>
                <w:noProof/>
                <w:sz w:val="22"/>
              </w:rPr>
              <w:t>1,13</w:t>
            </w:r>
          </w:p>
        </w:tc>
        <w:tc>
          <w:tcPr>
            <w:tcW w:w="1843" w:type="dxa"/>
            <w:shd w:val="clear" w:color="auto" w:fill="FFFFFF"/>
            <w:vAlign w:val="bottom"/>
            <w:hideMark/>
          </w:tcPr>
          <w:p>
            <w:pPr>
              <w:jc w:val="center"/>
              <w:rPr>
                <w:noProof/>
                <w:sz w:val="22"/>
                <w:szCs w:val="22"/>
              </w:rPr>
            </w:pPr>
            <w:r>
              <w:rPr>
                <w:noProof/>
                <w:sz w:val="22"/>
              </w:rPr>
              <w:t>1,26</w:t>
            </w:r>
          </w:p>
        </w:tc>
        <w:tc>
          <w:tcPr>
            <w:tcW w:w="1559" w:type="dxa"/>
            <w:shd w:val="clear" w:color="auto" w:fill="FFFFFF"/>
            <w:vAlign w:val="bottom"/>
            <w:hideMark/>
          </w:tcPr>
          <w:p>
            <w:pPr>
              <w:jc w:val="center"/>
              <w:rPr>
                <w:noProof/>
                <w:sz w:val="22"/>
                <w:szCs w:val="22"/>
              </w:rPr>
            </w:pPr>
            <w:r>
              <w:rPr>
                <w:noProof/>
                <w:sz w:val="22"/>
              </w:rPr>
              <w:t>1,14</w:t>
            </w:r>
          </w:p>
        </w:tc>
      </w:tr>
      <w:tr>
        <w:trPr>
          <w:trHeight w:hRule="exact" w:val="294"/>
        </w:trPr>
        <w:tc>
          <w:tcPr>
            <w:tcW w:w="1701" w:type="dxa"/>
            <w:shd w:val="clear" w:color="auto" w:fill="FFFFFF"/>
            <w:vAlign w:val="bottom"/>
            <w:hideMark/>
          </w:tcPr>
          <w:p>
            <w:pPr>
              <w:jc w:val="both"/>
              <w:rPr>
                <w:noProof/>
                <w:sz w:val="22"/>
                <w:szCs w:val="22"/>
              </w:rPr>
            </w:pPr>
            <w:r>
              <w:rPr>
                <w:noProof/>
                <w:sz w:val="22"/>
              </w:rPr>
              <w:t>Luxemburg</w:t>
            </w:r>
          </w:p>
        </w:tc>
        <w:tc>
          <w:tcPr>
            <w:tcW w:w="2268" w:type="dxa"/>
            <w:shd w:val="clear" w:color="auto" w:fill="FFFFFF"/>
            <w:vAlign w:val="bottom"/>
            <w:hideMark/>
          </w:tcPr>
          <w:p>
            <w:pPr>
              <w:jc w:val="center"/>
              <w:rPr>
                <w:noProof/>
                <w:sz w:val="22"/>
                <w:szCs w:val="22"/>
              </w:rPr>
            </w:pPr>
            <w:r>
              <w:rPr>
                <w:noProof/>
                <w:sz w:val="22"/>
              </w:rPr>
              <w:t>4,66</w:t>
            </w:r>
          </w:p>
        </w:tc>
        <w:tc>
          <w:tcPr>
            <w:tcW w:w="1843" w:type="dxa"/>
            <w:shd w:val="clear" w:color="auto" w:fill="FFFFFF"/>
            <w:vAlign w:val="bottom"/>
            <w:hideMark/>
          </w:tcPr>
          <w:p>
            <w:pPr>
              <w:jc w:val="center"/>
              <w:rPr>
                <w:noProof/>
                <w:sz w:val="22"/>
                <w:szCs w:val="22"/>
              </w:rPr>
            </w:pPr>
            <w:r>
              <w:rPr>
                <w:noProof/>
                <w:sz w:val="22"/>
              </w:rPr>
              <w:t>3,83</w:t>
            </w:r>
          </w:p>
        </w:tc>
        <w:tc>
          <w:tcPr>
            <w:tcW w:w="1559" w:type="dxa"/>
            <w:shd w:val="clear" w:color="auto" w:fill="FFFFFF"/>
            <w:vAlign w:val="bottom"/>
            <w:hideMark/>
          </w:tcPr>
          <w:p>
            <w:pPr>
              <w:jc w:val="center"/>
              <w:rPr>
                <w:noProof/>
                <w:sz w:val="22"/>
                <w:szCs w:val="22"/>
              </w:rPr>
            </w:pPr>
            <w:r>
              <w:rPr>
                <w:noProof/>
                <w:sz w:val="22"/>
              </w:rPr>
              <w:t>4,05</w:t>
            </w:r>
          </w:p>
        </w:tc>
      </w:tr>
      <w:tr>
        <w:trPr>
          <w:trHeight w:hRule="exact" w:val="294"/>
        </w:trPr>
        <w:tc>
          <w:tcPr>
            <w:tcW w:w="1701" w:type="dxa"/>
            <w:shd w:val="clear" w:color="auto" w:fill="FFFFFF"/>
            <w:vAlign w:val="bottom"/>
            <w:hideMark/>
          </w:tcPr>
          <w:p>
            <w:pPr>
              <w:jc w:val="both"/>
              <w:rPr>
                <w:noProof/>
                <w:sz w:val="22"/>
                <w:szCs w:val="22"/>
              </w:rPr>
            </w:pPr>
            <w:r>
              <w:rPr>
                <w:noProof/>
                <w:sz w:val="22"/>
              </w:rPr>
              <w:t>Ungern</w:t>
            </w:r>
          </w:p>
        </w:tc>
        <w:tc>
          <w:tcPr>
            <w:tcW w:w="2268" w:type="dxa"/>
            <w:shd w:val="clear" w:color="auto" w:fill="FFFFFF"/>
            <w:vAlign w:val="bottom"/>
            <w:hideMark/>
          </w:tcPr>
          <w:p>
            <w:pPr>
              <w:jc w:val="center"/>
              <w:rPr>
                <w:noProof/>
                <w:sz w:val="22"/>
                <w:szCs w:val="22"/>
              </w:rPr>
            </w:pPr>
            <w:r>
              <w:rPr>
                <w:noProof/>
                <w:sz w:val="22"/>
              </w:rPr>
              <w:t>1,19</w:t>
            </w:r>
          </w:p>
        </w:tc>
        <w:tc>
          <w:tcPr>
            <w:tcW w:w="1843" w:type="dxa"/>
            <w:shd w:val="clear" w:color="auto" w:fill="FFFFFF"/>
            <w:vAlign w:val="bottom"/>
            <w:hideMark/>
          </w:tcPr>
          <w:p>
            <w:pPr>
              <w:jc w:val="center"/>
              <w:rPr>
                <w:noProof/>
                <w:sz w:val="22"/>
                <w:szCs w:val="22"/>
              </w:rPr>
            </w:pPr>
            <w:r>
              <w:rPr>
                <w:noProof/>
                <w:sz w:val="22"/>
              </w:rPr>
              <w:t>1,61</w:t>
            </w:r>
          </w:p>
        </w:tc>
        <w:tc>
          <w:tcPr>
            <w:tcW w:w="1559" w:type="dxa"/>
            <w:shd w:val="clear" w:color="auto" w:fill="FFFFFF"/>
            <w:vAlign w:val="bottom"/>
            <w:hideMark/>
          </w:tcPr>
          <w:p>
            <w:pPr>
              <w:jc w:val="center"/>
              <w:rPr>
                <w:noProof/>
                <w:sz w:val="22"/>
                <w:szCs w:val="22"/>
              </w:rPr>
            </w:pPr>
            <w:r>
              <w:rPr>
                <w:noProof/>
                <w:sz w:val="22"/>
              </w:rPr>
              <w:t>1,68</w:t>
            </w:r>
          </w:p>
        </w:tc>
      </w:tr>
      <w:tr>
        <w:trPr>
          <w:trHeight w:hRule="exact" w:val="294"/>
        </w:trPr>
        <w:tc>
          <w:tcPr>
            <w:tcW w:w="1701" w:type="dxa"/>
            <w:shd w:val="clear" w:color="auto" w:fill="FFFFFF"/>
            <w:vAlign w:val="bottom"/>
            <w:hideMark/>
          </w:tcPr>
          <w:p>
            <w:pPr>
              <w:jc w:val="both"/>
              <w:rPr>
                <w:noProof/>
                <w:sz w:val="22"/>
                <w:szCs w:val="22"/>
              </w:rPr>
            </w:pPr>
            <w:r>
              <w:rPr>
                <w:noProof/>
                <w:sz w:val="22"/>
              </w:rPr>
              <w:t>Malta</w:t>
            </w:r>
          </w:p>
        </w:tc>
        <w:tc>
          <w:tcPr>
            <w:tcW w:w="2268" w:type="dxa"/>
            <w:shd w:val="clear" w:color="auto" w:fill="FFFFFF"/>
            <w:vAlign w:val="bottom"/>
            <w:hideMark/>
          </w:tcPr>
          <w:p>
            <w:pPr>
              <w:jc w:val="center"/>
              <w:rPr>
                <w:noProof/>
                <w:sz w:val="22"/>
                <w:szCs w:val="22"/>
              </w:rPr>
            </w:pPr>
            <w:r>
              <w:rPr>
                <w:noProof/>
                <w:sz w:val="22"/>
              </w:rPr>
              <w:t>2,13</w:t>
            </w:r>
          </w:p>
        </w:tc>
        <w:tc>
          <w:tcPr>
            <w:tcW w:w="1843" w:type="dxa"/>
            <w:shd w:val="clear" w:color="auto" w:fill="FFFFFF"/>
            <w:vAlign w:val="bottom"/>
            <w:hideMark/>
          </w:tcPr>
          <w:p>
            <w:pPr>
              <w:jc w:val="center"/>
              <w:rPr>
                <w:noProof/>
                <w:sz w:val="22"/>
                <w:szCs w:val="22"/>
              </w:rPr>
            </w:pPr>
            <w:r>
              <w:rPr>
                <w:noProof/>
                <w:sz w:val="22"/>
              </w:rPr>
              <w:t>2,58</w:t>
            </w:r>
          </w:p>
        </w:tc>
        <w:tc>
          <w:tcPr>
            <w:tcW w:w="1559" w:type="dxa"/>
            <w:shd w:val="clear" w:color="auto" w:fill="FFFFFF"/>
            <w:vAlign w:val="bottom"/>
            <w:hideMark/>
          </w:tcPr>
          <w:p>
            <w:pPr>
              <w:jc w:val="center"/>
              <w:rPr>
                <w:noProof/>
                <w:sz w:val="22"/>
                <w:szCs w:val="22"/>
              </w:rPr>
            </w:pPr>
            <w:r>
              <w:rPr>
                <w:noProof/>
                <w:sz w:val="22"/>
              </w:rPr>
              <w:t>2,48</w:t>
            </w:r>
          </w:p>
        </w:tc>
      </w:tr>
      <w:tr>
        <w:trPr>
          <w:trHeight w:hRule="exact" w:val="294"/>
        </w:trPr>
        <w:tc>
          <w:tcPr>
            <w:tcW w:w="1701" w:type="dxa"/>
            <w:shd w:val="clear" w:color="auto" w:fill="FFFFFF"/>
            <w:vAlign w:val="bottom"/>
            <w:hideMark/>
          </w:tcPr>
          <w:p>
            <w:pPr>
              <w:jc w:val="both"/>
              <w:rPr>
                <w:noProof/>
                <w:sz w:val="22"/>
                <w:szCs w:val="22"/>
              </w:rPr>
            </w:pPr>
            <w:r>
              <w:rPr>
                <w:noProof/>
                <w:sz w:val="22"/>
              </w:rPr>
              <w:t>Nederländerna</w:t>
            </w:r>
          </w:p>
        </w:tc>
        <w:tc>
          <w:tcPr>
            <w:tcW w:w="2268" w:type="dxa"/>
            <w:shd w:val="clear" w:color="auto" w:fill="FFFFFF"/>
            <w:vAlign w:val="bottom"/>
            <w:hideMark/>
          </w:tcPr>
          <w:p>
            <w:pPr>
              <w:jc w:val="center"/>
              <w:rPr>
                <w:noProof/>
                <w:sz w:val="22"/>
                <w:szCs w:val="22"/>
              </w:rPr>
            </w:pPr>
            <w:r>
              <w:rPr>
                <w:noProof/>
                <w:sz w:val="22"/>
              </w:rPr>
              <w:t>7,17</w:t>
            </w:r>
          </w:p>
        </w:tc>
        <w:tc>
          <w:tcPr>
            <w:tcW w:w="1843" w:type="dxa"/>
            <w:shd w:val="clear" w:color="auto" w:fill="FFFFFF"/>
            <w:vAlign w:val="bottom"/>
            <w:hideMark/>
          </w:tcPr>
          <w:p>
            <w:pPr>
              <w:jc w:val="center"/>
              <w:rPr>
                <w:noProof/>
                <w:sz w:val="22"/>
                <w:szCs w:val="22"/>
              </w:rPr>
            </w:pPr>
            <w:r>
              <w:rPr>
                <w:noProof/>
                <w:sz w:val="22"/>
              </w:rPr>
              <w:t>10,08</w:t>
            </w:r>
          </w:p>
        </w:tc>
        <w:tc>
          <w:tcPr>
            <w:tcW w:w="1559" w:type="dxa"/>
            <w:shd w:val="clear" w:color="auto" w:fill="FFFFFF"/>
            <w:vAlign w:val="bottom"/>
            <w:hideMark/>
          </w:tcPr>
          <w:p>
            <w:pPr>
              <w:jc w:val="center"/>
              <w:rPr>
                <w:noProof/>
                <w:sz w:val="22"/>
                <w:szCs w:val="22"/>
              </w:rPr>
            </w:pPr>
            <w:r>
              <w:rPr>
                <w:noProof/>
                <w:sz w:val="22"/>
              </w:rPr>
              <w:t>9,33</w:t>
            </w:r>
          </w:p>
        </w:tc>
      </w:tr>
      <w:tr>
        <w:trPr>
          <w:trHeight w:hRule="exact" w:val="299"/>
        </w:trPr>
        <w:tc>
          <w:tcPr>
            <w:tcW w:w="1701" w:type="dxa"/>
            <w:shd w:val="clear" w:color="auto" w:fill="FFFFFF"/>
            <w:vAlign w:val="bottom"/>
            <w:hideMark/>
          </w:tcPr>
          <w:p>
            <w:pPr>
              <w:jc w:val="both"/>
              <w:rPr>
                <w:noProof/>
                <w:sz w:val="22"/>
                <w:szCs w:val="22"/>
              </w:rPr>
            </w:pPr>
            <w:r>
              <w:rPr>
                <w:noProof/>
                <w:sz w:val="22"/>
              </w:rPr>
              <w:t>Österrike</w:t>
            </w:r>
          </w:p>
        </w:tc>
        <w:tc>
          <w:tcPr>
            <w:tcW w:w="2268" w:type="dxa"/>
            <w:shd w:val="clear" w:color="auto" w:fill="FFFFFF"/>
            <w:vAlign w:val="bottom"/>
            <w:hideMark/>
          </w:tcPr>
          <w:p>
            <w:pPr>
              <w:jc w:val="center"/>
              <w:rPr>
                <w:noProof/>
                <w:sz w:val="22"/>
                <w:szCs w:val="22"/>
              </w:rPr>
            </w:pPr>
            <w:r>
              <w:rPr>
                <w:noProof/>
                <w:sz w:val="22"/>
              </w:rPr>
              <w:t>3,30</w:t>
            </w:r>
          </w:p>
        </w:tc>
        <w:tc>
          <w:tcPr>
            <w:tcW w:w="1843" w:type="dxa"/>
            <w:shd w:val="clear" w:color="auto" w:fill="FFFFFF"/>
            <w:vAlign w:val="bottom"/>
            <w:hideMark/>
          </w:tcPr>
          <w:p>
            <w:pPr>
              <w:jc w:val="center"/>
              <w:rPr>
                <w:noProof/>
                <w:sz w:val="22"/>
                <w:szCs w:val="22"/>
              </w:rPr>
            </w:pPr>
            <w:r>
              <w:rPr>
                <w:noProof/>
                <w:sz w:val="22"/>
              </w:rPr>
              <w:t>3,58</w:t>
            </w:r>
          </w:p>
        </w:tc>
        <w:tc>
          <w:tcPr>
            <w:tcW w:w="1559" w:type="dxa"/>
            <w:shd w:val="clear" w:color="auto" w:fill="FFFFFF"/>
            <w:vAlign w:val="bottom"/>
            <w:hideMark/>
          </w:tcPr>
          <w:p>
            <w:pPr>
              <w:jc w:val="center"/>
              <w:rPr>
                <w:noProof/>
                <w:sz w:val="22"/>
                <w:szCs w:val="22"/>
              </w:rPr>
            </w:pPr>
            <w:r>
              <w:rPr>
                <w:noProof/>
                <w:sz w:val="22"/>
              </w:rPr>
              <w:t>3,33</w:t>
            </w:r>
          </w:p>
        </w:tc>
      </w:tr>
      <w:tr>
        <w:trPr>
          <w:trHeight w:hRule="exact" w:val="294"/>
        </w:trPr>
        <w:tc>
          <w:tcPr>
            <w:tcW w:w="1701" w:type="dxa"/>
            <w:shd w:val="clear" w:color="auto" w:fill="FFFFFF"/>
            <w:vAlign w:val="bottom"/>
            <w:hideMark/>
          </w:tcPr>
          <w:p>
            <w:pPr>
              <w:jc w:val="both"/>
              <w:rPr>
                <w:noProof/>
                <w:sz w:val="22"/>
                <w:szCs w:val="22"/>
              </w:rPr>
            </w:pPr>
            <w:r>
              <w:rPr>
                <w:noProof/>
                <w:sz w:val="22"/>
              </w:rPr>
              <w:t>Polen</w:t>
            </w:r>
          </w:p>
        </w:tc>
        <w:tc>
          <w:tcPr>
            <w:tcW w:w="2268" w:type="dxa"/>
            <w:shd w:val="clear" w:color="auto" w:fill="FFFFFF"/>
            <w:vAlign w:val="bottom"/>
            <w:hideMark/>
          </w:tcPr>
          <w:p>
            <w:pPr>
              <w:jc w:val="center"/>
              <w:rPr>
                <w:noProof/>
                <w:sz w:val="22"/>
                <w:szCs w:val="22"/>
              </w:rPr>
            </w:pPr>
            <w:r>
              <w:rPr>
                <w:noProof/>
                <w:sz w:val="22"/>
              </w:rPr>
              <w:t>0,87</w:t>
            </w:r>
          </w:p>
        </w:tc>
        <w:tc>
          <w:tcPr>
            <w:tcW w:w="1843" w:type="dxa"/>
            <w:shd w:val="clear" w:color="auto" w:fill="FFFFFF"/>
            <w:vAlign w:val="bottom"/>
            <w:hideMark/>
          </w:tcPr>
          <w:p>
            <w:pPr>
              <w:jc w:val="center"/>
              <w:rPr>
                <w:noProof/>
                <w:sz w:val="22"/>
                <w:szCs w:val="22"/>
              </w:rPr>
            </w:pPr>
            <w:r>
              <w:rPr>
                <w:noProof/>
                <w:sz w:val="22"/>
              </w:rPr>
              <w:t>1,17</w:t>
            </w:r>
          </w:p>
        </w:tc>
        <w:tc>
          <w:tcPr>
            <w:tcW w:w="1559" w:type="dxa"/>
            <w:shd w:val="clear" w:color="auto" w:fill="FFFFFF"/>
            <w:vAlign w:val="bottom"/>
            <w:hideMark/>
          </w:tcPr>
          <w:p>
            <w:pPr>
              <w:jc w:val="center"/>
              <w:rPr>
                <w:noProof/>
                <w:sz w:val="22"/>
                <w:szCs w:val="22"/>
              </w:rPr>
            </w:pPr>
            <w:r>
              <w:rPr>
                <w:noProof/>
                <w:sz w:val="22"/>
              </w:rPr>
              <w:t>1,06</w:t>
            </w:r>
          </w:p>
        </w:tc>
      </w:tr>
      <w:tr>
        <w:trPr>
          <w:trHeight w:hRule="exact" w:val="341"/>
        </w:trPr>
        <w:tc>
          <w:tcPr>
            <w:tcW w:w="1701" w:type="dxa"/>
            <w:shd w:val="clear" w:color="auto" w:fill="FFFFFF"/>
            <w:vAlign w:val="bottom"/>
            <w:hideMark/>
          </w:tcPr>
          <w:p>
            <w:pPr>
              <w:jc w:val="both"/>
              <w:rPr>
                <w:noProof/>
                <w:sz w:val="22"/>
                <w:szCs w:val="22"/>
              </w:rPr>
            </w:pPr>
            <w:r>
              <w:rPr>
                <w:noProof/>
                <w:sz w:val="22"/>
              </w:rPr>
              <w:t>Portugal</w:t>
            </w:r>
          </w:p>
        </w:tc>
        <w:tc>
          <w:tcPr>
            <w:tcW w:w="2268" w:type="dxa"/>
            <w:shd w:val="clear" w:color="auto" w:fill="FFFFFF"/>
            <w:vAlign w:val="bottom"/>
            <w:hideMark/>
          </w:tcPr>
          <w:p>
            <w:pPr>
              <w:jc w:val="center"/>
              <w:rPr>
                <w:noProof/>
                <w:sz w:val="22"/>
                <w:szCs w:val="22"/>
              </w:rPr>
            </w:pPr>
            <w:r>
              <w:rPr>
                <w:noProof/>
                <w:sz w:val="22"/>
              </w:rPr>
              <w:t>1,26</w:t>
            </w:r>
          </w:p>
        </w:tc>
        <w:tc>
          <w:tcPr>
            <w:tcW w:w="1843" w:type="dxa"/>
            <w:shd w:val="clear" w:color="auto" w:fill="FFFFFF"/>
            <w:vAlign w:val="bottom"/>
            <w:hideMark/>
          </w:tcPr>
          <w:p>
            <w:pPr>
              <w:jc w:val="center"/>
              <w:rPr>
                <w:noProof/>
                <w:sz w:val="22"/>
                <w:szCs w:val="22"/>
              </w:rPr>
            </w:pPr>
            <w:r>
              <w:rPr>
                <w:noProof/>
                <w:sz w:val="22"/>
              </w:rPr>
              <w:t>1,80</w:t>
            </w:r>
          </w:p>
        </w:tc>
        <w:tc>
          <w:tcPr>
            <w:tcW w:w="1559" w:type="dxa"/>
            <w:shd w:val="clear" w:color="auto" w:fill="FFFFFF"/>
            <w:vAlign w:val="bottom"/>
            <w:hideMark/>
          </w:tcPr>
          <w:p>
            <w:pPr>
              <w:jc w:val="center"/>
              <w:rPr>
                <w:noProof/>
                <w:sz w:val="22"/>
                <w:szCs w:val="22"/>
              </w:rPr>
            </w:pPr>
            <w:r>
              <w:rPr>
                <w:noProof/>
                <w:sz w:val="22"/>
              </w:rPr>
              <w:t>1,75</w:t>
            </w:r>
          </w:p>
        </w:tc>
      </w:tr>
      <w:tr>
        <w:trPr>
          <w:trHeight w:hRule="exact" w:val="294"/>
        </w:trPr>
        <w:tc>
          <w:tcPr>
            <w:tcW w:w="1701" w:type="dxa"/>
            <w:shd w:val="clear" w:color="auto" w:fill="FFFFFF"/>
            <w:vAlign w:val="bottom"/>
            <w:hideMark/>
          </w:tcPr>
          <w:p>
            <w:pPr>
              <w:jc w:val="both"/>
              <w:rPr>
                <w:noProof/>
                <w:sz w:val="22"/>
                <w:szCs w:val="22"/>
              </w:rPr>
            </w:pPr>
            <w:r>
              <w:rPr>
                <w:noProof/>
                <w:sz w:val="22"/>
              </w:rPr>
              <w:t>Rumänien</w:t>
            </w:r>
          </w:p>
        </w:tc>
        <w:tc>
          <w:tcPr>
            <w:tcW w:w="2268" w:type="dxa"/>
            <w:shd w:val="clear" w:color="auto" w:fill="FFFFFF"/>
            <w:vAlign w:val="bottom"/>
            <w:hideMark/>
          </w:tcPr>
          <w:p>
            <w:pPr>
              <w:jc w:val="center"/>
              <w:rPr>
                <w:noProof/>
                <w:sz w:val="22"/>
                <w:szCs w:val="22"/>
              </w:rPr>
            </w:pPr>
            <w:r>
              <w:rPr>
                <w:noProof/>
                <w:sz w:val="22"/>
              </w:rPr>
              <w:t>0,50</w:t>
            </w:r>
          </w:p>
        </w:tc>
        <w:tc>
          <w:tcPr>
            <w:tcW w:w="1843" w:type="dxa"/>
            <w:shd w:val="clear" w:color="auto" w:fill="FFFFFF"/>
            <w:vAlign w:val="bottom"/>
            <w:hideMark/>
          </w:tcPr>
          <w:p>
            <w:pPr>
              <w:jc w:val="center"/>
              <w:rPr>
                <w:noProof/>
                <w:sz w:val="22"/>
                <w:szCs w:val="22"/>
              </w:rPr>
            </w:pPr>
            <w:r>
              <w:rPr>
                <w:noProof/>
                <w:sz w:val="22"/>
              </w:rPr>
              <w:t>0,73</w:t>
            </w:r>
          </w:p>
        </w:tc>
        <w:tc>
          <w:tcPr>
            <w:tcW w:w="1559" w:type="dxa"/>
            <w:shd w:val="clear" w:color="auto" w:fill="FFFFFF"/>
            <w:vAlign w:val="bottom"/>
            <w:hideMark/>
          </w:tcPr>
          <w:p>
            <w:pPr>
              <w:jc w:val="center"/>
              <w:rPr>
                <w:noProof/>
                <w:sz w:val="22"/>
                <w:szCs w:val="22"/>
              </w:rPr>
            </w:pPr>
            <w:r>
              <w:rPr>
                <w:noProof/>
                <w:sz w:val="22"/>
              </w:rPr>
              <w:t>0,79</w:t>
            </w:r>
          </w:p>
        </w:tc>
      </w:tr>
      <w:tr>
        <w:trPr>
          <w:trHeight w:hRule="exact" w:val="294"/>
        </w:trPr>
        <w:tc>
          <w:tcPr>
            <w:tcW w:w="1701" w:type="dxa"/>
            <w:shd w:val="clear" w:color="auto" w:fill="FFFFFF"/>
            <w:vAlign w:val="bottom"/>
            <w:hideMark/>
          </w:tcPr>
          <w:p>
            <w:pPr>
              <w:jc w:val="both"/>
              <w:rPr>
                <w:noProof/>
                <w:sz w:val="22"/>
                <w:szCs w:val="22"/>
              </w:rPr>
            </w:pPr>
            <w:r>
              <w:rPr>
                <w:noProof/>
                <w:sz w:val="22"/>
              </w:rPr>
              <w:t>Slovenien</w:t>
            </w:r>
          </w:p>
        </w:tc>
        <w:tc>
          <w:tcPr>
            <w:tcW w:w="2268" w:type="dxa"/>
            <w:shd w:val="clear" w:color="auto" w:fill="FFFFFF"/>
            <w:vAlign w:val="bottom"/>
            <w:hideMark/>
          </w:tcPr>
          <w:p>
            <w:pPr>
              <w:jc w:val="center"/>
              <w:rPr>
                <w:noProof/>
                <w:sz w:val="22"/>
                <w:szCs w:val="22"/>
              </w:rPr>
            </w:pPr>
            <w:r>
              <w:rPr>
                <w:noProof/>
                <w:sz w:val="22"/>
              </w:rPr>
              <w:t>0,80</w:t>
            </w:r>
          </w:p>
        </w:tc>
        <w:tc>
          <w:tcPr>
            <w:tcW w:w="1843" w:type="dxa"/>
            <w:shd w:val="clear" w:color="auto" w:fill="FFFFFF"/>
            <w:vAlign w:val="bottom"/>
            <w:hideMark/>
          </w:tcPr>
          <w:p>
            <w:pPr>
              <w:jc w:val="center"/>
              <w:rPr>
                <w:noProof/>
                <w:sz w:val="22"/>
                <w:szCs w:val="22"/>
              </w:rPr>
            </w:pPr>
            <w:r>
              <w:rPr>
                <w:noProof/>
                <w:sz w:val="22"/>
              </w:rPr>
              <w:t>1,00</w:t>
            </w:r>
          </w:p>
        </w:tc>
        <w:tc>
          <w:tcPr>
            <w:tcW w:w="1559" w:type="dxa"/>
            <w:shd w:val="clear" w:color="auto" w:fill="FFFFFF"/>
            <w:vAlign w:val="bottom"/>
            <w:hideMark/>
          </w:tcPr>
          <w:p>
            <w:pPr>
              <w:jc w:val="center"/>
              <w:rPr>
                <w:noProof/>
                <w:sz w:val="22"/>
                <w:szCs w:val="22"/>
              </w:rPr>
            </w:pPr>
            <w:r>
              <w:rPr>
                <w:noProof/>
                <w:sz w:val="22"/>
              </w:rPr>
              <w:t>1,17</w:t>
            </w:r>
          </w:p>
        </w:tc>
      </w:tr>
      <w:tr>
        <w:trPr>
          <w:trHeight w:hRule="exact" w:val="299"/>
        </w:trPr>
        <w:tc>
          <w:tcPr>
            <w:tcW w:w="1701" w:type="dxa"/>
            <w:shd w:val="clear" w:color="auto" w:fill="FFFFFF"/>
            <w:vAlign w:val="bottom"/>
            <w:hideMark/>
          </w:tcPr>
          <w:p>
            <w:pPr>
              <w:jc w:val="both"/>
              <w:rPr>
                <w:noProof/>
                <w:sz w:val="22"/>
                <w:szCs w:val="22"/>
              </w:rPr>
            </w:pPr>
            <w:r>
              <w:rPr>
                <w:noProof/>
                <w:sz w:val="22"/>
              </w:rPr>
              <w:t>Slovakien</w:t>
            </w:r>
          </w:p>
        </w:tc>
        <w:tc>
          <w:tcPr>
            <w:tcW w:w="2268" w:type="dxa"/>
            <w:shd w:val="clear" w:color="auto" w:fill="FFFFFF"/>
            <w:vAlign w:val="bottom"/>
            <w:hideMark/>
          </w:tcPr>
          <w:p>
            <w:pPr>
              <w:jc w:val="center"/>
              <w:rPr>
                <w:noProof/>
                <w:sz w:val="22"/>
                <w:szCs w:val="22"/>
              </w:rPr>
            </w:pPr>
            <w:r>
              <w:rPr>
                <w:noProof/>
                <w:sz w:val="22"/>
              </w:rPr>
              <w:t>2,08</w:t>
            </w:r>
          </w:p>
        </w:tc>
        <w:tc>
          <w:tcPr>
            <w:tcW w:w="1843" w:type="dxa"/>
            <w:shd w:val="clear" w:color="auto" w:fill="FFFFFF"/>
            <w:vAlign w:val="bottom"/>
            <w:hideMark/>
          </w:tcPr>
          <w:p>
            <w:pPr>
              <w:jc w:val="center"/>
              <w:rPr>
                <w:noProof/>
                <w:sz w:val="22"/>
                <w:szCs w:val="22"/>
              </w:rPr>
            </w:pPr>
            <w:r>
              <w:rPr>
                <w:noProof/>
                <w:sz w:val="22"/>
              </w:rPr>
              <w:t>2,49</w:t>
            </w:r>
          </w:p>
        </w:tc>
        <w:tc>
          <w:tcPr>
            <w:tcW w:w="1559" w:type="dxa"/>
            <w:shd w:val="clear" w:color="auto" w:fill="FFFFFF"/>
            <w:vAlign w:val="bottom"/>
            <w:hideMark/>
          </w:tcPr>
          <w:p>
            <w:pPr>
              <w:jc w:val="center"/>
              <w:rPr>
                <w:noProof/>
                <w:sz w:val="22"/>
                <w:szCs w:val="22"/>
              </w:rPr>
            </w:pPr>
            <w:r>
              <w:rPr>
                <w:noProof/>
                <w:sz w:val="22"/>
              </w:rPr>
              <w:t>2,70</w:t>
            </w:r>
          </w:p>
        </w:tc>
      </w:tr>
      <w:tr>
        <w:trPr>
          <w:trHeight w:hRule="exact" w:val="294"/>
        </w:trPr>
        <w:tc>
          <w:tcPr>
            <w:tcW w:w="1701" w:type="dxa"/>
            <w:shd w:val="clear" w:color="auto" w:fill="FFFFFF"/>
            <w:vAlign w:val="bottom"/>
            <w:hideMark/>
          </w:tcPr>
          <w:p>
            <w:pPr>
              <w:jc w:val="both"/>
              <w:rPr>
                <w:noProof/>
                <w:sz w:val="22"/>
                <w:szCs w:val="22"/>
              </w:rPr>
            </w:pPr>
            <w:r>
              <w:rPr>
                <w:noProof/>
                <w:sz w:val="22"/>
              </w:rPr>
              <w:t>Finland</w:t>
            </w:r>
          </w:p>
        </w:tc>
        <w:tc>
          <w:tcPr>
            <w:tcW w:w="2268" w:type="dxa"/>
            <w:shd w:val="clear" w:color="auto" w:fill="FFFFFF"/>
            <w:vAlign w:val="bottom"/>
            <w:hideMark/>
          </w:tcPr>
          <w:p>
            <w:pPr>
              <w:jc w:val="center"/>
              <w:rPr>
                <w:noProof/>
                <w:sz w:val="22"/>
                <w:szCs w:val="22"/>
              </w:rPr>
            </w:pPr>
            <w:r>
              <w:rPr>
                <w:noProof/>
                <w:sz w:val="22"/>
              </w:rPr>
              <w:t>4,63</w:t>
            </w:r>
          </w:p>
        </w:tc>
        <w:tc>
          <w:tcPr>
            <w:tcW w:w="1843" w:type="dxa"/>
            <w:shd w:val="clear" w:color="auto" w:fill="FFFFFF"/>
            <w:vAlign w:val="bottom"/>
            <w:hideMark/>
          </w:tcPr>
          <w:p>
            <w:pPr>
              <w:jc w:val="center"/>
              <w:rPr>
                <w:noProof/>
                <w:sz w:val="22"/>
                <w:szCs w:val="22"/>
              </w:rPr>
            </w:pPr>
            <w:r>
              <w:rPr>
                <w:noProof/>
                <w:sz w:val="22"/>
              </w:rPr>
              <w:t>4,52</w:t>
            </w:r>
          </w:p>
        </w:tc>
        <w:tc>
          <w:tcPr>
            <w:tcW w:w="1559" w:type="dxa"/>
            <w:shd w:val="clear" w:color="auto" w:fill="FFFFFF"/>
            <w:vAlign w:val="bottom"/>
            <w:hideMark/>
          </w:tcPr>
          <w:p>
            <w:pPr>
              <w:jc w:val="center"/>
              <w:rPr>
                <w:noProof/>
                <w:sz w:val="22"/>
                <w:szCs w:val="22"/>
              </w:rPr>
            </w:pPr>
            <w:r>
              <w:rPr>
                <w:noProof/>
                <w:sz w:val="22"/>
              </w:rPr>
              <w:t>3,30</w:t>
            </w:r>
          </w:p>
        </w:tc>
      </w:tr>
      <w:tr>
        <w:trPr>
          <w:trHeight w:hRule="exact" w:val="294"/>
        </w:trPr>
        <w:tc>
          <w:tcPr>
            <w:tcW w:w="1701" w:type="dxa"/>
            <w:shd w:val="clear" w:color="auto" w:fill="FFFFFF"/>
            <w:vAlign w:val="bottom"/>
            <w:hideMark/>
          </w:tcPr>
          <w:p>
            <w:pPr>
              <w:jc w:val="both"/>
              <w:rPr>
                <w:noProof/>
                <w:sz w:val="22"/>
                <w:szCs w:val="22"/>
              </w:rPr>
            </w:pPr>
            <w:r>
              <w:rPr>
                <w:noProof/>
                <w:sz w:val="22"/>
              </w:rPr>
              <w:t>Sverige</w:t>
            </w:r>
          </w:p>
        </w:tc>
        <w:tc>
          <w:tcPr>
            <w:tcW w:w="2268" w:type="dxa"/>
            <w:shd w:val="clear" w:color="auto" w:fill="FFFFFF"/>
            <w:vAlign w:val="bottom"/>
            <w:hideMark/>
          </w:tcPr>
          <w:p>
            <w:pPr>
              <w:jc w:val="center"/>
              <w:rPr>
                <w:noProof/>
                <w:sz w:val="22"/>
                <w:szCs w:val="22"/>
              </w:rPr>
            </w:pPr>
            <w:r>
              <w:rPr>
                <w:noProof/>
                <w:sz w:val="22"/>
              </w:rPr>
              <w:t>4,10</w:t>
            </w:r>
          </w:p>
        </w:tc>
        <w:tc>
          <w:tcPr>
            <w:tcW w:w="1843" w:type="dxa"/>
            <w:shd w:val="clear" w:color="auto" w:fill="FFFFFF"/>
            <w:vAlign w:val="bottom"/>
            <w:hideMark/>
          </w:tcPr>
          <w:p>
            <w:pPr>
              <w:jc w:val="center"/>
              <w:rPr>
                <w:noProof/>
                <w:sz w:val="22"/>
                <w:szCs w:val="22"/>
              </w:rPr>
            </w:pPr>
            <w:r>
              <w:rPr>
                <w:noProof/>
                <w:sz w:val="22"/>
              </w:rPr>
              <w:t>4,56</w:t>
            </w:r>
          </w:p>
        </w:tc>
        <w:tc>
          <w:tcPr>
            <w:tcW w:w="1559" w:type="dxa"/>
            <w:shd w:val="clear" w:color="auto" w:fill="FFFFFF"/>
            <w:vAlign w:val="bottom"/>
            <w:hideMark/>
          </w:tcPr>
          <w:p>
            <w:pPr>
              <w:jc w:val="center"/>
              <w:rPr>
                <w:noProof/>
                <w:sz w:val="22"/>
                <w:szCs w:val="22"/>
              </w:rPr>
            </w:pPr>
            <w:r>
              <w:rPr>
                <w:noProof/>
                <w:sz w:val="22"/>
              </w:rPr>
              <w:t>4,92</w:t>
            </w:r>
          </w:p>
        </w:tc>
      </w:tr>
      <w:tr>
        <w:trPr>
          <w:trHeight w:hRule="exact" w:val="339"/>
        </w:trPr>
        <w:tc>
          <w:tcPr>
            <w:tcW w:w="1701" w:type="dxa"/>
            <w:shd w:val="clear" w:color="auto" w:fill="FFFFFF"/>
            <w:vAlign w:val="bottom"/>
            <w:hideMark/>
          </w:tcPr>
          <w:p>
            <w:pPr>
              <w:jc w:val="both"/>
              <w:rPr>
                <w:noProof/>
                <w:sz w:val="22"/>
                <w:szCs w:val="22"/>
              </w:rPr>
            </w:pPr>
            <w:r>
              <w:rPr>
                <w:noProof/>
                <w:sz w:val="22"/>
              </w:rPr>
              <w:t>Förenade kungariket</w:t>
            </w:r>
          </w:p>
        </w:tc>
        <w:tc>
          <w:tcPr>
            <w:tcW w:w="2268" w:type="dxa"/>
            <w:shd w:val="clear" w:color="auto" w:fill="FFFFFF"/>
            <w:vAlign w:val="bottom"/>
            <w:hideMark/>
          </w:tcPr>
          <w:p>
            <w:pPr>
              <w:jc w:val="center"/>
              <w:rPr>
                <w:noProof/>
                <w:sz w:val="22"/>
                <w:szCs w:val="22"/>
              </w:rPr>
            </w:pPr>
            <w:r>
              <w:rPr>
                <w:noProof/>
                <w:sz w:val="22"/>
              </w:rPr>
              <w:t>5,68</w:t>
            </w:r>
          </w:p>
        </w:tc>
        <w:tc>
          <w:tcPr>
            <w:tcW w:w="1843" w:type="dxa"/>
            <w:shd w:val="clear" w:color="auto" w:fill="FFFFFF"/>
            <w:vAlign w:val="bottom"/>
            <w:hideMark/>
          </w:tcPr>
          <w:p>
            <w:pPr>
              <w:jc w:val="center"/>
              <w:rPr>
                <w:noProof/>
                <w:sz w:val="22"/>
                <w:szCs w:val="22"/>
              </w:rPr>
            </w:pPr>
            <w:r>
              <w:rPr>
                <w:noProof/>
                <w:sz w:val="22"/>
              </w:rPr>
              <w:t>7,56</w:t>
            </w:r>
          </w:p>
        </w:tc>
        <w:tc>
          <w:tcPr>
            <w:tcW w:w="1559" w:type="dxa"/>
            <w:shd w:val="clear" w:color="auto" w:fill="FFFFFF"/>
            <w:vAlign w:val="bottom"/>
            <w:hideMark/>
          </w:tcPr>
          <w:p>
            <w:pPr>
              <w:jc w:val="center"/>
              <w:rPr>
                <w:noProof/>
                <w:sz w:val="22"/>
                <w:szCs w:val="22"/>
              </w:rPr>
            </w:pPr>
            <w:r>
              <w:rPr>
                <w:noProof/>
                <w:sz w:val="22"/>
              </w:rPr>
              <w:t>7,31</w:t>
            </w:r>
          </w:p>
        </w:tc>
      </w:tr>
    </w:tbl>
    <w:p>
      <w:pPr>
        <w:rPr>
          <w:noProof/>
        </w:rPr>
      </w:pPr>
    </w:p>
    <w:p>
      <w:pPr>
        <w:rPr>
          <w:noProof/>
        </w:rPr>
      </w:pPr>
    </w:p>
    <w:p>
      <w:pPr>
        <w:jc w:val="both"/>
        <w:rPr>
          <w:b/>
          <w:noProof/>
        </w:rPr>
      </w:pPr>
      <w:r>
        <w:rPr>
          <w:i/>
          <w:noProof/>
          <w:sz w:val="18"/>
        </w:rPr>
        <w:t>Källa</w:t>
      </w:r>
      <w:r>
        <w:rPr>
          <w:noProof/>
          <w:sz w:val="18"/>
        </w:rPr>
        <w:t>: Eurostat, räkenskaper för jordbrukssektorn, Ameco för BNP-deflatorer och kroatiska myndigheter för markpriserna i Kroatien.</w:t>
      </w:r>
    </w:p>
    <w:p>
      <w:pPr>
        <w:jc w:val="both"/>
        <w:rPr>
          <w:i/>
          <w:noProof/>
        </w:rPr>
      </w:pPr>
    </w:p>
    <w:p>
      <w:pPr>
        <w:jc w:val="both"/>
        <w:rPr>
          <w:noProof/>
          <w:sz w:val="18"/>
          <w:szCs w:val="18"/>
        </w:rPr>
      </w:pPr>
      <w:r>
        <w:rPr>
          <w:i/>
          <w:noProof/>
          <w:sz w:val="18"/>
        </w:rPr>
        <w:t>Anmärkning</w:t>
      </w:r>
      <w:r>
        <w:rPr>
          <w:noProof/>
          <w:sz w:val="18"/>
        </w:rPr>
        <w:t>: Överkomlighetsindexen beräknas som förhållandet mellan faktorinkomsten netto i jordbruket per årsarbetsenhet i varje medlemsstat och anskaffningspriset i euro för en hektar jordbruksmark i Kroatien uttryckt i 2010 års fasta priser i euro. Överkomlighetsindexen visar därför hur många hektar mark i Kroatien som kan förvärvas med den årliga inkomsten från jordbruk för jordbrukare i varje medlemsstat. Högre indexvärden innebär att jordbruksmark är mer överkomlig för jordbrukare.</w:t>
      </w:r>
    </w:p>
    <w:p>
      <w:pPr>
        <w:jc w:val="both"/>
        <w:rPr>
          <w:noProof/>
          <w:sz w:val="18"/>
          <w:szCs w:val="18"/>
        </w:rPr>
      </w:pPr>
    </w:p>
    <w:p>
      <w:pPr>
        <w:jc w:val="both"/>
        <w:rPr>
          <w:noProof/>
        </w:rPr>
      </w:pPr>
      <w:r>
        <w:rPr>
          <w:noProof/>
          <w:sz w:val="18"/>
        </w:rPr>
        <w:t xml:space="preserve">Överkomlighetsindexen för Kroatien tyder exempelvis på att kroatiska jordbrukares årliga faktorinkomst netto från jordbruk inte var tillräcklig för att förvärva en hektar mark (eftersom indexvärdet för Kroatien för 2014 var 0,79). Den årliga faktorinkomsten netto för jordbrukare i Danmark skulle däremot ha gjort det möjligt för dem att köpa mer än 9 hektar mark </w:t>
      </w:r>
      <w:r>
        <w:rPr>
          <w:noProof/>
          <w:sz w:val="18"/>
          <w:u w:val="single"/>
        </w:rPr>
        <w:t>i Kroatien</w:t>
      </w:r>
      <w:r>
        <w:rPr>
          <w:noProof/>
          <w:sz w:val="18"/>
        </w:rPr>
        <w:t xml:space="preserve"> 2014 (eftersom indexvärdet för detta år för Danmark var 9).</w:t>
      </w:r>
    </w:p>
    <w:p>
      <w:pPr>
        <w:rPr>
          <w:noProof/>
        </w:rPr>
      </w:pPr>
    </w:p>
    <w:p>
      <w:pPr>
        <w:rPr>
          <w:noProof/>
        </w:rPr>
      </w:pPr>
    </w:p>
    <w:p>
      <w:pPr>
        <w:rPr>
          <w:noProof/>
        </w:rPr>
      </w:pPr>
    </w:p>
    <w:tbl>
      <w:tblPr>
        <w:tblStyle w:val="TableGrid"/>
        <w:tblW w:w="0" w:type="auto"/>
        <w:tblLook w:val="04A0" w:firstRow="1" w:lastRow="0" w:firstColumn="1" w:lastColumn="0" w:noHBand="0" w:noVBand="1"/>
      </w:tblPr>
      <w:tblGrid>
        <w:gridCol w:w="9288"/>
      </w:tblGrid>
      <w:tr>
        <w:tc>
          <w:tcPr>
            <w:tcW w:w="9289" w:type="dxa"/>
          </w:tcPr>
          <w:p>
            <w:pPr>
              <w:jc w:val="center"/>
              <w:rPr>
                <w:noProof/>
              </w:rPr>
            </w:pPr>
            <w:r>
              <w:rPr>
                <w:b/>
                <w:noProof/>
              </w:rPr>
              <w:t>Diagram 2. Konvergens i fråga om jordbruksmarks överkomlighet för jordbruksproducenter, 2012–2014</w:t>
            </w:r>
          </w:p>
        </w:tc>
      </w:tr>
      <w:tr>
        <w:tc>
          <w:tcPr>
            <w:tcW w:w="9289" w:type="dxa"/>
          </w:tcPr>
          <w:p>
            <w:pPr>
              <w:jc w:val="center"/>
              <w:rPr>
                <w:b/>
                <w:noProof/>
              </w:rPr>
            </w:pPr>
            <w:r>
              <w:rPr>
                <w:b/>
                <w:noProof/>
              </w:rPr>
              <w:t>Fält A: Kroatien i jämförelse med de övriga medlemsstaterna i EU-28</w:t>
            </w:r>
          </w:p>
        </w:tc>
      </w:tr>
      <w:tr>
        <w:tc>
          <w:tcPr>
            <w:tcW w:w="9289" w:type="dxa"/>
          </w:tcPr>
          <w:p>
            <w:pPr>
              <w:jc w:val="center"/>
              <w:rPr>
                <w:noProof/>
              </w:rPr>
            </w:pPr>
            <w:r>
              <w:rPr>
                <w:noProof/>
                <w:lang w:val="en-US" w:eastAsia="en-US" w:bidi="ar-SA"/>
              </w:rPr>
              <w:drawing>
                <wp:inline distT="0" distB="0" distL="0" distR="0">
                  <wp:extent cx="3800475" cy="2657475"/>
                  <wp:effectExtent l="0" t="0" r="9525"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811086" cy="2664895"/>
                          </a:xfrm>
                          <a:prstGeom prst="rect">
                            <a:avLst/>
                          </a:prstGeom>
                          <a:noFill/>
                          <a:ln>
                            <a:noFill/>
                          </a:ln>
                        </pic:spPr>
                      </pic:pic>
                    </a:graphicData>
                  </a:graphic>
                </wp:inline>
              </w:drawing>
            </w:r>
          </w:p>
        </w:tc>
      </w:tr>
      <w:tr>
        <w:tc>
          <w:tcPr>
            <w:tcW w:w="9289" w:type="dxa"/>
          </w:tcPr>
          <w:p>
            <w:pPr>
              <w:jc w:val="center"/>
              <w:rPr>
                <w:noProof/>
              </w:rPr>
            </w:pPr>
          </w:p>
        </w:tc>
      </w:tr>
      <w:tr>
        <w:tc>
          <w:tcPr>
            <w:tcW w:w="9289" w:type="dxa"/>
          </w:tcPr>
          <w:p>
            <w:pPr>
              <w:jc w:val="center"/>
              <w:rPr>
                <w:b/>
                <w:noProof/>
              </w:rPr>
            </w:pPr>
            <w:r>
              <w:rPr>
                <w:b/>
                <w:noProof/>
              </w:rPr>
              <w:t>Fält B: Kroatien i jämförelse med de övriga tolv nya medlemsstaterna</w:t>
            </w:r>
          </w:p>
        </w:tc>
      </w:tr>
      <w:tr>
        <w:tc>
          <w:tcPr>
            <w:tcW w:w="9289" w:type="dxa"/>
          </w:tcPr>
          <w:p>
            <w:pPr>
              <w:jc w:val="center"/>
              <w:rPr>
                <w:noProof/>
              </w:rPr>
            </w:pPr>
            <w:r>
              <w:rPr>
                <w:noProof/>
                <w:lang w:val="en-US" w:eastAsia="en-US" w:bidi="ar-SA"/>
              </w:rPr>
              <w:drawing>
                <wp:inline distT="0" distB="0" distL="0" distR="0">
                  <wp:extent cx="4105275" cy="2960012"/>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4110175" cy="2963545"/>
                          </a:xfrm>
                          <a:prstGeom prst="rect">
                            <a:avLst/>
                          </a:prstGeom>
                          <a:noFill/>
                          <a:ln>
                            <a:noFill/>
                          </a:ln>
                        </pic:spPr>
                      </pic:pic>
                    </a:graphicData>
                  </a:graphic>
                </wp:inline>
              </w:drawing>
            </w:r>
          </w:p>
        </w:tc>
      </w:tr>
      <w:tr>
        <w:tc>
          <w:tcPr>
            <w:tcW w:w="9289" w:type="dxa"/>
          </w:tcPr>
          <w:p>
            <w:pPr>
              <w:rPr>
                <w:noProof/>
                <w:sz w:val="18"/>
                <w:szCs w:val="18"/>
              </w:rPr>
            </w:pPr>
            <w:r>
              <w:rPr>
                <w:i/>
                <w:noProof/>
                <w:sz w:val="18"/>
              </w:rPr>
              <w:t xml:space="preserve">Källa: </w:t>
            </w:r>
            <w:r>
              <w:rPr>
                <w:noProof/>
                <w:sz w:val="18"/>
              </w:rPr>
              <w:t>Eurostat, räkenskaper för jordbrukssektorn och kroatiska myndigheter för markpriser i Kroatien.</w:t>
            </w:r>
          </w:p>
        </w:tc>
      </w:tr>
    </w:tbl>
    <w:p>
      <w:pPr>
        <w:rPr>
          <w:noProof/>
        </w:rPr>
      </w:pPr>
    </w:p>
    <w:sectPr>
      <w:headerReference w:type="even" r:id="rId18"/>
      <w:headerReference w:type="default" r:id="rId19"/>
      <w:footerReference w:type="even" r:id="rId20"/>
      <w:footerReference w:type="default" r:id="rId21"/>
      <w:headerReference w:type="first" r:id="rId22"/>
      <w:footerReference w:type="first" r:id="rId23"/>
      <w:pgSz w:w="11906" w:h="16838"/>
      <w:pgMar w:top="1417" w:right="1417" w:bottom="1417" w:left="1417" w:header="708" w:footer="708" w:gutter="0"/>
      <w:pgNumType w:start="2"/>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CoverPage"/>
      <w:rPr>
        <w:rFonts w:ascii="Arial" w:hAnsi="Arial" w:cs="Arial"/>
        <w:b/>
        <w:sz w:val="48"/>
      </w:rPr>
    </w:pPr>
    <w:r>
      <w:rPr>
        <w:rFonts w:ascii="Arial" w:hAnsi="Arial" w:cs="Arial"/>
        <w:b/>
        <w:sz w:val="48"/>
      </w:rPr>
      <w:t>SV</w:t>
    </w:r>
    <w:r>
      <w:rPr>
        <w:rFonts w:ascii="Arial" w:hAnsi="Arial" w:cs="Arial"/>
        <w:b/>
        <w:sz w:val="48"/>
      </w:rPr>
      <w:tab/>
    </w:r>
    <w:r>
      <w:rPr>
        <w:rFonts w:ascii="Arial" w:hAnsi="Arial" w:cs="Arial"/>
        <w:b/>
        <w:sz w:val="48"/>
      </w:rPr>
      <w:tab/>
    </w:r>
    <w:r>
      <w:fldChar w:fldCharType="begin"/>
    </w:r>
    <w:r>
      <w:instrText xml:space="preserve"> DOCVARIABLE "LW_Confidence" \* MERGEFORMAT </w:instrText>
    </w:r>
    <w:r>
      <w:fldChar w:fldCharType="separate"/>
    </w:r>
    <w:r>
      <w:t xml:space="preserve"> </w:t>
    </w:r>
    <w:r>
      <w:fldChar w:fldCharType="end"/>
    </w:r>
    <w:r>
      <w:tab/>
    </w:r>
    <w:r>
      <w:rPr>
        <w:rFonts w:ascii="Arial" w:hAnsi="Arial" w:cs="Arial"/>
        <w:b/>
        <w:sz w:val="48"/>
      </w:rPr>
      <w:t>SV</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CoverPage"/>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46321699"/>
      <w:docPartObj>
        <w:docPartGallery w:val="Page Numbers (Bottom of Page)"/>
        <w:docPartUnique/>
      </w:docPartObj>
    </w:sdtPr>
    <w:sdtEndPr>
      <w:rPr>
        <w:noProof/>
      </w:rPr>
    </w:sdtEndPr>
    <w:sdtContent>
      <w:p>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pPr>
      <w:pStyle w:val="Foo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CoverPag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CoverPage"/>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VERPAGE_EXISTS" w:val="True"/>
    <w:docVar w:name="DocStatus" w:val="Green"/>
    <w:docVar w:name="LW_ACCOMPAGNANT.CP" w:val="till"/>
    <w:docVar w:name="LW_ANNEX_NBR_FIRST" w:val="1"/>
    <w:docVar w:name="LW_ANNEX_NBR_LAST" w:val="1"/>
    <w:docVar w:name="LW_CONFIDENCE" w:val=" "/>
    <w:docVar w:name="LW_CONST_RESTREINT_UE" w:val="RESTREINT UE"/>
    <w:docVar w:name="LW_CORRIGENDUM" w:val="&lt;UNUSED&gt;"/>
    <w:docVar w:name="LW_COVERPAGE_GUID" w:val="E4CF52E5A6184064B8CE40F3E2937B0A"/>
    <w:docVar w:name="LW_CROSSREFERENCE" w:val="&lt;UNUSED&gt;"/>
    <w:docVar w:name="LW_DocType" w:val="NORMAL"/>
    <w:docVar w:name="LW_EMISSION" w:val="8.5.2017"/>
    <w:docVar w:name="LW_EMISSION_ISODATE" w:val="2017-05-08"/>
    <w:docVar w:name="LW_EMISSION_LOCATION" w:val="BRX"/>
    <w:docVar w:name="LW_EMISSION_PREFIX" w:val="Bryssel den "/>
    <w:docVar w:name="LW_EMISSION_SUFFIX" w:val=" "/>
    <w:docVar w:name="LW_ID_DOCTYPE_NONLW" w:val="CP-039"/>
    <w:docVar w:name="LW_LANGUE" w:val="SV"/>
    <w:docVar w:name="LW_MARKING" w:val="&lt;UNUSED&gt;"/>
    <w:docVar w:name="LW_NOM.INST" w:val="EUROPEISKA KOMMISSIONEN"/>
    <w:docVar w:name="LW_NOM.INST_JOINTDOC" w:val="&lt;EMPTY&gt;"/>
    <w:docVar w:name="LW_OBJETACTEPRINCIPAL.CP" w:val="Översyn av övergångsbestämmelserna om förvärv av jordbruksmark och skog i 2011 års fördrag om Kroatiens anslutning till EU"/>
    <w:docVar w:name="LW_PART_NBR" w:val="1"/>
    <w:docVar w:name="LW_PART_NBR_TOTAL" w:val="1"/>
    <w:docVar w:name="LW_REF.INST.NEW" w:val="COM"/>
    <w:docVar w:name="LW_REF.INST.NEW_ADOPTED" w:val="final"/>
    <w:docVar w:name="LW_REF.INST.NEW_TEXT" w:val="(2017) 217"/>
    <w:docVar w:name="LW_REF.INTERNE" w:val="&lt;UNUSED&gt;"/>
    <w:docVar w:name="LW_SUPERTITRE" w:val="&lt;UNUSED&gt;"/>
    <w:docVar w:name="LW_TITRE.OBJ.CP" w:val="&lt;UNUSED&gt;"/>
    <w:docVar w:name="LW_TYPE.DOC.CP" w:val="BILAGA_x000b_"/>
    <w:docVar w:name="LW_TYPEACTEPRINCIPAL.CP" w:val="RAPPORT FRÅN KOMMISSIONEN TILL RÅDET"/>
  </w:docVar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sv-SE" w:eastAsia="sv-SE" w:bidi="sv-SE"/>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table" w:styleId="TableGrid">
    <w:name w:val="Table Grid"/>
    <w:basedOn w:val="TableNormal"/>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rPr>
      <w:rFonts w:ascii="Tahoma" w:hAnsi="Tahoma" w:cs="Tahoma"/>
      <w:sz w:val="16"/>
      <w:szCs w:val="16"/>
    </w:rPr>
  </w:style>
  <w:style w:type="character" w:customStyle="1" w:styleId="BalloonTextChar">
    <w:name w:val="Balloon Text Char"/>
    <w:basedOn w:val="DefaultParagraphFont"/>
    <w:link w:val="BalloonText"/>
    <w:rPr>
      <w:rFonts w:ascii="Tahoma" w:hAnsi="Tahoma" w:cs="Tahoma"/>
      <w:sz w:val="16"/>
      <w:szCs w:val="16"/>
    </w:rPr>
  </w:style>
  <w:style w:type="character" w:customStyle="1" w:styleId="Marker">
    <w:name w:val="Marker"/>
    <w:basedOn w:val="DefaultParagraphFont"/>
    <w:rPr>
      <w:color w:val="0000FF"/>
      <w:shd w:val="clear" w:color="auto" w:fill="auto"/>
    </w:rPr>
  </w:style>
  <w:style w:type="paragraph" w:customStyle="1" w:styleId="Pagedecouverture">
    <w:name w:val="Page de couverture"/>
    <w:basedOn w:val="Normal"/>
    <w:next w:val="Normal"/>
    <w:pPr>
      <w:jc w:val="both"/>
    </w:pPr>
    <w:rPr>
      <w:rFonts w:eastAsiaTheme="minorHAnsi"/>
      <w:szCs w:val="22"/>
    </w:rPr>
  </w:style>
  <w:style w:type="paragraph" w:styleId="Header">
    <w:name w:val="header"/>
    <w:basedOn w:val="Normal"/>
    <w:link w:val="HeaderChar"/>
    <w:pPr>
      <w:tabs>
        <w:tab w:val="center" w:pos="4703"/>
        <w:tab w:val="right" w:pos="9406"/>
      </w:tabs>
    </w:pPr>
  </w:style>
  <w:style w:type="character" w:customStyle="1" w:styleId="HeaderChar">
    <w:name w:val="Header Char"/>
    <w:basedOn w:val="DefaultParagraphFont"/>
    <w:link w:val="Header"/>
    <w:rPr>
      <w:sz w:val="24"/>
      <w:szCs w:val="24"/>
    </w:rPr>
  </w:style>
  <w:style w:type="paragraph" w:styleId="Footer">
    <w:name w:val="footer"/>
    <w:basedOn w:val="Normal"/>
    <w:link w:val="FooterChar"/>
    <w:uiPriority w:val="99"/>
    <w:pPr>
      <w:tabs>
        <w:tab w:val="center" w:pos="4703"/>
        <w:tab w:val="right" w:pos="9406"/>
      </w:tabs>
    </w:pPr>
  </w:style>
  <w:style w:type="character" w:customStyle="1" w:styleId="FooterChar">
    <w:name w:val="Footer Char"/>
    <w:basedOn w:val="DefaultParagraphFont"/>
    <w:link w:val="Footer"/>
    <w:uiPriority w:val="99"/>
    <w:rPr>
      <w:sz w:val="24"/>
      <w:szCs w:val="24"/>
    </w:rPr>
  </w:style>
  <w:style w:type="paragraph" w:customStyle="1" w:styleId="Typedudocument">
    <w:name w:val="Type du document"/>
    <w:basedOn w:val="Normal"/>
    <w:next w:val="Normal"/>
    <w:link w:val="TypedudocumentChar"/>
    <w:pPr>
      <w:spacing w:before="360"/>
      <w:jc w:val="center"/>
    </w:pPr>
    <w:rPr>
      <w:rFonts w:eastAsiaTheme="minorHAnsi"/>
      <w:b/>
      <w:szCs w:val="22"/>
    </w:rPr>
  </w:style>
  <w:style w:type="paragraph" w:customStyle="1" w:styleId="Titreobjet">
    <w:name w:val="Titre objet"/>
    <w:basedOn w:val="Normal"/>
    <w:next w:val="Normal"/>
    <w:pPr>
      <w:spacing w:before="360" w:after="360"/>
      <w:jc w:val="center"/>
    </w:pPr>
    <w:rPr>
      <w:rFonts w:eastAsiaTheme="minorHAnsi"/>
      <w:b/>
      <w:szCs w:val="22"/>
    </w:rPr>
  </w:style>
  <w:style w:type="paragraph" w:customStyle="1" w:styleId="Typeacteprincipal">
    <w:name w:val="Type acte principal"/>
    <w:basedOn w:val="Normal"/>
    <w:next w:val="Normal"/>
    <w:pPr>
      <w:spacing w:after="240"/>
      <w:jc w:val="center"/>
    </w:pPr>
    <w:rPr>
      <w:rFonts w:eastAsiaTheme="minorHAnsi"/>
      <w:b/>
      <w:szCs w:val="22"/>
    </w:rPr>
  </w:style>
  <w:style w:type="paragraph" w:customStyle="1" w:styleId="Objetacteprincipal">
    <w:name w:val="Objet acte principal"/>
    <w:basedOn w:val="Normal"/>
    <w:next w:val="Normal"/>
    <w:pPr>
      <w:spacing w:after="360"/>
      <w:jc w:val="center"/>
    </w:pPr>
    <w:rPr>
      <w:rFonts w:eastAsiaTheme="minorHAnsi"/>
      <w:b/>
      <w:szCs w:val="22"/>
    </w:rPr>
  </w:style>
  <w:style w:type="paragraph" w:customStyle="1" w:styleId="FooterCoverPage">
    <w:name w:val="Footer Cover Page"/>
    <w:basedOn w:val="Normal"/>
    <w:link w:val="FooterCoverPageChar"/>
    <w:pPr>
      <w:tabs>
        <w:tab w:val="center" w:pos="4535"/>
        <w:tab w:val="right" w:pos="9071"/>
        <w:tab w:val="right" w:pos="9921"/>
      </w:tabs>
      <w:spacing w:before="360"/>
      <w:ind w:left="-850" w:right="-850"/>
    </w:pPr>
    <w:rPr>
      <w:rFonts w:eastAsiaTheme="minorHAnsi"/>
    </w:rPr>
  </w:style>
  <w:style w:type="character" w:customStyle="1" w:styleId="TypedudocumentChar">
    <w:name w:val="Type du document Char"/>
    <w:basedOn w:val="DefaultParagraphFont"/>
    <w:link w:val="Typedudocument"/>
    <w:rPr>
      <w:rFonts w:eastAsiaTheme="minorHAnsi"/>
      <w:b/>
      <w:sz w:val="24"/>
      <w:szCs w:val="22"/>
      <w:lang w:eastAsia="sv-SE"/>
    </w:rPr>
  </w:style>
  <w:style w:type="character" w:customStyle="1" w:styleId="FooterCoverPageChar">
    <w:name w:val="Footer Cover Page Char"/>
    <w:basedOn w:val="TypedudocumentChar"/>
    <w:link w:val="FooterCoverPage"/>
    <w:rPr>
      <w:rFonts w:eastAsiaTheme="minorHAnsi"/>
      <w:b w:val="0"/>
      <w:sz w:val="24"/>
      <w:szCs w:val="24"/>
      <w:lang w:eastAsia="sv-SE"/>
    </w:rPr>
  </w:style>
  <w:style w:type="paragraph" w:customStyle="1" w:styleId="HeaderCoverPage">
    <w:name w:val="Header Cover Page"/>
    <w:basedOn w:val="Normal"/>
    <w:link w:val="HeaderCoverPageChar"/>
    <w:pPr>
      <w:tabs>
        <w:tab w:val="center" w:pos="4535"/>
        <w:tab w:val="right" w:pos="9071"/>
      </w:tabs>
      <w:spacing w:after="120"/>
      <w:jc w:val="both"/>
    </w:pPr>
    <w:rPr>
      <w:rFonts w:eastAsiaTheme="minorHAnsi"/>
    </w:rPr>
  </w:style>
  <w:style w:type="character" w:customStyle="1" w:styleId="HeaderCoverPageChar">
    <w:name w:val="Header Cover Page Char"/>
    <w:basedOn w:val="TypedudocumentChar"/>
    <w:link w:val="HeaderCoverPage"/>
    <w:rPr>
      <w:rFonts w:eastAsiaTheme="minorHAnsi"/>
      <w:b w:val="0"/>
      <w:sz w:val="24"/>
      <w:szCs w:val="24"/>
      <w:lang w:eastAsia="sv-SE"/>
    </w:rPr>
  </w:style>
  <w:style w:type="paragraph" w:customStyle="1" w:styleId="Accompagnant">
    <w:name w:val="Accompagnant"/>
    <w:basedOn w:val="Normal"/>
    <w:next w:val="Typeacteprincipal"/>
    <w:pPr>
      <w:spacing w:after="240"/>
      <w:jc w:val="center"/>
    </w:pPr>
    <w:rPr>
      <w:rFonts w:eastAsiaTheme="minorHAnsi"/>
      <w:b/>
      <w:i/>
      <w:szCs w:val="22"/>
    </w:rPr>
  </w:style>
  <w:style w:type="paragraph" w:customStyle="1" w:styleId="Annexetitre">
    <w:name w:val="Annexe titre"/>
    <w:basedOn w:val="Normal"/>
    <w:next w:val="Normal"/>
    <w:pPr>
      <w:spacing w:before="120" w:after="120"/>
      <w:jc w:val="center"/>
    </w:pPr>
    <w:rPr>
      <w:rFonts w:eastAsiaTheme="minorHAnsi"/>
      <w:b/>
      <w:szCs w:val="22"/>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sv-SE" w:eastAsia="sv-SE" w:bidi="sv-SE"/>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table" w:styleId="TableGrid">
    <w:name w:val="Table Grid"/>
    <w:basedOn w:val="TableNormal"/>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rPr>
      <w:rFonts w:ascii="Tahoma" w:hAnsi="Tahoma" w:cs="Tahoma"/>
      <w:sz w:val="16"/>
      <w:szCs w:val="16"/>
    </w:rPr>
  </w:style>
  <w:style w:type="character" w:customStyle="1" w:styleId="BalloonTextChar">
    <w:name w:val="Balloon Text Char"/>
    <w:basedOn w:val="DefaultParagraphFont"/>
    <w:link w:val="BalloonText"/>
    <w:rPr>
      <w:rFonts w:ascii="Tahoma" w:hAnsi="Tahoma" w:cs="Tahoma"/>
      <w:sz w:val="16"/>
      <w:szCs w:val="16"/>
    </w:rPr>
  </w:style>
  <w:style w:type="character" w:customStyle="1" w:styleId="Marker">
    <w:name w:val="Marker"/>
    <w:basedOn w:val="DefaultParagraphFont"/>
    <w:rPr>
      <w:color w:val="0000FF"/>
      <w:shd w:val="clear" w:color="auto" w:fill="auto"/>
    </w:rPr>
  </w:style>
  <w:style w:type="paragraph" w:customStyle="1" w:styleId="Pagedecouverture">
    <w:name w:val="Page de couverture"/>
    <w:basedOn w:val="Normal"/>
    <w:next w:val="Normal"/>
    <w:pPr>
      <w:jc w:val="both"/>
    </w:pPr>
    <w:rPr>
      <w:rFonts w:eastAsiaTheme="minorHAnsi"/>
      <w:szCs w:val="22"/>
    </w:rPr>
  </w:style>
  <w:style w:type="paragraph" w:styleId="Header">
    <w:name w:val="header"/>
    <w:basedOn w:val="Normal"/>
    <w:link w:val="HeaderChar"/>
    <w:pPr>
      <w:tabs>
        <w:tab w:val="center" w:pos="4703"/>
        <w:tab w:val="right" w:pos="9406"/>
      </w:tabs>
    </w:pPr>
  </w:style>
  <w:style w:type="character" w:customStyle="1" w:styleId="HeaderChar">
    <w:name w:val="Header Char"/>
    <w:basedOn w:val="DefaultParagraphFont"/>
    <w:link w:val="Header"/>
    <w:rPr>
      <w:sz w:val="24"/>
      <w:szCs w:val="24"/>
    </w:rPr>
  </w:style>
  <w:style w:type="paragraph" w:styleId="Footer">
    <w:name w:val="footer"/>
    <w:basedOn w:val="Normal"/>
    <w:link w:val="FooterChar"/>
    <w:uiPriority w:val="99"/>
    <w:pPr>
      <w:tabs>
        <w:tab w:val="center" w:pos="4703"/>
        <w:tab w:val="right" w:pos="9406"/>
      </w:tabs>
    </w:pPr>
  </w:style>
  <w:style w:type="character" w:customStyle="1" w:styleId="FooterChar">
    <w:name w:val="Footer Char"/>
    <w:basedOn w:val="DefaultParagraphFont"/>
    <w:link w:val="Footer"/>
    <w:uiPriority w:val="99"/>
    <w:rPr>
      <w:sz w:val="24"/>
      <w:szCs w:val="24"/>
    </w:rPr>
  </w:style>
  <w:style w:type="paragraph" w:customStyle="1" w:styleId="Typedudocument">
    <w:name w:val="Type du document"/>
    <w:basedOn w:val="Normal"/>
    <w:next w:val="Normal"/>
    <w:link w:val="TypedudocumentChar"/>
    <w:pPr>
      <w:spacing w:before="360"/>
      <w:jc w:val="center"/>
    </w:pPr>
    <w:rPr>
      <w:rFonts w:eastAsiaTheme="minorHAnsi"/>
      <w:b/>
      <w:szCs w:val="22"/>
    </w:rPr>
  </w:style>
  <w:style w:type="paragraph" w:customStyle="1" w:styleId="Titreobjet">
    <w:name w:val="Titre objet"/>
    <w:basedOn w:val="Normal"/>
    <w:next w:val="Normal"/>
    <w:pPr>
      <w:spacing w:before="360" w:after="360"/>
      <w:jc w:val="center"/>
    </w:pPr>
    <w:rPr>
      <w:rFonts w:eastAsiaTheme="minorHAnsi"/>
      <w:b/>
      <w:szCs w:val="22"/>
    </w:rPr>
  </w:style>
  <w:style w:type="paragraph" w:customStyle="1" w:styleId="Typeacteprincipal">
    <w:name w:val="Type acte principal"/>
    <w:basedOn w:val="Normal"/>
    <w:next w:val="Normal"/>
    <w:pPr>
      <w:spacing w:after="240"/>
      <w:jc w:val="center"/>
    </w:pPr>
    <w:rPr>
      <w:rFonts w:eastAsiaTheme="minorHAnsi"/>
      <w:b/>
      <w:szCs w:val="22"/>
    </w:rPr>
  </w:style>
  <w:style w:type="paragraph" w:customStyle="1" w:styleId="Objetacteprincipal">
    <w:name w:val="Objet acte principal"/>
    <w:basedOn w:val="Normal"/>
    <w:next w:val="Normal"/>
    <w:pPr>
      <w:spacing w:after="360"/>
      <w:jc w:val="center"/>
    </w:pPr>
    <w:rPr>
      <w:rFonts w:eastAsiaTheme="minorHAnsi"/>
      <w:b/>
      <w:szCs w:val="22"/>
    </w:rPr>
  </w:style>
  <w:style w:type="paragraph" w:customStyle="1" w:styleId="FooterCoverPage">
    <w:name w:val="Footer Cover Page"/>
    <w:basedOn w:val="Normal"/>
    <w:link w:val="FooterCoverPageChar"/>
    <w:pPr>
      <w:tabs>
        <w:tab w:val="center" w:pos="4535"/>
        <w:tab w:val="right" w:pos="9071"/>
        <w:tab w:val="right" w:pos="9921"/>
      </w:tabs>
      <w:spacing w:before="360"/>
      <w:ind w:left="-850" w:right="-850"/>
    </w:pPr>
    <w:rPr>
      <w:rFonts w:eastAsiaTheme="minorHAnsi"/>
    </w:rPr>
  </w:style>
  <w:style w:type="character" w:customStyle="1" w:styleId="TypedudocumentChar">
    <w:name w:val="Type du document Char"/>
    <w:basedOn w:val="DefaultParagraphFont"/>
    <w:link w:val="Typedudocument"/>
    <w:rPr>
      <w:rFonts w:eastAsiaTheme="minorHAnsi"/>
      <w:b/>
      <w:sz w:val="24"/>
      <w:szCs w:val="22"/>
      <w:lang w:eastAsia="sv-SE"/>
    </w:rPr>
  </w:style>
  <w:style w:type="character" w:customStyle="1" w:styleId="FooterCoverPageChar">
    <w:name w:val="Footer Cover Page Char"/>
    <w:basedOn w:val="TypedudocumentChar"/>
    <w:link w:val="FooterCoverPage"/>
    <w:rPr>
      <w:rFonts w:eastAsiaTheme="minorHAnsi"/>
      <w:b w:val="0"/>
      <w:sz w:val="24"/>
      <w:szCs w:val="24"/>
      <w:lang w:eastAsia="sv-SE"/>
    </w:rPr>
  </w:style>
  <w:style w:type="paragraph" w:customStyle="1" w:styleId="HeaderCoverPage">
    <w:name w:val="Header Cover Page"/>
    <w:basedOn w:val="Normal"/>
    <w:link w:val="HeaderCoverPageChar"/>
    <w:pPr>
      <w:tabs>
        <w:tab w:val="center" w:pos="4535"/>
        <w:tab w:val="right" w:pos="9071"/>
      </w:tabs>
      <w:spacing w:after="120"/>
      <w:jc w:val="both"/>
    </w:pPr>
    <w:rPr>
      <w:rFonts w:eastAsiaTheme="minorHAnsi"/>
    </w:rPr>
  </w:style>
  <w:style w:type="character" w:customStyle="1" w:styleId="HeaderCoverPageChar">
    <w:name w:val="Header Cover Page Char"/>
    <w:basedOn w:val="TypedudocumentChar"/>
    <w:link w:val="HeaderCoverPage"/>
    <w:rPr>
      <w:rFonts w:eastAsiaTheme="minorHAnsi"/>
      <w:b w:val="0"/>
      <w:sz w:val="24"/>
      <w:szCs w:val="24"/>
      <w:lang w:eastAsia="sv-SE"/>
    </w:rPr>
  </w:style>
  <w:style w:type="paragraph" w:customStyle="1" w:styleId="Accompagnant">
    <w:name w:val="Accompagnant"/>
    <w:basedOn w:val="Normal"/>
    <w:next w:val="Typeacteprincipal"/>
    <w:pPr>
      <w:spacing w:after="240"/>
      <w:jc w:val="center"/>
    </w:pPr>
    <w:rPr>
      <w:rFonts w:eastAsiaTheme="minorHAnsi"/>
      <w:b/>
      <w:i/>
      <w:szCs w:val="22"/>
    </w:rPr>
  </w:style>
  <w:style w:type="paragraph" w:customStyle="1" w:styleId="Annexetitre">
    <w:name w:val="Annexe titre"/>
    <w:basedOn w:val="Normal"/>
    <w:next w:val="Normal"/>
    <w:pPr>
      <w:spacing w:before="120" w:after="120"/>
      <w:jc w:val="center"/>
    </w:pPr>
    <w:rPr>
      <w:rFonts w:eastAsiaTheme="minorHAnsi"/>
      <w:b/>
      <w:szCs w:val="22"/>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eader" Target="header4.xml"/><Relationship Id="rId3" Type="http://schemas.openxmlformats.org/officeDocument/2006/relationships/settings" Target="settings.xml"/><Relationship Id="rId21" Type="http://schemas.openxmlformats.org/officeDocument/2006/relationships/footer" Target="footer5.xml"/><Relationship Id="rId7" Type="http://schemas.openxmlformats.org/officeDocument/2006/relationships/image" Target="media/image1.emf"/><Relationship Id="rId12" Type="http://schemas.openxmlformats.org/officeDocument/2006/relationships/header" Target="header3.xml"/><Relationship Id="rId17" Type="http://schemas.openxmlformats.org/officeDocument/2006/relationships/image" Target="media/image4.emf"/><Relationship Id="rId25" Type="http://schemas.openxmlformats.org/officeDocument/2006/relationships/theme" Target="theme/theme1.xml"/><Relationship Id="rId2" Type="http://schemas.microsoft.com/office/2007/relationships/stylesWithEffects" Target="stylesWithEffects.xml"/><Relationship Id="rId16" Type="http://schemas.openxmlformats.org/officeDocument/2006/relationships/image" Target="media/image3.emf"/><Relationship Id="rId20" Type="http://schemas.openxmlformats.org/officeDocument/2006/relationships/footer" Target="footer4.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footer" Target="footer2.xm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ec.europa.eu/eurostat/statistics-explained/index.php/Glossary:Agricultural_holding" TargetMode="External"/><Relationship Id="rId23" Type="http://schemas.openxmlformats.org/officeDocument/2006/relationships/footer" Target="footer6.xml"/><Relationship Id="rId10" Type="http://schemas.openxmlformats.org/officeDocument/2006/relationships/footer" Target="footer1.xml"/><Relationship Id="rId19" Type="http://schemas.openxmlformats.org/officeDocument/2006/relationships/header" Target="header5.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image" Target="media/image2.emf"/><Relationship Id="rId22" Type="http://schemas.openxmlformats.org/officeDocument/2006/relationships/header" Target="header6.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22</TotalTime>
  <Pages>4</Pages>
  <Words>479</Words>
  <Characters>2764</Characters>
  <Application>Microsoft Office Word</Application>
  <DocSecurity>0</DocSecurity>
  <Lines>212</Lines>
  <Paragraphs>180</Paragraphs>
  <ScaleCrop>false</ScaleCrop>
  <HeadingPairs>
    <vt:vector size="2" baseType="variant">
      <vt:variant>
        <vt:lpstr>Title</vt:lpstr>
      </vt:variant>
      <vt:variant>
        <vt:i4>1</vt:i4>
      </vt:variant>
    </vt:vector>
  </HeadingPairs>
  <TitlesOfParts>
    <vt:vector size="1" baseType="lpstr">
      <vt:lpstr/>
    </vt:vector>
  </TitlesOfParts>
  <Company>European Commission</Company>
  <LinksUpToDate>false</LinksUpToDate>
  <CharactersWithSpaces>3063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13</cp:revision>
  <cp:lastPrinted>2017-02-09T13:17:00Z</cp:lastPrinted>
  <dcterms:created xsi:type="dcterms:W3CDTF">2017-02-09T13:55:00Z</dcterms:created>
  <dcterms:modified xsi:type="dcterms:W3CDTF">2017-04-28T09:59:00Z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irst annex">
    <vt:lpwstr>1</vt:lpwstr>
  </property>
  <property fmtid="{D5CDD505-2E9C-101B-9397-08002B2CF9AE}" pid="3" name="Last annex">
    <vt:lpwstr>1</vt:lpwstr>
  </property>
  <property fmtid="{D5CDD505-2E9C-101B-9397-08002B2CF9AE}" pid="4" name="Part">
    <vt:lpwstr>1</vt:lpwstr>
  </property>
  <property fmtid="{D5CDD505-2E9C-101B-9397-08002B2CF9AE}" pid="5" name="Total parts">
    <vt:lpwstr>1</vt:lpwstr>
  </property>
  <property fmtid="{D5CDD505-2E9C-101B-9397-08002B2CF9AE}" pid="6" name="Classification">
    <vt:lpwstr> </vt:lpwstr>
  </property>
  <property fmtid="{D5CDD505-2E9C-101B-9397-08002B2CF9AE}" pid="7" name="DocStatus">
    <vt:lpwstr>Green</vt:lpwstr>
  </property>
  <property name="OP_sanitized" fmtid="{D5CDD505-2E9C-101B-9397-08002B2CF9AE}" pid="8">
    <vt:lpwstr>True</vt:lpwstr>
  </property>
</Properties>
</file>