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bookmarkStart w:id="0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alt="57FBB255348D48FD8266C02139B3E75E" style="width:450.75pt;height:307.5pt">
            <v:imagedata r:id="rId9" o:title=""/>
          </v:shape>
        </w:pict>
      </w:r>
    </w:p>
    <w:bookmarkEnd w:id="0"/>
    <w:p>
      <w:pPr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>
      <w:pPr>
        <w:spacing w:before="360"/>
        <w:jc w:val="center"/>
        <w:outlineLvl w:val="0"/>
        <w:rPr>
          <w:b/>
          <w:noProof/>
        </w:rPr>
      </w:pPr>
      <w:bookmarkStart w:id="1" w:name="_GoBack"/>
      <w:bookmarkEnd w:id="1"/>
      <w:r>
        <w:rPr>
          <w:b/>
          <w:noProof/>
        </w:rPr>
        <w:lastRenderedPageBreak/>
        <w:t>RAPPORT TAL-KUMMISSJONI LILL-KUNSILL</w:t>
      </w:r>
    </w:p>
    <w:p>
      <w:pPr>
        <w:spacing w:before="360" w:after="360"/>
        <w:jc w:val="center"/>
        <w:rPr>
          <w:b/>
          <w:noProof/>
        </w:rPr>
      </w:pPr>
      <w:r>
        <w:rPr>
          <w:b/>
          <w:noProof/>
        </w:rPr>
        <w:t>Rieżami tal-miżuri tranżitorji għall-akkwist ta’ proprjetà immobbli stabbilita fit-Trattat tal-2011 dwar l-adeżjoni tal-Kroazja fl-UE</w:t>
      </w:r>
    </w:p>
    <w:p>
      <w:pPr>
        <w:spacing w:before="120" w:after="120"/>
        <w:jc w:val="both"/>
        <w:rPr>
          <w:b/>
          <w:noProof/>
        </w:rPr>
      </w:pPr>
      <w:r>
        <w:rPr>
          <w:b/>
          <w:noProof/>
        </w:rPr>
        <w:t>Introduzzjoni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Il-Kummissjoni qed tippreżenta dan ir-rapport lill-Kunsill skont l-Att tal-2011 dwar il-kundizzjonijiet tal-adeżjoni tar-Repubblika tal-Kroazja</w:t>
      </w:r>
      <w:r>
        <w:rPr>
          <w:rStyle w:val="FootnoteReference"/>
          <w:noProof/>
        </w:rPr>
        <w:footnoteReference w:id="1"/>
      </w:r>
      <w:r>
        <w:rPr>
          <w:noProof/>
        </w:rPr>
        <w:t xml:space="preserve"> (“l-Att tal-Adeżjoni”). Dan l-Att jistabbilixxi perjodu tranżitorju ta’ seba’ snin sal-2020, bil-possibbiltà ta’ estensjoni ta’ tliet snin, li matulhom il-Kroazja tista’ żżomm ir-restrizzjonijiet eżistenti fil-leġiżlazzjoni nazzjonali tagħha</w:t>
      </w:r>
      <w:r>
        <w:rPr>
          <w:rStyle w:val="FootnoteReference"/>
          <w:noProof/>
        </w:rPr>
        <w:footnoteReference w:id="2"/>
      </w:r>
      <w:r>
        <w:rPr>
          <w:noProof/>
        </w:rPr>
        <w:t xml:space="preserve"> dwar l-akkwist tal-art agrikola. Dan jikkonċerna akkwisti minn persuni ġuridiċi u fiżiċi minn Stati Membri oħra tal-Unjoni Ewropea u miż-Żona Ekonomika Ewropea.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Skont it-Trattat dwar l-Adeżjoni, il-Kummissjoni hija obbligata tirrapporta lill-Kunsill fit-tielet sena wara l-adeżjoni dwar il-possibbiltà li tqassar jew li ttemm il-perjodu tranżitorju mogħti mit-Trattat dwar l-Adeżjoni qabel id-data stabbilita fit-Trattat.</w:t>
      </w:r>
    </w:p>
    <w:p>
      <w:pPr>
        <w:spacing w:after="120"/>
        <w:jc w:val="both"/>
        <w:rPr>
          <w:rFonts w:eastAsia="Calibri"/>
          <w:noProof/>
        </w:rPr>
      </w:pPr>
      <w:r>
        <w:rPr>
          <w:noProof/>
        </w:rPr>
        <w:t>Bħala prinċipju ġenerali, il-liġi tal-Unjoni Ewropea u l-moviment liberu tal-kapital jiffavorixxu investiment transfruntier. Il-moviment liberu tal-kapital huwa wieħed mill-prinċipji fundamentali li bih l-investituri tal-UE jkunu liberi fil-prinċipju li joperaw fis-suq intern. L-investiment barrani jista’ jkollu ħafna benefiċċji għall-iżvilupp agrikolu u rurali. B’hekk, pereżempju, fl-Ewropa, l-investimenti transfruntiera ppremettew id-disseminazzjoni ta’ teknoloġiji u għarfien ġodda tal-biedja u pprovdew kapital għall-produzzjoni agrikola f’żoni sottokapitalizzati. L-investinenti transfuntiera jistgħu jikontribwixxu wkoll għar-razzjonalizzazzjoni tal-użu tal-art, b’mod partikulari f’żoni fejn l-istrutturi tas-sjieda huma frammentati ħafna.</w:t>
      </w:r>
    </w:p>
    <w:p>
      <w:pPr>
        <w:spacing w:after="120"/>
        <w:jc w:val="both"/>
        <w:rPr>
          <w:rFonts w:eastAsia="Calibri"/>
          <w:noProof/>
        </w:rPr>
      </w:pPr>
      <w:r>
        <w:rPr>
          <w:noProof/>
        </w:rPr>
        <w:t>Fl-istess ħin, ta’ min jiftakar li t-Trattati tal-UE ma jobbligawx lill-Istati Membri biex jilliberalizzaw is-suq tal-art agrikola mingħajr il-possibbiltà li jiġu imposti regoli xierqa biex jintlaħqu l-objettivi leġittimi ta’ politika pubblika. Il-prinċipju tal-moviment liberu tal-kapital jippermetti restrizzjonijiet nazzjonali fuq movimenti kapitali fil-forma ta’ regoli li jirregolaw is-swieq tal-art jekk ikunu meħtieġa, iġġustifikati u proporzjonati sabiex jiġi promoss l-interess pubbliku leġittimu u l-objettivi ta’ politika. Għaldaqstant, il-moviment liberu tal-kapital huwa bbilanċjat mal-ħtieġa li l-Istati Membri jiżguraw li s-swieq tal-art jippermettu żvilupp rurali sostenibbli u produzzjoni agrikola.</w:t>
      </w:r>
    </w:p>
    <w:p>
      <w:pPr>
        <w:spacing w:after="120"/>
        <w:jc w:val="both"/>
        <w:rPr>
          <w:rFonts w:eastAsia="Calibri"/>
          <w:noProof/>
        </w:rPr>
      </w:pPr>
      <w:r>
        <w:rPr>
          <w:noProof/>
        </w:rPr>
        <w:t>Il-perjodu tranżitorju li matulu l-Kroazja tista’ żżomm ir-restrizzjonijiet li kienu jeżistu fil-ħin tal-adeżjoni tagħha kien ingħata biex jippermetti li l-Istat Membru li kien għadu kif issieħeb jindirizza l-imperfezzjonijiet tas-suq tal-art agrikola u s-settur agrikolu u jagħmlu aktar kompetittiv fis-suq intern. Dan ir-rapport għandu l-għan li jqis is-sitwazzjoni tas-suq tal-art agrikola u li janalizza l-ħtieġa għal dawn il-miżuri tranżitorji. Abbażi tas-sitwazzjoni ġenerali tas-settur agrikolu fil-Kroazja tliet snin wara l-adeżjoni tagħha fl-UE, dan ir-rapport jikkonkludi li l-perjodu tranżitorju ma għandux jitqassar.</w:t>
      </w:r>
    </w:p>
    <w:p>
      <w:pPr>
        <w:spacing w:after="120"/>
        <w:jc w:val="both"/>
        <w:rPr>
          <w:rFonts w:eastAsia="Calibri"/>
          <w:noProof/>
        </w:rPr>
      </w:pPr>
    </w:p>
    <w:p>
      <w:pPr>
        <w:keepNext/>
        <w:spacing w:before="120" w:after="120"/>
        <w:jc w:val="both"/>
        <w:rPr>
          <w:b/>
          <w:noProof/>
        </w:rPr>
      </w:pPr>
      <w:r>
        <w:rPr>
          <w:b/>
          <w:noProof/>
        </w:rPr>
        <w:t>1. Bażi ġuridika għar-rapport tal-Kummissjoni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L-Att tal-Adeżjoni tal-2011 ta perjodu tranżitorju lill-Kroazja li matulu setgħet iżżomm ir-restrizzjonijiet eżistenti fuq l-akkwist tal-art agrikola f’deroga mill-moviment liberu tal-kapital imnaqqax fl-Artikolu 63 tat-Trattat dwar il-Funzjonament tal-Unjoni Ewropea (TFUE). Skont l-Artikolu 18 tal-Att tal-Adeżjoni, dawn il-miżuri tranżitorji restrittivi japplikaw skont il-kundizzjonijiet stabbiliti fl-Anness V (Miżuri tranżitorji) tal-Att tal-Adeżjoni. Il-kapitolu dwar il-moviment liberu tal-kapital f’dan l-Anness jistipula li “</w:t>
      </w:r>
      <w:r>
        <w:rPr>
          <w:i/>
          <w:noProof/>
        </w:rPr>
        <w:t>rieżami ġenerali ta' din il-miżura transitorja għandu jsir sal-aħħar tat-tielet sena wara d-data tal-adeżjoni. Għal dan il-għan, il-Kummissjoni għandha tippreżenta rapport lill-Kunsill. Il-Kunsill jista', filwaqt li jaġixxi b'mod unanimu fuq proposta mill-Kummissjoni, jiddeċiedi li jqassar jew itemm il-perijodu transitorju indikat fl-ewwel paragrafu […]</w:t>
      </w:r>
      <w:r>
        <w:rPr>
          <w:noProof/>
        </w:rPr>
        <w:t>”</w:t>
      </w:r>
    </w:p>
    <w:p>
      <w:pPr>
        <w:keepNext/>
        <w:spacing w:before="120" w:after="120"/>
        <w:jc w:val="both"/>
        <w:rPr>
          <w:b/>
          <w:noProof/>
        </w:rPr>
      </w:pPr>
      <w:r>
        <w:rPr>
          <w:b/>
          <w:noProof/>
        </w:rPr>
        <w:t>2. Arranġamenti tranżitorji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 xml:space="preserve">Il-moviment liberu tal-kapital huwa wieħed mil-libertajiet fundamentali garantiti mil-liġi tal-Unjoni Ewropea. L-Artikolu 63 tat-TFUE jistipula li </w:t>
      </w:r>
      <w:r>
        <w:rPr>
          <w:i/>
          <w:noProof/>
        </w:rPr>
        <w:t>“kull restrizzjoni fuq il-moviment tal-kapital bejn l-Istati Membri u bejn l-Istati Membri u pajjiżi terzi tkun projbita.”</w:t>
      </w:r>
      <w:r>
        <w:rPr>
          <w:noProof/>
        </w:rPr>
        <w:t xml:space="preserve"> Il-movimenti tal-kapital jinkludu investimenti fil-proprjetà immobbli u fl-art agrikola. Il-Qorti tal-Ġustizzja tal-Unjoni Ewropea sostniet li l-eżerċitar tad-dritt ta’ akkwist, użu jew disponiment ta’ art agrikola fit-territorju ta’ Stat Membru ieħor jiġġenera movimenti tal-kapital</w:t>
      </w:r>
      <w:r>
        <w:rPr>
          <w:rStyle w:val="FootnoteReference"/>
          <w:noProof/>
        </w:rPr>
        <w:footnoteReference w:id="3"/>
      </w:r>
      <w:r>
        <w:rPr>
          <w:noProof/>
        </w:rPr>
        <w:t>. Għaldaqstant, il-leġiżlazzjoni tal-Istati Membri dwar l-akkwist tal-art agrikola trid tikkonforma mal-prinċipju tal-moviment liberu tal-kapital skont il-liġi tal-UE.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 xml:space="preserve">Madankollu, matul in-negozjati tal-adeżjoni mal-Kroazja, l-UE qablet dwar ċerti arranġamenti tranżitorji rigward l-akkwist tal-art agrikola li jippermettu li l-Kroazja tidderoga temporanjament mil-libertà fundamentali tal-movimenti kapitali. B’mod partikulari, l-Anness V tal-Att tal-Adeżjoni jippermetti li l-Kroazja </w:t>
      </w:r>
      <w:r>
        <w:rPr>
          <w:i/>
          <w:noProof/>
        </w:rPr>
        <w:t>“żżomm fis-seħħ għal seba' snin mid-data tal-adeżjoni r-restrizzjonijiet stabbiliti fl-Att tagħha dwar l-Artijiet Agrikoli (OG 152/08), kif ikun fis-seħħ fid-data tal-iffirmar tat-Trattat tal-Adeżjoni, fir-rigward tal-akkwist ta' artijiet agrikoli minn ċittadini ta' Stat Membru ieħor, minn ċittadini tal-Istati li huma parti mill-Ftehim dwar iż-Żona Ekonomika Ewropea (Ftehim ŻEE) u minn persuni ġuridiċi kostitwiti f'konformità mal-liġijiet ta' Stat Membru ieħor jew ta' Stat li japparteċipa fil-Ftehim ŻEE.”</w:t>
      </w:r>
      <w:r>
        <w:rPr>
          <w:noProof/>
        </w:rPr>
        <w:t>. Fl-istess ħin, l-Att tal-Adeżjoni jipprevedi eċċezzjoni mill-miżuri tranżitorji għall-“</w:t>
      </w:r>
      <w:r>
        <w:rPr>
          <w:i/>
          <w:noProof/>
        </w:rPr>
        <w:t xml:space="preserve">bdiewa li jaħdmu għal rashom, li jkunu ċittadini ta' Stat Membru ieħor u li jixtiequ jistabbilixxu ruħhom u jirrisjedu fil-Kroazja” </w:t>
      </w:r>
      <w:r>
        <w:rPr>
          <w:noProof/>
        </w:rPr>
        <w:t xml:space="preserve">u li </w:t>
      </w:r>
      <w:r>
        <w:rPr>
          <w:i/>
          <w:noProof/>
        </w:rPr>
        <w:t>“ma għandhomx ikunu soġġetti għad-dispożizzjonijiet tal-ewwel paragrafu jew għal kwalunkwe regola jew proċedura li mhumiex soġġetti għaliha ċ-ċittadini tal-Kroazja”.</w:t>
      </w:r>
      <w:r>
        <w:rPr>
          <w:rStyle w:val="FootnoteReference"/>
          <w:noProof/>
        </w:rPr>
        <w:t xml:space="preserve"> </w:t>
      </w:r>
      <w:r>
        <w:rPr>
          <w:rStyle w:val="FootnoteReference"/>
          <w:noProof/>
        </w:rPr>
        <w:footnoteReference w:id="4"/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Ir-raġunijiet prinċipali sottostanti għat-talba Kroata għal miżuri tranżitorji kienu simili għal dawk imqajma mill-maġġoranza tal-Istati Membri tal-UE-12 (l-UE-10 u l-UE-2</w:t>
      </w:r>
      <w:r>
        <w:rPr>
          <w:rStyle w:val="FootnoteReference"/>
          <w:noProof/>
        </w:rPr>
        <w:footnoteReference w:id="5"/>
      </w:r>
      <w:r>
        <w:rPr>
          <w:noProof/>
        </w:rPr>
        <w:t>) għall-adeżjoni fl-UE u jirrigwardaw prinċipalment il-ħtieġa li jitħares l-ambjent soċjoekonomiku għal attivitajiet agrikoli bħala konsegwenza għall-introduzzjoni tas-suq intern u t-tranżizzjoni għall-Politika Agrikola Komuni. B’mod partikulari, il-miżuri tranżitorji huma intiżi li jattenwaw l-impatt negattiv li l-ftuħ tas-suq f’daqqa jista’ jkollu fuq il-Kroazja meta wieħed iqis id-differenzi kbar fil-prezzijiet tal-art u l-kapaċità tal-akkwist tal-bdiewa meta mqabbel mal-UE-15 u meta wieħed iqis li s-suq għall-art agrikola għadu soġġett għal fatturi istituzzjonali li jxekklu l-użu tal-art agrikola bħall-privatizzazzjoni mhux kompluta u r-restituzzjoni tal-art, is-sjieda inċerta, u r-reġistru tal-artijiet u l-katast mhux kompluti. Barra minn hekk, il-Kroazja saħqet li, bħala konsegwenza tal-Gwerra Interna (1991-1995), persentaġġ għoli tal-art agrikola ma setgħetx tintuża billi kienet affettwata minn mini u soġġetta għal attivitajiet ta’ tneħħija ta’ mini</w:t>
      </w:r>
      <w:r>
        <w:rPr>
          <w:rStyle w:val="FootnoteReference"/>
          <w:noProof/>
        </w:rPr>
        <w:footnoteReference w:id="6"/>
      </w:r>
      <w:r>
        <w:rPr>
          <w:noProof/>
        </w:rPr>
        <w:t>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Barra min hekk, il-Kroazja sostniet li matul il-perjodu tranżitorju jiġu implimentati xi miżuri biex tiżviluppa s-suq tal-art agrikola, ittejjeb il-produttività agrikola u ssaħħaħ il-kapaċità tal-bdiewa Kroati li jipparteċipaw f’suq tal-artijiet aktar miftuħ fil-futur. Għal dan il-għan, il-Kroazja ppjanat diversi proġetti ta’ nofs it-terminu u fit-tul li jiġu implimentati matul il-perjodu tranżitorju. Il-proġetti kkonċernati:</w:t>
      </w:r>
    </w:p>
    <w:p>
      <w:pPr>
        <w:pStyle w:val="ListParagraph"/>
        <w:numPr>
          <w:ilvl w:val="0"/>
          <w:numId w:val="12"/>
        </w:numPr>
        <w:spacing w:before="120" w:after="120"/>
        <w:jc w:val="both"/>
        <w:rPr>
          <w:noProof/>
        </w:rPr>
      </w:pPr>
      <w:r>
        <w:rPr>
          <w:noProof/>
        </w:rPr>
        <w:t>ir-regolamentazzjoni tad-drittijiet ta’ proprjetà u t-tqegħid f’ordni tar-reġistru tal-artijiet u tad-dejta katastali;</w:t>
      </w:r>
    </w:p>
    <w:p>
      <w:pPr>
        <w:pStyle w:val="ListParagraph"/>
        <w:numPr>
          <w:ilvl w:val="0"/>
          <w:numId w:val="12"/>
        </w:numPr>
        <w:spacing w:before="120" w:after="120"/>
        <w:jc w:val="both"/>
        <w:rPr>
          <w:noProof/>
        </w:rPr>
      </w:pPr>
      <w:r>
        <w:rPr>
          <w:noProof/>
        </w:rPr>
        <w:t>il-konsolidazzjoni tal-art;</w:t>
      </w:r>
    </w:p>
    <w:p>
      <w:pPr>
        <w:pStyle w:val="ListParagraph"/>
        <w:numPr>
          <w:ilvl w:val="0"/>
          <w:numId w:val="12"/>
        </w:numPr>
        <w:spacing w:before="120" w:after="120"/>
        <w:jc w:val="both"/>
        <w:rPr>
          <w:noProof/>
        </w:rPr>
      </w:pPr>
      <w:r>
        <w:rPr>
          <w:noProof/>
        </w:rPr>
        <w:t>l-iżvilupp tas-suq ta’ art agrikola għal lokazzjonijiet u t-titjib tad-drittijiet tal-lokatarji;</w:t>
      </w:r>
    </w:p>
    <w:p>
      <w:pPr>
        <w:pStyle w:val="ListParagraph"/>
        <w:numPr>
          <w:ilvl w:val="0"/>
          <w:numId w:val="12"/>
        </w:numPr>
        <w:spacing w:before="120" w:after="120"/>
        <w:jc w:val="both"/>
        <w:rPr>
          <w:noProof/>
        </w:rPr>
      </w:pPr>
      <w:r>
        <w:rPr>
          <w:noProof/>
        </w:rPr>
        <w:t>ir-ristrutturar tal-produzzjoni agrikola;</w:t>
      </w:r>
    </w:p>
    <w:p>
      <w:pPr>
        <w:pStyle w:val="ListParagraph"/>
        <w:numPr>
          <w:ilvl w:val="0"/>
          <w:numId w:val="12"/>
        </w:numPr>
        <w:spacing w:before="120" w:after="120"/>
        <w:jc w:val="both"/>
        <w:rPr>
          <w:noProof/>
        </w:rPr>
      </w:pPr>
      <w:r>
        <w:rPr>
          <w:noProof/>
        </w:rPr>
        <w:t>it-titjib tat-teknoloġia u tal-kapitalizzazzjoni; u</w:t>
      </w:r>
    </w:p>
    <w:p>
      <w:pPr>
        <w:pStyle w:val="ListParagraph"/>
        <w:numPr>
          <w:ilvl w:val="0"/>
          <w:numId w:val="12"/>
        </w:numPr>
        <w:spacing w:before="120" w:after="120"/>
        <w:jc w:val="both"/>
        <w:rPr>
          <w:noProof/>
        </w:rPr>
      </w:pPr>
      <w:r>
        <w:rPr>
          <w:noProof/>
        </w:rPr>
        <w:t>it-tneħħija ta’ mini minn art agrikola.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Il-perjodu tranżitorju kien maħsub ukoll biex jipprovdi l-ħin meħtieġ biex tiġi privatizzata art tal-Istat u biex titlesta r-restituzzjoni ta’ titoli ta’ proprjetà għall-art.</w:t>
      </w:r>
    </w:p>
    <w:p>
      <w:pPr>
        <w:keepNext/>
        <w:spacing w:before="120" w:after="120"/>
        <w:jc w:val="both"/>
        <w:rPr>
          <w:b/>
          <w:noProof/>
        </w:rPr>
      </w:pPr>
      <w:r>
        <w:rPr>
          <w:b/>
          <w:noProof/>
        </w:rPr>
        <w:t>3. Objettiv tar-rapport u metodoloġija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Skont l-Att tal-Adeżjoni, dan ir-rapport jirrieżamina żviluppi riċenti fis-settur agrikolu Kroat. L-għan tiegħu hu li jivvaluta l-ħtieġa li jitqassru jew jintemmu l-miżuri tranżitorji rigward l-akkwiżizzjoni tal-art minn ċittadini ta’ Stati Membri oħra jew ċittadini taż-ŻEE qabel id-data stabilita fl-Att tal-Adeżjoni. Għal dan il-għan, il-Kummissjoni tivvaluta r-raġunijiet imressqa mill-Kroazja matul in-negozjati tal-adeżjoni bħala ġustifikazzjoni għal deroga temporanja u teżamina jekk it-tħassib inizjali ġiex mitigat minn żviluppi sussegwenti.</w:t>
      </w:r>
    </w:p>
    <w:p>
      <w:pPr>
        <w:jc w:val="both"/>
        <w:rPr>
          <w:noProof/>
        </w:rPr>
      </w:pPr>
      <w:r>
        <w:rPr>
          <w:noProof/>
        </w:rPr>
        <w:t>Għal dan il-għan, il-Kummissjoni bagħtet kwestjonarju lill-awtoritajiet Kroati sabiex tiġbor informazzjoni komprensiva dwar l-iżviluppi li seħħew fis-settur agrikolu mid-data tal-adeżjoni. It-tweġibiet tal-Kroazja għal dan il-kwestjonarju, flimkien mal-analiżi mill-Eurostat u dejta oħra, ippermettew li l-Kummissjoni tivvaluta:</w:t>
      </w:r>
    </w:p>
    <w:p>
      <w:pPr>
        <w:pStyle w:val="ListParagraph"/>
        <w:numPr>
          <w:ilvl w:val="0"/>
          <w:numId w:val="11"/>
        </w:numPr>
        <w:jc w:val="both"/>
        <w:rPr>
          <w:noProof/>
        </w:rPr>
      </w:pPr>
      <w:r>
        <w:rPr>
          <w:noProof/>
        </w:rPr>
        <w:t>il-karatteristiċi soċjoekonomiċi tas-settur agrikolu u l-iżviluppi tal-indikaturi ekonomiċi rilevanti inkluż id-dħul u l-prezzijiet tal-art u l-livell tal-konverġenza tagħhom ma ‘ Stati Membri oħra;</w:t>
      </w:r>
    </w:p>
    <w:p>
      <w:pPr>
        <w:pStyle w:val="ListParagraph"/>
        <w:numPr>
          <w:ilvl w:val="0"/>
          <w:numId w:val="11"/>
        </w:numPr>
        <w:jc w:val="both"/>
        <w:rPr>
          <w:noProof/>
        </w:rPr>
      </w:pPr>
      <w:r>
        <w:rPr>
          <w:noProof/>
        </w:rPr>
        <w:t>bidliet leġiżlattivi li jikkonċernaw is-sjieda barranija tal-art agrikola;</w:t>
      </w:r>
    </w:p>
    <w:p>
      <w:pPr>
        <w:pStyle w:val="ListParagraph"/>
        <w:numPr>
          <w:ilvl w:val="0"/>
          <w:numId w:val="11"/>
        </w:numPr>
        <w:rPr>
          <w:noProof/>
        </w:rPr>
      </w:pPr>
      <w:r>
        <w:rPr>
          <w:noProof/>
        </w:rPr>
        <w:t>il-progress li sar fil-proġetti ta’ terminu medju għat-tul li l-Kroazja ppjanat li tniedi biex ittejjeb l-operazzjoni tas-suq tal-art agrikola u biex iżżid l-effiċjenza tal-attivitajiet agrikoli, b’mod partikolari fir-rigward tal-privatizzazzjoni tal-art, il-programmi ta’ restituzzjoni u l-attivitajiet ta’ tneħħija ta’ mini; u</w:t>
      </w:r>
    </w:p>
    <w:p>
      <w:pPr>
        <w:pStyle w:val="ListParagraph"/>
        <w:numPr>
          <w:ilvl w:val="0"/>
          <w:numId w:val="11"/>
        </w:numPr>
        <w:jc w:val="both"/>
        <w:rPr>
          <w:noProof/>
        </w:rPr>
      </w:pPr>
      <w:r>
        <w:rPr>
          <w:noProof/>
        </w:rPr>
        <w:t>is-sitwazzjoni attwali tal-investimenti barranin fis-settur agrikolu Kroat.</w:t>
      </w:r>
    </w:p>
    <w:p>
      <w:pPr>
        <w:keepNext/>
        <w:spacing w:before="360" w:after="120"/>
        <w:ind w:left="851" w:hanging="851"/>
        <w:jc w:val="both"/>
        <w:rPr>
          <w:b/>
          <w:noProof/>
        </w:rPr>
      </w:pPr>
      <w:r>
        <w:rPr>
          <w:noProof/>
        </w:rPr>
        <w:t>4</w:t>
      </w:r>
      <w:r>
        <w:rPr>
          <w:b/>
          <w:noProof/>
        </w:rPr>
        <w:t>. Ħarsa ġenerali lejn is-sitwazzjoni wara tliet snin ta’ adeżjoni fl-UE</w:t>
      </w:r>
    </w:p>
    <w:p>
      <w:pPr>
        <w:keepNext/>
        <w:spacing w:before="120" w:after="120"/>
        <w:jc w:val="both"/>
        <w:rPr>
          <w:noProof/>
        </w:rPr>
      </w:pPr>
      <w:r>
        <w:rPr>
          <w:noProof/>
        </w:rPr>
        <w:t>F’Ġunju 2016, il-Kummissjoni nnutat fir-rapport tagħha dwar il-konverġenza ta’ kull sentejn</w:t>
      </w:r>
      <w:r>
        <w:rPr>
          <w:rStyle w:val="FootnoteReference"/>
          <w:noProof/>
        </w:rPr>
        <w:footnoteReference w:id="7"/>
      </w:r>
      <w:r>
        <w:rPr>
          <w:noProof/>
        </w:rPr>
        <w:t xml:space="preserve"> li l-Kroazja ħabbtet wiċċha ma’ erba’ snin konsekuttivi ta’ tkabbir ekonomiku negattiv. Dan l-ambjent ekonomiku avvers riċenti kien ta’ piż fuq il-konverġenza fid-dħul u fuq il-produttività, inkluż fis-settur agrikolu.</w:t>
      </w:r>
    </w:p>
    <w:p>
      <w:pPr>
        <w:pStyle w:val="ListParagraph"/>
        <w:keepNext/>
        <w:numPr>
          <w:ilvl w:val="0"/>
          <w:numId w:val="2"/>
        </w:numPr>
        <w:spacing w:before="240" w:after="120"/>
        <w:ind w:left="714" w:hanging="357"/>
        <w:jc w:val="both"/>
        <w:rPr>
          <w:i/>
          <w:noProof/>
        </w:rPr>
      </w:pPr>
      <w:r>
        <w:rPr>
          <w:i/>
          <w:noProof/>
        </w:rPr>
        <w:t>Karatteristiċi soċjoekonomiċi tas-settur agrikolu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Wara perjodu ta’ tkabbir ekonomiku rapidu fl-2007 u fl-2008, il-kriżi ekonomika u finanzjarja kienet ta’ piż fuq l-ekonomija Kroata. Dan affettwa wkoll l-agrikultura, li rat tnaqqis fil-valur miżjud gross (VMG), fl-introjtu mill-fatturi u fl-għadd ta’ persuni impjegati. F’termini ta’ indikaturi strutturali, is-settur agrikolu Kroat għadu kkaratterizzat minn azjendi iżgħar; produttività tax-xogħol aktar baxxa; effiċjenza aktar baxxa; u introjtu mill-fatturi u kapaċità tal-akkwist aktar baxxi mill-medja tal-UE.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Bejn l-2007 u l-2013, il-VMG agrikolu tal-Kroazja kien jammonta għal medja ta’ madwar 2,88 % tal-prodott domestiku gross (PDG) tal-pajjiż. Fl-2014, il-VMG agrikolu kien jammonta għal 2,38 % tal-PDG tal-pajjiż, b’EUR 1,03 biljun. Dan huwa tnaqqis ta’ 33 % meta mqabbel mal-ogħla valur f’dan il-perjodu, reġistrat fl-2008, u huwa tnaqqis ta’ 9 % meta mqabbel mal-2013. Attività agrikola ġġenerat valur ta’ output</w:t>
      </w:r>
      <w:r>
        <w:rPr>
          <w:rStyle w:val="FootnoteReference"/>
          <w:noProof/>
        </w:rPr>
        <w:footnoteReference w:id="8"/>
      </w:r>
      <w:r>
        <w:rPr>
          <w:noProof/>
        </w:rPr>
        <w:t xml:space="preserve"> ta’ EUR 2,28 biljun fl-2014, li huwa 10 % aktar baxx minn dak irreġistrat fl-2013 u segwa l-istess xejra negattiva bħall-VMG sa mill-2008.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Skont l-Att dwar l-Art Agrikola, l-art agrikola fil-Kroazja tinkludi art li tinħadem, ġonna, mergħat, bwar, ġardini, msaġar taż-żebbuġ, vinji, vaski bil-ħut, rqajja’ tal-qasab, artijiet mistagħdra u żoni oħra li jistgħu jintużaw għal produzzjoni agrikola. Skont id-dejta pprovduta mill-awtoritajiet Kroati, il-maġġoranza tal-azjendi agrikoli huma żgħar u mhux adattati għal biedja moderna, jiġifieri l-effiċjenza u l-produttività tagħhom huma baxxi.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Il-frammentazzjoni tal-azjendi agrikoli hija waħda mill-fatturi ewlenin li jillimitaw l-iżvilupp tas-settur agrikolu, għalkemm kien hemm ċertu livell ta’ konsolidazzjoni tal-art mill-2007. Azjendi żgħar li jużaw sa massimu ta’ ħames (5) ettari jirrappreżentaw 69,4 % tal-azjendi kollha, u mhux aktar minn 6,9 % jużaw aktar minn 20 ettaru ta’ art. L-art agrikola medja użata għal kull azjenda fil-Kroazja kważi rduppjat bejn l-2007 u l-2013 minn 5,4 ettari għal 10 ettari. Madankollu, dan huwa anqas mill-medja tal-UE ta’ 16,1-il ettaru.</w:t>
      </w:r>
    </w:p>
    <w:p>
      <w:pPr>
        <w:spacing w:before="120" w:after="240"/>
        <w:jc w:val="both"/>
        <w:rPr>
          <w:noProof/>
        </w:rPr>
      </w:pPr>
      <w:r>
        <w:rPr>
          <w:noProof/>
        </w:rPr>
        <w:t>Fl-2015, il-produttività tax-xogħol agrikolu fil-Kroazja kienet 44 % tal-medja tal-UE, iżda żdiedet b’mod ġenerali minn meta l-Kroazja daħlet fl-UE fl-2013 (ara l-Grafika 1 hawn taħt). Madankollu, għadha ħafna aktar baxxa mir-rati ta’ produttività tal-UE-15 u hija eqreb lejn dik fl-Istati Membri aktar ġodda.</w:t>
      </w:r>
    </w:p>
    <w:p>
      <w:pPr>
        <w:spacing w:before="120" w:after="240"/>
        <w:jc w:val="both"/>
        <w:rPr>
          <w:noProof/>
        </w:rPr>
      </w:pPr>
    </w:p>
    <w:p>
      <w:pPr>
        <w:spacing w:before="120" w:after="240"/>
        <w:jc w:val="both"/>
        <w:rPr>
          <w:noProof/>
        </w:rPr>
      </w:pPr>
    </w:p>
    <w:p>
      <w:pPr>
        <w:spacing w:before="120" w:after="240"/>
        <w:jc w:val="both"/>
        <w:rPr>
          <w:noProof/>
        </w:rPr>
      </w:pPr>
    </w:p>
    <w:p>
      <w:pPr>
        <w:spacing w:before="120" w:after="240"/>
        <w:jc w:val="both"/>
        <w:rPr>
          <w:noProof/>
        </w:rPr>
      </w:pPr>
    </w:p>
    <w:p>
      <w:pPr>
        <w:spacing w:before="120" w:after="240"/>
        <w:jc w:val="both"/>
        <w:rPr>
          <w:noProof/>
        </w:rPr>
      </w:pPr>
    </w:p>
    <w:p>
      <w:pPr>
        <w:spacing w:before="120" w:after="240"/>
        <w:jc w:val="both"/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9"/>
        <w:gridCol w:w="4630"/>
      </w:tblGrid>
      <w:tr>
        <w:tc>
          <w:tcPr>
            <w:tcW w:w="9289" w:type="dxa"/>
            <w:gridSpan w:val="2"/>
          </w:tcPr>
          <w:p>
            <w:pPr>
              <w:spacing w:before="120" w:after="120"/>
              <w:jc w:val="center"/>
              <w:rPr>
                <w:noProof/>
              </w:rPr>
            </w:pPr>
            <w:r>
              <w:rPr>
                <w:b/>
                <w:noProof/>
              </w:rPr>
              <w:t>Grafika 1. Produttività agrikola fil-Kroazja meta mqabbel mal-UE-15 u mal-UE-12</w:t>
            </w:r>
          </w:p>
        </w:tc>
      </w:tr>
      <w:tr>
        <w:tc>
          <w:tcPr>
            <w:tcW w:w="4693" w:type="dxa"/>
          </w:tcPr>
          <w:p>
            <w:pPr>
              <w:spacing w:before="120" w:after="120"/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</w:rPr>
              <w:t>Tabella A: Dinamiki tal-produttività agrikola*</w:t>
            </w:r>
          </w:p>
        </w:tc>
        <w:tc>
          <w:tcPr>
            <w:tcW w:w="4596" w:type="dxa"/>
          </w:tcPr>
          <w:p>
            <w:pPr>
              <w:spacing w:before="120" w:after="120"/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</w:rPr>
              <w:t>Tabella B: Konverġenza tal-produttività agrikola fil-Kroazja u fl-UE-15 2008-2015**</w:t>
            </w:r>
          </w:p>
        </w:tc>
      </w:tr>
      <w:tr>
        <w:tc>
          <w:tcPr>
            <w:tcW w:w="4693" w:type="dxa"/>
          </w:tcPr>
          <w:p>
            <w:pPr>
              <w:spacing w:before="120" w:after="120"/>
              <w:jc w:val="both"/>
              <w:rPr>
                <w:noProof/>
              </w:rPr>
            </w:pPr>
            <w:r>
              <w:rPr>
                <w:noProof/>
                <w:lang w:val="en-US" w:eastAsia="en-US" w:bidi="ar-SA"/>
              </w:rPr>
              <w:drawing>
                <wp:inline distT="0" distB="0" distL="0" distR="0">
                  <wp:extent cx="2895600" cy="24479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1742" cy="2453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6" w:type="dxa"/>
          </w:tcPr>
          <w:p>
            <w:pPr>
              <w:spacing w:before="120" w:after="120"/>
              <w:jc w:val="both"/>
              <w:rPr>
                <w:noProof/>
              </w:rPr>
            </w:pPr>
            <w:r>
              <w:rPr>
                <w:noProof/>
                <w:lang w:val="en-US" w:eastAsia="en-US" w:bidi="ar-SA"/>
              </w:rPr>
              <w:drawing>
                <wp:inline distT="0" distB="0" distL="0" distR="0">
                  <wp:extent cx="2876550" cy="25050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9289" w:type="dxa"/>
            <w:gridSpan w:val="2"/>
          </w:tcPr>
          <w:p>
            <w:pPr>
              <w:spacing w:before="120" w:after="120"/>
              <w:jc w:val="both"/>
              <w:rPr>
                <w:noProof/>
                <w:sz w:val="18"/>
                <w:szCs w:val="18"/>
              </w:rPr>
            </w:pPr>
            <w:r>
              <w:rPr>
                <w:i/>
                <w:noProof/>
                <w:sz w:val="18"/>
              </w:rPr>
              <w:t>Sors</w:t>
            </w:r>
            <w:r>
              <w:rPr>
                <w:noProof/>
                <w:sz w:val="18"/>
              </w:rPr>
              <w:t xml:space="preserve">: </w:t>
            </w:r>
            <w:r>
              <w:rPr>
                <w:i/>
                <w:noProof/>
                <w:sz w:val="18"/>
              </w:rPr>
              <w:t>Sors</w:t>
            </w:r>
            <w:r>
              <w:rPr>
                <w:noProof/>
                <w:sz w:val="18"/>
              </w:rPr>
              <w:t>: Eurostat, Kontijiet Nazzjonali Annwali tal-AMECO u tad-deflaturi tal-PDG.</w:t>
            </w:r>
          </w:p>
          <w:p>
            <w:pPr>
              <w:spacing w:before="120" w:after="120"/>
              <w:jc w:val="both"/>
              <w:rPr>
                <w:noProof/>
              </w:rPr>
            </w:pPr>
            <w:r>
              <w:rPr>
                <w:i/>
                <w:noProof/>
                <w:sz w:val="18"/>
              </w:rPr>
              <w:t>Noti</w:t>
            </w:r>
            <w:r>
              <w:rPr>
                <w:noProof/>
                <w:sz w:val="18"/>
              </w:rPr>
              <w:t>: *L-Istati Membri ġodda tal-UE-12 jirreferu għall-aħħar 13-il Stat Membru li ssieħbu, ħlief il-Kroazja li magħha qed isir it-tqabbil; **Il-produttività agrikola titkejjel f’VMG fi prezzijiet kostanti tal-2010 f’euro għal kull siegħa maħduma.</w:t>
            </w:r>
          </w:p>
        </w:tc>
      </w:tr>
    </w:tbl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  <w:r>
        <w:rPr>
          <w:noProof/>
        </w:rPr>
        <w:t xml:space="preserve">Skont id-dejta provviżorja mill-awtoritajiet tat-taxxa Kroati, il-prezz medju ta’ ettaru wieħed ta’ art agrikola fil-Kroazja kien ta’ EUR 4 935 fl-2014, li huwa relattivament għoli meta mqabbel mal-parti l-kbira tal-Istati Membri tal-UE-12, iżda aktar baxx b’mod sinifikanti mill-maġġoranza tal-Istati Membri tal-UE-15. Il-prezzijiet tal-art fil-Kroazja żdiedu b’mod kostanti bejn l-2000 u l-2006 (abbażi ta’ dejta pprovduta mill-Kroazja matul in-negozjati tal-adeżjoni) u kienu madwar ħames darbiet ogħla fl-2012 meta mqabbel ma’ deċennju qabel. Madankollu, l-adeżjoni fl-UE fl-2013 ma żiedet b’mod notevoli la l-prezzijiet tal-art u lanqas l-għadd u d-daqs totali tal-irqajja’ tal-art ittrasferiti. Fil-fatt, il-prezzijiet tal-art saħansitra naqsu kemxejn dan l-aħħar, f’konformità maż-żieda riċenti fl-art agrikola disponibbli għall-użu (ara t-Tabella 1 fl-Anness). Għalkemm in-nuqqas ta’ dejta disponibbli dwar il-prezzijiet tal-bejgħ storiku tal-art madwar l-UE għandu jwassal għal attenzjoni fl-analiżi, jidher ċar li d-differenzi fil-prezzijiet tal-art agrikola bejn il-Kroazja u l-UE-15 ma nbidlux b’mod notevoli mill-adeżjoni. 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 xml:space="preserve">Id-diskrepanza bejn il-PDG </w:t>
      </w:r>
      <w:r>
        <w:rPr>
          <w:i/>
          <w:noProof/>
        </w:rPr>
        <w:t>per capita</w:t>
      </w:r>
      <w:r>
        <w:rPr>
          <w:noProof/>
        </w:rPr>
        <w:t xml:space="preserve"> kkalkulat skont l-istandards tal-kapaċità tal-akkwist bejn il-Kroazja u l-bqija tal-UE għadha hemm. Skont id-dejta tal-Eurostat, fl-2014 il-PDG </w:t>
      </w:r>
      <w:r>
        <w:rPr>
          <w:i/>
          <w:noProof/>
        </w:rPr>
        <w:t>per capita</w:t>
      </w:r>
      <w:r>
        <w:rPr>
          <w:noProof/>
        </w:rPr>
        <w:t xml:space="preserve"> fil-Kroazja kkalkulat skont l-istandards tal-kapaċità tal-akkwist kien wieħed mill-aktar baxxi fl-UE kollha kemm hi, u kien stmat għal 58,8 % tal-medja tal-UE. Barra minn hekk, l-introjtu mill-fatturi agrikoli</w:t>
      </w:r>
      <w:r>
        <w:rPr>
          <w:rStyle w:val="FootnoteReference"/>
          <w:noProof/>
        </w:rPr>
        <w:footnoteReference w:id="9"/>
      </w:r>
      <w:r>
        <w:rPr>
          <w:noProof/>
        </w:rPr>
        <w:t xml:space="preserve"> niżel b’mod kontinwu mill-2009. Fl-2014 kompla nieżel b’35,7 % meta mqabbel mal-2008 u bi 11,9 % meta mqabbel mal-2013.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Sa mill-2011, l-introjtu mill-fatturi reali fl-agrikultura fil-Kroazja niżel taħt il-medja tal-introjtu mill-fatturi reali għall-UE-15. Dan ifisser li l-introjtu agrikolu ma għadux qed ilaħħaq ma’ dak tal-UE-15 (ara l-Grafika 1 fl-Anness). Għaldaqstant, il-kapaċità tal-akkwist reali tal-Kroazja fis-settur agrikolu fl-2014 kien sostanzjalment aktar baxx mill-perjodu ta’ qabel l-adeżjoni.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Għaldaqstant, l-affordabilità tal-art agrikola baqgħet relattivament baxxa għall-bdiewa Kroati minħabba l-kapaċità tal-akkwist tagħhom. Skont id-dejta pprovduta mill-awtoritajiet Kroati, l-indiċi tal-affordabilità (abbażi tal-introjtu mill-fatturi mill-agrikultura u tal-prezzijiet tal-art fil-Kroazja fi prezzijiet kostanti tal-2010) fl-2014 għall-Kroazja, is-sena wara l-adeżjoni tagħha fl-UE, kien ta’ 0,79. Dan ifisser li, fl-UE, l-art agrikola fil-Kroazja kienet l-anqas affordabbli għall-bdiewa Kroati meta mqabbel ma’ bdiewa oħra tal-UE (ara t-Tabella 2 fl-Anness). Barra minn hekk, il-Grafika 2 fl-Anness turi li l-konverġenza fl-affordabilità tal-art agrikola Kroata għall-bdiewa fil-Kroazja kienet aktar kajmana bħala medja mill-2012, mhux biss meta mqabbla mal-medja tal-UE kollha kemm hi iżda anke meta mqabbla mal-parti l-kbira mit-12-il Stat Membru li daħlu dan l-aħħar.</w:t>
      </w:r>
    </w:p>
    <w:p>
      <w:pPr>
        <w:pStyle w:val="ListParagraph"/>
        <w:keepNext/>
        <w:numPr>
          <w:ilvl w:val="0"/>
          <w:numId w:val="2"/>
        </w:numPr>
        <w:spacing w:before="120" w:after="120"/>
        <w:ind w:left="714" w:hanging="357"/>
        <w:jc w:val="both"/>
        <w:rPr>
          <w:i/>
          <w:noProof/>
        </w:rPr>
      </w:pPr>
      <w:r>
        <w:rPr>
          <w:i/>
          <w:noProof/>
        </w:rPr>
        <w:t>Restrizzjonijiet legali dwar l-akkwist ta’ proprjetà immobbli agrikola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Skont il-leġiżlazzjoni Kroata fis-seħħ minn meta l-pajjiż issieħeb fl-UE, persuni ġuridiċi u fiżiċi barranin huma pprojbiti milli jkollhom sjieda ta’ art agrikola permezz ta’ tranżazzjoni legali, sakemm ma jkunx stipulat mod ieħor fi ftehim internazzjonali. Fl-2013, l-Att dwar l-Art Agrikola tal-2008 (OG 152/08), li saret referenza għalih fl-Att tal-Adeżjoni, ġie sostitwit b’Att dwar l-Art Agrikola ġdid (OG 39/2013) u ġie emendat ulterjorment fl-2015 (OG 48/2015). L-Att tal-2013 żamm ħafna mir-restrizzjonijiet li kienu fis-seħħ preċedentement iżda introduċa l-possibbiltà li l-persuni fiżiċi u ġuridiċi jakkwistaw drittijiet ta’ proprjetà fuq art agrikola permezz ta’ wirt.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Skont l-Att tal-Adeżjoni, bdiewa li jaħdmu għal rashom li huma ċittadini ta’ Stat Membru ieħor u li jixtiequ jistabbilixxu rwieħhom u jirrisjedu fil-Kroazja jistgħu jakkwistaw art agrikola, diment li jissodisfaw il-kundizzjonijiet stabbiliti mil-liġi nazzjonali li hija applikabbli għaċ-ċittadini Kroati. Barra minn hekk, iċ-ċittadini tal-UE/taż-ŻEE huma permessi li jixtru art agrikola permezz ta’ entitajiet legali rreġistrati u bbażati fil-Kroazja.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Għaldaqstant, l-oqfsa legali restrittivi huma mitigati bil-possibbiltà mogħtija lill-bdiewa tal-UE/taż-ŻEE li jaħdmu għal rashom u lill-entitajiet legali stabbiliti fil-Kroazja, li jakkwistaw art skont il-kundizzjonijiet stabbiliti mil-liġi nazzjonali. Barra minn hekk, ma hemm l-ebda restrizzjoni għaċ-ċittadini tal-UE/taż-ŻEE u għall-entitajiet legali li jikru art agrikola.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Il-qafas legali applikabbli, li ma jipprojbix l-akkwisti tal-art barranin kollha, għandhom jippermettu li l-Kroazja tilħaq l-objettivi li segwiet matul il-perjodu tranżitorju u jgħinu biex tersaq b’mod gradwali lejn sistema aktar miftuħa għaċ-ċittadini tal-UE/taż-ŻEE biex jakkwistaw l-art.</w:t>
      </w:r>
    </w:p>
    <w:p>
      <w:pPr>
        <w:pStyle w:val="ListParagraph"/>
        <w:keepNext/>
        <w:numPr>
          <w:ilvl w:val="0"/>
          <w:numId w:val="2"/>
        </w:numPr>
        <w:spacing w:before="120" w:after="120"/>
        <w:ind w:left="714" w:hanging="357"/>
        <w:jc w:val="both"/>
        <w:rPr>
          <w:i/>
          <w:noProof/>
        </w:rPr>
      </w:pPr>
      <w:r>
        <w:rPr>
          <w:i/>
          <w:noProof/>
        </w:rPr>
        <w:t>Privatizzazzjoni, restituzzjoni u art agrikola disponibbli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Il-privatizzazzjoni u l-każijiet ta’ restituzzjoni mhux solvuti li fadal jaffettwaw l-operazzjoni tas-swieq tal-art agrikola. Skont id-dejta pprovduta mill-awtoritajiet Kroati, 62 765 ettaru ta’ art tal-Istat inbiegħu taħt diversi programmi ta’ privatizzazzjoni implimentati bejn l-2001 u l-2013, filwaqt li l-bqija ġew mikrija. Dan huwa biss kwart mill-art tal-Istat. Ġew riċevuti madwar 50 000 applikazzjoni għar-restituzzjoni ta’ proprjetà minn partijiet interessati u madwar 9 000 każ għadhom pendenti.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Bidliet fl-ammont ta’ ta’ art agrikola disponibbli jista’ jkollhom impatt ukoll fuq l-operazzjoni tas-swieq tal-art agrikola. Fl-2013, 17 922 ettaru ġew trasformati fi proprjeta immobbli għajr art agrikola, żieda ta’ 6,1 % meta mqabbla mal-2012. Madankollu, l-art agrikola totali użata żdiedet minn 978 670 ettaru fl-2007 għal 1 571 200 ettaru fl-2013.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Għad hemm art disponibbli għal skopijiet agrikoli soġġetta għat-terminazzjoni ta’ attivitajiet ta’ tneħħija ta’ mini. Skont id-dejta pprovduta mill-awtoritajiet Kroati, fl-2016, 6 040 ettaru għadhom iridu jiġu trasferiti f’art agrikola. Billi sa issa, bħala medja, kull sena jitneħħew mini minn 2 000 ettaru, l-art li fadal tista’ tieħu madwar tliet snin oħra biex jitneħħewlha l-mini.</w:t>
      </w:r>
    </w:p>
    <w:p>
      <w:pPr>
        <w:pStyle w:val="ListParagraph"/>
        <w:keepNext/>
        <w:numPr>
          <w:ilvl w:val="0"/>
          <w:numId w:val="2"/>
        </w:numPr>
        <w:spacing w:before="240" w:after="120"/>
        <w:ind w:left="714" w:hanging="357"/>
        <w:jc w:val="both"/>
        <w:rPr>
          <w:i/>
          <w:noProof/>
        </w:rPr>
      </w:pPr>
      <w:r>
        <w:rPr>
          <w:i/>
          <w:noProof/>
        </w:rPr>
        <w:t>Investiment barrani</w:t>
      </w:r>
    </w:p>
    <w:p>
      <w:pPr>
        <w:spacing w:before="120"/>
        <w:jc w:val="both"/>
        <w:rPr>
          <w:noProof/>
        </w:rPr>
      </w:pPr>
      <w:r>
        <w:rPr>
          <w:noProof/>
        </w:rPr>
        <w:t xml:space="preserve">L-investiment barrani fl-agrikultura ġeneralment għandu impatt pożittiv fuq l-aċċess għall-kapital, it-trasferimenti tat-teknoloġija, il-funzjonament tas-swieq tal-art u l-produttività agrikola. Skont id-dejta pprovduta mill-awtoritajiet Kroati, l-investiment dirett barrani f’attivitajiet agrikoli, il-kaċċa u servizzi relatati ammontaw għal EUR 2,6 miljun fl-2011-2014. Il-leġiżlazzjoni Kroata dwar l-akkwist tal-art minn barranin tqiegħed limiti ċari fuq l-aċċess tal-investiment barrani għas-suq agrikolu Kroat. Ma nżamm l-ebda rendikont eżatt dwar azjendi agrikoli bi sjieda barranija jew lokali bħala kategoriji distinti. </w:t>
      </w:r>
    </w:p>
    <w:p>
      <w:pPr>
        <w:spacing w:before="120"/>
        <w:jc w:val="both"/>
        <w:rPr>
          <w:noProof/>
        </w:rPr>
      </w:pPr>
      <w:r>
        <w:rPr>
          <w:noProof/>
        </w:rPr>
        <w:t>Madankollu, minħabba r-restrizzjonijiet fuq l-akkwist ta’ drittijiet ta’ proprjetà fuq l-art ta’ persuni fiżiċi, l-awtoritajiet Kroati stmaw li l-għadd ta’ azjendi agrikoli bi sjieda barranija diretta huwa negliġibbli. Fl-istess ħin, is-sidien barranin huma preżenti fis-suq tal-art agrikola permezz ta’ entitajiet legali, b’mod partikulari kumpaniji pubbliċi u privati b’responsabbiltà limitata rreġistrati u bbażati fil-Kroazja. Il-persuni ġuridiċi b’mod ġenerali, irrispettivament min-nazzjonalità tas-sidien tagħhom, jużaw madwar terz mill-art agrikola totali.</w:t>
      </w:r>
    </w:p>
    <w:p>
      <w:pPr>
        <w:pStyle w:val="ListParagraph"/>
        <w:keepNext/>
        <w:numPr>
          <w:ilvl w:val="0"/>
          <w:numId w:val="2"/>
        </w:numPr>
        <w:spacing w:before="120" w:after="120"/>
        <w:ind w:left="714" w:hanging="357"/>
        <w:jc w:val="both"/>
        <w:rPr>
          <w:i/>
          <w:noProof/>
        </w:rPr>
      </w:pPr>
      <w:r>
        <w:rPr>
          <w:i/>
          <w:noProof/>
        </w:rPr>
        <w:t>L-impatt tal-adeżjoni fl-UE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B’mod ġenerali, l-adeżjoni fl-UE tejbet l-aċċes tal-bdiewa għall-kreditu u l-assigurazzjoni. Dan jista’ jkollu impatt pożittiv fuq il-produttività agrikola.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Barra minn hekk, il-bdiewa Kroati rċevew appoġġ finanzjarju mill-Politika Agrikola Komuni tal-UE. L-ammont totali ta’ dan l-appoġġ finanzjarju riċevut mis-settur agrikolu ammonta għal EUR 292 miljun fl-2013 u EUR 295 miljun fl-2014. Dawn l-għajnuniet, li kienu disponibbli b’mod konsistenti għall-bdiewa Kroati, kienu jammontaw għal sehem konsiderevoli mill-introjtu mill-biedja Kroata. Setgħu għenu biex tiżdied l-effiċjenza u d-domanda għall-art, u jistgħu jappoġġjaw l-aspettattivi għal żieda fil-prezzijiet tal-art agrikola.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B’mod ġenerali, is-sussidji għenu biex jitjiebu l-kundizzjonijiet soċjali tal-bdiewa Kroati u, flimkien ma’ aċċess aħjar għall-kreditu, jistgħu jipprovdu inċentivi biex il-bdiewa Kroati jixtru art fil-futur u jiżviluppaw attivitajiet agrikoli. Dan jgħin biex jixpruna l-produttività tax-xogħol tas-settur agrikolu u jwassal għal żieda ulterjuri fl-introjtu mill-biedja.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Il-Kummissjoni tinnota li l-proġetti Kroati maħsuba biex itejbu l-operazzjoni tas-suq tal-art billi jindirizzaw l-oqsma speċifiċi identifikati matul in-negozjati tal-adeżjoni għadhom ma ġewx implimentati bis-sħiħ. Filwaqt li xi proġetti, bħas-sistema ta’ informazzjoni tal-IT relatata mad-dejta katastali dwar l-art tal-Istat, diġà huma fis-seħħ, żviluppi ulterjuri tas-sistemi huma ppjanati, pereżempju l-possibbiltà li tiġi traċċata l-istorja tal-kuntratti u tiġi skambjata d-dejta mal-awtoritajiet kompetenti. Proġetti oħra ppjanati biex irawmu l-iżvilupp tas-settur agrikolu jinkludu l-istrateġija tal-ġestjoni rurali; il-programm operazzjonali għall-konsolidazzjoni tal-art agrikola; u l-proġett għall-irrigazzjoni u l-ġestjoni tal-art agrikola u l-ilmijiet.</w:t>
      </w:r>
    </w:p>
    <w:p>
      <w:pPr>
        <w:keepNext/>
        <w:spacing w:before="240" w:after="120"/>
        <w:ind w:left="851" w:hanging="851"/>
        <w:jc w:val="both"/>
        <w:rPr>
          <w:b/>
          <w:noProof/>
        </w:rPr>
      </w:pPr>
      <w:r>
        <w:rPr>
          <w:b/>
          <w:noProof/>
        </w:rPr>
        <w:t>5. Konklużjonijiet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L-Att tal-Adeżjoni tal-2011 jirrikjedi li jinħareġ fi żmien tliet snin mill-adeżjoni. Il-perjodu studjat huwa kemxejn qasir</w:t>
      </w:r>
      <w:r>
        <w:rPr>
          <w:rStyle w:val="FootnoteReference"/>
          <w:noProof/>
        </w:rPr>
        <w:footnoteReference w:id="10"/>
      </w:r>
      <w:r>
        <w:rPr>
          <w:noProof/>
        </w:rPr>
        <w:t xml:space="preserve"> u b’hekk ma setgħetx tinġabar evidenza empirika estensiva bis-sħiħ fir-rigward tal-kwistjoni ta’ kif l-adeżjoni tal-Kroazja fl-UE affettwat l-iżvilupp tas-suq tal-art agrikola u s-settur agrikolu kollu kemm hu. 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 xml:space="preserve">Madankollu, id-dejta disponibbli turi li mhux it-tħassib kollu espress matul in-negozjati tal-adeżjoni ġie mitigat tliet snin wara l-adeżjoni, partikularment minħabba l-fatt li wħud mill-azzjonijiet ippjanati li jiġu implimentati matul il-perjodu ta’ tranżizzjoni għadhom għaddejjin, bħall-konsolidazzjoni tal-art, il-finalizzazzjoni tar-reġistru tal-artijiet, il-finalizzazzjoni tal-privatizzazzjoni kif ukoll it-tneħħija ta’ mini mill-art. 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 xml:space="preserve">Barra minn hekk, l-evalwazzjoni tas-suq agrikolu Kroat jindika li għad hemm differenza kbira fil-prezzijiet tal-art u fl-introjtu tal-bdiewa bejn il-Kroazja u l-bqija tal-UE. Madankollu, mhijiex mistennija konverġenza sħiħa u lanqas ma titqies bħala kundizzjoni meħtieġa biex jintemm il-perjodu ta’ tranżizzjoni. Barra minn hekk, l-analiżi tal-Kummissjoni turi tnaqqis fl-affordabilità tal-art mill-bdiewa Kroati: l-art agrikola ma saritx aktar affordabbli għall-bdiewa Kroati fl-2014, is-sena ta’ wara l-adeżjoni fl-UE, meta mqabbla mal-2013 partikularment minħabba tnaqqis fl-introjtu medju tal-bdiewa. 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B’mod ġenerali, l-analiżi tas-sitwazzjoni preżenti fis-settur agrikolu fil-Kroazja turi li diversi fatturi għadhom jaffettwaw is-suq tal-art bħal: klima ekonomika fqira b’mod ġenerali; frammentazzjoni tas-sjieda; livelli relattivament baxxi tal-introjtu tal-bdiewa; privatizzazzjoni u restituzzjoni tal-art mhux kompluti; u attivitajiet ta’ tneħħija ta’ mini li għadhom għaddejjin.</w:t>
      </w:r>
    </w:p>
    <w:p>
      <w:pPr>
        <w:spacing w:before="120" w:after="120"/>
        <w:jc w:val="both"/>
        <w:rPr>
          <w:b/>
          <w:noProof/>
        </w:rPr>
      </w:pPr>
      <w:r>
        <w:rPr>
          <w:noProof/>
        </w:rPr>
        <w:t xml:space="preserve">Għaldaqstant, </w:t>
      </w:r>
      <w:r>
        <w:rPr>
          <w:b/>
          <w:noProof/>
        </w:rPr>
        <w:t>il-Kummissjoni tikkonkludi li jenħtieġ li t-terminu perentorju għall-miżuri tranżitorji previsti fl-Att tal-Adeżjoni ma jitqassarx.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Il-Kummissjoni tfakkar ukoll lill-Kroazja biex gradwalment tiffinalizza l-preparazzjoni tas-suq tal-art għall-applikazzjoni sħiħa tal-moviment liberu tal-kapital ladarba l-perjodu tranżitorju jasal fi tmiemu. Anke issa, ir-restrizzjonijiet fil-qafas legali dwar l-akkwist tal-art minn persuni fiżiċi u ġuridiċi barranin ma jammontawx għal projbizzjoni totali, billi l-entitajiet legali li ċ-ċittadini tal-UE/taż-ŻEE huma sidien tagħhom huma permessi li jixtru art, u bdiewa tal-UE/taż-ŻEE huma permessi li jakkwistaw art jekk ikunu jixtiequ li jistabbilixxu lilhom infushom u jirrisjedu fil-Kroazja. Barra minn hekk, l-Att dwar l-Art il-ġdid tal-2013 introduċa l-possibbiltà ta’ akkwist tad-drittijiet tas-sjieda ta’ art agrikola permezz ta’ wirt. Huwa daqstant ieħor importanti li s-suq tal-kiri tal-art ikun miftuħ għall-investituri barranin, li għaldaqstant ikunu jistgħu jistabbilixxu u joperaw impriżi agrikoli fil-Kroazja. Barra minn hekk, l-adeżjoni fl-UE diġà tejbet l-aċċess għall-kapital għall-bdiewa lokali.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Barra minn hekk, il-Kroazja impenjat ruħha li twettaq l-attivitajiet li ġejjin biex tippermetti l-moviment liberu tal-kapital sa tmiem il-perjodu tranżitorju tagħha:</w:t>
      </w:r>
    </w:p>
    <w:p>
      <w:pPr>
        <w:pStyle w:val="ListParagraph"/>
        <w:numPr>
          <w:ilvl w:val="0"/>
          <w:numId w:val="14"/>
        </w:numPr>
        <w:spacing w:before="120" w:after="120"/>
        <w:jc w:val="both"/>
        <w:rPr>
          <w:noProof/>
        </w:rPr>
      </w:pPr>
      <w:r>
        <w:rPr>
          <w:noProof/>
        </w:rPr>
        <w:t>ir-regolamentazzjoni tad-drittijiet ta’ proprjetà bħala prerekwiżit għall-aġġornament u t-tqegħid f’ordni tar-reġistru tal-artijiet;</w:t>
      </w:r>
    </w:p>
    <w:p>
      <w:pPr>
        <w:pStyle w:val="ListParagraph"/>
        <w:numPr>
          <w:ilvl w:val="0"/>
          <w:numId w:val="14"/>
        </w:numPr>
        <w:spacing w:before="120" w:after="120"/>
        <w:jc w:val="both"/>
        <w:rPr>
          <w:noProof/>
        </w:rPr>
      </w:pPr>
      <w:r>
        <w:rPr>
          <w:noProof/>
        </w:rPr>
        <w:t>il-konsolidazzjoni tal-art;</w:t>
      </w:r>
    </w:p>
    <w:p>
      <w:pPr>
        <w:pStyle w:val="ListParagraph"/>
        <w:numPr>
          <w:ilvl w:val="0"/>
          <w:numId w:val="14"/>
        </w:numPr>
        <w:spacing w:before="120" w:after="120"/>
        <w:jc w:val="both"/>
        <w:rPr>
          <w:noProof/>
        </w:rPr>
      </w:pPr>
      <w:r>
        <w:rPr>
          <w:noProof/>
        </w:rPr>
        <w:t>l-iżvilupp tas-suq ta’ art agrikola għal lokazzjonijiet u t-titjib tad-drittijiet tal-lokatarji;</w:t>
      </w:r>
    </w:p>
    <w:p>
      <w:pPr>
        <w:pStyle w:val="ListParagraph"/>
        <w:numPr>
          <w:ilvl w:val="0"/>
          <w:numId w:val="14"/>
        </w:numPr>
        <w:spacing w:before="120" w:after="120"/>
        <w:jc w:val="both"/>
        <w:rPr>
          <w:noProof/>
        </w:rPr>
      </w:pPr>
      <w:r>
        <w:rPr>
          <w:noProof/>
        </w:rPr>
        <w:t>ir-ristrutturar tal-produzzjoni agrikola;</w:t>
      </w:r>
    </w:p>
    <w:p>
      <w:pPr>
        <w:pStyle w:val="ListParagraph"/>
        <w:numPr>
          <w:ilvl w:val="0"/>
          <w:numId w:val="14"/>
        </w:numPr>
        <w:spacing w:before="120" w:after="120"/>
        <w:jc w:val="both"/>
        <w:rPr>
          <w:noProof/>
        </w:rPr>
      </w:pPr>
      <w:r>
        <w:rPr>
          <w:noProof/>
        </w:rPr>
        <w:t>it-titjib tat-teknoloġija u tat-tagħmir kapitali; u</w:t>
      </w:r>
    </w:p>
    <w:p>
      <w:pPr>
        <w:pStyle w:val="ListParagraph"/>
        <w:numPr>
          <w:ilvl w:val="0"/>
          <w:numId w:val="14"/>
        </w:numPr>
        <w:spacing w:before="120" w:after="120"/>
        <w:jc w:val="both"/>
        <w:rPr>
          <w:noProof/>
        </w:rPr>
      </w:pPr>
      <w:r>
        <w:rPr>
          <w:noProof/>
        </w:rPr>
        <w:t xml:space="preserve">it-tneħħija ta’ mini minn art agrikola. </w:t>
      </w:r>
    </w:p>
    <w:p>
      <w:pPr>
        <w:spacing w:before="120" w:after="120"/>
        <w:jc w:val="both"/>
        <w:rPr>
          <w:noProof/>
        </w:rPr>
      </w:pPr>
      <w:r>
        <w:rPr>
          <w:noProof/>
        </w:rPr>
        <w:t>Dan kollu jipprovdi bażi tajba biex il-Kroazja tkompli tindirizza l-isfidi li rifdu r-raġunijiet biex ikun hemm perjodu tranżitorju, u ttejjeb il-produttività u l-pożizzjoni ekonomika tar-residenti Kroati involuti fi żvilupp agrikolu u rurali.</w:t>
      </w:r>
    </w:p>
    <w:p>
      <w:pPr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spacing w:before="120" w:after="120"/>
        <w:jc w:val="both"/>
        <w:rPr>
          <w:noProof/>
        </w:rPr>
      </w:pPr>
    </w:p>
    <w:p>
      <w:pPr>
        <w:rPr>
          <w:noProof/>
        </w:rPr>
      </w:pPr>
    </w:p>
    <w:sectPr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39"/>
      <w:pgMar w:top="1134" w:right="1417" w:bottom="1134" w:left="1417" w:header="709" w:footer="709" w:gutter="0"/>
      <w:pgNumType w:start="2"/>
      <w:cols w:space="720"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EUAlbertina">
    <w:altName w:val="EU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MT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MT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3969344"/>
      <w:docPartObj>
        <w:docPartGallery w:val="Page Numbers (Bottom of Page)"/>
        <w:docPartUnique/>
      </w:docPartObj>
    </w:sdtPr>
    <w:sdtContent>
      <w:p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>
    <w:pPr>
      <w:pStyle w:val="FooterCoverPage"/>
      <w:rPr>
        <w:rFonts w:ascii="Arial" w:hAnsi="Arial" w:cs="Arial"/>
        <w:b/>
        <w:sz w:val="48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1">
    <w:p>
      <w:pPr>
        <w:pStyle w:val="FootnoteText"/>
      </w:pPr>
      <w:r>
        <w:rPr>
          <w:rStyle w:val="FootnoteReference"/>
        </w:rPr>
        <w:footnoteRef/>
      </w:r>
      <w:r>
        <w:t xml:space="preserve"> ĠU L 112, 24.4.2012, p. 10.</w:t>
      </w:r>
    </w:p>
  </w:footnote>
  <w:footnote w:id="2">
    <w:p>
      <w:pPr>
        <w:pStyle w:val="FootnoteText"/>
      </w:pPr>
      <w:r>
        <w:rPr>
          <w:rStyle w:val="FootnoteReference"/>
        </w:rPr>
        <w:footnoteRef/>
      </w:r>
      <w:r>
        <w:t xml:space="preserve"> L-Att dwar l-Art Agrikola (OG 152/08).</w:t>
      </w:r>
    </w:p>
  </w:footnote>
  <w:footnote w:id="3">
    <w:p>
      <w:pPr>
        <w:pStyle w:val="FootnoteText"/>
        <w:ind w:left="709" w:hanging="709"/>
        <w:rPr>
          <w:lang w:eastAsia="de-DE"/>
        </w:rPr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r>
        <w:t>Il-Kawża C-370/05 (Festersen), il-pargrafi 21-23; Il-Kawża C-452/01 (Ospelt), il-pargrafu 24.</w:t>
      </w:r>
    </w:p>
  </w:footnote>
  <w:footnote w:id="4">
    <w:p>
      <w:pPr>
        <w:pStyle w:val="FootnoteText"/>
        <w:jc w:val="both"/>
      </w:pPr>
      <w:r>
        <w:rPr>
          <w:rStyle w:val="FootnoteReference"/>
        </w:rPr>
        <w:footnoteRef/>
      </w:r>
      <w:r>
        <w:t xml:space="preserve"> L-Att tal-Adeżjoni jistabbilixxi wkoll li </w:t>
      </w:r>
      <w:r>
        <w:rPr>
          <w:i/>
        </w:rPr>
        <w:t>“ċittadin ta' Stat Membru jew persuna ġuridika kostitwita f'konformità mal-liġijiet ta' Stat Membru ieħor, fl-ebda każ ma jistgħu jiġu ttrattati b'mod anqas favorevoli fir-rigward tal-akkwist ta' artijiet agrikoli minn kif jiġu ttrattati ċittadini jew persuni fid-data tal-iffirmar tat-Trattat tal-Adeżjoni jew jiġu trattati b'mod aktar restrittiv minn ċittadin jew persuna ġuridika ta' pajjiż terz”.</w:t>
      </w:r>
    </w:p>
  </w:footnote>
  <w:footnote w:id="5">
    <w:p>
      <w:pPr>
        <w:pStyle w:val="FootnoteText"/>
        <w:jc w:val="both"/>
      </w:pPr>
      <w:r>
        <w:rPr>
          <w:rStyle w:val="FootnoteReference"/>
        </w:rPr>
        <w:footnoteRef/>
      </w:r>
      <w:r>
        <w:t xml:space="preserve"> L-UE-12 tirreferi għall-Istati Membri li ssieħbu fl-UE fl-2004 (l-UE-10) u fl-2007 (l-UE-2). Ġie maqbul perjodu tranżitorju mar-Repubblika Ċeka, mal-Estonja, mal-Latvja, mal-Litwanja, mal-Ungerija, mal-Polonja u mas-Slovakkja (mill-UE-10), kif ukoll kemm mal-Bulgarija kif ukoll mar-Rumanija (l-UE-2). L-UE-15 tirreferi għall-Istati Membri qabel it-tkabbir fl-2004.</w:t>
      </w:r>
    </w:p>
  </w:footnote>
  <w:footnote w:id="6">
    <w:p>
      <w:pPr>
        <w:pStyle w:val="FootnoteText"/>
        <w:jc w:val="both"/>
      </w:pPr>
      <w:r>
        <w:rPr>
          <w:rStyle w:val="FootnoteReference"/>
        </w:rPr>
        <w:footnoteRef/>
      </w:r>
      <w:r>
        <w:t xml:space="preserve"> Skont id-dejta mogħtija mill-awtoritajiet Kroati, fl-1998 bejn 42 % u 54 % tal-art agrikola kienet soġġetta għal attivitajiet ta’ tneħħija ta’ mini, filwaqt li ż-żona totali affettwata mill-mini fi tmiem l-2006 kienet ta’ 997 km</w:t>
      </w:r>
      <w:r>
        <w:rPr>
          <w:vertAlign w:val="superscript"/>
        </w:rPr>
        <w:t>2</w:t>
      </w:r>
      <w:r>
        <w:t>.</w:t>
      </w:r>
    </w:p>
  </w:footnote>
  <w:footnote w:id="7">
    <w:p>
      <w:pPr>
        <w:pStyle w:val="FootnoteText"/>
      </w:pPr>
      <w:r>
        <w:rPr>
          <w:rStyle w:val="FootnoteReference"/>
        </w:rPr>
        <w:footnoteRef/>
      </w:r>
      <w:r>
        <w:t xml:space="preserve"> Il-Kummissjoni Ewropea, ir-rapport dwar il-konverġemza 2016, disponibbli hawn: http://ec.europa.eu/economy_finance/publications/european_economy/convergence_reports/index_en.htm.</w:t>
      </w:r>
    </w:p>
  </w:footnote>
  <w:footnote w:id="8">
    <w:p>
      <w:pPr>
        <w:pStyle w:val="FootnoteText"/>
      </w:pPr>
      <w:r>
        <w:rPr>
          <w:rStyle w:val="FootnoteReference"/>
        </w:rPr>
        <w:footnoteRef/>
      </w:r>
      <w:r>
        <w:t xml:space="preserve"> Il-VMG huwa ekwivalenti għall-valur ta’ output mingħajr il-produzzjoni intermedja.</w:t>
      </w:r>
    </w:p>
  </w:footnote>
  <w:footnote w:id="9">
    <w:p>
      <w:pPr>
        <w:pStyle w:val="FootnoteText"/>
      </w:pPr>
      <w:r>
        <w:rPr>
          <w:rStyle w:val="FootnoteReference"/>
        </w:rPr>
        <w:footnoteRef/>
      </w:r>
      <w:r>
        <w:t xml:space="preserve"> L-introjtu mill-fatturi juri l-valur nett maħluq bl-użu tal-fatturi ta’ produzzjoni kollha fil-produzzjoni agrikola.</w:t>
      </w:r>
    </w:p>
  </w:footnote>
  <w:footnote w:id="10">
    <w:p>
      <w:pPr>
        <w:pStyle w:val="FootnoteText"/>
      </w:pPr>
      <w:r>
        <w:rPr>
          <w:rStyle w:val="FootnoteReference"/>
        </w:rPr>
        <w:footnoteRef/>
      </w:r>
      <w:r>
        <w:t xml:space="preserve"> L-istatistika disponibbli fid-data tal-adozzjoni ta’ dan ir-rapport tirreferi għad-dejta sal-2014 biss.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62C"/>
    <w:multiLevelType w:val="hybridMultilevel"/>
    <w:tmpl w:val="A5B459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50816"/>
    <w:multiLevelType w:val="hybridMultilevel"/>
    <w:tmpl w:val="B83A2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24026"/>
    <w:multiLevelType w:val="hybridMultilevel"/>
    <w:tmpl w:val="82300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D0D3D"/>
    <w:multiLevelType w:val="hybridMultilevel"/>
    <w:tmpl w:val="CA3E2306"/>
    <w:lvl w:ilvl="0" w:tplc="FEC456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422DF5"/>
    <w:multiLevelType w:val="hybridMultilevel"/>
    <w:tmpl w:val="BB5C5E3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4D46C5"/>
    <w:multiLevelType w:val="hybridMultilevel"/>
    <w:tmpl w:val="90C67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2A08EE"/>
    <w:multiLevelType w:val="hybridMultilevel"/>
    <w:tmpl w:val="8214E0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AC19D3"/>
    <w:multiLevelType w:val="hybridMultilevel"/>
    <w:tmpl w:val="FE98A5B2"/>
    <w:lvl w:ilvl="0" w:tplc="027A83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FB44E4"/>
    <w:multiLevelType w:val="hybridMultilevel"/>
    <w:tmpl w:val="07861692"/>
    <w:lvl w:ilvl="0" w:tplc="AC88548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6DD509A"/>
    <w:multiLevelType w:val="hybridMultilevel"/>
    <w:tmpl w:val="BB985A9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D5C1171"/>
    <w:multiLevelType w:val="hybridMultilevel"/>
    <w:tmpl w:val="92962F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F8C02AF"/>
    <w:multiLevelType w:val="hybridMultilevel"/>
    <w:tmpl w:val="5696432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8D34E8A"/>
    <w:multiLevelType w:val="hybridMultilevel"/>
    <w:tmpl w:val="89D64F6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BC72F9"/>
    <w:multiLevelType w:val="hybridMultilevel"/>
    <w:tmpl w:val="C52471E0"/>
    <w:lvl w:ilvl="0" w:tplc="9E965F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8"/>
  </w:num>
  <w:num w:numId="5">
    <w:abstractNumId w:val="9"/>
  </w:num>
  <w:num w:numId="6">
    <w:abstractNumId w:val="3"/>
  </w:num>
  <w:num w:numId="7">
    <w:abstractNumId w:val="10"/>
  </w:num>
  <w:num w:numId="8">
    <w:abstractNumId w:val="13"/>
  </w:num>
  <w:num w:numId="9">
    <w:abstractNumId w:val="11"/>
  </w:num>
  <w:num w:numId="10">
    <w:abstractNumId w:val="5"/>
  </w:num>
  <w:num w:numId="11">
    <w:abstractNumId w:val="2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ocStatus" w:val="Green"/>
    <w:docVar w:name="LW_CONFIDENCE" w:val=" "/>
    <w:docVar w:name="LW_CONST_RESTREINT_UE" w:val="RESTREINT UE"/>
    <w:docVar w:name="LW_CORRIGENDUM" w:val="&lt;UNUSED&gt;"/>
    <w:docVar w:name="LW_COVERPAGE_GUID" w:val="57FBB255348D48FD8266C02139B3E75E"/>
    <w:docVar w:name="LW_CROSSREFERENCE" w:val="&lt;UNUSED&gt;"/>
    <w:docVar w:name="LW_DocType" w:val="NORMAL"/>
    <w:docVar w:name="LW_EMISSION" w:val="8.5.2017"/>
    <w:docVar w:name="LW_EMISSION_ISODATE" w:val="2017-05-08"/>
    <w:docVar w:name="LW_EMISSION_LOCATION" w:val="BRX"/>
    <w:docVar w:name="LW_EMISSION_PREFIX" w:val="Brussell, "/>
    <w:docVar w:name="LW_EMISSION_SUFFIX" w:val=" "/>
    <w:docVar w:name="LW_ID_DOCTYPE_NONLW" w:val="CP-004"/>
    <w:docVar w:name="LW_LANGUE" w:val="MT"/>
    <w:docVar w:name="LW_MARKING" w:val="&lt;UNUSED&gt;"/>
    <w:docVar w:name="LW_NOM.INST" w:val="IL-KUMMISSJONI EWROPEA"/>
    <w:docVar w:name="LW_NOM.INST_JOINTDOC" w:val="&lt;EMPTY&gt;"/>
    <w:docVar w:name="LW_PART_NBR" w:val="1"/>
    <w:docVar w:name="LW_PART_NBR_TOTAL" w:val="1"/>
    <w:docVar w:name="LW_REF.INST.NEW" w:val="COM"/>
    <w:docVar w:name="LW_REF.INST.NEW_ADOPTED" w:val="final"/>
    <w:docVar w:name="LW_REF.INST.NEW_TEXT" w:val="(2017) 217"/>
    <w:docVar w:name="LW_REF.INTERNE" w:val="&lt;UNUSED&gt;"/>
    <w:docVar w:name="LW_SOUS.TITRE.OBJ.CP" w:val="&lt;UNUSED&gt;"/>
    <w:docVar w:name="LW_SUPERTITRE" w:val="&lt;UNUSED&gt;"/>
    <w:docVar w:name="LW_TITRE.OBJ.CP" w:val="Rie\u380?ami tal-mi\u380?uri tran\u380?itorji g\u295?all-akkwist ta' proprjetà immobbli stabbilita fit-Trattat tal-2011 dwar l-ade\u380?joni tal-Kroazja fl-UE"/>
    <w:docVar w:name="LW_TYPE.DOC.CP" w:val="RAPPORT TAL-KUMMISSJONI LILL-KUNSILL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mt-MT" w:eastAsia="mt-MT" w:bidi="mt-MT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jc w:val="both"/>
    </w:pPr>
    <w:rPr>
      <w:rFonts w:eastAsiaTheme="minorHAnsi"/>
      <w:szCs w:val="22"/>
    </w:rPr>
  </w:style>
  <w:style w:type="paragraph" w:styleId="Header">
    <w:name w:val="header"/>
    <w:basedOn w:val="Normal"/>
    <w:link w:val="HeaderChar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/>
      <w:ind w:left="-850" w:right="-850"/>
    </w:pPr>
  </w:style>
  <w:style w:type="character" w:customStyle="1" w:styleId="FooterCoverPageChar">
    <w:name w:val="Footer Cover Page Char"/>
    <w:basedOn w:val="DefaultParagraphFont"/>
    <w:link w:val="FooterCoverPage"/>
    <w:rPr>
      <w:sz w:val="24"/>
      <w:szCs w:val="24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/>
      <w:jc w:val="both"/>
    </w:pPr>
  </w:style>
  <w:style w:type="character" w:customStyle="1" w:styleId="HeaderCoverPageChar">
    <w:name w:val="Header Cover Page Char"/>
    <w:basedOn w:val="DefaultParagraphFont"/>
    <w:link w:val="HeaderCoverPage"/>
    <w:rPr>
      <w:sz w:val="24"/>
      <w:szCs w:val="24"/>
    </w:rPr>
  </w:style>
  <w:style w:type="paragraph" w:styleId="FootnoteText">
    <w:name w:val="footnote text"/>
    <w:basedOn w:val="Normal"/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SUPERS,Footnote Reference Superscript,BVI fnr,Footnote symbol,Footnote sign,Footnote"/>
    <w:rPr>
      <w:vertAlign w:val="superscript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Normal1">
    <w:name w:val="Normal1"/>
    <w:basedOn w:val="Normal"/>
    <w:pPr>
      <w:spacing w:before="120"/>
      <w:jc w:val="both"/>
    </w:pPr>
    <w:rPr>
      <w:rFonts w:ascii="inherit" w:hAnsi="inherit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rFonts w:ascii="EUAlbertina" w:hAnsi="EUAlbertina"/>
      <w:color w:val="auto"/>
    </w:rPr>
  </w:style>
  <w:style w:type="paragraph" w:customStyle="1" w:styleId="CM3">
    <w:name w:val="CM3"/>
    <w:basedOn w:val="Default"/>
    <w:next w:val="Default"/>
    <w:uiPriority w:val="99"/>
    <w:rPr>
      <w:rFonts w:ascii="EUAlbertina" w:hAnsi="EUAlbertina"/>
      <w:color w:val="auto"/>
    </w:rPr>
  </w:style>
  <w:style w:type="character" w:customStyle="1" w:styleId="Corpsdutexte2">
    <w:name w:val="Corps du texte (2)_"/>
    <w:basedOn w:val="DefaultParagraphFont"/>
    <w:link w:val="Corpsdutexte20"/>
    <w:locked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orpsdutexte20">
    <w:name w:val="Corps du texte (2)"/>
    <w:basedOn w:val="Normal"/>
    <w:link w:val="Corpsdutexte2"/>
    <w:pPr>
      <w:widowControl w:val="0"/>
      <w:shd w:val="clear" w:color="auto" w:fill="FFFFFF"/>
      <w:spacing w:after="60" w:line="288" w:lineRule="exact"/>
      <w:jc w:val="center"/>
    </w:pPr>
    <w:rPr>
      <w:rFonts w:ascii="Arial" w:eastAsia="Arial" w:hAnsi="Arial" w:cs="Arial"/>
      <w:sz w:val="19"/>
      <w:szCs w:val="19"/>
    </w:rPr>
  </w:style>
  <w:style w:type="character" w:customStyle="1" w:styleId="Corpsdutexte3">
    <w:name w:val="Corps du texte (3)_"/>
    <w:basedOn w:val="DefaultParagraphFont"/>
    <w:link w:val="Corpsdutexte30"/>
    <w:locked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orpsdutexte30">
    <w:name w:val="Corps du texte (3)"/>
    <w:basedOn w:val="Normal"/>
    <w:link w:val="Corpsdutexte3"/>
    <w:pPr>
      <w:widowControl w:val="0"/>
      <w:shd w:val="clear" w:color="auto" w:fill="FFFFFF"/>
      <w:spacing w:before="60" w:after="300" w:line="235" w:lineRule="exact"/>
      <w:jc w:val="center"/>
    </w:pPr>
    <w:rPr>
      <w:rFonts w:ascii="Arial" w:eastAsia="Arial" w:hAnsi="Arial" w:cs="Arial"/>
      <w:sz w:val="19"/>
      <w:szCs w:val="19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basedOn w:val="CommentTextChar"/>
    <w:link w:val="CommentSubject"/>
    <w:rPr>
      <w:b/>
      <w:bCs/>
    </w:rPr>
  </w:style>
  <w:style w:type="paragraph" w:customStyle="1" w:styleId="normal2">
    <w:name w:val="normal2"/>
    <w:basedOn w:val="Normal"/>
    <w:pPr>
      <w:spacing w:before="120" w:line="312" w:lineRule="atLeast"/>
      <w:jc w:val="both"/>
    </w:pPr>
  </w:style>
  <w:style w:type="character" w:customStyle="1" w:styleId="Bodytext2">
    <w:name w:val="Body text (2)_"/>
    <w:link w:val="Bodytext20"/>
    <w:rPr>
      <w:rFonts w:ascii="Microsoft Sans Serif" w:eastAsia="Microsoft Sans Serif" w:hAnsi="Microsoft Sans Serif" w:cs="Microsoft Sans Serif"/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pPr>
      <w:widowControl w:val="0"/>
      <w:shd w:val="clear" w:color="auto" w:fill="FFFFFF"/>
      <w:spacing w:before="960" w:after="540" w:line="288" w:lineRule="exact"/>
      <w:ind w:hanging="960"/>
    </w:pPr>
    <w:rPr>
      <w:rFonts w:ascii="Microsoft Sans Serif" w:eastAsia="Microsoft Sans Serif" w:hAnsi="Microsoft Sans Serif" w:cs="Microsoft Sans Serif"/>
      <w:sz w:val="22"/>
      <w:szCs w:val="22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character" w:styleId="Hyperlink">
    <w:name w:val="Hyperlink"/>
    <w:uiPriority w:val="99"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mt-MT" w:eastAsia="mt-MT" w:bidi="mt-MT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jc w:val="both"/>
    </w:pPr>
    <w:rPr>
      <w:rFonts w:eastAsiaTheme="minorHAnsi"/>
      <w:szCs w:val="22"/>
    </w:rPr>
  </w:style>
  <w:style w:type="paragraph" w:styleId="Header">
    <w:name w:val="header"/>
    <w:basedOn w:val="Normal"/>
    <w:link w:val="HeaderChar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/>
      <w:ind w:left="-850" w:right="-850"/>
    </w:pPr>
  </w:style>
  <w:style w:type="character" w:customStyle="1" w:styleId="FooterCoverPageChar">
    <w:name w:val="Footer Cover Page Char"/>
    <w:basedOn w:val="DefaultParagraphFont"/>
    <w:link w:val="FooterCoverPage"/>
    <w:rPr>
      <w:sz w:val="24"/>
      <w:szCs w:val="24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/>
      <w:jc w:val="both"/>
    </w:pPr>
  </w:style>
  <w:style w:type="character" w:customStyle="1" w:styleId="HeaderCoverPageChar">
    <w:name w:val="Header Cover Page Char"/>
    <w:basedOn w:val="DefaultParagraphFont"/>
    <w:link w:val="HeaderCoverPage"/>
    <w:rPr>
      <w:sz w:val="24"/>
      <w:szCs w:val="24"/>
    </w:rPr>
  </w:style>
  <w:style w:type="paragraph" w:styleId="FootnoteText">
    <w:name w:val="footnote text"/>
    <w:basedOn w:val="Normal"/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SUPERS,Footnote Reference Superscript,BVI fnr,Footnote symbol,Footnote sign,Footnote"/>
    <w:rPr>
      <w:vertAlign w:val="superscript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Normal1">
    <w:name w:val="Normal1"/>
    <w:basedOn w:val="Normal"/>
    <w:pPr>
      <w:spacing w:before="120"/>
      <w:jc w:val="both"/>
    </w:pPr>
    <w:rPr>
      <w:rFonts w:ascii="inherit" w:hAnsi="inherit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rFonts w:ascii="EUAlbertina" w:hAnsi="EUAlbertina"/>
      <w:color w:val="auto"/>
    </w:rPr>
  </w:style>
  <w:style w:type="paragraph" w:customStyle="1" w:styleId="CM3">
    <w:name w:val="CM3"/>
    <w:basedOn w:val="Default"/>
    <w:next w:val="Default"/>
    <w:uiPriority w:val="99"/>
    <w:rPr>
      <w:rFonts w:ascii="EUAlbertina" w:hAnsi="EUAlbertina"/>
      <w:color w:val="auto"/>
    </w:rPr>
  </w:style>
  <w:style w:type="character" w:customStyle="1" w:styleId="Corpsdutexte2">
    <w:name w:val="Corps du texte (2)_"/>
    <w:basedOn w:val="DefaultParagraphFont"/>
    <w:link w:val="Corpsdutexte20"/>
    <w:locked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orpsdutexte20">
    <w:name w:val="Corps du texte (2)"/>
    <w:basedOn w:val="Normal"/>
    <w:link w:val="Corpsdutexte2"/>
    <w:pPr>
      <w:widowControl w:val="0"/>
      <w:shd w:val="clear" w:color="auto" w:fill="FFFFFF"/>
      <w:spacing w:after="60" w:line="288" w:lineRule="exact"/>
      <w:jc w:val="center"/>
    </w:pPr>
    <w:rPr>
      <w:rFonts w:ascii="Arial" w:eastAsia="Arial" w:hAnsi="Arial" w:cs="Arial"/>
      <w:sz w:val="19"/>
      <w:szCs w:val="19"/>
    </w:rPr>
  </w:style>
  <w:style w:type="character" w:customStyle="1" w:styleId="Corpsdutexte3">
    <w:name w:val="Corps du texte (3)_"/>
    <w:basedOn w:val="DefaultParagraphFont"/>
    <w:link w:val="Corpsdutexte30"/>
    <w:locked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orpsdutexte30">
    <w:name w:val="Corps du texte (3)"/>
    <w:basedOn w:val="Normal"/>
    <w:link w:val="Corpsdutexte3"/>
    <w:pPr>
      <w:widowControl w:val="0"/>
      <w:shd w:val="clear" w:color="auto" w:fill="FFFFFF"/>
      <w:spacing w:before="60" w:after="300" w:line="235" w:lineRule="exact"/>
      <w:jc w:val="center"/>
    </w:pPr>
    <w:rPr>
      <w:rFonts w:ascii="Arial" w:eastAsia="Arial" w:hAnsi="Arial" w:cs="Arial"/>
      <w:sz w:val="19"/>
      <w:szCs w:val="19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basedOn w:val="CommentTextChar"/>
    <w:link w:val="CommentSubject"/>
    <w:rPr>
      <w:b/>
      <w:bCs/>
    </w:rPr>
  </w:style>
  <w:style w:type="paragraph" w:customStyle="1" w:styleId="normal2">
    <w:name w:val="normal2"/>
    <w:basedOn w:val="Normal"/>
    <w:pPr>
      <w:spacing w:before="120" w:line="312" w:lineRule="atLeast"/>
      <w:jc w:val="both"/>
    </w:pPr>
  </w:style>
  <w:style w:type="character" w:customStyle="1" w:styleId="Bodytext2">
    <w:name w:val="Body text (2)_"/>
    <w:link w:val="Bodytext20"/>
    <w:rPr>
      <w:rFonts w:ascii="Microsoft Sans Serif" w:eastAsia="Microsoft Sans Serif" w:hAnsi="Microsoft Sans Serif" w:cs="Microsoft Sans Serif"/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pPr>
      <w:widowControl w:val="0"/>
      <w:shd w:val="clear" w:color="auto" w:fill="FFFFFF"/>
      <w:spacing w:before="960" w:after="540" w:line="288" w:lineRule="exact"/>
      <w:ind w:hanging="960"/>
    </w:pPr>
    <w:rPr>
      <w:rFonts w:ascii="Microsoft Sans Serif" w:eastAsia="Microsoft Sans Serif" w:hAnsi="Microsoft Sans Serif" w:cs="Microsoft Sans Serif"/>
      <w:sz w:val="22"/>
      <w:szCs w:val="22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character" w:styleId="Hyperlink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2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4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42104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78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451062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42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78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69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5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10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087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77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547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7654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7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0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380591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69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9373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42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91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550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033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34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776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8172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062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5164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E9054-0E6D-4B6F-BEB8-F8AFDB1CD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3180</Words>
  <Characters>22869</Characters>
  <Application>Microsoft Office Word</Application>
  <DocSecurity>0</DocSecurity>
  <Lines>357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18</cp:revision>
  <cp:lastPrinted>2016-09-21T15:10:00Z</cp:lastPrinted>
  <dcterms:created xsi:type="dcterms:W3CDTF">2017-02-15T14:34:00Z</dcterms:created>
  <dcterms:modified xsi:type="dcterms:W3CDTF">2017-04-28T09:59:00Z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rt">
    <vt:lpwstr>1</vt:lpwstr>
  </property>
  <property fmtid="{D5CDD505-2E9C-101B-9397-08002B2CF9AE}" pid="3" name="Total parts">
    <vt:lpwstr>1</vt:lpwstr>
  </property>
  <property fmtid="{D5CDD505-2E9C-101B-9397-08002B2CF9AE}" pid="4" name="Classification">
    <vt:lpwstr> </vt:lpwstr>
  </property>
  <property fmtid="{D5CDD505-2E9C-101B-9397-08002B2CF9AE}" pid="5" name="DocStatus">
    <vt:lpwstr>Green</vt:lpwstr>
  </property>
  <property name="OP_sanitized" fmtid="{D5CDD505-2E9C-101B-9397-08002B2CF9AE}" pid="6">
    <vt:lpwstr>True</vt:lpwstr>
  </property>
</Properties>
</file>