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alt="D56BFD83-00C9-49D6-A0DD-9901F90CB516" style="width:450.75pt;height:366pt">
            <v:imagedata r:id="rId9" o:title=""/>
          </v:shape>
        </w:pict>
      </w:r>
    </w:p>
    <w:p>
      <w:pPr>
        <w:rPr>
          <w:noProof/>
        </w:rPr>
        <w:sectPr>
          <w:footerReference w:type="default" r:id="rId10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>
      <w:pPr>
        <w:pStyle w:val="Exposdesmotifstitre"/>
        <w:spacing w:before="0" w:after="240"/>
        <w:rPr>
          <w:noProof/>
        </w:rPr>
      </w:pPr>
      <w:bookmarkStart w:id="0" w:name="_GoBack"/>
      <w:bookmarkEnd w:id="0"/>
      <w:r>
        <w:rPr>
          <w:noProof/>
        </w:rPr>
        <w:lastRenderedPageBreak/>
        <w:t>EXPOSIÇÃO DE MOTIVOS</w:t>
      </w:r>
    </w:p>
    <w:p>
      <w:pPr>
        <w:rPr>
          <w:b/>
          <w:noProof/>
        </w:rPr>
      </w:pPr>
      <w:r>
        <w:rPr>
          <w:b/>
          <w:noProof/>
        </w:rPr>
        <w:t>1.</w:t>
      </w:r>
      <w:r>
        <w:rPr>
          <w:b/>
          <w:noProof/>
        </w:rPr>
        <w:tab/>
        <w:t>CONTEXTO DA RECOMENDAÇÃO</w:t>
      </w:r>
    </w:p>
    <w:p>
      <w:pPr>
        <w:pStyle w:val="ManualHeading2"/>
        <w:spacing w:before="0" w:after="240"/>
        <w:rPr>
          <w:rFonts w:eastAsia="Arial Unicode MS"/>
          <w:noProof/>
        </w:rPr>
      </w:pPr>
      <w:r>
        <w:rPr>
          <w:noProof/>
          <w:u w:color="000000"/>
          <w:bdr w:val="nil"/>
        </w:rPr>
        <w:t>•</w:t>
      </w:r>
      <w:r>
        <w:rPr>
          <w:noProof/>
          <w:u w:color="000000"/>
          <w:bdr w:val="nil"/>
        </w:rPr>
        <w:tab/>
      </w:r>
      <w:r>
        <w:rPr>
          <w:noProof/>
        </w:rPr>
        <w:t>Justificação e objetivos da proposta</w:t>
      </w:r>
    </w:p>
    <w:p>
      <w:pPr>
        <w:spacing w:before="0" w:after="240"/>
        <w:rPr>
          <w:rFonts w:eastAsia="Arial Unicode MS"/>
          <w:noProof/>
        </w:rPr>
      </w:pPr>
      <w:r>
        <w:rPr>
          <w:noProof/>
        </w:rPr>
        <w:t>A Comissão propõe que se negoceie com a Gronelândia um novo acordo de parceria no domínio da pesca sustentável (APPS) e um novo protocolo, que correspondam às necessidades da frota da União e sejam conformes com o Regulamento (UE) n.º 1380/2013</w:t>
      </w:r>
      <w:r>
        <w:rPr>
          <w:rStyle w:val="FootnoteReference"/>
          <w:noProof/>
        </w:rPr>
        <w:footnoteReference w:id="1"/>
      </w:r>
      <w:r>
        <w:rPr>
          <w:noProof/>
        </w:rPr>
        <w:t xml:space="preserve">, relativo à política comum das pescas (PCP), e com as Conclusões do Conselho de 19 de março de 2012 sobre a comunicação da Comissão relativa à </w:t>
      </w:r>
      <w:r>
        <w:rPr>
          <w:i/>
          <w:noProof/>
        </w:rPr>
        <w:t>dimensão externa da política comum das pescas</w:t>
      </w:r>
      <w:r>
        <w:rPr>
          <w:noProof/>
        </w:rPr>
        <w:t>.</w:t>
      </w:r>
    </w:p>
    <w:p>
      <w:pPr>
        <w:pStyle w:val="ManualHeading2"/>
        <w:spacing w:before="0" w:after="240"/>
        <w:rPr>
          <w:rFonts w:eastAsia="Arial Unicode MS"/>
          <w:noProof/>
          <w:u w:color="000000"/>
          <w:bdr w:val="nil"/>
        </w:rPr>
      </w:pPr>
      <w:r>
        <w:rPr>
          <w:noProof/>
          <w:u w:color="000000"/>
          <w:bdr w:val="nil"/>
        </w:rPr>
        <w:t>•</w:t>
      </w:r>
      <w:r>
        <w:rPr>
          <w:noProof/>
          <w:u w:color="000000"/>
          <w:bdr w:val="nil"/>
        </w:rPr>
        <w:tab/>
      </w:r>
      <w:r>
        <w:rPr>
          <w:noProof/>
        </w:rPr>
        <w:t>Coerência com as disposições em vigor no mesmo domínio de intervenção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>O atual acordo de parceria no domínio da pesca (APP) UE-Gronelândia</w:t>
      </w:r>
      <w:r>
        <w:rPr>
          <w:rStyle w:val="FootnoteReference"/>
          <w:noProof/>
        </w:rPr>
        <w:footnoteReference w:id="2"/>
      </w:r>
      <w:r>
        <w:rPr>
          <w:noProof/>
        </w:rPr>
        <w:t xml:space="preserve"> foi assinado em 28 de junho de 2007</w:t>
      </w:r>
      <w:r>
        <w:rPr>
          <w:rStyle w:val="FootnoteReference"/>
          <w:noProof/>
        </w:rPr>
        <w:footnoteReference w:id="3"/>
      </w:r>
      <w:r>
        <w:rPr>
          <w:noProof/>
        </w:rPr>
        <w:t>. Propõe-se a negociação de um novo APPS, a fim de integrar certas disposições do Regulamento (UE) n.º 1380/2013</w:t>
      </w:r>
      <w:r>
        <w:rPr>
          <w:rStyle w:val="FootnoteReference"/>
          <w:noProof/>
        </w:rPr>
        <w:footnoteReference w:id="4"/>
      </w:r>
      <w:r>
        <w:rPr>
          <w:noProof/>
        </w:rPr>
        <w:t xml:space="preserve"> não abrangidas pelo APP. 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  <w:szCs w:val="24"/>
        </w:rPr>
      </w:pPr>
      <w:r>
        <w:rPr>
          <w:noProof/>
        </w:rPr>
        <w:t>O atual protocolo do APP</w:t>
      </w:r>
      <w:r>
        <w:rPr>
          <w:rStyle w:val="FootnoteReference"/>
          <w:noProof/>
        </w:rPr>
        <w:footnoteReference w:id="5"/>
      </w:r>
      <w:r>
        <w:rPr>
          <w:noProof/>
        </w:rPr>
        <w:t>, com uma duração de cinco anos, entrou em aplicação em 1 de janeiro de 2016</w:t>
      </w:r>
      <w:r>
        <w:rPr>
          <w:rStyle w:val="FootnoteReference"/>
          <w:noProof/>
        </w:rPr>
        <w:footnoteReference w:id="6"/>
      </w:r>
      <w:r>
        <w:rPr>
          <w:noProof/>
        </w:rPr>
        <w:t xml:space="preserve"> e caducará no dia 31 de dezembro de 2020. O protocolo estabelece as possibilidades de pesca para a frota da União e a correspondente contrapartida financeira a pagar pela União e pelos armadores da UE.</w:t>
      </w:r>
    </w:p>
    <w:p>
      <w:pPr>
        <w:spacing w:before="0" w:after="240"/>
        <w:rPr>
          <w:noProof/>
        </w:rPr>
      </w:pPr>
      <w:r>
        <w:rPr>
          <w:noProof/>
        </w:rPr>
        <w:t xml:space="preserve">O protocolo atual permite que a frota da UE pesque nas águas da Gronelândia bacalhau, cantarilho pelágico e demersal, alabote-da-gronelândia, camarão, granadeiro e capelim, com possibilidades de pesca indicativas anuais de 42 726 toneladas. Participam nas pescarias navios de oito Estados-Membros (Dinamarca, Alemanha, Estónia, França, Letónia, Lituânia, Suécia e Reino Unido). A UE transfere igualmente parte da quota acordada para a Noruega e as Ilhas Faroé, em troca do acesso dos navios da UE às respetivas águas. Para além das taxas pagas pela frota da União à Gronelândia, a UE paga uma compensação anual de 13 168 978 EUR (calculada com base nos preços de referência para cada espécie), incluindo uma reserva financeira de 1 700 000 EUR para eventuais quantidades adicionais. O orçamento da UE prevê igualmente um montante de 2 931 999 EUR para apoiar a política setorial das pescas da Gronelândia. 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>Trata-se de um acordo multiespécies. A atribuição de quotas aos Estados-Membros está sujeita às disposições da regulamentação relativa aos totais admissíveis de capturas e às quotas</w:t>
      </w:r>
      <w:r>
        <w:rPr>
          <w:rStyle w:val="FootnoteReference"/>
          <w:noProof/>
        </w:rPr>
        <w:footnoteReference w:id="7"/>
      </w:r>
      <w:r>
        <w:rPr>
          <w:noProof/>
        </w:rPr>
        <w:t xml:space="preserve">. Os APPS ajudam a promover os objetivos da PCP ao nível internacional, </w:t>
      </w:r>
      <w:r>
        <w:rPr>
          <w:noProof/>
        </w:rPr>
        <w:lastRenderedPageBreak/>
        <w:t>assegurando que as atividades de pesca da União fora das suas águas se baseiam nos mesmos princípios e normas que os aplicáveis por força do direito da União. Além disso, fomentam a cooperação científica entre a UE e os seus parceiros, promovem a transparência e a sustentabilidade, para uma melhor gestão dos recursos haliêuticos, e incentivam a governação, apoiando a monitorização, o controlo e a vigilância das atividades das frotas nacionais e estrangeiras e contribuindo financeiramente para a luta contra a pesca ilegal, não declarada e não regulamentada. Os APPS contribuem para o desenvolvimento sustentável das indústrias da pesca local e para a promoção do crescimento e do trabalho digno ligados às atividades marítimas. Reforçam a posição da UE nas organizações internacionais e regionais de pesca (em particular, no caso da Gronelândia, o Conselho Internacional de Exploração do Mar e a Organização das Pescarias do Noroeste do Atlântico)</w:t>
      </w:r>
      <w:r>
        <w:rPr>
          <w:rStyle w:val="FootnoteReference"/>
          <w:noProof/>
        </w:rPr>
        <w:footnoteReference w:id="8"/>
      </w:r>
      <w:r>
        <w:rPr>
          <w:noProof/>
        </w:rPr>
        <w:t xml:space="preserve">. </w:t>
      </w:r>
    </w:p>
    <w:p>
      <w:pPr>
        <w:pStyle w:val="ManualHeading2"/>
        <w:spacing w:before="0" w:after="240"/>
        <w:rPr>
          <w:rFonts w:eastAsia="Arial Unicode MS"/>
          <w:noProof/>
        </w:rPr>
      </w:pPr>
      <w:r>
        <w:rPr>
          <w:noProof/>
          <w:u w:color="000000"/>
          <w:bdr w:val="nil"/>
        </w:rPr>
        <w:t>•</w:t>
      </w:r>
      <w:r>
        <w:rPr>
          <w:noProof/>
          <w:u w:color="000000"/>
          <w:bdr w:val="nil"/>
        </w:rPr>
        <w:tab/>
      </w:r>
      <w:r>
        <w:rPr>
          <w:noProof/>
        </w:rPr>
        <w:t>Coerência com outras políticas da União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 xml:space="preserve">As negociações de um novo acordo e protocolo com a Gronelândia estão em consonância com a ação externa da UE relativa aos países e territórios ultramarinos (PTU) e, em especial, com os objetivos da União no respeitante aos princípios democráticos e aos direitos humanos. </w:t>
      </w:r>
    </w:p>
    <w:p>
      <w:pPr>
        <w:rPr>
          <w:b/>
          <w:noProof/>
        </w:rPr>
      </w:pPr>
      <w:r>
        <w:rPr>
          <w:b/>
          <w:noProof/>
        </w:rPr>
        <w:t>2.</w:t>
      </w:r>
      <w:r>
        <w:rPr>
          <w:b/>
          <w:noProof/>
        </w:rPr>
        <w:tab/>
        <w:t xml:space="preserve">ELEMENTOS JURÍDICOS DA RECOMENDAÇÃO </w:t>
      </w:r>
    </w:p>
    <w:p>
      <w:pPr>
        <w:pStyle w:val="ManualHeading2"/>
        <w:spacing w:before="0" w:after="240"/>
        <w:rPr>
          <w:rFonts w:eastAsia="Arial Unicode MS"/>
          <w:noProof/>
          <w:u w:color="000000"/>
          <w:bdr w:val="nil"/>
        </w:rPr>
      </w:pPr>
      <w:r>
        <w:rPr>
          <w:noProof/>
          <w:u w:color="000000"/>
          <w:bdr w:val="nil"/>
        </w:rPr>
        <w:t>•</w:t>
      </w:r>
      <w:r>
        <w:rPr>
          <w:noProof/>
          <w:u w:color="000000"/>
          <w:bdr w:val="nil"/>
        </w:rPr>
        <w:tab/>
        <w:t>Base jurídica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>A base jurídica da decisão é o artigo 218.º do Tratado sobre o Funcionamento da União Europeia (TFUE), que estabelece o procedimento para a negociação e a celebração de acordos internacionais.</w:t>
      </w:r>
    </w:p>
    <w:p>
      <w:pPr>
        <w:pStyle w:val="ManualHeading2"/>
        <w:spacing w:before="0" w:after="240"/>
        <w:rPr>
          <w:rFonts w:eastAsia="Arial Unicode MS"/>
          <w:noProof/>
          <w:u w:color="000000"/>
          <w:bdr w:val="nil"/>
        </w:rPr>
      </w:pPr>
      <w:r>
        <w:rPr>
          <w:noProof/>
          <w:u w:color="000000"/>
          <w:bdr w:val="nil"/>
        </w:rPr>
        <w:t>•</w:t>
      </w:r>
      <w:r>
        <w:rPr>
          <w:noProof/>
          <w:u w:color="000000"/>
          <w:bdr w:val="nil"/>
        </w:rPr>
        <w:tab/>
        <w:t xml:space="preserve">Subsidiariedade (em caso de competência não exclusiva) 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>Não aplicável (competência exclusiva).</w:t>
      </w:r>
    </w:p>
    <w:p>
      <w:pPr>
        <w:pStyle w:val="ManualHeading2"/>
        <w:spacing w:before="0" w:after="240"/>
        <w:rPr>
          <w:rFonts w:eastAsia="Arial Unicode MS"/>
          <w:noProof/>
          <w:u w:color="000000"/>
          <w:bdr w:val="nil"/>
        </w:rPr>
      </w:pPr>
      <w:r>
        <w:rPr>
          <w:noProof/>
          <w:u w:color="000000"/>
          <w:bdr w:val="nil"/>
        </w:rPr>
        <w:t>•</w:t>
      </w:r>
      <w:r>
        <w:rPr>
          <w:noProof/>
          <w:u w:color="000000"/>
          <w:bdr w:val="nil"/>
        </w:rPr>
        <w:tab/>
        <w:t>Proporcionalidade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>A decisão é proporcional ao objetivo.</w:t>
      </w:r>
    </w:p>
    <w:p>
      <w:pPr>
        <w:pStyle w:val="ManualHeading2"/>
        <w:spacing w:before="0" w:after="240"/>
        <w:rPr>
          <w:rFonts w:eastAsia="Arial Unicode MS"/>
          <w:noProof/>
          <w:u w:color="000000"/>
          <w:bdr w:val="nil"/>
        </w:rPr>
      </w:pPr>
      <w:r>
        <w:rPr>
          <w:noProof/>
          <w:u w:color="000000"/>
          <w:bdr w:val="nil"/>
        </w:rPr>
        <w:t>•</w:t>
      </w:r>
      <w:r>
        <w:rPr>
          <w:noProof/>
          <w:u w:color="000000"/>
          <w:bdr w:val="nil"/>
        </w:rPr>
        <w:tab/>
        <w:t>Escolha dos instrumentos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>O instrumento é previsto ao abrigo do artigo 218.º, n.</w:t>
      </w:r>
      <w:r>
        <w:rPr>
          <w:noProof/>
          <w:vertAlign w:val="superscript"/>
        </w:rPr>
        <w:t>os</w:t>
      </w:r>
      <w:r>
        <w:rPr>
          <w:noProof/>
        </w:rPr>
        <w:t xml:space="preserve"> 3 e 4, do TFUE.</w:t>
      </w:r>
    </w:p>
    <w:p>
      <w:pPr>
        <w:pStyle w:val="ManualHeading1"/>
        <w:spacing w:before="0" w:after="240"/>
        <w:rPr>
          <w:noProof/>
        </w:rPr>
      </w:pPr>
      <w:r>
        <w:rPr>
          <w:noProof/>
        </w:rPr>
        <w:t>3.</w:t>
      </w:r>
      <w:r>
        <w:rPr>
          <w:noProof/>
        </w:rPr>
        <w:tab/>
        <w:t xml:space="preserve">RESULTADOS DAS AVALIAÇÕES </w:t>
      </w:r>
      <w:r>
        <w:rPr>
          <w:i/>
          <w:iCs/>
          <w:noProof/>
        </w:rPr>
        <w:t>EX POST</w:t>
      </w:r>
      <w:r>
        <w:rPr>
          <w:noProof/>
        </w:rPr>
        <w:t>, DAS CONSULTAS DAS PARTES INTERESSADAS E DAS AVALIAÇÕES DE IMPACTO</w:t>
      </w:r>
    </w:p>
    <w:p>
      <w:pPr>
        <w:pStyle w:val="ManualHeading2"/>
        <w:spacing w:before="0" w:after="240"/>
        <w:rPr>
          <w:rFonts w:eastAsia="Arial Unicode MS"/>
          <w:noProof/>
          <w:u w:color="000000"/>
          <w:bdr w:val="nil"/>
        </w:rPr>
      </w:pPr>
      <w:r>
        <w:rPr>
          <w:noProof/>
          <w:u w:color="000000"/>
          <w:bdr w:val="nil"/>
        </w:rPr>
        <w:t>•</w:t>
      </w:r>
      <w:r>
        <w:rPr>
          <w:noProof/>
          <w:u w:color="000000"/>
          <w:bdr w:val="nil"/>
        </w:rPr>
        <w:tab/>
        <w:t xml:space="preserve">Avaliações </w:t>
      </w:r>
      <w:r>
        <w:rPr>
          <w:i/>
          <w:iCs/>
          <w:noProof/>
          <w:u w:color="000000"/>
          <w:bdr w:val="nil"/>
        </w:rPr>
        <w:t>ex post</w:t>
      </w:r>
      <w:r>
        <w:rPr>
          <w:noProof/>
          <w:u w:color="000000"/>
          <w:bdr w:val="nil"/>
        </w:rPr>
        <w:t>/balanços de qualidade da legislação existente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 xml:space="preserve">Em 2019, a Comissão procedeu a uma avaliação </w:t>
      </w:r>
      <w:r>
        <w:rPr>
          <w:i/>
          <w:iCs/>
          <w:noProof/>
        </w:rPr>
        <w:t>ex post</w:t>
      </w:r>
      <w:r>
        <w:rPr>
          <w:noProof/>
        </w:rPr>
        <w:t xml:space="preserve"> do atual APP e protocolo com a Gronelândia, bem como a uma avaliação </w:t>
      </w:r>
      <w:r>
        <w:rPr>
          <w:i/>
          <w:iCs/>
          <w:noProof/>
        </w:rPr>
        <w:t>ex ante</w:t>
      </w:r>
      <w:r>
        <w:rPr>
          <w:noProof/>
        </w:rPr>
        <w:t xml:space="preserve"> com vista à sua eventual renovação. As respetivas conclusões são descritas num documento de trabalho distinto, dos serviços da Comissão. 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 xml:space="preserve">A avaliação concluiu que o setor das pescas da UE tem um interesse claro na pesca na Gronelândia e que a renovação do acordo e do protocolo contribuiria para melhorar a governação das pescas na região. 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lastRenderedPageBreak/>
        <w:t>Para a UE, é importante manter um instrumento que permita uma cooperação setorial aprofundada com um interveniente fundamental na governação dos oceanos ao nível sub</w:t>
      </w:r>
      <w:r>
        <w:rPr>
          <w:noProof/>
        </w:rPr>
        <w:noBreakHyphen/>
        <w:t xml:space="preserve">regional, atenta a extensão da zona de pesca sob a sua jurisdição. Deste modo, a UE reforçará o seu papel na pesca nórdica, graças também aos intercâmbios de quotas com a Noruega e as Ilhas Faroé. 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 xml:space="preserve">Para os navios da UE, tal significa a manutenção do acesso a uma zona de pesca importante para a aplicação de estratégias de exploração ao abrigo de um quadro jurídico internacional plurianual. 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 xml:space="preserve">Para as autoridades gronelandesas, o objetivo é manter relações com a UE com vista a reforçar a governação dos oceanos e beneficiar de apoio setorial específico que preveja um apoio financeiro plurianual à gestão das pescas. </w:t>
      </w:r>
    </w:p>
    <w:p>
      <w:pPr>
        <w:pStyle w:val="ManualHeading2"/>
        <w:spacing w:before="0" w:after="240"/>
        <w:rPr>
          <w:rFonts w:eastAsia="Arial Unicode MS"/>
          <w:noProof/>
          <w:u w:color="000000"/>
          <w:bdr w:val="nil"/>
        </w:rPr>
      </w:pPr>
      <w:r>
        <w:rPr>
          <w:noProof/>
          <w:u w:color="000000"/>
          <w:bdr w:val="nil"/>
        </w:rPr>
        <w:t>•</w:t>
      </w:r>
      <w:r>
        <w:rPr>
          <w:noProof/>
          <w:u w:color="000000"/>
          <w:bdr w:val="nil"/>
        </w:rPr>
        <w:tab/>
        <w:t>Consulta das partes interessadas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 xml:space="preserve">No âmbito das suas avaliações, a Comissão consultou os Estados-Membros, representantes setoriais, organizações internacionais da sociedade civil e a administração das pescas e a sociedade civil da Gronelândia. </w:t>
      </w:r>
    </w:p>
    <w:p>
      <w:pPr>
        <w:pStyle w:val="ManualHeading2"/>
        <w:spacing w:before="0" w:after="240"/>
        <w:rPr>
          <w:rFonts w:eastAsia="Arial Unicode MS"/>
          <w:noProof/>
          <w:u w:color="000000"/>
          <w:bdr w:val="nil"/>
        </w:rPr>
      </w:pPr>
      <w:r>
        <w:rPr>
          <w:noProof/>
          <w:u w:color="000000"/>
          <w:bdr w:val="nil"/>
        </w:rPr>
        <w:t>•</w:t>
      </w:r>
      <w:r>
        <w:rPr>
          <w:noProof/>
          <w:u w:color="000000"/>
          <w:bdr w:val="nil"/>
        </w:rPr>
        <w:tab/>
        <w:t>Recolha e utilização de conhecimentos especializados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>Não aplicável.</w:t>
      </w:r>
    </w:p>
    <w:p>
      <w:pPr>
        <w:pStyle w:val="ManualHeading2"/>
        <w:spacing w:before="0" w:after="240"/>
        <w:rPr>
          <w:rFonts w:eastAsia="Arial Unicode MS"/>
          <w:noProof/>
          <w:u w:color="000000"/>
          <w:bdr w:val="nil"/>
        </w:rPr>
      </w:pPr>
      <w:r>
        <w:rPr>
          <w:noProof/>
          <w:u w:color="000000"/>
          <w:bdr w:val="nil"/>
        </w:rPr>
        <w:t>•</w:t>
      </w:r>
      <w:r>
        <w:rPr>
          <w:noProof/>
          <w:u w:color="000000"/>
          <w:bdr w:val="nil"/>
        </w:rPr>
        <w:tab/>
        <w:t>Avaliação de impacto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>Não aplicável.</w:t>
      </w:r>
    </w:p>
    <w:p>
      <w:pPr>
        <w:pStyle w:val="ManualHeading2"/>
        <w:spacing w:before="0" w:after="240"/>
        <w:rPr>
          <w:rFonts w:eastAsia="Arial Unicode MS"/>
          <w:noProof/>
          <w:u w:color="000000"/>
          <w:bdr w:val="nil"/>
        </w:rPr>
      </w:pPr>
      <w:r>
        <w:rPr>
          <w:noProof/>
          <w:u w:color="000000"/>
          <w:bdr w:val="nil"/>
        </w:rPr>
        <w:t>•</w:t>
      </w:r>
      <w:r>
        <w:rPr>
          <w:noProof/>
          <w:u w:color="000000"/>
          <w:bdr w:val="nil"/>
        </w:rPr>
        <w:tab/>
        <w:t>Adequação da regulamentação e simplificação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>Não aplicável.</w:t>
      </w:r>
    </w:p>
    <w:p>
      <w:pPr>
        <w:pStyle w:val="ManualHeading2"/>
        <w:spacing w:before="0" w:after="240"/>
        <w:rPr>
          <w:rFonts w:eastAsia="Arial Unicode MS"/>
          <w:noProof/>
          <w:u w:color="000000"/>
          <w:bdr w:val="nil"/>
        </w:rPr>
      </w:pPr>
      <w:r>
        <w:rPr>
          <w:noProof/>
          <w:u w:color="000000"/>
          <w:bdr w:val="nil"/>
        </w:rPr>
        <w:t>•</w:t>
      </w:r>
      <w:r>
        <w:rPr>
          <w:noProof/>
          <w:u w:color="000000"/>
          <w:bdr w:val="nil"/>
        </w:rPr>
        <w:tab/>
        <w:t>Direitos fundamentais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>As diretrizes de negociação propostas (constantes de um anexo da decisão) convidam a Comissão a negociar a inclusão no novo APPS de uma cláusula sobre as consequências da violação dos direitos humanos e dos princípios democráticos.</w:t>
      </w:r>
    </w:p>
    <w:p>
      <w:pPr>
        <w:rPr>
          <w:b/>
          <w:noProof/>
        </w:rPr>
      </w:pPr>
      <w:r>
        <w:rPr>
          <w:b/>
          <w:noProof/>
        </w:rPr>
        <w:t>4.</w:t>
      </w:r>
      <w:r>
        <w:rPr>
          <w:b/>
          <w:noProof/>
        </w:rPr>
        <w:tab/>
        <w:t>INCIDÊNCIA ORÇAMENTAL</w:t>
      </w:r>
    </w:p>
    <w:p>
      <w:pPr>
        <w:spacing w:before="0" w:after="240"/>
        <w:rPr>
          <w:noProof/>
        </w:rPr>
      </w:pPr>
      <w:r>
        <w:rPr>
          <w:noProof/>
        </w:rPr>
        <w:t>O novo protocolo prevê o pagamento de uma contrapartida financeira à Gronelândia. As dotações orçamentais relevantes, tanto de autorização como de pagamento, devem ser inscritas, cada ano, na rubrica orçamental dos acordos de parceria no domínio da pesca sustentável (11 03 01) e devem além disso ser compatíveis com a programação financeira do pertinente quadro financeiro plurianual (QFP). Os montantes das autorizações e dos pagamentos são estabelecidos no âmbito do processo orçamental anual, incluindo a rubrica de reserva para os protocolos que ainda não entraram em vigor no início do ano</w:t>
      </w:r>
      <w:r>
        <w:rPr>
          <w:rStyle w:val="FootnoteReference"/>
          <w:noProof/>
        </w:rPr>
        <w:footnoteReference w:id="9"/>
      </w:r>
      <w:r>
        <w:rPr>
          <w:noProof/>
        </w:rPr>
        <w:t>.</w:t>
      </w:r>
    </w:p>
    <w:p>
      <w:pPr>
        <w:spacing w:before="0" w:after="240"/>
        <w:rPr>
          <w:noProof/>
        </w:rPr>
      </w:pPr>
    </w:p>
    <w:p>
      <w:pPr>
        <w:rPr>
          <w:b/>
          <w:noProof/>
        </w:rPr>
      </w:pPr>
      <w:r>
        <w:rPr>
          <w:b/>
          <w:noProof/>
        </w:rPr>
        <w:lastRenderedPageBreak/>
        <w:t>5.</w:t>
      </w:r>
      <w:r>
        <w:rPr>
          <w:b/>
          <w:noProof/>
        </w:rPr>
        <w:tab/>
        <w:t>OUTROS ELEMENTOS</w:t>
      </w:r>
    </w:p>
    <w:p>
      <w:pPr>
        <w:pStyle w:val="ManualHeading2"/>
        <w:spacing w:before="0" w:after="240"/>
        <w:rPr>
          <w:rFonts w:eastAsia="Arial Unicode MS"/>
          <w:noProof/>
          <w:u w:color="000000"/>
          <w:bdr w:val="nil"/>
        </w:rPr>
      </w:pPr>
      <w:r>
        <w:rPr>
          <w:noProof/>
          <w:u w:color="000000"/>
          <w:bdr w:val="nil"/>
        </w:rPr>
        <w:t>•</w:t>
      </w:r>
      <w:r>
        <w:rPr>
          <w:noProof/>
          <w:u w:color="000000"/>
          <w:bdr w:val="nil"/>
        </w:rPr>
        <w:tab/>
        <w:t>Planos de execução e mecanismos de acompanhamento, de avaliação e de informação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>A abertura das negociações está prevista para o quarto trimestre de 2019.</w:t>
      </w:r>
    </w:p>
    <w:p>
      <w:pPr>
        <w:spacing w:before="0" w:after="200" w:line="276" w:lineRule="auto"/>
        <w:jc w:val="left"/>
        <w:rPr>
          <w:rFonts w:eastAsia="Arial Unicode MS"/>
          <w:b/>
          <w:noProof/>
          <w:u w:color="000000"/>
          <w:bdr w:val="nil"/>
        </w:rPr>
      </w:pPr>
      <w:r>
        <w:rPr>
          <w:noProof/>
        </w:rPr>
        <w:br w:type="page"/>
      </w:r>
    </w:p>
    <w:p>
      <w:pPr>
        <w:pStyle w:val="ManualHeading2"/>
        <w:spacing w:before="0" w:after="240"/>
        <w:rPr>
          <w:rFonts w:eastAsia="Arial Unicode MS"/>
          <w:noProof/>
          <w:u w:color="000000"/>
          <w:bdr w:val="nil"/>
        </w:rPr>
      </w:pPr>
      <w:r>
        <w:rPr>
          <w:noProof/>
          <w:u w:color="000000"/>
          <w:bdr w:val="nil"/>
        </w:rPr>
        <w:lastRenderedPageBreak/>
        <w:t>•</w:t>
      </w:r>
      <w:r>
        <w:rPr>
          <w:noProof/>
          <w:u w:color="000000"/>
          <w:bdr w:val="nil"/>
        </w:rPr>
        <w:tab/>
        <w:t>Explicação pormenorizada das disposições específicas da proposta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rPr>
          <w:rFonts w:eastAsia="Arial Unicode MS"/>
          <w:noProof/>
        </w:rPr>
      </w:pPr>
      <w:r>
        <w:rPr>
          <w:noProof/>
        </w:rPr>
        <w:t>A Comissão recomenda que: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rPr>
          <w:noProof/>
        </w:rPr>
      </w:pPr>
      <w:r>
        <w:rPr>
          <w:noProof/>
        </w:rPr>
        <w:t>o Conselho a autorize a abrir e a conduzir negociações para a celebração de um novo APPS e de um novo protocolo com a Gronelândia;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/>
        <w:rPr>
          <w:rFonts w:eastAsia="Arial Unicode MS"/>
          <w:noProof/>
        </w:rPr>
      </w:pPr>
      <w:r>
        <w:rPr>
          <w:noProof/>
        </w:rPr>
        <w:t>as negociações sejam conduzidas em consulta com o comité especial, em conformidade com o TFUE; e que</w:t>
      </w:r>
    </w:p>
    <w:p>
      <w:pPr>
        <w:pBdr>
          <w:top w:val="nil"/>
          <w:left w:val="nil"/>
          <w:bottom w:val="nil"/>
          <w:right w:val="nil"/>
          <w:between w:val="nil"/>
          <w:bar w:val="nil"/>
        </w:pBdr>
        <w:spacing w:before="0" w:after="240"/>
        <w:rPr>
          <w:rFonts w:eastAsia="Arial Unicode MS"/>
          <w:noProof/>
        </w:rPr>
      </w:pPr>
      <w:r>
        <w:rPr>
          <w:noProof/>
        </w:rPr>
        <w:t xml:space="preserve">o Conselho aprove as diretrizes de negociação anexas à presente recomendação. </w:t>
      </w:r>
    </w:p>
    <w:p>
      <w:pPr>
        <w:rPr>
          <w:noProof/>
        </w:rPr>
        <w:sectPr>
          <w:footerReference w:type="default" r:id="rId11"/>
          <w:footerReference w:type="first" r:id="rId12"/>
          <w:pgSz w:w="11907" w:h="16839"/>
          <w:pgMar w:top="1134" w:right="1417" w:bottom="1134" w:left="1417" w:header="709" w:footer="709" w:gutter="0"/>
          <w:cols w:space="708"/>
          <w:docGrid w:linePitch="360"/>
        </w:sectPr>
      </w:pPr>
    </w:p>
    <w:p>
      <w:pPr>
        <w:pStyle w:val="Statut"/>
        <w:spacing w:before="0" w:after="240"/>
        <w:rPr>
          <w:noProof/>
        </w:rPr>
      </w:pPr>
      <w:r>
        <w:rPr>
          <w:noProof/>
        </w:rPr>
        <w:lastRenderedPageBreak/>
        <w:t>Recomendação de</w:t>
      </w:r>
    </w:p>
    <w:p>
      <w:pPr>
        <w:pStyle w:val="Typedudocument"/>
        <w:spacing w:before="0" w:after="240"/>
        <w:rPr>
          <w:noProof/>
        </w:rPr>
      </w:pPr>
      <w:r>
        <w:rPr>
          <w:noProof/>
        </w:rPr>
        <w:t>DECISÃO DO CONSELHO</w:t>
      </w:r>
    </w:p>
    <w:p>
      <w:pPr>
        <w:pStyle w:val="Titreobjet"/>
        <w:spacing w:before="0" w:after="240"/>
        <w:rPr>
          <w:noProof/>
        </w:rPr>
      </w:pPr>
      <w:r>
        <w:rPr>
          <w:noProof/>
        </w:rPr>
        <w:t>que autoriza a abertura das negociações sobre um acordo de parceria no domínio da pesca sustentável e respetivo protocolo entre a União Europeia e o Governo da Dinamarca e o Governo local da Gronelândia</w:t>
      </w:r>
    </w:p>
    <w:p>
      <w:pPr>
        <w:pStyle w:val="Institutionquiagit"/>
        <w:spacing w:before="0" w:after="240"/>
        <w:rPr>
          <w:noProof/>
        </w:rPr>
      </w:pPr>
      <w:r>
        <w:rPr>
          <w:noProof/>
        </w:rPr>
        <w:t>O CONSELHO DA UNIÃO EUROPEIA,</w:t>
      </w:r>
    </w:p>
    <w:p>
      <w:pPr>
        <w:spacing w:before="0" w:after="240"/>
        <w:rPr>
          <w:noProof/>
        </w:rPr>
      </w:pPr>
      <w:r>
        <w:rPr>
          <w:noProof/>
        </w:rPr>
        <w:t>Tendo em conta o Tratado sobre o Funcionamento da União Europeia, nomeadamente o artigo 218.º n.</w:t>
      </w:r>
      <w:r>
        <w:rPr>
          <w:noProof/>
          <w:vertAlign w:val="superscript"/>
        </w:rPr>
        <w:t>os</w:t>
      </w:r>
      <w:r>
        <w:rPr>
          <w:noProof/>
        </w:rPr>
        <w:t xml:space="preserve"> 3 e 4,</w:t>
      </w:r>
    </w:p>
    <w:p>
      <w:pPr>
        <w:spacing w:before="0" w:after="240"/>
        <w:rPr>
          <w:noProof/>
        </w:rPr>
      </w:pPr>
      <w:r>
        <w:rPr>
          <w:noProof/>
        </w:rPr>
        <w:t>Tendo em conta a recomendação da Comissão Europeia,</w:t>
      </w:r>
    </w:p>
    <w:p>
      <w:pPr>
        <w:spacing w:before="0" w:after="240"/>
        <w:rPr>
          <w:noProof/>
        </w:rPr>
      </w:pPr>
      <w:r>
        <w:rPr>
          <w:noProof/>
        </w:rPr>
        <w:t>Considerando o seguinte:</w:t>
      </w:r>
    </w:p>
    <w:p>
      <w:pPr>
        <w:spacing w:before="0" w:after="240"/>
        <w:rPr>
          <w:noProof/>
        </w:rPr>
      </w:pPr>
      <w:r>
        <w:rPr>
          <w:noProof/>
        </w:rPr>
        <w:t>Em 28 de junho de 2007, foram assinados o acordo de parceria no domínio da pesca entre a Comunidade Europeia, por um lado, e o Governo da Dinamarca e o Governo local da Gronelândia, por outro (APP), e um protocolo que fixava as possibilidades de pesca e a contrapartida financeira previstas nesse APP</w:t>
      </w:r>
      <w:r>
        <w:rPr>
          <w:rStyle w:val="FootnoteReference"/>
          <w:noProof/>
        </w:rPr>
        <w:footnoteReference w:id="10"/>
      </w:r>
      <w:r>
        <w:rPr>
          <w:noProof/>
        </w:rPr>
        <w:t>. Uma vez caducado o referido protocolo, foi assinado um novo protocolo, que entrou em vigor em 1 de janeiro de 2016</w:t>
      </w:r>
      <w:r>
        <w:rPr>
          <w:rStyle w:val="FootnoteReference"/>
          <w:noProof/>
        </w:rPr>
        <w:footnoteReference w:id="11"/>
      </w:r>
      <w:r>
        <w:rPr>
          <w:noProof/>
        </w:rPr>
        <w:t>. Esse protocolo caduca em 31 de dezembro de 2020.</w:t>
      </w:r>
    </w:p>
    <w:p>
      <w:pPr>
        <w:spacing w:before="0" w:after="240"/>
        <w:rPr>
          <w:noProof/>
        </w:rPr>
      </w:pPr>
      <w:r>
        <w:rPr>
          <w:noProof/>
        </w:rPr>
        <w:t>O APP não abrange determinadas disposições do Regulamento (UE) n.º 1380/2013 do Parlamento Europeu e do Conselho</w:t>
      </w:r>
      <w:r>
        <w:rPr>
          <w:rStyle w:val="FootnoteReference"/>
          <w:noProof/>
        </w:rPr>
        <w:footnoteReference w:id="12"/>
      </w:r>
      <w:r>
        <w:rPr>
          <w:noProof/>
        </w:rPr>
        <w:t xml:space="preserve">. Devem igualmente ser estabelecidas as possibilidades de pesca e a contrapartida financeira aplicáveis a partir de 1 de janeiro de 2021, dada a iminente caducidade do atual protocolo. A Comissão propõe, por conseguinte, a negociação de um novo acordo e protocolo que respondam às necessidades da frota da União e sejam também conformes com o Regulamento (UE) n.º 1380/2013. </w:t>
      </w:r>
    </w:p>
    <w:p>
      <w:pPr>
        <w:spacing w:before="0" w:after="240"/>
        <w:rPr>
          <w:noProof/>
        </w:rPr>
      </w:pPr>
      <w:r>
        <w:rPr>
          <w:noProof/>
        </w:rPr>
        <w:t xml:space="preserve">Devem, por conseguinte, ser encetadas negociações com vista à celebração de um novo acordo de parceria no domínio da pesca sustentável e respetivo protocolo com o Governo da Dinamarca e o Governo local da Gronelândia, </w:t>
      </w:r>
    </w:p>
    <w:p>
      <w:pPr>
        <w:pStyle w:val="Formuledadoption"/>
        <w:spacing w:before="0" w:after="240"/>
        <w:rPr>
          <w:noProof/>
        </w:rPr>
      </w:pPr>
      <w:r>
        <w:rPr>
          <w:noProof/>
        </w:rPr>
        <w:t xml:space="preserve">ADOTOU A PRESENTE DECISÃO: </w:t>
      </w:r>
    </w:p>
    <w:p>
      <w:pPr>
        <w:pStyle w:val="Titrearticle"/>
        <w:spacing w:before="0" w:after="240"/>
        <w:rPr>
          <w:noProof/>
        </w:rPr>
      </w:pPr>
      <w:r>
        <w:rPr>
          <w:noProof/>
        </w:rPr>
        <w:t>Artigo 1.º</w:t>
      </w:r>
    </w:p>
    <w:p>
      <w:pPr>
        <w:rPr>
          <w:noProof/>
        </w:rPr>
      </w:pPr>
      <w:r>
        <w:rPr>
          <w:noProof/>
        </w:rPr>
        <w:t>A Comissão é autorizada a conduzir negociações, em nome da União Europeia, tendo em vista a celebração de um novo acordo de parceria no domínio da pesca sustentável e respetivo protocolo com o Governo da Dinamarca e o Governo local da Gronelândia.</w:t>
      </w:r>
    </w:p>
    <w:p>
      <w:pPr>
        <w:pStyle w:val="Titrearticle"/>
        <w:spacing w:before="0" w:after="240"/>
        <w:rPr>
          <w:noProof/>
        </w:rPr>
      </w:pPr>
    </w:p>
    <w:p>
      <w:pPr>
        <w:rPr>
          <w:noProof/>
        </w:rPr>
      </w:pPr>
    </w:p>
    <w:p>
      <w:pPr>
        <w:jc w:val="center"/>
        <w:rPr>
          <w:noProof/>
        </w:rPr>
      </w:pPr>
      <w:r>
        <w:rPr>
          <w:i/>
          <w:noProof/>
        </w:rPr>
        <w:lastRenderedPageBreak/>
        <w:t>Artigo 2.º</w:t>
      </w:r>
    </w:p>
    <w:p>
      <w:pPr>
        <w:spacing w:before="0" w:after="240"/>
        <w:rPr>
          <w:noProof/>
        </w:rPr>
      </w:pPr>
      <w:r>
        <w:rPr>
          <w:noProof/>
        </w:rPr>
        <w:t>As negociações devem ser conduzidas em consulta com o Grupo da Política Externa das Pescas do Conselho e em conformidade com as diretrizes de negociação constantes do anexo da presente decisão.</w:t>
      </w:r>
    </w:p>
    <w:p>
      <w:pPr>
        <w:jc w:val="center"/>
        <w:rPr>
          <w:i/>
          <w:noProof/>
        </w:rPr>
      </w:pPr>
      <w:r>
        <w:rPr>
          <w:i/>
          <w:noProof/>
        </w:rPr>
        <w:t>Artigo 3.º</w:t>
      </w:r>
    </w:p>
    <w:p>
      <w:pPr>
        <w:spacing w:before="0" w:after="240"/>
        <w:rPr>
          <w:noProof/>
        </w:rPr>
      </w:pPr>
    </w:p>
    <w:p>
      <w:pPr>
        <w:spacing w:before="0" w:after="240"/>
        <w:rPr>
          <w:noProof/>
        </w:rPr>
      </w:pPr>
      <w:r>
        <w:rPr>
          <w:noProof/>
        </w:rPr>
        <w:t>A destinatária da presente decisão é a Comissão.</w:t>
      </w:r>
    </w:p>
    <w:p>
      <w:pPr>
        <w:spacing w:before="0" w:after="240"/>
        <w:rPr>
          <w:noProof/>
        </w:rPr>
      </w:pPr>
    </w:p>
    <w:p>
      <w:pPr>
        <w:pStyle w:val="Fait"/>
        <w:rPr>
          <w:noProof/>
        </w:rPr>
      </w:pPr>
      <w:r>
        <w:rPr>
          <w:noProof/>
        </w:rPr>
        <w:t>Feito em Bruxelas, em</w:t>
      </w:r>
    </w:p>
    <w:p>
      <w:pPr>
        <w:pStyle w:val="Institutionquisigne"/>
        <w:rPr>
          <w:noProof/>
        </w:rPr>
      </w:pPr>
      <w:r>
        <w:rPr>
          <w:noProof/>
        </w:rPr>
        <w:tab/>
        <w:t>Pelo Conselho</w:t>
      </w:r>
    </w:p>
    <w:p>
      <w:pPr>
        <w:pStyle w:val="Personnequisigne"/>
        <w:rPr>
          <w:noProof/>
        </w:rPr>
      </w:pPr>
      <w:r>
        <w:rPr>
          <w:noProof/>
        </w:rPr>
        <w:tab/>
        <w:t>O Presidente</w:t>
      </w:r>
    </w:p>
    <w:sectPr>
      <w:pgSz w:w="11907" w:h="16839"/>
      <w:pgMar w:top="1134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before="0" w:after="0"/>
      </w:pPr>
      <w:r>
        <w:separator/>
      </w:r>
    </w:p>
  </w:endnote>
  <w:endnote w:type="continuationSeparator" w:id="0">
    <w:p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PT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tab/>
    </w:r>
    <w:r>
      <w:rPr>
        <w:rFonts w:ascii="Arial" w:hAnsi="Arial" w:cs="Arial"/>
        <w:b/>
        <w:sz w:val="48"/>
      </w:rPr>
      <w:t>PT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PT</w:t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7</w:t>
    </w:r>
    <w:r>
      <w:fldChar w:fldCharType="end"/>
    </w:r>
    <w:r>
      <w:tab/>
    </w:r>
    <w:r>
      <w:tab/>
    </w:r>
    <w:r>
      <w:rPr>
        <w:rFonts w:ascii="Arial" w:hAnsi="Arial" w:cs="Arial"/>
        <w:b/>
        <w:sz w:val="48"/>
      </w:rPr>
      <w:t>PT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before="0" w:after="0"/>
      </w:pPr>
      <w:r>
        <w:separator/>
      </w:r>
    </w:p>
  </w:footnote>
  <w:footnote w:type="continuationSeparator" w:id="0">
    <w:p>
      <w:pPr>
        <w:spacing w:before="0" w:after="0"/>
      </w:pPr>
      <w:r>
        <w:continuationSeparator/>
      </w:r>
    </w:p>
  </w:footnote>
  <w:footnote w:id="1">
    <w:p>
      <w:pPr>
        <w:pStyle w:val="FootnoteText"/>
        <w:ind w:left="284" w:hanging="284"/>
      </w:pPr>
      <w:r>
        <w:rPr>
          <w:rStyle w:val="FootnoteReference"/>
        </w:rPr>
        <w:footnoteRef/>
      </w:r>
      <w:r>
        <w:tab/>
        <w:t>Regulamento (UE) n.º 1380/2013 do Parlamento Europeu e do Conselho, de 11 de dezembro de 2013, relativo à política comum das pescas, que altera os Regulamentos (CE) n.º 1954/2003 e (CE) n.º 1224/2009 do Conselho e revoga os Regulamentos (CE) n.º 2371/2002 e (CE) n.º 639/2004 do Conselho e a Decisão 2004/585/CE do Conselho (JO L 354 de 28.12.2013, p. 22).</w:t>
      </w:r>
    </w:p>
  </w:footnote>
  <w:footnote w:id="2">
    <w:p>
      <w:pPr>
        <w:pStyle w:val="FootnoteText"/>
        <w:ind w:left="284" w:hanging="284"/>
      </w:pPr>
      <w:r>
        <w:rPr>
          <w:rStyle w:val="FootnoteReference"/>
        </w:rPr>
        <w:footnoteRef/>
      </w:r>
      <w:r>
        <w:tab/>
        <w:t>JO L 172 de 30.6.2007, p. 1.</w:t>
      </w:r>
    </w:p>
  </w:footnote>
  <w:footnote w:id="3">
    <w:p>
      <w:pPr>
        <w:pStyle w:val="FootnoteText"/>
        <w:ind w:left="284" w:hanging="284"/>
      </w:pPr>
      <w:r>
        <w:rPr>
          <w:rStyle w:val="FootnoteReference"/>
        </w:rPr>
        <w:footnoteRef/>
      </w:r>
      <w:r>
        <w:tab/>
      </w:r>
      <w:hyperlink r:id="rId1" w:history="1">
        <w:r>
          <w:rPr>
            <w:rStyle w:val="Hyperlink"/>
          </w:rPr>
          <w:t>https://www.consilium.europa.eu/pt/documents-publications/treaties-agreements/agreement/?id=2007046&amp;DocLanguage=pt</w:t>
        </w:r>
      </w:hyperlink>
      <w:r>
        <w:t xml:space="preserve"> </w:t>
      </w:r>
    </w:p>
  </w:footnote>
  <w:footnote w:id="4">
    <w:p>
      <w:pPr>
        <w:pStyle w:val="FootnoteText"/>
        <w:ind w:left="284" w:hanging="284"/>
      </w:pPr>
      <w:r>
        <w:rPr>
          <w:rStyle w:val="FootnoteReference"/>
        </w:rPr>
        <w:footnoteRef/>
      </w:r>
      <w:r>
        <w:tab/>
        <w:t>Parte VI, título II, do Regulamento (UE) n.º 1380/2013.</w:t>
      </w:r>
    </w:p>
  </w:footnote>
  <w:footnote w:id="5">
    <w:p>
      <w:pPr>
        <w:pStyle w:val="FootnoteText"/>
        <w:ind w:left="284" w:hanging="284"/>
      </w:pPr>
      <w:r>
        <w:rPr>
          <w:rStyle w:val="FootnoteReference"/>
        </w:rPr>
        <w:footnoteRef/>
      </w:r>
      <w:r>
        <w:tab/>
        <w:t xml:space="preserve">JO L 305 de 21.11.2015, p. 1. </w:t>
      </w:r>
    </w:p>
  </w:footnote>
  <w:footnote w:id="6">
    <w:p>
      <w:pPr>
        <w:pStyle w:val="FootnoteText"/>
        <w:ind w:left="284" w:hanging="284"/>
      </w:pPr>
      <w:r>
        <w:rPr>
          <w:rStyle w:val="FootnoteReference"/>
        </w:rPr>
        <w:footnoteRef/>
      </w:r>
      <w:r>
        <w:tab/>
      </w:r>
      <w:hyperlink r:id="rId2" w:history="1">
        <w:r>
          <w:rPr>
            <w:rStyle w:val="Hyperlink"/>
          </w:rPr>
          <w:t>https://www.consilium.europa.eu/pt/documents-publications/treaties-agreements/agreement/?id=2015055&amp;DocLanguage=pt</w:t>
        </w:r>
      </w:hyperlink>
      <w:r>
        <w:t xml:space="preserve"> </w:t>
      </w:r>
    </w:p>
  </w:footnote>
  <w:footnote w:id="7">
    <w:p>
      <w:pPr>
        <w:pStyle w:val="FootnoteText"/>
        <w:ind w:left="284" w:hanging="284"/>
      </w:pPr>
      <w:r>
        <w:rPr>
          <w:rStyle w:val="FootnoteReference"/>
        </w:rPr>
        <w:footnoteRef/>
      </w:r>
      <w:r>
        <w:tab/>
        <w:t>Regulamento (UE) 2019/124 do Conselho, de 30 de janeiro de 2019, que fixa, para 2019, em relação a determinadas unidades populacionais de peixes e grupos de unidades populacionais de peixes, as possibilidades de pesca aplicáveis nas águas da União e as aplicáveis, para os navios de pesca da União, em certas águas não União (JO L 29 de 31.1.2019, p. 1).</w:t>
      </w:r>
    </w:p>
  </w:footnote>
  <w:footnote w:id="8">
    <w:p>
      <w:pPr>
        <w:pStyle w:val="FootnoteText"/>
        <w:ind w:left="284" w:hanging="284"/>
      </w:pPr>
      <w:r>
        <w:rPr>
          <w:rStyle w:val="FootnoteReference"/>
        </w:rPr>
        <w:footnoteRef/>
      </w:r>
      <w:r>
        <w:tab/>
      </w:r>
      <w:hyperlink r:id="rId3" w:history="1">
        <w:r>
          <w:rPr>
            <w:rStyle w:val="Hyperlink"/>
          </w:rPr>
          <w:t>https://www.nafo.int/</w:t>
        </w:r>
      </w:hyperlink>
      <w:r>
        <w:t xml:space="preserve"> </w:t>
      </w:r>
    </w:p>
  </w:footnote>
  <w:footnote w:id="9">
    <w:p>
      <w:pPr>
        <w:pStyle w:val="FootnoteText"/>
        <w:ind w:left="284" w:hanging="284"/>
      </w:pPr>
      <w:r>
        <w:rPr>
          <w:rStyle w:val="FootnoteReference"/>
        </w:rPr>
        <w:footnoteRef/>
      </w:r>
      <w:r>
        <w:tab/>
        <w:t>Capítulo 40 (rubrica de reserva 40 02 41), em conformidade com o acordo interinstitucional sobre o QFP (2013/C 373/01).</w:t>
      </w:r>
    </w:p>
  </w:footnote>
  <w:footnote w:id="10">
    <w:p>
      <w:pPr>
        <w:pStyle w:val="FootnoteText"/>
      </w:pPr>
      <w:r>
        <w:rPr>
          <w:rStyle w:val="FootnoteReference"/>
        </w:rPr>
        <w:footnoteRef/>
      </w:r>
      <w:r>
        <w:tab/>
        <w:t>JO L 172 de 30.6.2007</w:t>
      </w:r>
    </w:p>
  </w:footnote>
  <w:footnote w:id="11">
    <w:p>
      <w:pPr>
        <w:pStyle w:val="FootnoteText"/>
      </w:pPr>
      <w:r>
        <w:rPr>
          <w:rStyle w:val="FootnoteReference"/>
        </w:rPr>
        <w:footnoteRef/>
      </w:r>
      <w:r>
        <w:tab/>
        <w:t>https://www.consilium.europa.eu/pt/documents-publications/treaties-agreements/agreement/?id=2015055&amp;DocLanguage=pt.</w:t>
      </w:r>
    </w:p>
  </w:footnote>
  <w:footnote w:id="12">
    <w:p>
      <w:pPr>
        <w:pStyle w:val="FootnoteText"/>
      </w:pPr>
      <w:r>
        <w:rPr>
          <w:rStyle w:val="FootnoteReference"/>
        </w:rPr>
        <w:footnoteRef/>
      </w:r>
      <w:r>
        <w:tab/>
        <w:t>Regulamento (UE) n.º 1380/2013 do Parlamento Europeu e do Conselho, de 11 de dezembro de 2013, relativo à política comum das pescas, que altera os Regulamentos (CE) n.º 1954/2003 e (CE) n.º 1224/2009 do Conselho e revoga os Regulamentos (CE) n.º 2371/2002 e (CE) n.º 639/2004 do Conselho e a Decisão 2004/585/CE do Conselho (JO L 354 de 28.12.2013, p. 22).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33A49CB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21AE589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69FAF56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1"/>
    <w:multiLevelType w:val="singleLevel"/>
    <w:tmpl w:val="6A2C7EE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BC3E4AC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4F7CB8B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7656208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44BC2FD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>
    <w:nsid w:val="2D293CE3"/>
    <w:multiLevelType w:val="multilevel"/>
    <w:tmpl w:val="8D7C4D2A"/>
    <w:lvl w:ilvl="0">
      <w:start w:val="1"/>
      <w:numFmt w:val="decimal"/>
      <w:pStyle w:val="LegalNumPar"/>
      <w:lvlText w:val="%1."/>
      <w:lvlJc w:val="left"/>
      <w:pPr>
        <w:ind w:left="476" w:hanging="476"/>
      </w:pPr>
      <w:rPr>
        <w:rFonts w:hint="default"/>
      </w:rPr>
    </w:lvl>
    <w:lvl w:ilvl="1">
      <w:start w:val="1"/>
      <w:numFmt w:val="lowerLetter"/>
      <w:pStyle w:val="LegalNumPar2"/>
      <w:lvlText w:val="%2."/>
      <w:lvlJc w:val="left"/>
      <w:pPr>
        <w:ind w:left="953" w:hanging="477"/>
      </w:pPr>
      <w:rPr>
        <w:rFonts w:hint="default"/>
      </w:rPr>
    </w:lvl>
    <w:lvl w:ilvl="2">
      <w:start w:val="1"/>
      <w:numFmt w:val="lowerRoman"/>
      <w:pStyle w:val="LegalNumPar3"/>
      <w:lvlText w:val="%3."/>
      <w:lvlJc w:val="left"/>
      <w:pPr>
        <w:ind w:left="1429" w:hanging="476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4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5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6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7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8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9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2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2"/>
  </w:num>
  <w:num w:numId="10">
    <w:abstractNumId w:val="19"/>
  </w:num>
  <w:num w:numId="11">
    <w:abstractNumId w:val="13"/>
  </w:num>
  <w:num w:numId="12">
    <w:abstractNumId w:val="21"/>
  </w:num>
  <w:num w:numId="13">
    <w:abstractNumId w:val="11"/>
  </w:num>
  <w:num w:numId="14">
    <w:abstractNumId w:val="14"/>
  </w:num>
  <w:num w:numId="15">
    <w:abstractNumId w:val="9"/>
  </w:num>
  <w:num w:numId="16">
    <w:abstractNumId w:val="20"/>
  </w:num>
  <w:num w:numId="17">
    <w:abstractNumId w:val="8"/>
  </w:num>
  <w:num w:numId="18">
    <w:abstractNumId w:val="15"/>
  </w:num>
  <w:num w:numId="19">
    <w:abstractNumId w:val="17"/>
  </w:num>
  <w:num w:numId="20">
    <w:abstractNumId w:val="18"/>
  </w:num>
  <w:num w:numId="21">
    <w:abstractNumId w:val="10"/>
  </w:num>
  <w:num w:numId="22">
    <w:abstractNumId w:val="16"/>
  </w:num>
  <w:num w:numId="23">
    <w:abstractNumId w:val="22"/>
  </w:num>
  <w:num w:numId="24">
    <w:abstractNumId w:val="19"/>
  </w:num>
  <w:num w:numId="25">
    <w:abstractNumId w:val="13"/>
  </w:num>
  <w:num w:numId="26">
    <w:abstractNumId w:val="21"/>
  </w:num>
  <w:num w:numId="27">
    <w:abstractNumId w:val="11"/>
  </w:num>
  <w:num w:numId="28">
    <w:abstractNumId w:val="14"/>
  </w:num>
  <w:num w:numId="29">
    <w:abstractNumId w:val="9"/>
  </w:num>
  <w:num w:numId="30">
    <w:abstractNumId w:val="20"/>
  </w:num>
  <w:num w:numId="31">
    <w:abstractNumId w:val="8"/>
  </w:num>
  <w:num w:numId="32">
    <w:abstractNumId w:val="15"/>
  </w:num>
  <w:num w:numId="33">
    <w:abstractNumId w:val="17"/>
  </w:num>
  <w:num w:numId="34">
    <w:abstractNumId w:val="18"/>
  </w:num>
  <w:num w:numId="35">
    <w:abstractNumId w:val="10"/>
  </w:num>
  <w:num w:numId="36">
    <w:abstractNumId w:val="16"/>
  </w:num>
  <w:num w:numId="37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QCDateTime" w:val="2019-10-23 10:32:42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InvalidFootnotes" w:val="0;0"/>
    <w:docVar w:name="DQCResult_LinkedStyles" w:val="0;0"/>
    <w:docVar w:name="DQCResult_ModifiedMargins" w:val="0;9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5"/>
    <w:docVar w:name="DQCResult_UnknownFonts" w:val="0;0"/>
    <w:docVar w:name="DQCResult_UnknownStyles" w:val="0;0"/>
    <w:docVar w:name="DQCStatus" w:val="Green"/>
    <w:docVar w:name="DQCVersion" w:val="3"/>
    <w:docVar w:name="DQCWithWarnings" w:val="0"/>
    <w:docVar w:name="LW_CORRIGENDUM" w:val="&lt;UNUSED&gt;"/>
    <w:docVar w:name="LW_COVERPAGE_EXISTS" w:val="True"/>
    <w:docVar w:name="LW_COVERPAGE_GUID" w:val="D56BFD83-00C9-49D6-A0DD-9901F90CB516"/>
    <w:docVar w:name="LW_COVERPAGE_TYPE" w:val="1"/>
    <w:docVar w:name="LW_CROSSREFERENCE" w:val="{SWD(2019) 385 final} - {SWD(2019) 386 final}"/>
    <w:docVar w:name="LW_DocType" w:val="COM"/>
    <w:docVar w:name="LW_EMISSION" w:val="23.10.2019"/>
    <w:docVar w:name="LW_EMISSION_ISODATE" w:val="2019-10-23"/>
    <w:docVar w:name="LW_EMISSION_LOCATION" w:val="BRX"/>
    <w:docVar w:name="LW_EMISSION_PREFIX" w:val="Bruxelas, "/>
    <w:docVar w:name="LW_EMISSION_SUFFIX" w:val=" "/>
    <w:docVar w:name="LW_ID_DOCMODEL" w:val="SG-001"/>
    <w:docVar w:name="LW_ID_DOCSIGNATURE" w:val="SG-001"/>
    <w:docVar w:name="LW_ID_DOCSTRUCTURE" w:val="COM/PL/ORG/NOEEA"/>
    <w:docVar w:name="LW_ID_DOCTYPE" w:val="SG-001"/>
    <w:docVar w:name="LW_ID_STATUT" w:val="SG-001"/>
    <w:docVar w:name="LW_LANGUE" w:val="PT"/>
    <w:docVar w:name="LW_LEVEL_OF_SENSITIVITY" w:val="Standard treatment"/>
    <w:docVar w:name="LW_NOM.INST" w:val="COMISSÃO EUROPEIA"/>
    <w:docVar w:name="LW_NOM.INST_JOINTDOC" w:val="&lt;EMPTY&gt;"/>
    <w:docVar w:name="LW_PART_NBR" w:val="1"/>
    <w:docVar w:name="LW_PART_NBR_TOTAL" w:val="1"/>
    <w:docVar w:name="LW_REF.II.NEW.CP" w:val="&lt;UNUSED&gt;"/>
    <w:docVar w:name="LW_REF.II.NEW.CP_NUMBER" w:val="&lt;UNUSED&gt;"/>
    <w:docVar w:name="LW_REF.II.NEW.CP_YEAR" w:val="2019"/>
    <w:docVar w:name="LW_REF.INST.NEW" w:val="COM"/>
    <w:docVar w:name="LW_REF.INST.NEW_ADOPTED" w:val="final"/>
    <w:docVar w:name="LW_REF.INST.NEW_TEXT" w:val="(2019) 491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OUS.TITRE.OBJ.CP" w:val="&lt;UNUSED&gt;"/>
    <w:docVar w:name="LW_STATUT" w:val="Recomendação de"/>
    <w:docVar w:name="LW_STATUT.CP" w:val="Recomendação de"/>
    <w:docVar w:name="LW_SUPERTITRE" w:val="&lt;UNUSED&gt;"/>
    <w:docVar w:name="LW_TITRE.OBJ" w:val="que autoriza a abertura das negociações, em nome da União Europeia, sobre um acordo de parceria no domínio da pesca sustentável e respetivo protocolo entre a União Europeia e o Governo da Dinamarca e o Governo local da Gronelândia"/>
    <w:docVar w:name="LW_TITRE.OBJ.CP" w:val="que autoriza a abertura das negociações, em nome da União Europeia, sobre um acordo de parceria no domínio da pesca sustentável e respetivo protocolo entre a União Europeia e o Governo da Dinamarca e o Governo local da Gronelândia"/>
    <w:docVar w:name="LW_TYPE.DOC" w:val="DECISÃO DO CONSELHO"/>
    <w:docVar w:name="LW_TYPE.DOC.CP" w:val="DECISÃO DO CONSELHO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pt-PT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30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30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30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30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Strong">
    <w:name w:val="Strong"/>
    <w:basedOn w:val="DefaultParagraphFont"/>
    <w:uiPriority w:val="99"/>
    <w:qFormat/>
    <w:rPr>
      <w:b/>
      <w:bCs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pt-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pt-PT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pt-PT"/>
    </w:rPr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LegalNumPar">
    <w:name w:val="LegalNumPar"/>
    <w:basedOn w:val="Normal"/>
    <w:pPr>
      <w:numPr>
        <w:numId w:val="9"/>
      </w:numPr>
      <w:spacing w:line="360" w:lineRule="auto"/>
    </w:pPr>
  </w:style>
  <w:style w:type="paragraph" w:customStyle="1" w:styleId="LegalNumPar2">
    <w:name w:val="LegalNumPar2"/>
    <w:basedOn w:val="Normal"/>
    <w:pPr>
      <w:numPr>
        <w:ilvl w:val="1"/>
        <w:numId w:val="9"/>
      </w:numPr>
      <w:spacing w:line="360" w:lineRule="auto"/>
    </w:pPr>
  </w:style>
  <w:style w:type="paragraph" w:customStyle="1" w:styleId="LegalNumPar3">
    <w:name w:val="LegalNumPar3"/>
    <w:basedOn w:val="Normal"/>
    <w:pPr>
      <w:numPr>
        <w:ilvl w:val="2"/>
        <w:numId w:val="9"/>
      </w:numPr>
      <w:spacing w:line="360" w:lineRule="auto"/>
    </w:p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before="0"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rFonts w:ascii="Times New Roman" w:hAnsi="Times New Roman" w:cs="Times New Roman"/>
      <w:sz w:val="20"/>
      <w:szCs w:val="20"/>
      <w:lang w:val="pt-PT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val="pt-PT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lang w:val="pt-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24"/>
      </w:numPr>
    </w:pPr>
  </w:style>
  <w:style w:type="paragraph" w:customStyle="1" w:styleId="Tiret1">
    <w:name w:val="Tiret 1"/>
    <w:basedOn w:val="Point1"/>
    <w:pPr>
      <w:numPr>
        <w:numId w:val="25"/>
      </w:numPr>
    </w:pPr>
  </w:style>
  <w:style w:type="paragraph" w:customStyle="1" w:styleId="Tiret2">
    <w:name w:val="Tiret 2"/>
    <w:basedOn w:val="Point2"/>
    <w:pPr>
      <w:numPr>
        <w:numId w:val="26"/>
      </w:numPr>
    </w:pPr>
  </w:style>
  <w:style w:type="paragraph" w:customStyle="1" w:styleId="Tiret3">
    <w:name w:val="Tiret 3"/>
    <w:basedOn w:val="Point3"/>
    <w:pPr>
      <w:numPr>
        <w:numId w:val="27"/>
      </w:numPr>
    </w:pPr>
  </w:style>
  <w:style w:type="paragraph" w:customStyle="1" w:styleId="Tiret4">
    <w:name w:val="Tiret 4"/>
    <w:basedOn w:val="Point4"/>
    <w:pPr>
      <w:numPr>
        <w:numId w:val="28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9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9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9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9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1"/>
      </w:numPr>
    </w:pPr>
  </w:style>
  <w:style w:type="paragraph" w:customStyle="1" w:styleId="Point1number">
    <w:name w:val="Point 1 (number)"/>
    <w:basedOn w:val="Normal"/>
    <w:pPr>
      <w:numPr>
        <w:ilvl w:val="2"/>
        <w:numId w:val="31"/>
      </w:numPr>
    </w:pPr>
  </w:style>
  <w:style w:type="paragraph" w:customStyle="1" w:styleId="Point2number">
    <w:name w:val="Point 2 (number)"/>
    <w:basedOn w:val="Normal"/>
    <w:pPr>
      <w:numPr>
        <w:ilvl w:val="4"/>
        <w:numId w:val="31"/>
      </w:numPr>
    </w:pPr>
  </w:style>
  <w:style w:type="paragraph" w:customStyle="1" w:styleId="Point3number">
    <w:name w:val="Point 3 (number)"/>
    <w:basedOn w:val="Normal"/>
    <w:pPr>
      <w:numPr>
        <w:ilvl w:val="6"/>
        <w:numId w:val="31"/>
      </w:numPr>
    </w:pPr>
  </w:style>
  <w:style w:type="paragraph" w:customStyle="1" w:styleId="Point0letter">
    <w:name w:val="Point 0 (letter)"/>
    <w:basedOn w:val="Normal"/>
    <w:pPr>
      <w:numPr>
        <w:ilvl w:val="1"/>
        <w:numId w:val="31"/>
      </w:numPr>
    </w:pPr>
  </w:style>
  <w:style w:type="paragraph" w:customStyle="1" w:styleId="Point1letter">
    <w:name w:val="Point 1 (letter)"/>
    <w:basedOn w:val="Normal"/>
    <w:pPr>
      <w:numPr>
        <w:ilvl w:val="3"/>
        <w:numId w:val="31"/>
      </w:numPr>
    </w:pPr>
  </w:style>
  <w:style w:type="paragraph" w:customStyle="1" w:styleId="Point2letter">
    <w:name w:val="Point 2 (letter)"/>
    <w:basedOn w:val="Normal"/>
    <w:pPr>
      <w:numPr>
        <w:ilvl w:val="5"/>
        <w:numId w:val="31"/>
      </w:numPr>
    </w:pPr>
  </w:style>
  <w:style w:type="paragraph" w:customStyle="1" w:styleId="Point3letter">
    <w:name w:val="Point 3 (letter)"/>
    <w:basedOn w:val="Normal"/>
    <w:pPr>
      <w:numPr>
        <w:ilvl w:val="7"/>
        <w:numId w:val="31"/>
      </w:numPr>
    </w:pPr>
  </w:style>
  <w:style w:type="paragraph" w:customStyle="1" w:styleId="Point4letter">
    <w:name w:val="Point 4 (letter)"/>
    <w:basedOn w:val="Normal"/>
    <w:pPr>
      <w:numPr>
        <w:ilvl w:val="8"/>
        <w:numId w:val="31"/>
      </w:numPr>
    </w:pPr>
  </w:style>
  <w:style w:type="paragraph" w:customStyle="1" w:styleId="Bullet0">
    <w:name w:val="Bullet 0"/>
    <w:basedOn w:val="Normal"/>
    <w:pPr>
      <w:numPr>
        <w:numId w:val="32"/>
      </w:numPr>
    </w:pPr>
  </w:style>
  <w:style w:type="paragraph" w:customStyle="1" w:styleId="Bullet1">
    <w:name w:val="Bullet 1"/>
    <w:basedOn w:val="Normal"/>
    <w:pPr>
      <w:numPr>
        <w:numId w:val="33"/>
      </w:numPr>
    </w:pPr>
  </w:style>
  <w:style w:type="paragraph" w:customStyle="1" w:styleId="Bullet2">
    <w:name w:val="Bullet 2"/>
    <w:basedOn w:val="Normal"/>
    <w:pPr>
      <w:numPr>
        <w:numId w:val="34"/>
      </w:numPr>
    </w:pPr>
  </w:style>
  <w:style w:type="paragraph" w:customStyle="1" w:styleId="Bullet3">
    <w:name w:val="Bullet 3"/>
    <w:basedOn w:val="Normal"/>
    <w:pPr>
      <w:numPr>
        <w:numId w:val="35"/>
      </w:numPr>
    </w:pPr>
  </w:style>
  <w:style w:type="paragraph" w:customStyle="1" w:styleId="Bullet4">
    <w:name w:val="Bullet 4"/>
    <w:basedOn w:val="Normal"/>
    <w:pPr>
      <w:numPr>
        <w:numId w:val="36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7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IntrtEEE"/>
    <w:pPr>
      <w:spacing w:before="360" w:after="36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IntrtEEE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0" w:after="240"/>
      <w:jc w:val="center"/>
    </w:pPr>
    <w:rPr>
      <w:b/>
      <w:i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pt-PT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30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30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30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30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Strong">
    <w:name w:val="Strong"/>
    <w:basedOn w:val="DefaultParagraphFont"/>
    <w:uiPriority w:val="99"/>
    <w:qFormat/>
    <w:rPr>
      <w:b/>
      <w:bCs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Times New Roman" w:hAnsi="Times New Roman" w:cs="Times New Roman"/>
      <w:sz w:val="20"/>
      <w:szCs w:val="20"/>
      <w:lang w:val="pt-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Times New Roman" w:hAnsi="Times New Roman" w:cs="Times New Roman"/>
      <w:b/>
      <w:bCs/>
      <w:sz w:val="20"/>
      <w:szCs w:val="20"/>
      <w:lang w:val="pt-PT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pt-PT"/>
    </w:rPr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LegalNumPar">
    <w:name w:val="LegalNumPar"/>
    <w:basedOn w:val="Normal"/>
    <w:pPr>
      <w:numPr>
        <w:numId w:val="9"/>
      </w:numPr>
      <w:spacing w:line="360" w:lineRule="auto"/>
    </w:pPr>
  </w:style>
  <w:style w:type="paragraph" w:customStyle="1" w:styleId="LegalNumPar2">
    <w:name w:val="LegalNumPar2"/>
    <w:basedOn w:val="Normal"/>
    <w:pPr>
      <w:numPr>
        <w:ilvl w:val="1"/>
        <w:numId w:val="9"/>
      </w:numPr>
      <w:spacing w:line="360" w:lineRule="auto"/>
    </w:pPr>
  </w:style>
  <w:style w:type="paragraph" w:customStyle="1" w:styleId="LegalNumPar3">
    <w:name w:val="LegalNumPar3"/>
    <w:basedOn w:val="Normal"/>
    <w:pPr>
      <w:numPr>
        <w:ilvl w:val="2"/>
        <w:numId w:val="9"/>
      </w:numPr>
      <w:spacing w:line="360" w:lineRule="auto"/>
    </w:p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before="0"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rFonts w:ascii="Times New Roman" w:hAnsi="Times New Roman" w:cs="Times New Roman"/>
      <w:sz w:val="20"/>
      <w:szCs w:val="20"/>
      <w:lang w:val="pt-PT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val="pt-PT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lang w:val="pt-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24"/>
      </w:numPr>
    </w:pPr>
  </w:style>
  <w:style w:type="paragraph" w:customStyle="1" w:styleId="Tiret1">
    <w:name w:val="Tiret 1"/>
    <w:basedOn w:val="Point1"/>
    <w:pPr>
      <w:numPr>
        <w:numId w:val="25"/>
      </w:numPr>
    </w:pPr>
  </w:style>
  <w:style w:type="paragraph" w:customStyle="1" w:styleId="Tiret2">
    <w:name w:val="Tiret 2"/>
    <w:basedOn w:val="Point2"/>
    <w:pPr>
      <w:numPr>
        <w:numId w:val="26"/>
      </w:numPr>
    </w:pPr>
  </w:style>
  <w:style w:type="paragraph" w:customStyle="1" w:styleId="Tiret3">
    <w:name w:val="Tiret 3"/>
    <w:basedOn w:val="Point3"/>
    <w:pPr>
      <w:numPr>
        <w:numId w:val="27"/>
      </w:numPr>
    </w:pPr>
  </w:style>
  <w:style w:type="paragraph" w:customStyle="1" w:styleId="Tiret4">
    <w:name w:val="Tiret 4"/>
    <w:basedOn w:val="Point4"/>
    <w:pPr>
      <w:numPr>
        <w:numId w:val="28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29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29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29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29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1"/>
      </w:numPr>
    </w:pPr>
  </w:style>
  <w:style w:type="paragraph" w:customStyle="1" w:styleId="Point1number">
    <w:name w:val="Point 1 (number)"/>
    <w:basedOn w:val="Normal"/>
    <w:pPr>
      <w:numPr>
        <w:ilvl w:val="2"/>
        <w:numId w:val="31"/>
      </w:numPr>
    </w:pPr>
  </w:style>
  <w:style w:type="paragraph" w:customStyle="1" w:styleId="Point2number">
    <w:name w:val="Point 2 (number)"/>
    <w:basedOn w:val="Normal"/>
    <w:pPr>
      <w:numPr>
        <w:ilvl w:val="4"/>
        <w:numId w:val="31"/>
      </w:numPr>
    </w:pPr>
  </w:style>
  <w:style w:type="paragraph" w:customStyle="1" w:styleId="Point3number">
    <w:name w:val="Point 3 (number)"/>
    <w:basedOn w:val="Normal"/>
    <w:pPr>
      <w:numPr>
        <w:ilvl w:val="6"/>
        <w:numId w:val="31"/>
      </w:numPr>
    </w:pPr>
  </w:style>
  <w:style w:type="paragraph" w:customStyle="1" w:styleId="Point0letter">
    <w:name w:val="Point 0 (letter)"/>
    <w:basedOn w:val="Normal"/>
    <w:pPr>
      <w:numPr>
        <w:ilvl w:val="1"/>
        <w:numId w:val="31"/>
      </w:numPr>
    </w:pPr>
  </w:style>
  <w:style w:type="paragraph" w:customStyle="1" w:styleId="Point1letter">
    <w:name w:val="Point 1 (letter)"/>
    <w:basedOn w:val="Normal"/>
    <w:pPr>
      <w:numPr>
        <w:ilvl w:val="3"/>
        <w:numId w:val="31"/>
      </w:numPr>
    </w:pPr>
  </w:style>
  <w:style w:type="paragraph" w:customStyle="1" w:styleId="Point2letter">
    <w:name w:val="Point 2 (letter)"/>
    <w:basedOn w:val="Normal"/>
    <w:pPr>
      <w:numPr>
        <w:ilvl w:val="5"/>
        <w:numId w:val="31"/>
      </w:numPr>
    </w:pPr>
  </w:style>
  <w:style w:type="paragraph" w:customStyle="1" w:styleId="Point3letter">
    <w:name w:val="Point 3 (letter)"/>
    <w:basedOn w:val="Normal"/>
    <w:pPr>
      <w:numPr>
        <w:ilvl w:val="7"/>
        <w:numId w:val="31"/>
      </w:numPr>
    </w:pPr>
  </w:style>
  <w:style w:type="paragraph" w:customStyle="1" w:styleId="Point4letter">
    <w:name w:val="Point 4 (letter)"/>
    <w:basedOn w:val="Normal"/>
    <w:pPr>
      <w:numPr>
        <w:ilvl w:val="8"/>
        <w:numId w:val="31"/>
      </w:numPr>
    </w:pPr>
  </w:style>
  <w:style w:type="paragraph" w:customStyle="1" w:styleId="Bullet0">
    <w:name w:val="Bullet 0"/>
    <w:basedOn w:val="Normal"/>
    <w:pPr>
      <w:numPr>
        <w:numId w:val="32"/>
      </w:numPr>
    </w:pPr>
  </w:style>
  <w:style w:type="paragraph" w:customStyle="1" w:styleId="Bullet1">
    <w:name w:val="Bullet 1"/>
    <w:basedOn w:val="Normal"/>
    <w:pPr>
      <w:numPr>
        <w:numId w:val="33"/>
      </w:numPr>
    </w:pPr>
  </w:style>
  <w:style w:type="paragraph" w:customStyle="1" w:styleId="Bullet2">
    <w:name w:val="Bullet 2"/>
    <w:basedOn w:val="Normal"/>
    <w:pPr>
      <w:numPr>
        <w:numId w:val="34"/>
      </w:numPr>
    </w:pPr>
  </w:style>
  <w:style w:type="paragraph" w:customStyle="1" w:styleId="Bullet3">
    <w:name w:val="Bullet 3"/>
    <w:basedOn w:val="Normal"/>
    <w:pPr>
      <w:numPr>
        <w:numId w:val="35"/>
      </w:numPr>
    </w:pPr>
  </w:style>
  <w:style w:type="paragraph" w:customStyle="1" w:styleId="Bullet4">
    <w:name w:val="Bullet 4"/>
    <w:basedOn w:val="Normal"/>
    <w:pPr>
      <w:numPr>
        <w:numId w:val="36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7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IntrtEEE"/>
    <w:pPr>
      <w:spacing w:before="360" w:after="36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IntrtEEE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0" w:after="240"/>
      <w:jc w:val="center"/>
    </w:pPr>
    <w:rPr>
      <w:b/>
      <w:i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1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footnotes.xml.rels><?xml version='1.0' encoding='UTF-8' standalone='yes'?>
<Relationships xmlns="http://schemas.openxmlformats.org/package/2006/relationships"><Relationship Id="rId3" Type="http://schemas.openxmlformats.org/officeDocument/2006/relationships/hyperlink" Target="https://www.nafo.int/" TargetMode="External"/><Relationship Id="rId2" Type="http://schemas.openxmlformats.org/officeDocument/2006/relationships/hyperlink" Target="https://www.consilium.europa.eu/pt/documents-publications/treaties-agreements/agreement/?id=2015055&amp;DocLanguage=pt" TargetMode="External"/><Relationship Id="rId1" Type="http://schemas.openxmlformats.org/officeDocument/2006/relationships/hyperlink" Target="https://www.consilium.europa.eu/pt/documents-publications/treaties-agreements/agreement/?id=2007046&amp;DocLanguage=pt" TargetMode="Externa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COM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A3F0D-FDB5-4857-B7AB-CA5521467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COM.dotm</Template>
  <TotalTime>2</TotalTime>
  <Pages>8</Pages>
  <Words>1537</Words>
  <Characters>8088</Characters>
  <Application>Microsoft Office Word</Application>
  <DocSecurity>0</DocSecurity>
  <Lines>161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18</cp:revision>
  <cp:lastPrinted>2019-09-23T13:35:00Z</cp:lastPrinted>
  <dcterms:created xsi:type="dcterms:W3CDTF">2019-10-17T13:32:00Z</dcterms:created>
  <dcterms:modified xsi:type="dcterms:W3CDTF">2019-10-23T08:32:00Z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COM/PL/ORG/NOEEA</vt:lpwstr>
  </property>
  <property fmtid="{D5CDD505-2E9C-101B-9397-08002B2CF9AE}" pid="3" name="Version">
    <vt:lpwstr>5.84.2.0</vt:lpwstr>
  </property>
  <property fmtid="{D5CDD505-2E9C-101B-9397-08002B2CF9AE}" pid="4" name="Last edited using">
    <vt:lpwstr>LW 7.0, Build 20190717</vt:lpwstr>
  </property>
  <property fmtid="{D5CDD505-2E9C-101B-9397-08002B2CF9AE}" pid="5" name="Created using">
    <vt:lpwstr>LW 5.8.4, Build 20150407</vt:lpwstr>
  </property>
  <property fmtid="{D5CDD505-2E9C-101B-9397-08002B2CF9AE}" pid="6" name="Part">
    <vt:lpwstr>1</vt:lpwstr>
  </property>
  <property fmtid="{D5CDD505-2E9C-101B-9397-08002B2CF9AE}" pid="7" name="Total parts">
    <vt:lpwstr>1</vt:lpwstr>
  </property>
  <property fmtid="{D5CDD505-2E9C-101B-9397-08002B2CF9AE}" pid="8" name="LWTemplateID">
    <vt:lpwstr>SG-001</vt:lpwstr>
  </property>
  <property fmtid="{D5CDD505-2E9C-101B-9397-08002B2CF9AE}" pid="9" name="Level of sensitivity">
    <vt:lpwstr>Standard treatment</vt:lpwstr>
  </property>
  <property fmtid="{D5CDD505-2E9C-101B-9397-08002B2CF9AE}" pid="10" name="DQCStatus">
    <vt:lpwstr>Green (DQC version 03)</vt:lpwstr>
  </property>
  <property name="OP_sanitized" fmtid="{D5CDD505-2E9C-101B-9397-08002B2CF9AE}" pid="11">
    <vt:lpwstr>True</vt:lpwstr>
  </property>
</Properties>
</file>