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gedecouverture"/>
        <w:rPr>
          <w:noProof/>
        </w:rPr>
      </w:pPr>
      <w:bookmarkStart w:id="0" w:name="LW_BM_COVERPAGE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alt="14F53B56511E4949B8F4B42F8245984E" style="width:450.75pt;height:393.75pt">
            <v:imagedata r:id="rId8" o:title=""/>
          </v:shape>
        </w:pict>
      </w:r>
    </w:p>
    <w:bookmarkEnd w:id="0"/>
    <w:p>
      <w:pPr>
        <w:rPr>
          <w:rFonts w:ascii="Times New Roman" w:hAnsi="Times New Roman" w:cs="Times New Roman"/>
          <w:noProof/>
        </w:rPr>
        <w:sectPr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>
      <w:pPr>
        <w:spacing w:after="120"/>
        <w:jc w:val="center"/>
        <w:rPr>
          <w:rFonts w:ascii="Times New Roman" w:hAnsi="Times New Roman" w:cs="Times New Roman"/>
          <w:b/>
          <w:noProof/>
        </w:rPr>
      </w:pPr>
      <w:bookmarkStart w:id="1" w:name="_GoBack"/>
      <w:bookmarkEnd w:id="1"/>
      <w:r>
        <w:rPr>
          <w:rFonts w:ascii="Times New Roman" w:hAnsi="Times New Roman"/>
          <w:b/>
          <w:noProof/>
        </w:rPr>
        <w:lastRenderedPageBreak/>
        <w:t>Bilag VII: Planlagt genbosætning efter den 15. marts 2016</w:t>
      </w:r>
    </w:p>
    <w:p>
      <w:pPr>
        <w:spacing w:after="120"/>
        <w:jc w:val="center"/>
        <w:rPr>
          <w:rFonts w:ascii="Times New Roman" w:hAnsi="Times New Roman" w:cs="Times New Roman"/>
          <w:b/>
          <w:noProof/>
        </w:rPr>
      </w:pPr>
    </w:p>
    <w:tbl>
      <w:tblPr>
        <w:tblW w:w="8241" w:type="dxa"/>
        <w:jc w:val="center"/>
        <w:tblLayout w:type="fixed"/>
        <w:tblLook w:val="04A0" w:firstRow="1" w:lastRow="0" w:firstColumn="1" w:lastColumn="0" w:noHBand="0" w:noVBand="1"/>
      </w:tblPr>
      <w:tblGrid>
        <w:gridCol w:w="1715"/>
        <w:gridCol w:w="855"/>
        <w:gridCol w:w="5671"/>
      </w:tblGrid>
      <w:tr>
        <w:trPr>
          <w:trHeight w:val="728"/>
          <w:tblHeader/>
          <w:jc w:val="center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noProof/>
                <w:sz w:val="18"/>
              </w:rPr>
              <w:t>Medlemsstat/stat, der har tilsluttet sig Dublin-forordningen</w:t>
            </w:r>
          </w:p>
        </w:tc>
        <w:tc>
          <w:tcPr>
            <w:tcW w:w="65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noProof/>
                <w:sz w:val="18"/>
              </w:rPr>
              <w:t xml:space="preserve">Planlagt genbosætning fra tredjelande </w:t>
            </w:r>
            <w:r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</w:rPr>
              <w:br/>
            </w:r>
            <w:r>
              <w:rPr>
                <w:rFonts w:ascii="Times New Roman" w:hAnsi="Times New Roman"/>
                <w:b/>
                <w:noProof/>
                <w:sz w:val="18"/>
              </w:rPr>
              <w:t>fra den 15. marts indtil ordningen af 20. juli udløber</w:t>
            </w:r>
          </w:p>
        </w:tc>
      </w:tr>
      <w:tr>
        <w:trPr>
          <w:trHeight w:val="288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noProof/>
                <w:sz w:val="18"/>
              </w:rPr>
              <w:t>Østrig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505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Libanon: 59</w:t>
            </w:r>
          </w:p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 xml:space="preserve">Jordan: 200 </w:t>
            </w:r>
          </w:p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Tyrkiet: 246</w:t>
            </w:r>
          </w:p>
        </w:tc>
      </w:tr>
      <w:tr>
        <w:trPr>
          <w:trHeight w:val="288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noProof/>
                <w:sz w:val="18"/>
              </w:rPr>
              <w:t>Belgien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888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uoplyst</w:t>
            </w:r>
          </w:p>
        </w:tc>
      </w:tr>
      <w:tr>
        <w:trPr>
          <w:trHeight w:val="288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noProof/>
                <w:sz w:val="18"/>
              </w:rPr>
              <w:t>Bulgarien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50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 xml:space="preserve">Tyrkiet: </w:t>
            </w:r>
          </w:p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20 i 2016</w:t>
            </w:r>
          </w:p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30 i 2017</w:t>
            </w:r>
          </w:p>
        </w:tc>
      </w:tr>
      <w:tr>
        <w:trPr>
          <w:trHeight w:val="288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noProof/>
                <w:sz w:val="18"/>
              </w:rPr>
              <w:t>Kroatien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150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Tyrkiet</w:t>
            </w:r>
          </w:p>
        </w:tc>
      </w:tr>
      <w:tr>
        <w:trPr>
          <w:trHeight w:val="288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noProof/>
                <w:sz w:val="18"/>
              </w:rPr>
              <w:t>Cypern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69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Nordafrika, Mellemøsten, Afrikas Horn</w:t>
            </w:r>
          </w:p>
        </w:tc>
      </w:tr>
      <w:tr>
        <w:trPr>
          <w:trHeight w:val="288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noProof/>
                <w:sz w:val="18"/>
              </w:rPr>
              <w:t>Tjekkiet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348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syrere i Jordan (muligvis også i Tyrkiet, Libanon eller Irak)</w:t>
            </w:r>
          </w:p>
        </w:tc>
      </w:tr>
      <w:tr>
        <w:trPr>
          <w:trHeight w:val="288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noProof/>
                <w:sz w:val="18"/>
              </w:rPr>
              <w:t>Danmark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1 000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uoplyst</w:t>
            </w:r>
          </w:p>
        </w:tc>
      </w:tr>
      <w:tr>
        <w:trPr>
          <w:trHeight w:val="288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noProof/>
                <w:sz w:val="18"/>
              </w:rPr>
              <w:t>Estland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20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Tyrkiet</w:t>
            </w:r>
          </w:p>
        </w:tc>
      </w:tr>
      <w:tr>
        <w:trPr>
          <w:trHeight w:val="288"/>
          <w:jc w:val="center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noProof/>
                <w:sz w:val="18"/>
              </w:rPr>
              <w:t>Finland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293</w:t>
            </w:r>
          </w:p>
        </w:tc>
        <w:tc>
          <w:tcPr>
            <w:tcW w:w="5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Jordan og Libanon i 2016</w:t>
            </w: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br/>
            </w:r>
            <w:r>
              <w:rPr>
                <w:rFonts w:ascii="Times New Roman" w:hAnsi="Times New Roman"/>
                <w:noProof/>
                <w:sz w:val="18"/>
              </w:rPr>
              <w:t>(i 2016 skal der genbosættes i alt 750 personer)</w:t>
            </w:r>
            <w:r>
              <w:rPr>
                <w:rStyle w:val="FootnoteReference"/>
                <w:rFonts w:ascii="Times New Roman" w:hAnsi="Times New Roman"/>
                <w:noProof/>
                <w:sz w:val="18"/>
              </w:rPr>
              <w:footnoteReference w:id="1"/>
            </w:r>
          </w:p>
        </w:tc>
      </w:tr>
      <w:tr>
        <w:trPr>
          <w:trHeight w:val="288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noProof/>
                <w:sz w:val="18"/>
              </w:rPr>
              <w:t>Frankrig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2 360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Jordan, Libanon</w:t>
            </w: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br/>
            </w:r>
            <w:r>
              <w:rPr>
                <w:rFonts w:ascii="Times New Roman" w:hAnsi="Times New Roman"/>
                <w:noProof/>
                <w:sz w:val="18"/>
              </w:rPr>
              <w:t xml:space="preserve">460 allerede udvalgt, men endnu ikke genbosat </w:t>
            </w: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br/>
            </w:r>
            <w:r>
              <w:rPr>
                <w:rFonts w:ascii="Times New Roman" w:hAnsi="Times New Roman"/>
                <w:noProof/>
                <w:sz w:val="18"/>
              </w:rPr>
              <w:t>(200 fra Jordan og 260 fra Libanon)</w:t>
            </w:r>
          </w:p>
        </w:tc>
      </w:tr>
      <w:tr>
        <w:trPr>
          <w:trHeight w:val="288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noProof/>
                <w:sz w:val="18"/>
              </w:rPr>
              <w:t>Tyskland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1 600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Libanon: 1 000</w:t>
            </w:r>
          </w:p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 xml:space="preserve">Egypten: 300 </w:t>
            </w:r>
          </w:p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Sudan: 300</w:t>
            </w:r>
          </w:p>
        </w:tc>
      </w:tr>
      <w:tr>
        <w:trPr>
          <w:trHeight w:val="288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noProof/>
                <w:sz w:val="18"/>
              </w:rPr>
              <w:t>Grækenland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354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uoplyst</w:t>
            </w:r>
          </w:p>
        </w:tc>
      </w:tr>
      <w:tr>
        <w:trPr>
          <w:trHeight w:val="288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noProof/>
                <w:sz w:val="18"/>
              </w:rPr>
              <w:t>Ungarn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-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uoplyst</w:t>
            </w:r>
          </w:p>
        </w:tc>
      </w:tr>
      <w:tr>
        <w:trPr>
          <w:trHeight w:val="288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noProof/>
                <w:sz w:val="18"/>
              </w:rPr>
              <w:t>Island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50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uoplyst</w:t>
            </w:r>
          </w:p>
        </w:tc>
      </w:tr>
      <w:tr>
        <w:trPr>
          <w:trHeight w:val="288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noProof/>
                <w:sz w:val="18"/>
              </w:rPr>
              <w:t>Irland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269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Libanon</w:t>
            </w:r>
          </w:p>
        </w:tc>
      </w:tr>
      <w:tr>
        <w:trPr>
          <w:trHeight w:val="288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noProof/>
                <w:sz w:val="18"/>
              </w:rPr>
              <w:t>Italien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1 893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- Sudan: 50 (eritreere)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 xml:space="preserve">- Libanon: 304 (syrere)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- prioriterede regioner: 1 050 syrere (50 af disse gennem privat sponsorering)</w:t>
            </w:r>
          </w:p>
          <w:p>
            <w:pPr>
              <w:spacing w:after="6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- Afrikas Horn: 239 (lande under det regionale udviklings- og beskyttelsesprogram)</w:t>
            </w: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br/>
            </w:r>
            <w:r>
              <w:rPr>
                <w:rFonts w:ascii="Times New Roman" w:hAnsi="Times New Roman"/>
                <w:noProof/>
                <w:sz w:val="18"/>
              </w:rPr>
              <w:t>- 130 flygtninge, der har behov for omgående genbosætning eller nødgenbosætning af juridiske årsager eller af beskyttelseshensyn, herunder ofre for vold eller tortur (herunder 56 palæstinensiske flygtninge fra Syrien)</w:t>
            </w: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br/>
            </w:r>
            <w:r>
              <w:rPr>
                <w:rFonts w:ascii="Times New Roman" w:hAnsi="Times New Roman"/>
                <w:noProof/>
                <w:sz w:val="18"/>
              </w:rPr>
              <w:t>- 100 kvinder og børn i risikogruppen</w:t>
            </w: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br/>
            </w:r>
            <w:r>
              <w:rPr>
                <w:rFonts w:ascii="Times New Roman" w:hAnsi="Times New Roman"/>
                <w:noProof/>
                <w:sz w:val="18"/>
              </w:rPr>
              <w:t>- 20 personer med behov for medicinsk behandling, der kun kan garanteres gennem genbosætning</w:t>
            </w:r>
          </w:p>
        </w:tc>
      </w:tr>
      <w:tr>
        <w:trPr>
          <w:trHeight w:val="288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noProof/>
                <w:sz w:val="18"/>
              </w:rPr>
              <w:t>Letland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tabs>
                <w:tab w:val="left" w:pos="375"/>
              </w:tabs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50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tabs>
                <w:tab w:val="left" w:pos="375"/>
              </w:tabs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Tyrkiet</w:t>
            </w:r>
          </w:p>
        </w:tc>
      </w:tr>
      <w:tr>
        <w:trPr>
          <w:trHeight w:val="288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noProof/>
                <w:sz w:val="18"/>
              </w:rPr>
              <w:t>Liechtenstein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Tilsagn opfyldt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uoplyst</w:t>
            </w:r>
          </w:p>
        </w:tc>
      </w:tr>
      <w:tr>
        <w:trPr>
          <w:trHeight w:val="288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noProof/>
                <w:sz w:val="18"/>
              </w:rPr>
              <w:t>Litauen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70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Tyrkiet</w:t>
            </w:r>
          </w:p>
        </w:tc>
      </w:tr>
      <w:tr>
        <w:trPr>
          <w:trHeight w:val="288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noProof/>
                <w:sz w:val="18"/>
              </w:rPr>
              <w:t>Luxembourg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30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Tyrkiet</w:t>
            </w:r>
          </w:p>
        </w:tc>
      </w:tr>
      <w:tr>
        <w:trPr>
          <w:trHeight w:val="288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noProof/>
                <w:sz w:val="18"/>
              </w:rPr>
              <w:t>Μalta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14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 xml:space="preserve">Tyrkiet: </w:t>
            </w:r>
          </w:p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7 i 2016</w:t>
            </w:r>
          </w:p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7 i 2017</w:t>
            </w:r>
          </w:p>
        </w:tc>
      </w:tr>
      <w:tr>
        <w:trPr>
          <w:trHeight w:val="288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noProof/>
                <w:sz w:val="18"/>
              </w:rPr>
              <w:t>Nederlandene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769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Libanon: 140 (2016, genbosætningsmissionen for april)</w:t>
            </w:r>
          </w:p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Tyrkiet: 140 (2016, genbosætningsmissionen for juni)</w:t>
            </w:r>
          </w:p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genbosætningsmissionerne for andet halvår af 2016: 280 (bestemmelsesland endnu ikke udpeget)</w:t>
            </w:r>
          </w:p>
        </w:tc>
      </w:tr>
      <w:tr>
        <w:trPr>
          <w:trHeight w:val="288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noProof/>
                <w:sz w:val="18"/>
              </w:rPr>
              <w:t>Norge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noProof/>
                <w:sz w:val="18"/>
              </w:rPr>
              <w:t>3 494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noProof/>
                <w:sz w:val="18"/>
              </w:rPr>
              <w:t>Libanon: 1 500 (allerede accepteret, men endnu ikke overført)</w:t>
            </w:r>
            <w:r>
              <w:rPr>
                <w:rFonts w:ascii="Times New Roman" w:eastAsia="Times New Roman" w:hAnsi="Times New Roman" w:cs="Times New Roman"/>
                <w:i/>
                <w:noProof/>
                <w:sz w:val="18"/>
                <w:szCs w:val="18"/>
              </w:rPr>
              <w:br/>
            </w:r>
            <w:r>
              <w:rPr>
                <w:rFonts w:ascii="Times New Roman" w:hAnsi="Times New Roman"/>
                <w:i/>
                <w:noProof/>
                <w:sz w:val="18"/>
              </w:rPr>
              <w:t>1 950 der skal udvælges i andet halvår af 2016: Libanon 1 140, Jordan 250, Tyrkiet 600</w:t>
            </w:r>
          </w:p>
        </w:tc>
      </w:tr>
      <w:tr>
        <w:trPr>
          <w:trHeight w:val="288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noProof/>
                <w:sz w:val="18"/>
              </w:rPr>
              <w:t>Polen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900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uoplyst</w:t>
            </w:r>
          </w:p>
        </w:tc>
      </w:tr>
      <w:tr>
        <w:trPr>
          <w:trHeight w:val="288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noProof/>
                <w:sz w:val="18"/>
              </w:rPr>
              <w:t>Portugal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191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 xml:space="preserve">Tyrkiet: </w:t>
            </w:r>
          </w:p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100 i 2016</w:t>
            </w:r>
          </w:p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91 i 2017</w:t>
            </w:r>
          </w:p>
        </w:tc>
      </w:tr>
      <w:tr>
        <w:trPr>
          <w:trHeight w:val="288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noProof/>
                <w:sz w:val="18"/>
              </w:rPr>
              <w:t>Rumænien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80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40 i 2016</w:t>
            </w: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br/>
            </w:r>
            <w:r>
              <w:rPr>
                <w:rFonts w:ascii="Times New Roman" w:hAnsi="Times New Roman"/>
                <w:noProof/>
                <w:sz w:val="18"/>
              </w:rPr>
              <w:t>40 i 2017</w:t>
            </w:r>
          </w:p>
        </w:tc>
      </w:tr>
      <w:tr>
        <w:trPr>
          <w:trHeight w:val="288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noProof/>
                <w:sz w:val="18"/>
              </w:rPr>
              <w:t>Slovakiet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100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uoplyst</w:t>
            </w:r>
          </w:p>
        </w:tc>
      </w:tr>
      <w:tr>
        <w:trPr>
          <w:trHeight w:val="288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noProof/>
                <w:sz w:val="18"/>
              </w:rPr>
              <w:t>Slovenien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20</w:t>
            </w:r>
            <w:r>
              <w:rPr>
                <w:rStyle w:val="FootnoteReference"/>
                <w:rFonts w:ascii="Times New Roman" w:hAnsi="Times New Roman"/>
                <w:noProof/>
                <w:sz w:val="18"/>
              </w:rPr>
              <w:footnoteReference w:id="2"/>
            </w: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Libanon, Jordan, Tyrkiet</w:t>
            </w:r>
          </w:p>
        </w:tc>
      </w:tr>
      <w:tr>
        <w:trPr>
          <w:trHeight w:val="288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noProof/>
                <w:sz w:val="18"/>
              </w:rPr>
              <w:t>Spanien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1 449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854 i 2016 (heraf 285 fra Tyrkiet)</w:t>
            </w:r>
          </w:p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595 i 2017</w:t>
            </w:r>
          </w:p>
        </w:tc>
      </w:tr>
      <w:tr>
        <w:trPr>
          <w:trHeight w:val="288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noProof/>
                <w:sz w:val="18"/>
              </w:rPr>
              <w:t>Sverige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</w:p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491</w:t>
            </w:r>
            <w:r>
              <w:rPr>
                <w:rStyle w:val="FootnoteReference"/>
                <w:rFonts w:ascii="Times New Roman" w:hAnsi="Times New Roman"/>
                <w:noProof/>
                <w:sz w:val="18"/>
              </w:rPr>
              <w:footnoteReference w:id="3"/>
            </w:r>
          </w:p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Libanon: 400</w:t>
            </w:r>
          </w:p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Jordan: 50</w:t>
            </w:r>
          </w:p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 xml:space="preserve">Tyrkiet: 41 </w:t>
            </w:r>
          </w:p>
        </w:tc>
      </w:tr>
      <w:tr>
        <w:trPr>
          <w:trHeight w:val="288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noProof/>
                <w:sz w:val="18"/>
              </w:rPr>
              <w:t>Schweiz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noProof/>
                <w:sz w:val="18"/>
              </w:rPr>
              <w:t>106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noProof/>
                <w:sz w:val="18"/>
              </w:rPr>
              <w:t>Primært fra Libanon, men også fra Syrien.</w:t>
            </w:r>
          </w:p>
        </w:tc>
      </w:tr>
      <w:tr>
        <w:trPr>
          <w:trHeight w:val="288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noProof/>
                <w:sz w:val="18"/>
              </w:rPr>
              <w:t>Det Forenede Kongerige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>336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t xml:space="preserve">       </w:t>
            </w:r>
            <w:r>
              <w:rPr>
                <w:noProof/>
              </w:rPr>
              <w:t>20 000, og mindst 750 pr. år</w:t>
            </w:r>
            <w:r>
              <w:rPr>
                <w:rStyle w:val="FootnoteReference"/>
                <w:rFonts w:ascii="Times New Roman" w:hAnsi="Times New Roman"/>
                <w:noProof/>
                <w:sz w:val="18"/>
              </w:rPr>
              <w:footnoteReference w:id="4"/>
            </w:r>
            <w:r>
              <w:rPr>
                <w:noProof/>
              </w:rPr>
              <w:t>.</w:t>
            </w:r>
          </w:p>
        </w:tc>
      </w:tr>
      <w:tr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trHeight w:val="100"/>
          <w:jc w:val="center"/>
        </w:trPr>
        <w:tc>
          <w:tcPr>
            <w:tcW w:w="8241" w:type="dxa"/>
            <w:gridSpan w:val="3"/>
          </w:tcPr>
          <w:p>
            <w:pPr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</w:p>
        </w:tc>
      </w:tr>
    </w:tbl>
    <w:p>
      <w:pPr>
        <w:rPr>
          <w:rFonts w:ascii="Times New Roman" w:hAnsi="Times New Roman" w:cs="Times New Roman"/>
          <w:noProof/>
        </w:rPr>
      </w:pPr>
    </w:p>
    <w:sectPr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720" w:right="720" w:bottom="720" w:left="720" w:header="708" w:footer="708" w:gutter="0"/>
      <w:pgNumType w:start="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CoverPage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DA</w:t>
    </w:r>
    <w:r>
      <w:rPr>
        <w:rFonts w:ascii="Arial" w:hAnsi="Arial" w:cs="Arial"/>
        <w:b/>
        <w:sz w:val="48"/>
      </w:rPr>
      <w:tab/>
    </w:r>
    <w:r>
      <w:rPr>
        <w:rFonts w:ascii="Arial" w:hAnsi="Arial" w:cs="Arial"/>
        <w:b/>
        <w:sz w:val="48"/>
      </w:rPr>
      <w:tab/>
    </w:r>
    <w:r>
      <w:fldChar w:fldCharType="begin"/>
    </w:r>
    <w:r>
      <w:instrText xml:space="preserve"> DOCVARIABLE "LW_Confidence" \* MERGEFORMAT </w:instrText>
    </w:r>
    <w:r>
      <w:fldChar w:fldCharType="separate"/>
    </w:r>
    <w:r>
      <w:t xml:space="preserve"> </w:t>
    </w:r>
    <w:r>
      <w:fldChar w:fldCharType="end"/>
    </w:r>
    <w:r>
      <w:tab/>
    </w:r>
    <w:r>
      <w:rPr>
        <w:rFonts w:ascii="Arial" w:hAnsi="Arial" w:cs="Arial"/>
        <w:b/>
        <w:sz w:val="48"/>
      </w:rPr>
      <w:t>DA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CoverPage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4890893"/>
      <w:docPartObj>
        <w:docPartGallery w:val="Page Numbers (Bottom of Page)"/>
        <w:docPartUnique/>
      </w:docPartObj>
    </w:sdtPr>
    <w:sdtEndPr>
      <w:rPr>
        <w:noProof/>
      </w:rPr>
    </w:sdtEndPr>
    <w:sdtContent>
      <w:p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>
    <w:pPr>
      <w:pStyle w:val="Footer"/>
      <w:jc w:val="right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  <w:footnote w:id="1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/>
          <w:sz w:val="16"/>
        </w:rPr>
        <w:t>Det finske tilsagn inden for rammerne af konklusionerne af 20. juli udgør en del af den nationale kvote for 2016 på 750 personer, der skal genbosættes.</w:t>
      </w:r>
    </w:p>
  </w:footnote>
  <w:footnote w:id="2">
    <w:p>
      <w:pPr>
        <w:pStyle w:val="FootnoteText"/>
        <w:rPr>
          <w:rFonts w:ascii="Times New Roman" w:hAnsi="Times New Roman" w:cs="Times New Roman"/>
          <w:sz w:val="16"/>
          <w:szCs w:val="16"/>
        </w:rPr>
      </w:pPr>
      <w:r>
        <w:rPr>
          <w:rStyle w:val="FootnoteReference"/>
          <w:rFonts w:ascii="Times New Roman" w:hAnsi="Times New Roman"/>
          <w:sz w:val="16"/>
        </w:rPr>
        <w:footnoteRef/>
      </w:r>
      <w:r>
        <w:rPr>
          <w:rFonts w:ascii="Times New Roman" w:hAnsi="Times New Roman"/>
          <w:sz w:val="16"/>
        </w:rPr>
        <w:t xml:space="preserve">     Frem til udgangen af 2016.</w:t>
      </w:r>
    </w:p>
  </w:footnote>
  <w:footnote w:id="3">
    <w:p>
      <w:pPr>
        <w:pStyle w:val="FootnoteText"/>
        <w:rPr>
          <w:rFonts w:ascii="Times New Roman" w:hAnsi="Times New Roman" w:cs="Times New Roman"/>
          <w:sz w:val="16"/>
          <w:szCs w:val="16"/>
        </w:rPr>
      </w:pPr>
      <w:r>
        <w:rPr>
          <w:rStyle w:val="FootnoteReference"/>
          <w:rFonts w:ascii="Times New Roman" w:hAnsi="Times New Roman"/>
          <w:sz w:val="16"/>
        </w:rPr>
        <w:footnoteRef/>
      </w:r>
      <w:r>
        <w:rPr>
          <w:rFonts w:ascii="Times New Roman" w:hAnsi="Times New Roman"/>
          <w:sz w:val="16"/>
        </w:rPr>
        <w:t xml:space="preserve">     Ikke før den 1. juli 2016. </w:t>
      </w:r>
    </w:p>
  </w:footnote>
  <w:footnote w:id="4">
    <w:p>
      <w:pPr>
        <w:pStyle w:val="FootnoteText"/>
        <w:ind w:left="284" w:hanging="284"/>
        <w:rPr>
          <w:rFonts w:ascii="Times New Roman" w:hAnsi="Times New Roman" w:cs="Times New Roman"/>
          <w:sz w:val="16"/>
          <w:szCs w:val="16"/>
        </w:rPr>
      </w:pPr>
      <w:r>
        <w:rPr>
          <w:rStyle w:val="FootnoteReference"/>
          <w:rFonts w:ascii="Times New Roman" w:hAnsi="Times New Roman"/>
          <w:sz w:val="16"/>
        </w:rPr>
        <w:footnoteRef/>
      </w:r>
      <w:r>
        <w:rPr>
          <w:rFonts w:ascii="Times New Roman" w:hAnsi="Times New Roman"/>
          <w:sz w:val="16"/>
        </w:rPr>
        <w:t xml:space="preserve">     Inden for rammerne af Det Forenede Kongeriges eksisterende, nationale genbosætningsordninger: 20 000 før 2020.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CoverPag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CoverPage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uario de Microsoft Office">
    <w15:presenceInfo w15:providerId="None" w15:userId="Usuario de Microsoft Offic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isplayBackgroundShape/>
  <w:hideSpellingErrors/>
  <w:hideGrammaticalErrors/>
  <w:revisionView w:markup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VERPAGE_EXISTS" w:val="True"/>
    <w:docVar w:name="DocStatus" w:val="Green"/>
    <w:docVar w:name="LW_ACCOMPAGNANT.CP" w:val="til "/>
    <w:docVar w:name="LW_ANNEX_NBR_FIRST" w:val="7"/>
    <w:docVar w:name="LW_ANNEX_NBR_LAST" w:val="7"/>
    <w:docVar w:name="LW_CONFIDENCE" w:val=" "/>
    <w:docVar w:name="LW_CONST_RESTREINT_UE" w:val="RESTREINT UE"/>
    <w:docVar w:name="LW_CORRIGENDUM" w:val="&lt;UNUSED&gt;"/>
    <w:docVar w:name="LW_COVERPAGE_GUID" w:val="14F53B56511E4949B8F4B42F8245984E"/>
    <w:docVar w:name="LW_CROSSREFERENCE" w:val="&lt;UNUSED&gt;"/>
    <w:docVar w:name="LW_DocType" w:val="NORMAL"/>
    <w:docVar w:name="LW_EMISSION" w:val="16.3.2016"/>
    <w:docVar w:name="LW_EMISSION_ISODATE" w:val="2016-03-16"/>
    <w:docVar w:name="LW_EMISSION_LOCATION" w:val="BRX"/>
    <w:docVar w:name="LW_EMISSION_PREFIX" w:val="Bruxelles, den "/>
    <w:docVar w:name="LW_EMISSION_SUFFIX" w:val=" "/>
    <w:docVar w:name="LW_ID_DOCTYPE_NONLW" w:val="CP-039"/>
    <w:docVar w:name="LW_LANGUE" w:val="DA"/>
    <w:docVar w:name="LW_MARKING" w:val="&lt;UNUSED&gt;"/>
    <w:docVar w:name="LW_NOM.INST" w:val="EUROPA-KOMMISSIONEN"/>
    <w:docVar w:name="LW_NOM.INST_JOINTDOC" w:val="&lt;EMPTY&gt;"/>
    <w:docVar w:name="LW_OBJETACTEPRINCIPAL.CP" w:val="Første rapport om omfordeling og genbosætning"/>
    <w:docVar w:name="LW_PART_NBR" w:val="1"/>
    <w:docVar w:name="LW_PART_NBR_TOTAL" w:val="1"/>
    <w:docVar w:name="LW_REF.INST.NEW" w:val="COM"/>
    <w:docVar w:name="LW_REF.INST.NEW_ADOPTED" w:val="final"/>
    <w:docVar w:name="LW_REF.INST.NEW_TEXT" w:val="(2016) 165"/>
    <w:docVar w:name="LW_REF.INTERNE" w:val="&lt;UNUSED&gt;"/>
    <w:docVar w:name="LW_SUPERTITRE" w:val="&lt;UNUSED&gt;"/>
    <w:docVar w:name="LW_TITRE.OBJ.CP" w:val="&lt;UNUSED&gt;"/>
    <w:docVar w:name="LW_TYPE.DOC.CP" w:val="BILAG_x000b_"/>
    <w:docVar w:name="LW_TYPEACTEPRINCIPAL.CP" w:val="MEDDELELSE FRA KOMMISSIONEN TIL EUROPA-PARLAMENTET, DET EUROPÆISKE RÅD OG RÅDET_x000b_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a-DK" w:eastAsia="da-DK" w:bidi="da-DK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rFonts w:asciiTheme="minorHAnsi" w:eastAsiaTheme="minorHAnsi" w:hAnsiTheme="minorHAnsi" w:cstheme="minorBidi"/>
      <w:sz w:val="22"/>
      <w:szCs w:val="22"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paragraph" w:customStyle="1" w:styleId="Pagedecouverture">
    <w:name w:val="Page de couverture"/>
    <w:basedOn w:val="Normal"/>
    <w:next w:val="Normal"/>
    <w:pPr>
      <w:spacing w:after="0" w:line="240" w:lineRule="auto"/>
      <w:jc w:val="both"/>
    </w:pPr>
    <w:rPr>
      <w:rFonts w:ascii="Times New Roman" w:hAnsi="Times New Roman" w:cs="Times New Roman"/>
      <w:sz w:val="24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Theme="minorHAnsi" w:eastAsiaTheme="minorHAnsi" w:hAnsiTheme="minorHAnsi" w:cstheme="minorBidi"/>
      <w:sz w:val="22"/>
      <w:szCs w:val="22"/>
    </w:rPr>
  </w:style>
  <w:style w:type="paragraph" w:customStyle="1" w:styleId="FooterCoverPage">
    <w:name w:val="Footer Cover Page"/>
    <w:basedOn w:val="Normal"/>
    <w:link w:val="FooterCoverPageChar"/>
    <w:pPr>
      <w:tabs>
        <w:tab w:val="center" w:pos="4535"/>
        <w:tab w:val="right" w:pos="9071"/>
        <w:tab w:val="right" w:pos="9921"/>
      </w:tabs>
      <w:spacing w:before="360" w:after="0" w:line="240" w:lineRule="auto"/>
      <w:ind w:left="-850" w:right="-850"/>
    </w:pPr>
    <w:rPr>
      <w:rFonts w:ascii="Times New Roman" w:hAnsi="Times New Roman" w:cs="Times New Roman"/>
      <w:sz w:val="24"/>
    </w:rPr>
  </w:style>
  <w:style w:type="character" w:customStyle="1" w:styleId="FooterCoverPageChar">
    <w:name w:val="Footer Cover Page Char"/>
    <w:basedOn w:val="DefaultParagraphFont"/>
    <w:link w:val="FooterCoverPage"/>
    <w:rPr>
      <w:rFonts w:eastAsiaTheme="minorHAnsi"/>
      <w:sz w:val="24"/>
      <w:szCs w:val="22"/>
    </w:rPr>
  </w:style>
  <w:style w:type="paragraph" w:customStyle="1" w:styleId="HeaderCoverPage">
    <w:name w:val="Header Cover Page"/>
    <w:basedOn w:val="Normal"/>
    <w:link w:val="HeaderCoverPageChar"/>
    <w:pPr>
      <w:tabs>
        <w:tab w:val="center" w:pos="4535"/>
        <w:tab w:val="right" w:pos="9071"/>
      </w:tabs>
      <w:spacing w:after="120" w:line="240" w:lineRule="auto"/>
      <w:jc w:val="both"/>
    </w:pPr>
    <w:rPr>
      <w:rFonts w:ascii="Times New Roman" w:hAnsi="Times New Roman" w:cs="Times New Roman"/>
      <w:sz w:val="24"/>
    </w:rPr>
  </w:style>
  <w:style w:type="character" w:customStyle="1" w:styleId="HeaderCoverPageChar">
    <w:name w:val="Header Cover Page Char"/>
    <w:basedOn w:val="DefaultParagraphFont"/>
    <w:link w:val="HeaderCoverPage"/>
    <w:rPr>
      <w:rFonts w:eastAsiaTheme="minorHAnsi"/>
      <w:sz w:val="24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Theme="minorHAns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a-DK" w:eastAsia="da-DK" w:bidi="da-DK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rFonts w:asciiTheme="minorHAnsi" w:eastAsiaTheme="minorHAnsi" w:hAnsiTheme="minorHAnsi" w:cstheme="minorBidi"/>
      <w:sz w:val="22"/>
      <w:szCs w:val="22"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paragraph" w:customStyle="1" w:styleId="Pagedecouverture">
    <w:name w:val="Page de couverture"/>
    <w:basedOn w:val="Normal"/>
    <w:next w:val="Normal"/>
    <w:pPr>
      <w:spacing w:after="0" w:line="240" w:lineRule="auto"/>
      <w:jc w:val="both"/>
    </w:pPr>
    <w:rPr>
      <w:rFonts w:ascii="Times New Roman" w:hAnsi="Times New Roman" w:cs="Times New Roman"/>
      <w:sz w:val="24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Theme="minorHAnsi" w:eastAsiaTheme="minorHAnsi" w:hAnsiTheme="minorHAnsi" w:cstheme="minorBidi"/>
      <w:sz w:val="22"/>
      <w:szCs w:val="22"/>
    </w:rPr>
  </w:style>
  <w:style w:type="paragraph" w:customStyle="1" w:styleId="FooterCoverPage">
    <w:name w:val="Footer Cover Page"/>
    <w:basedOn w:val="Normal"/>
    <w:link w:val="FooterCoverPageChar"/>
    <w:pPr>
      <w:tabs>
        <w:tab w:val="center" w:pos="4535"/>
        <w:tab w:val="right" w:pos="9071"/>
        <w:tab w:val="right" w:pos="9921"/>
      </w:tabs>
      <w:spacing w:before="360" w:after="0" w:line="240" w:lineRule="auto"/>
      <w:ind w:left="-850" w:right="-850"/>
    </w:pPr>
    <w:rPr>
      <w:rFonts w:ascii="Times New Roman" w:hAnsi="Times New Roman" w:cs="Times New Roman"/>
      <w:sz w:val="24"/>
    </w:rPr>
  </w:style>
  <w:style w:type="character" w:customStyle="1" w:styleId="FooterCoverPageChar">
    <w:name w:val="Footer Cover Page Char"/>
    <w:basedOn w:val="DefaultParagraphFont"/>
    <w:link w:val="FooterCoverPage"/>
    <w:rPr>
      <w:rFonts w:eastAsiaTheme="minorHAnsi"/>
      <w:sz w:val="24"/>
      <w:szCs w:val="22"/>
    </w:rPr>
  </w:style>
  <w:style w:type="paragraph" w:customStyle="1" w:styleId="HeaderCoverPage">
    <w:name w:val="Header Cover Page"/>
    <w:basedOn w:val="Normal"/>
    <w:link w:val="HeaderCoverPageChar"/>
    <w:pPr>
      <w:tabs>
        <w:tab w:val="center" w:pos="4535"/>
        <w:tab w:val="right" w:pos="9071"/>
      </w:tabs>
      <w:spacing w:after="120" w:line="240" w:lineRule="auto"/>
      <w:jc w:val="both"/>
    </w:pPr>
    <w:rPr>
      <w:rFonts w:ascii="Times New Roman" w:hAnsi="Times New Roman" w:cs="Times New Roman"/>
      <w:sz w:val="24"/>
    </w:rPr>
  </w:style>
  <w:style w:type="character" w:customStyle="1" w:styleId="HeaderCoverPageChar">
    <w:name w:val="Header Cover Page Char"/>
    <w:basedOn w:val="DefaultParagraphFont"/>
    <w:link w:val="HeaderCoverPage"/>
    <w:rPr>
      <w:rFonts w:eastAsiaTheme="minorHAnsi"/>
      <w:sz w:val="24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Theme="minorHAns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microsoft.com/office/2011/relationships/people" Target="people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12F26C-42F8-4873-AB20-6F431832E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373</Words>
  <Characters>1983</Characters>
  <Application>Microsoft Office Word</Application>
  <DocSecurity>0</DocSecurity>
  <Lines>152</Lines>
  <Paragraphs>138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12</cp:revision>
  <cp:lastPrinted>2016-03-17T07:49:00Z</cp:lastPrinted>
  <dcterms:created xsi:type="dcterms:W3CDTF">2016-03-15T22:52:00Z</dcterms:created>
  <dcterms:modified xsi:type="dcterms:W3CDTF">2016-03-18T10:25:00Z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irst annex">
    <vt:lpwstr>7</vt:lpwstr>
  </property>
  <property fmtid="{D5CDD505-2E9C-101B-9397-08002B2CF9AE}" pid="3" name="Last annex">
    <vt:lpwstr>7</vt:lpwstr>
  </property>
  <property fmtid="{D5CDD505-2E9C-101B-9397-08002B2CF9AE}" pid="4" name="Part">
    <vt:lpwstr>1</vt:lpwstr>
  </property>
  <property fmtid="{D5CDD505-2E9C-101B-9397-08002B2CF9AE}" pid="5" name="Total parts">
    <vt:lpwstr>1</vt:lpwstr>
  </property>
  <property fmtid="{D5CDD505-2E9C-101B-9397-08002B2CF9AE}" pid="6" name="DocStatus">
    <vt:lpwstr>Green</vt:lpwstr>
  </property>
  <property fmtid="{D5CDD505-2E9C-101B-9397-08002B2CF9AE}" pid="7" name="Classification">
    <vt:lpwstr> </vt:lpwstr>
  </property>
  <property name="OP_sanitized" fmtid="{D5CDD505-2E9C-101B-9397-08002B2CF9AE}" pid="8">
    <vt:lpwstr>True</vt:lpwstr>
  </property>
</Properties>
</file>