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D4F81BC6B06F4E6F95F8A5A559CF1CC8" style="width:450pt;height:380.25pt">
            <v:imagedata r:id="rId8" o:title=""/>
          </v:shape>
        </w:pict>
      </w:r>
    </w:p>
    <w:bookmarkEnd w:id="0"/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jc w:val="center"/>
        <w:rPr>
          <w:b/>
          <w:noProof/>
        </w:rPr>
      </w:pPr>
      <w:bookmarkStart w:id="1" w:name="_GoBack"/>
      <w:bookmarkEnd w:id="1"/>
      <w:r>
        <w:rPr>
          <w:b/>
          <w:noProof/>
        </w:rPr>
        <w:lastRenderedPageBreak/>
        <w:t>Bilag II: Omfordelinger fra Italien pr. 15. marts 2016</w:t>
      </w:r>
    </w:p>
    <w:p>
      <w:pPr>
        <w:jc w:val="center"/>
        <w:rPr>
          <w:b/>
          <w:noProof/>
        </w:rPr>
      </w:pPr>
    </w:p>
    <w:p>
      <w:pPr>
        <w:jc w:val="center"/>
        <w:rPr>
          <w:b/>
          <w:noProof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5"/>
        <w:gridCol w:w="2351"/>
        <w:gridCol w:w="2407"/>
        <w:gridCol w:w="3261"/>
      </w:tblGrid>
      <w:tr>
        <w:trPr>
          <w:trHeight w:val="313"/>
          <w:jc w:val="center"/>
        </w:trPr>
        <w:tc>
          <w:tcPr>
            <w:tcW w:w="2295" w:type="dxa"/>
            <w:shd w:val="clear" w:color="auto" w:fill="C6D9F1" w:themeFill="text2" w:themeFillTint="33"/>
            <w:vAlign w:val="center"/>
          </w:tcPr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</w:p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  <w:r>
              <w:rPr>
                <w:b/>
                <w:noProof/>
                <w:color w:val="000000"/>
                <w:sz w:val="22"/>
              </w:rPr>
              <w:t>Medlemsstat</w:t>
            </w:r>
          </w:p>
        </w:tc>
        <w:tc>
          <w:tcPr>
            <w:tcW w:w="2351" w:type="dxa"/>
            <w:shd w:val="clear" w:color="auto" w:fill="C6D9F1" w:themeFill="text2" w:themeFillTint="33"/>
            <w:vAlign w:val="center"/>
          </w:tcPr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  <w:r>
              <w:rPr>
                <w:b/>
                <w:noProof/>
                <w:color w:val="000000"/>
                <w:sz w:val="22"/>
              </w:rPr>
              <w:t>Formelt tilsagn</w:t>
            </w:r>
            <w:r>
              <w:rPr>
                <w:rStyle w:val="FootnoteReference"/>
                <w:b/>
                <w:noProof/>
                <w:color w:val="000000"/>
                <w:sz w:val="22"/>
              </w:rPr>
              <w:footnoteReference w:id="1"/>
            </w:r>
          </w:p>
        </w:tc>
        <w:tc>
          <w:tcPr>
            <w:tcW w:w="2407" w:type="dxa"/>
            <w:shd w:val="clear" w:color="auto" w:fill="C6D9F1" w:themeFill="text2" w:themeFillTint="33"/>
            <w:vAlign w:val="center"/>
          </w:tcPr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</w:p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  <w:r>
              <w:rPr>
                <w:b/>
                <w:noProof/>
                <w:color w:val="000000"/>
                <w:sz w:val="22"/>
              </w:rPr>
              <w:t>Faktisk omfordelt</w:t>
            </w:r>
          </w:p>
        </w:tc>
        <w:tc>
          <w:tcPr>
            <w:tcW w:w="3261" w:type="dxa"/>
            <w:shd w:val="clear" w:color="auto" w:fill="EAF1DD" w:themeFill="accent3" w:themeFillTint="33"/>
            <w:vAlign w:val="center"/>
          </w:tcPr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</w:p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  <w:r>
              <w:rPr>
                <w:b/>
                <w:noProof/>
                <w:color w:val="000000"/>
                <w:sz w:val="22"/>
              </w:rPr>
              <w:t>Retligt fastsatte tilsagn, jf. Rådets afgørelser</w:t>
            </w:r>
          </w:p>
          <w:p>
            <w:pPr>
              <w:jc w:val="center"/>
              <w:rPr>
                <w:b/>
                <w:noProof/>
                <w:color w:val="000000"/>
                <w:sz w:val="22"/>
              </w:rPr>
            </w:pP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Østrig</w:t>
            </w:r>
            <w:r>
              <w:rPr>
                <w:rStyle w:val="FootnoteReference"/>
                <w:b/>
                <w:noProof/>
                <w:color w:val="000000"/>
                <w:sz w:val="20"/>
              </w:rPr>
              <w:footnoteReference w:id="2"/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462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Belgien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30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24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1 397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Bulgarien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90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471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Kroatien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374</w:t>
            </w:r>
          </w:p>
        </w:tc>
      </w:tr>
      <w:tr>
        <w:trPr>
          <w:trHeight w:val="357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Cypern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15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139</w:t>
            </w:r>
          </w:p>
        </w:tc>
      </w:tr>
      <w:tr>
        <w:trPr>
          <w:trHeight w:val="357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Tjekkiet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1 036</w:t>
            </w:r>
          </w:p>
        </w:tc>
      </w:tr>
      <w:tr>
        <w:trPr>
          <w:trHeight w:val="357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Estland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8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125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Finland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150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96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779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Frankrig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200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41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7 115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Tyskland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20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10 327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Ungarn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306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</w:tcPr>
          <w:p>
            <w:pPr>
              <w:spacing w:after="120"/>
              <w:rPr>
                <w:b/>
                <w:i/>
                <w:noProof/>
                <w:color w:val="000000"/>
                <w:sz w:val="20"/>
                <w:szCs w:val="20"/>
              </w:rPr>
            </w:pPr>
            <w:r>
              <w:rPr>
                <w:b/>
                <w:i/>
                <w:noProof/>
                <w:color w:val="000000"/>
                <w:sz w:val="20"/>
              </w:rPr>
              <w:t>Island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Irland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20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360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Letland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20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186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</w:tcPr>
          <w:p>
            <w:pPr>
              <w:spacing w:after="120"/>
              <w:rPr>
                <w:b/>
                <w:i/>
                <w:noProof/>
                <w:color w:val="000000"/>
                <w:sz w:val="20"/>
                <w:szCs w:val="20"/>
              </w:rPr>
            </w:pPr>
            <w:r>
              <w:rPr>
                <w:b/>
                <w:i/>
                <w:noProof/>
                <w:color w:val="000000"/>
                <w:sz w:val="20"/>
              </w:rPr>
              <w:t>Liechtenstein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>
            <w:pPr>
              <w:spacing w:after="120"/>
              <w:jc w:val="center"/>
              <w:rPr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i/>
                <w:noProof/>
                <w:sz w:val="20"/>
                <w:szCs w:val="20"/>
              </w:rPr>
            </w:pP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Litauen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251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Luxembourg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30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248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Μalta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17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15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53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Nederlandene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50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50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2 150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</w:tcPr>
          <w:p>
            <w:pPr>
              <w:spacing w:after="120"/>
              <w:rPr>
                <w:b/>
                <w:i/>
                <w:noProof/>
                <w:color w:val="000000"/>
                <w:sz w:val="20"/>
                <w:szCs w:val="20"/>
              </w:rPr>
            </w:pPr>
            <w:r>
              <w:rPr>
                <w:b/>
                <w:i/>
                <w:noProof/>
                <w:color w:val="000000"/>
                <w:sz w:val="20"/>
              </w:rPr>
              <w:t>Norge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>
            <w:pPr>
              <w:spacing w:after="120"/>
              <w:jc w:val="center"/>
              <w:rPr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i/>
                <w:noProof/>
                <w:sz w:val="20"/>
                <w:szCs w:val="20"/>
              </w:rPr>
            </w:pP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Polen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35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1861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Portugal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388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65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1 173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Rumænien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260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1 608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Slovakiet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250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Slovenien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218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Spanien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50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18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2 676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  <w:hideMark/>
          </w:tcPr>
          <w:p>
            <w:pPr>
              <w:spacing w:after="120"/>
              <w:rPr>
                <w:b/>
                <w:noProof/>
                <w:color w:val="000000"/>
                <w:sz w:val="20"/>
                <w:szCs w:val="20"/>
              </w:rPr>
            </w:pPr>
            <w:r>
              <w:rPr>
                <w:b/>
                <w:noProof/>
                <w:color w:val="000000"/>
                <w:sz w:val="20"/>
              </w:rPr>
              <w:t>Sverige</w:t>
            </w:r>
            <w:r>
              <w:rPr>
                <w:rStyle w:val="FootnoteReference"/>
                <w:b/>
                <w:noProof/>
                <w:color w:val="000000"/>
                <w:sz w:val="20"/>
              </w:rPr>
              <w:footnoteReference w:id="3"/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50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>
            <w:pPr>
              <w:spacing w:after="120"/>
              <w:jc w:val="center"/>
              <w:rPr>
                <w:noProof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</w:rPr>
              <w:t>39</w:t>
            </w: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</w:rPr>
              <w:t>1 388</w:t>
            </w: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auto"/>
            <w:vAlign w:val="center"/>
          </w:tcPr>
          <w:p>
            <w:pPr>
              <w:spacing w:after="120"/>
              <w:rPr>
                <w:b/>
                <w:i/>
                <w:noProof/>
                <w:color w:val="000000"/>
                <w:sz w:val="20"/>
                <w:szCs w:val="20"/>
              </w:rPr>
            </w:pPr>
            <w:r>
              <w:rPr>
                <w:b/>
                <w:i/>
                <w:noProof/>
                <w:color w:val="000000"/>
                <w:sz w:val="20"/>
              </w:rPr>
              <w:t>Schweiz</w:t>
            </w:r>
          </w:p>
        </w:tc>
        <w:tc>
          <w:tcPr>
            <w:tcW w:w="2351" w:type="dxa"/>
          </w:tcPr>
          <w:p>
            <w:pPr>
              <w:spacing w:after="120"/>
              <w:jc w:val="center"/>
              <w:rPr>
                <w:i/>
                <w:noProof/>
                <w:color w:val="000000"/>
                <w:sz w:val="20"/>
                <w:szCs w:val="20"/>
              </w:rPr>
            </w:pPr>
            <w:r>
              <w:rPr>
                <w:i/>
                <w:noProof/>
                <w:color w:val="000000"/>
                <w:sz w:val="20"/>
              </w:rPr>
              <w:t>30</w:t>
            </w:r>
          </w:p>
        </w:tc>
        <w:tc>
          <w:tcPr>
            <w:tcW w:w="2407" w:type="dxa"/>
            <w:shd w:val="clear" w:color="auto" w:fill="auto"/>
            <w:vAlign w:val="center"/>
          </w:tcPr>
          <w:p>
            <w:pPr>
              <w:spacing w:after="120"/>
              <w:jc w:val="center"/>
              <w:rPr>
                <w:i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EAF1DD" w:themeFill="accent3" w:themeFillTint="33"/>
          </w:tcPr>
          <w:p>
            <w:pPr>
              <w:spacing w:after="120"/>
              <w:jc w:val="center"/>
              <w:rPr>
                <w:i/>
                <w:noProof/>
                <w:sz w:val="20"/>
                <w:szCs w:val="20"/>
              </w:rPr>
            </w:pPr>
          </w:p>
        </w:tc>
      </w:tr>
      <w:tr>
        <w:trPr>
          <w:trHeight w:val="313"/>
          <w:jc w:val="center"/>
        </w:trPr>
        <w:tc>
          <w:tcPr>
            <w:tcW w:w="2295" w:type="dxa"/>
            <w:shd w:val="clear" w:color="auto" w:fill="CCC0D9" w:themeFill="accent4" w:themeFillTint="66"/>
            <w:vAlign w:val="center"/>
          </w:tcPr>
          <w:p>
            <w:pPr>
              <w:spacing w:after="120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I ALT</w:t>
            </w:r>
          </w:p>
        </w:tc>
        <w:tc>
          <w:tcPr>
            <w:tcW w:w="2351" w:type="dxa"/>
            <w:shd w:val="clear" w:color="auto" w:fill="CCC0D9" w:themeFill="accent4" w:themeFillTint="66"/>
          </w:tcPr>
          <w:p>
            <w:pPr>
              <w:spacing w:after="120"/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1 473</w:t>
            </w:r>
          </w:p>
        </w:tc>
        <w:tc>
          <w:tcPr>
            <w:tcW w:w="2407" w:type="dxa"/>
            <w:shd w:val="clear" w:color="auto" w:fill="CCC0D9" w:themeFill="accent4" w:themeFillTint="66"/>
            <w:vAlign w:val="bottom"/>
          </w:tcPr>
          <w:p>
            <w:pPr>
              <w:spacing w:after="120"/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368</w:t>
            </w:r>
          </w:p>
        </w:tc>
        <w:tc>
          <w:tcPr>
            <w:tcW w:w="3261" w:type="dxa"/>
            <w:shd w:val="clear" w:color="auto" w:fill="CCC0D9" w:themeFill="accent4" w:themeFillTint="66"/>
          </w:tcPr>
          <w:p>
            <w:pPr>
              <w:spacing w:after="120"/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34 953</w:t>
            </w:r>
          </w:p>
        </w:tc>
      </w:tr>
    </w:tbl>
    <w:p>
      <w:pPr>
        <w:rPr>
          <w:noProof/>
        </w:rPr>
      </w:pPr>
    </w:p>
    <w:sectPr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DA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DA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1">
    <w:p>
      <w:pPr>
        <w:pStyle w:val="FootnoteTex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  <w:rFonts w:ascii="Times New Roman" w:hAnsi="Times New Roman"/>
          <w:sz w:val="16"/>
        </w:rPr>
        <w:footnoteRef/>
      </w:r>
      <w:r>
        <w:rPr>
          <w:rFonts w:ascii="Times New Roman" w:hAnsi="Times New Roman"/>
          <w:sz w:val="16"/>
        </w:rPr>
        <w:t xml:space="preserve">      Oplyst via DubliNet, jf. artikel 5, stk. 2, i Rådets afgørelse.</w:t>
      </w:r>
    </w:p>
  </w:footnote>
  <w:footnote w:id="2">
    <w:p>
      <w:pPr>
        <w:pStyle w:val="FootnoteText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  <w:rFonts w:ascii="Times New Roman" w:hAnsi="Times New Roman"/>
          <w:sz w:val="16"/>
        </w:rPr>
        <w:footnoteRef/>
      </w:r>
      <w:r>
        <w:rPr>
          <w:rFonts w:ascii="Times New Roman" w:hAnsi="Times New Roman"/>
          <w:sz w:val="16"/>
        </w:rPr>
        <w:t xml:space="preserve"> </w:t>
      </w:r>
      <w:r>
        <w:tab/>
      </w:r>
      <w:r>
        <w:rPr>
          <w:rFonts w:ascii="Times New Roman" w:hAnsi="Times New Roman"/>
          <w:sz w:val="16"/>
        </w:rPr>
        <w:t>Kommissionens forslag om en etårig suspendering af 30 % af Østrigs forpligtelser i henhold til omfordelingsafgørelserne (COM(2016)80 final), vedtaget den 10. marts 2016.</w:t>
      </w:r>
    </w:p>
  </w:footnote>
  <w:footnote w:id="3">
    <w:p>
      <w:pPr>
        <w:pStyle w:val="FootnoteText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FootnoteReference"/>
          <w:rFonts w:ascii="Times New Roman" w:hAnsi="Times New Roman"/>
          <w:sz w:val="16"/>
        </w:rPr>
        <w:footnoteRef/>
      </w:r>
      <w:r>
        <w:rPr>
          <w:rFonts w:ascii="Times New Roman" w:hAnsi="Times New Roman"/>
          <w:sz w:val="16"/>
        </w:rPr>
        <w:t xml:space="preserve"> </w:t>
      </w:r>
      <w:r>
        <w:tab/>
      </w:r>
      <w:r>
        <w:rPr>
          <w:rFonts w:ascii="Times New Roman" w:hAnsi="Times New Roman"/>
          <w:sz w:val="16"/>
        </w:rPr>
        <w:t xml:space="preserve">Kommissionens forslag til en fuldstændig, etårig suspendering af Sveriges forpligtelser i henhold til omfordelingsafgørelserne (COM(2015)677 final), der stadig drøftes i Rådet og Europa-Parlamentet.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uario de Microsoft Office">
    <w15:presenceInfo w15:providerId="None" w15:userId="Usuario de Microsoft Offi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ocStatus" w:val="Green"/>
    <w:docVar w:name="LW_ACCOMPAGNANT.CP" w:val="til "/>
    <w:docVar w:name="LW_ANNEX_NBR_FIRST" w:val="2"/>
    <w:docVar w:name="LW_ANNEX_NBR_LAST" w:val="2"/>
    <w:docVar w:name="LW_CONFIDENCE" w:val=" "/>
    <w:docVar w:name="LW_CONST_RESTREINT_UE" w:val="RESTREINT UE"/>
    <w:docVar w:name="LW_CORRIGENDUM" w:val="&lt;UNUSED&gt;"/>
    <w:docVar w:name="LW_COVERPAGE_GUID" w:val="D4F81BC6B06F4E6F95F8A5A559CF1CC8"/>
    <w:docVar w:name="LW_CROSSREFERENCE" w:val="&lt;UNUSED&gt;"/>
    <w:docVar w:name="LW_DocType" w:val="NORMAL"/>
    <w:docVar w:name="LW_EMISSION" w:val="16.3.2016"/>
    <w:docVar w:name="LW_EMISSION_ISODATE" w:val="2016-03-16"/>
    <w:docVar w:name="LW_EMISSION_LOCATION" w:val="BRX"/>
    <w:docVar w:name="LW_EMISSION_PREFIX" w:val="Bruxelles, den "/>
    <w:docVar w:name="LW_EMISSION_SUFFIX" w:val=" "/>
    <w:docVar w:name="LW_ID_DOCTYPE_NONLW" w:val="CP-039"/>
    <w:docVar w:name="LW_LANGUE" w:val="DA"/>
    <w:docVar w:name="LW_MARKING" w:val="&lt;UNUSED&gt;"/>
    <w:docVar w:name="LW_NOM.INST" w:val="EUROPA-KOMMISSIONEN"/>
    <w:docVar w:name="LW_NOM.INST_JOINTDOC" w:val="&lt;EMPTY&gt;"/>
    <w:docVar w:name="LW_OBJETACTEPRINCIPAL.CP" w:val="Første rapport om omfordeling og genbosætning"/>
    <w:docVar w:name="LW_PART_NBR" w:val="1"/>
    <w:docVar w:name="LW_PART_NBR_TOTAL" w:val="1"/>
    <w:docVar w:name="LW_REF.INST.NEW" w:val="COM"/>
    <w:docVar w:name="LW_REF.INST.NEW_ADOPTED" w:val="final"/>
    <w:docVar w:name="LW_REF.INST.NEW_TEXT" w:val="(2016) 165"/>
    <w:docVar w:name="LW_REF.INTERNE" w:val="&lt;UNUSED&gt;"/>
    <w:docVar w:name="LW_SUPERTITRE" w:val="&lt;UNUSED&gt;"/>
    <w:docVar w:name="LW_TITRE.OBJ.CP" w:val="&lt;UNUSED&gt;"/>
    <w:docVar w:name="LW_TYPE.DOC.CP" w:val="BILAG_x000b_"/>
    <w:docVar w:name="LW_TYPEACTEPRINCIPAL.CP" w:val="MEDDELELSE FRA KOMMISSIONEN TIL EUROPA-PARLAMENTET, DET EUROPÆISKE RÅD OG RÅDET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da-DK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Theme="minorHAnsi" w:eastAsiaTheme="minorHAnsi" w:hAnsiTheme="minorHAnsi" w:cstheme="minorBidi"/>
      <w:lang w:eastAsia="da-DK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jc w:val="both"/>
    </w:pPr>
    <w:rPr>
      <w:rFonts w:eastAsiaTheme="minorHAnsi"/>
      <w:szCs w:val="22"/>
    </w:rPr>
  </w:style>
  <w:style w:type="paragraph" w:styleId="Header">
    <w:name w:val="header"/>
    <w:basedOn w:val="Normal"/>
    <w:link w:val="HeaderChar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/>
      <w:ind w:left="-850" w:right="-850"/>
    </w:pPr>
  </w:style>
  <w:style w:type="character" w:customStyle="1" w:styleId="FooterCoverPageChar">
    <w:name w:val="Footer Cover Page Char"/>
    <w:basedOn w:val="DefaultParagraphFont"/>
    <w:link w:val="FooterCoverPage"/>
    <w:rPr>
      <w:sz w:val="24"/>
      <w:szCs w:val="24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/>
      <w:jc w:val="both"/>
    </w:pPr>
  </w:style>
  <w:style w:type="character" w:customStyle="1" w:styleId="HeaderCoverPageChar">
    <w:name w:val="Header Cover Page Char"/>
    <w:basedOn w:val="DefaultParagraphFont"/>
    <w:link w:val="HeaderCoverPage"/>
    <w:rPr>
      <w:sz w:val="24"/>
      <w:szCs w:val="24"/>
    </w:rPr>
  </w:style>
  <w:style w:type="paragraph" w:customStyle="1" w:styleId="Typedudocument">
    <w:name w:val="Type du document"/>
    <w:basedOn w:val="Normal"/>
    <w:next w:val="Normal"/>
    <w:pPr>
      <w:spacing w:before="360"/>
      <w:jc w:val="center"/>
    </w:pPr>
    <w:rPr>
      <w:rFonts w:eastAsiaTheme="minorHAnsi"/>
      <w:b/>
      <w:szCs w:val="22"/>
    </w:rPr>
  </w:style>
  <w:style w:type="paragraph" w:customStyle="1" w:styleId="Accompagnant">
    <w:name w:val="Accompagnant"/>
    <w:basedOn w:val="Normal"/>
    <w:next w:val="Normal"/>
    <w:pPr>
      <w:spacing w:after="240"/>
      <w:jc w:val="center"/>
    </w:pPr>
    <w:rPr>
      <w:rFonts w:eastAsiaTheme="minorHAnsi"/>
      <w:b/>
      <w:i/>
      <w:szCs w:val="22"/>
    </w:rPr>
  </w:style>
  <w:style w:type="paragraph" w:customStyle="1" w:styleId="Typeacteprincipal">
    <w:name w:val="Type acte principal"/>
    <w:basedOn w:val="Normal"/>
    <w:next w:val="Normal"/>
    <w:pPr>
      <w:spacing w:after="240"/>
      <w:jc w:val="center"/>
    </w:pPr>
    <w:rPr>
      <w:rFonts w:eastAsiaTheme="minorHAnsi"/>
      <w:b/>
      <w:szCs w:val="22"/>
    </w:rPr>
  </w:style>
  <w:style w:type="paragraph" w:customStyle="1" w:styleId="Objetacteprincipal">
    <w:name w:val="Objet acte principal"/>
    <w:basedOn w:val="Normal"/>
    <w:next w:val="Normal"/>
    <w:pPr>
      <w:spacing w:after="360"/>
      <w:jc w:val="center"/>
    </w:pPr>
    <w:rPr>
      <w:rFonts w:eastAsiaTheme="minorHAnsi"/>
      <w:b/>
      <w:szCs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da-DK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Theme="minorHAnsi" w:eastAsiaTheme="minorHAnsi" w:hAnsiTheme="minorHAnsi" w:cstheme="minorBidi"/>
      <w:lang w:eastAsia="da-DK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jc w:val="both"/>
    </w:pPr>
    <w:rPr>
      <w:rFonts w:eastAsiaTheme="minorHAnsi"/>
      <w:szCs w:val="22"/>
    </w:rPr>
  </w:style>
  <w:style w:type="paragraph" w:styleId="Header">
    <w:name w:val="header"/>
    <w:basedOn w:val="Normal"/>
    <w:link w:val="HeaderChar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/>
      <w:ind w:left="-850" w:right="-850"/>
    </w:pPr>
  </w:style>
  <w:style w:type="character" w:customStyle="1" w:styleId="FooterCoverPageChar">
    <w:name w:val="Footer Cover Page Char"/>
    <w:basedOn w:val="DefaultParagraphFont"/>
    <w:link w:val="FooterCoverPage"/>
    <w:rPr>
      <w:sz w:val="24"/>
      <w:szCs w:val="24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/>
      <w:jc w:val="both"/>
    </w:pPr>
  </w:style>
  <w:style w:type="character" w:customStyle="1" w:styleId="HeaderCoverPageChar">
    <w:name w:val="Header Cover Page Char"/>
    <w:basedOn w:val="DefaultParagraphFont"/>
    <w:link w:val="HeaderCoverPage"/>
    <w:rPr>
      <w:sz w:val="24"/>
      <w:szCs w:val="24"/>
    </w:rPr>
  </w:style>
  <w:style w:type="paragraph" w:customStyle="1" w:styleId="Typedudocument">
    <w:name w:val="Type du document"/>
    <w:basedOn w:val="Normal"/>
    <w:next w:val="Normal"/>
    <w:pPr>
      <w:spacing w:before="360"/>
      <w:jc w:val="center"/>
    </w:pPr>
    <w:rPr>
      <w:rFonts w:eastAsiaTheme="minorHAnsi"/>
      <w:b/>
      <w:szCs w:val="22"/>
    </w:rPr>
  </w:style>
  <w:style w:type="paragraph" w:customStyle="1" w:styleId="Accompagnant">
    <w:name w:val="Accompagnant"/>
    <w:basedOn w:val="Normal"/>
    <w:next w:val="Normal"/>
    <w:pPr>
      <w:spacing w:after="240"/>
      <w:jc w:val="center"/>
    </w:pPr>
    <w:rPr>
      <w:rFonts w:eastAsiaTheme="minorHAnsi"/>
      <w:b/>
      <w:i/>
      <w:szCs w:val="22"/>
    </w:rPr>
  </w:style>
  <w:style w:type="paragraph" w:customStyle="1" w:styleId="Typeacteprincipal">
    <w:name w:val="Type acte principal"/>
    <w:basedOn w:val="Normal"/>
    <w:next w:val="Normal"/>
    <w:pPr>
      <w:spacing w:after="240"/>
      <w:jc w:val="center"/>
    </w:pPr>
    <w:rPr>
      <w:rFonts w:eastAsiaTheme="minorHAnsi"/>
      <w:b/>
      <w:szCs w:val="22"/>
    </w:rPr>
  </w:style>
  <w:style w:type="paragraph" w:customStyle="1" w:styleId="Objetacteprincipal">
    <w:name w:val="Objet acte principal"/>
    <w:basedOn w:val="Normal"/>
    <w:next w:val="Normal"/>
    <w:pPr>
      <w:spacing w:after="360"/>
      <w:jc w:val="center"/>
    </w:pPr>
    <w:rPr>
      <w:rFonts w:eastAsiaTheme="minorHAnsi"/>
      <w:b/>
      <w:szCs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microsoft.com/office/2011/relationships/people" Target="peop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C18CA-A720-42BE-8062-AE531A892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130</Words>
  <Characters>561</Characters>
  <Application>Microsoft Office Word</Application>
  <DocSecurity>0</DocSecurity>
  <Lines>187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9</cp:revision>
  <dcterms:created xsi:type="dcterms:W3CDTF">2016-03-16T10:50:00Z</dcterms:created>
  <dcterms:modified xsi:type="dcterms:W3CDTF">2016-03-18T15:33:00Z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 annex">
    <vt:lpwstr>2</vt:lpwstr>
  </property>
  <property fmtid="{D5CDD505-2E9C-101B-9397-08002B2CF9AE}" pid="3" name="Last annex">
    <vt:lpwstr>2</vt:lpwstr>
  </property>
  <property fmtid="{D5CDD505-2E9C-101B-9397-08002B2CF9AE}" pid="4" name="Part">
    <vt:lpwstr>1</vt:lpwstr>
  </property>
  <property fmtid="{D5CDD505-2E9C-101B-9397-08002B2CF9AE}" pid="5" name="Total parts">
    <vt:lpwstr>1</vt:lpwstr>
  </property>
  <property fmtid="{D5CDD505-2E9C-101B-9397-08002B2CF9AE}" pid="6" name="DocStatus">
    <vt:lpwstr>Green</vt:lpwstr>
  </property>
  <property fmtid="{D5CDD505-2E9C-101B-9397-08002B2CF9AE}" pid="7" name="Classification">
    <vt:lpwstr> </vt:lpwstr>
  </property>
  <property name="OP_sanitized" fmtid="{D5CDD505-2E9C-101B-9397-08002B2CF9AE}" pid="8">
    <vt:lpwstr>True</vt:lpwstr>
  </property>
</Properties>
</file>