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6F5" w:rsidRDefault="00E907A7" w:rsidP="00E907A7">
      <w:pPr>
        <w:pStyle w:val="Pagedecouverture"/>
        <w:rPr>
          <w:noProof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alt="02AD273C-093A-4CB5-B063-A5FF80D13C20" style="width:450.6pt;height:397.25pt">
            <v:imagedata r:id="rId11" o:title=""/>
          </v:shape>
        </w:pict>
      </w:r>
      <w:bookmarkEnd w:id="0"/>
    </w:p>
    <w:p w:rsidR="005526F5" w:rsidRDefault="005526F5">
      <w:pPr>
        <w:rPr>
          <w:noProof/>
        </w:rPr>
        <w:sectPr w:rsidR="005526F5" w:rsidSect="00E907A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5526F5" w:rsidRDefault="00E907A7">
      <w:pPr>
        <w:pStyle w:val="Annexetitre"/>
        <w:rPr>
          <w:rStyle w:val="Marker"/>
          <w:noProof/>
        </w:rPr>
      </w:pPr>
      <w:r>
        <w:rPr>
          <w:noProof/>
        </w:rPr>
        <w:lastRenderedPageBreak/>
        <w:t>ANHANG 1</w:t>
      </w:r>
    </w:p>
    <w:p w:rsidR="005526F5" w:rsidRDefault="00E907A7">
      <w:pPr>
        <w:spacing w:before="0" w:after="200" w:line="276" w:lineRule="auto"/>
        <w:jc w:val="center"/>
        <w:rPr>
          <w:b/>
          <w:noProof/>
        </w:rPr>
      </w:pPr>
      <w:r>
        <w:rPr>
          <w:b/>
          <w:noProof/>
        </w:rPr>
        <w:t xml:space="preserve">Nicht erschöpfende Liste der Zollkontrollausrüstungen je Zollkontrollzweck </w:t>
      </w:r>
      <w:r>
        <w:rPr>
          <w:b/>
          <w:noProof/>
        </w:rPr>
        <w:br/>
        <w:t>gemäß Artikel 6 Absatz 1 Buchstabe b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093"/>
        <w:gridCol w:w="2693"/>
        <w:gridCol w:w="4820"/>
      </w:tblGrid>
      <w:tr w:rsidR="005526F5">
        <w:trPr>
          <w:trHeight w:val="1010"/>
          <w:tblHeader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526F5" w:rsidRDefault="00E907A7"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ZOLLKONTROLL-ZWECK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526F5" w:rsidRDefault="00E907A7"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ZOLLKONTROLLAUSRÜSTUNG</w:t>
            </w:r>
          </w:p>
        </w:tc>
      </w:tr>
      <w:tr w:rsidR="005526F5">
        <w:tc>
          <w:tcPr>
            <w:tcW w:w="2093" w:type="dxa"/>
            <w:vMerge/>
            <w:tcBorders>
              <w:left w:val="single" w:sz="4" w:space="0" w:color="auto"/>
            </w:tcBorders>
            <w:vAlign w:val="center"/>
          </w:tcPr>
          <w:p w:rsidR="005526F5" w:rsidRDefault="005526F5">
            <w:pPr>
              <w:spacing w:before="60" w:after="60"/>
              <w:jc w:val="left"/>
              <w:rPr>
                <w:b/>
                <w:noProof/>
                <w:sz w:val="20"/>
              </w:rPr>
            </w:pPr>
          </w:p>
        </w:tc>
        <w:tc>
          <w:tcPr>
            <w:tcW w:w="2693" w:type="dxa"/>
            <w:vAlign w:val="center"/>
          </w:tcPr>
          <w:p w:rsidR="005526F5" w:rsidRDefault="00E907A7"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KATEGORIE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ANWENDUNG</w:t>
            </w:r>
          </w:p>
        </w:tc>
      </w:tr>
      <w:tr w:rsidR="005526F5">
        <w:tc>
          <w:tcPr>
            <w:tcW w:w="20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Berührungsfreie Überprüfung</w:t>
            </w:r>
          </w:p>
        </w:tc>
        <w:tc>
          <w:tcPr>
            <w:tcW w:w="2693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Röntgenscanner – hochenergetisch 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Container, Lastkraftwagen, Eisenbahnwaggons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Röntgenscanner – niederenergetisch 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Paletten, Kisten und Pakete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Fluggastgepäck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Röntgenrückstreugerät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Container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Lastkraftwagen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Fahrzeuge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Sonstige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Systeme zur automatischen Nummernschild- / Containererkennung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Fahrzeugwaagen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Gabelstapler und ähnliche mobile Zollkontrollausrüstung</w:t>
            </w:r>
          </w:p>
        </w:tc>
      </w:tr>
      <w:tr w:rsidR="005526F5">
        <w:tc>
          <w:tcPr>
            <w:tcW w:w="20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Meldung von an Personen versteckten </w:t>
            </w:r>
            <w:r>
              <w:rPr>
                <w:noProof/>
                <w:sz w:val="20"/>
              </w:rPr>
              <w:t>Gegenständen</w:t>
            </w:r>
            <w:r>
              <w:rPr>
                <w:rStyle w:val="FootnoteReference"/>
                <w:noProof/>
                <w:sz w:val="20"/>
              </w:rPr>
              <w:footnoteReference w:id="1"/>
            </w:r>
            <w:r>
              <w:rPr>
                <w:noProof/>
                <w:sz w:val="20"/>
              </w:rPr>
              <w:t>,</w:t>
            </w:r>
          </w:p>
        </w:tc>
        <w:tc>
          <w:tcPr>
            <w:tcW w:w="2693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Röntgenrückstreu-Portalscanner</w:t>
            </w:r>
          </w:p>
        </w:tc>
        <w:tc>
          <w:tcPr>
            <w:tcW w:w="4820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Hauptsächlich in Flughäfen zum Aufspüren von an Personen versteckten Gegenständen (Drogen, Sprengstoffen, Bargeld)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Körperscanner </w:t>
            </w:r>
          </w:p>
        </w:tc>
        <w:tc>
          <w:tcPr>
            <w:tcW w:w="4820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</w:tr>
      <w:tr w:rsidR="005526F5">
        <w:tc>
          <w:tcPr>
            <w:tcW w:w="20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Strahlennachweis und Nuklididentifizierung </w:t>
            </w:r>
          </w:p>
        </w:tc>
        <w:tc>
          <w:tcPr>
            <w:tcW w:w="26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Nachweis radiologischer und </w:t>
            </w:r>
            <w:r>
              <w:rPr>
                <w:noProof/>
                <w:sz w:val="20"/>
              </w:rPr>
              <w:t>nuklearer Stoffe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Persönlicher Strahlungsmonitor/-detektor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Tragbarer Strahlungsdetektor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Gerät für die Isotopenerkennung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Strahlungsportalmonitor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Spektrometrischer Portalmonitor für die Isotopenerkennung</w:t>
            </w:r>
          </w:p>
        </w:tc>
      </w:tr>
      <w:tr w:rsidR="005526F5">
        <w:trPr>
          <w:trHeight w:val="162"/>
        </w:trPr>
        <w:tc>
          <w:tcPr>
            <w:tcW w:w="20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Analyse von Proben in Laboratorien</w:t>
            </w:r>
          </w:p>
        </w:tc>
        <w:tc>
          <w:tcPr>
            <w:tcW w:w="26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Ermittlung, Quantifizierung und Überprüfung aller möglichen Waren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Gas- und Flüssigkeitschromatographie (GC, LC, HPLC usw.) </w:t>
            </w:r>
          </w:p>
        </w:tc>
      </w:tr>
      <w:tr w:rsidR="005526F5">
        <w:trPr>
          <w:trHeight w:val="162"/>
        </w:trPr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Spektrometrie und mit Spektrometrie kombinierte Techniken (IR, Raman, UV-VIS Fluoreszenz, GC-MS usw.)</w:t>
            </w:r>
          </w:p>
        </w:tc>
      </w:tr>
      <w:tr w:rsidR="005526F5">
        <w:trPr>
          <w:trHeight w:val="162"/>
        </w:trPr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Röntgenausrüstung </w:t>
            </w:r>
            <w:r>
              <w:rPr>
                <w:noProof/>
                <w:sz w:val="20"/>
              </w:rPr>
              <w:t>(Röntgenfluoreszenz usw.)</w:t>
            </w:r>
          </w:p>
        </w:tc>
      </w:tr>
      <w:tr w:rsidR="005526F5">
        <w:trPr>
          <w:trHeight w:val="162"/>
        </w:trPr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Kernspinresonanzspektroskopie (NMR) und Analyse stabiler Isotope</w:t>
            </w:r>
          </w:p>
        </w:tc>
      </w:tr>
      <w:tr w:rsidR="005526F5">
        <w:trPr>
          <w:trHeight w:val="162"/>
        </w:trPr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Andere Laborausrüstung (Atomabsorptionsspektrometer (AAS), Destillationsanalysator, Dynamische Differenzkalorimetrie (DDK), Elektrophoresegerät, Mikroskop, Flü</w:t>
            </w:r>
            <w:r>
              <w:rPr>
                <w:noProof/>
                <w:sz w:val="20"/>
              </w:rPr>
              <w:t>ssigszintillationszähler (LSC), Rauchmaschine usw.)</w:t>
            </w:r>
          </w:p>
        </w:tc>
      </w:tr>
    </w:tbl>
    <w:p w:rsidR="005526F5" w:rsidRDefault="00E907A7">
      <w:pPr>
        <w:spacing w:before="0" w:after="200" w:line="276" w:lineRule="auto"/>
        <w:jc w:val="left"/>
        <w:rPr>
          <w:noProof/>
        </w:rPr>
      </w:pPr>
      <w:r>
        <w:rPr>
          <w:noProof/>
        </w:rPr>
        <w:br w:type="page"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093"/>
        <w:gridCol w:w="2693"/>
        <w:gridCol w:w="4820"/>
      </w:tblGrid>
      <w:tr w:rsidR="005526F5">
        <w:trPr>
          <w:trHeight w:val="1010"/>
          <w:tblHeader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526F5" w:rsidRDefault="00E907A7"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lastRenderedPageBreak/>
              <w:t>ZOLLKONTROLL-ZWECK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526F5" w:rsidRDefault="00E907A7"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ZOLLKONTROLLAUSRÜSTUNG</w:t>
            </w:r>
          </w:p>
        </w:tc>
      </w:tr>
      <w:tr w:rsidR="005526F5">
        <w:tc>
          <w:tcPr>
            <w:tcW w:w="2093" w:type="dxa"/>
            <w:vMerge/>
            <w:tcBorders>
              <w:left w:val="single" w:sz="4" w:space="0" w:color="auto"/>
            </w:tcBorders>
            <w:vAlign w:val="center"/>
          </w:tcPr>
          <w:p w:rsidR="005526F5" w:rsidRDefault="005526F5">
            <w:pPr>
              <w:spacing w:before="60" w:after="60"/>
              <w:jc w:val="left"/>
              <w:rPr>
                <w:b/>
                <w:noProof/>
                <w:sz w:val="20"/>
              </w:rPr>
            </w:pPr>
          </w:p>
        </w:tc>
        <w:tc>
          <w:tcPr>
            <w:tcW w:w="2693" w:type="dxa"/>
            <w:vAlign w:val="center"/>
          </w:tcPr>
          <w:p w:rsidR="005526F5" w:rsidRDefault="00E907A7"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KATEGORIE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ANWENDUNG</w:t>
            </w:r>
          </w:p>
        </w:tc>
      </w:tr>
      <w:tr w:rsidR="005526F5">
        <w:tc>
          <w:tcPr>
            <w:tcW w:w="20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Probenahme und Vor-Ort-Analyse von Proben</w:t>
            </w:r>
          </w:p>
        </w:tc>
        <w:tc>
          <w:tcPr>
            <w:tcW w:w="2693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Spurennachweis auf der Grundlage von Ionenmobilitätsspektrometrie (IMS)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Tragbare Ausrüstung </w:t>
            </w:r>
            <w:r>
              <w:rPr>
                <w:noProof/>
                <w:sz w:val="20"/>
              </w:rPr>
              <w:t>zur Untersuchung von Spuren bestimmter gefährlicher Stoffe</w:t>
            </w:r>
          </w:p>
        </w:tc>
      </w:tr>
      <w:tr w:rsidR="005526F5">
        <w:trPr>
          <w:trHeight w:val="293"/>
        </w:trPr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Spurennachweis mit Hunden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Für eine Reihe von Risiken bei kleinen und größeren Gegenständen</w:t>
            </w:r>
          </w:p>
        </w:tc>
      </w:tr>
      <w:tr w:rsidR="005526F5">
        <w:trPr>
          <w:trHeight w:val="292"/>
        </w:trPr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Probenahme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Instrumente für die Probenahme, Absaughaube, Handschuhbox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Mobile Laboratorien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Vollständig</w:t>
            </w:r>
            <w:r>
              <w:rPr>
                <w:noProof/>
                <w:sz w:val="20"/>
              </w:rPr>
              <w:t xml:space="preserve"> mit Ausrüstung für die Vor-Ort-Analyse von Proben ausgestattetes Fahrzeug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[Analyse von organischen Stoffen, Metallen und Legierungen] Tragbare Detektoren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Chemische kolorimetrische Prüfungen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Raman-Spektroskopie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Infrarotspektroskopie</w:t>
            </w:r>
          </w:p>
        </w:tc>
      </w:tr>
      <w:tr w:rsidR="005526F5">
        <w:trPr>
          <w:trHeight w:val="173"/>
        </w:trPr>
        <w:tc>
          <w:tcPr>
            <w:tcW w:w="2093" w:type="dxa"/>
            <w:vMerge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Röntgenfluoreszenz</w:t>
            </w:r>
          </w:p>
        </w:tc>
      </w:tr>
      <w:tr w:rsidR="005526F5">
        <w:trPr>
          <w:trHeight w:val="172"/>
        </w:trPr>
        <w:tc>
          <w:tcPr>
            <w:tcW w:w="2093" w:type="dxa"/>
            <w:vMerge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Gasdetektoren für Container</w:t>
            </w:r>
          </w:p>
        </w:tc>
      </w:tr>
      <w:tr w:rsidR="005526F5">
        <w:tc>
          <w:tcPr>
            <w:tcW w:w="20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Suche mit tragbaren Geräten</w:t>
            </w:r>
          </w:p>
        </w:tc>
        <w:tc>
          <w:tcPr>
            <w:tcW w:w="26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Persönliche Handwerkzeuge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Taschenwerkzeuge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Mechanikwerkzeugsatz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Teleskopspiegel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Geräte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Endoskop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Ortsfester oder tragbarer Metalldetektor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Kameras zur Überprüfung </w:t>
            </w:r>
            <w:r>
              <w:rPr>
                <w:noProof/>
                <w:sz w:val="20"/>
              </w:rPr>
              <w:t>des Unterbodens von Fahrzeugen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Ultraschallgerät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Dichtemesser</w:t>
            </w:r>
          </w:p>
        </w:tc>
      </w:tr>
      <w:tr w:rsidR="005526F5">
        <w:tc>
          <w:tcPr>
            <w:tcW w:w="2093" w:type="dxa"/>
            <w:vMerge/>
            <w:vAlign w:val="center"/>
          </w:tcPr>
          <w:p w:rsidR="005526F5" w:rsidRDefault="005526F5">
            <w:pPr>
              <w:spacing w:before="60" w:after="60"/>
              <w:jc w:val="left"/>
              <w:rPr>
                <w:noProof/>
                <w:sz w:val="20"/>
              </w:rPr>
            </w:pPr>
          </w:p>
        </w:tc>
        <w:tc>
          <w:tcPr>
            <w:tcW w:w="2693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Sonstige</w:t>
            </w:r>
          </w:p>
        </w:tc>
        <w:tc>
          <w:tcPr>
            <w:tcW w:w="4820" w:type="dxa"/>
            <w:vAlign w:val="center"/>
          </w:tcPr>
          <w:p w:rsidR="005526F5" w:rsidRDefault="00E907A7"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Unterwassersuche</w:t>
            </w:r>
          </w:p>
        </w:tc>
      </w:tr>
    </w:tbl>
    <w:p w:rsidR="005526F5" w:rsidRDefault="005526F5">
      <w:pPr>
        <w:rPr>
          <w:noProof/>
        </w:rPr>
        <w:sectPr w:rsidR="005526F5" w:rsidSect="00E907A7">
          <w:footerReference w:type="default" r:id="rId18"/>
          <w:footerReference w:type="first" r:id="rId19"/>
          <w:pgSz w:w="11907" w:h="16839"/>
          <w:pgMar w:top="1134" w:right="1417" w:bottom="1134" w:left="1417" w:header="709" w:footer="709" w:gutter="0"/>
          <w:cols w:space="720"/>
          <w:docGrid w:linePitch="360"/>
        </w:sectPr>
      </w:pPr>
    </w:p>
    <w:p w:rsidR="005526F5" w:rsidRDefault="00E907A7">
      <w:pPr>
        <w:pStyle w:val="Annexetitre"/>
        <w:rPr>
          <w:noProof/>
        </w:rPr>
      </w:pPr>
      <w:r>
        <w:rPr>
          <w:noProof/>
        </w:rPr>
        <w:lastRenderedPageBreak/>
        <w:t>ANHANG 2</w:t>
      </w:r>
    </w:p>
    <w:p w:rsidR="005526F5" w:rsidRDefault="00E907A7">
      <w:pPr>
        <w:spacing w:before="0" w:after="200" w:line="276" w:lineRule="auto"/>
        <w:jc w:val="center"/>
        <w:rPr>
          <w:b/>
          <w:noProof/>
        </w:rPr>
      </w:pPr>
      <w:r>
        <w:rPr>
          <w:b/>
          <w:noProof/>
        </w:rPr>
        <w:t>Indikatoren</w:t>
      </w:r>
    </w:p>
    <w:p w:rsidR="005526F5" w:rsidRDefault="00E907A7">
      <w:pPr>
        <w:rPr>
          <w:noProof/>
        </w:rPr>
      </w:pPr>
      <w:r>
        <w:rPr>
          <w:noProof/>
        </w:rPr>
        <w:t xml:space="preserve">Spezifisches Ziel: Durch die Anschaffung, Wartung und Modernisierung relevanter, </w:t>
      </w:r>
      <w:r>
        <w:rPr>
          <w:noProof/>
        </w:rPr>
        <w:t>modernster und zuverlässiger Zollkontrollausrüstung zu angemessenen und gleichwertigen Zollkontrollen beizutragen.</w:t>
      </w:r>
    </w:p>
    <w:p w:rsidR="005526F5" w:rsidRDefault="00E907A7">
      <w:pPr>
        <w:pStyle w:val="NumPar1"/>
        <w:numPr>
          <w:ilvl w:val="0"/>
          <w:numId w:val="9"/>
        </w:numPr>
        <w:rPr>
          <w:b/>
          <w:noProof/>
          <w:u w:val="single"/>
        </w:rPr>
      </w:pPr>
      <w:r>
        <w:rPr>
          <w:b/>
          <w:noProof/>
          <w:u w:val="single"/>
        </w:rPr>
        <w:t>Verfügbare Ausrüstung</w:t>
      </w:r>
    </w:p>
    <w:p w:rsidR="005526F5" w:rsidRDefault="00E907A7">
      <w:pPr>
        <w:pStyle w:val="Point1"/>
        <w:rPr>
          <w:noProof/>
        </w:rPr>
      </w:pPr>
      <w:r>
        <w:rPr>
          <w:noProof/>
        </w:rPr>
        <w:t>a)</w:t>
      </w:r>
      <w:r>
        <w:rPr>
          <w:noProof/>
        </w:rPr>
        <w:tab/>
        <w:t>Verfügbarkeit von Zollkontrollausrüstung, die vereinbarten Normen entspricht, an den Grenzübergangsstellen der Landg</w:t>
      </w:r>
      <w:r>
        <w:rPr>
          <w:noProof/>
        </w:rPr>
        <w:t>renzen (nach Art der Ausrüstung)</w:t>
      </w:r>
    </w:p>
    <w:p w:rsidR="005526F5" w:rsidRDefault="00E907A7">
      <w:pPr>
        <w:pStyle w:val="Point1"/>
        <w:rPr>
          <w:noProof/>
        </w:rPr>
      </w:pPr>
      <w:r>
        <w:rPr>
          <w:noProof/>
        </w:rPr>
        <w:t>b)</w:t>
      </w:r>
      <w:r>
        <w:rPr>
          <w:noProof/>
        </w:rPr>
        <w:tab/>
        <w:t>Verfügbarkeit von Zollkontrollausrüstung, die vereinbarten Normen entspricht, an den Grenzübergangsstellen der Seegrenzen (nach Art der Ausrüstung)</w:t>
      </w:r>
    </w:p>
    <w:p w:rsidR="005526F5" w:rsidRDefault="00E907A7">
      <w:pPr>
        <w:pStyle w:val="Point1"/>
        <w:rPr>
          <w:noProof/>
        </w:rPr>
      </w:pPr>
      <w:r>
        <w:rPr>
          <w:noProof/>
        </w:rPr>
        <w:t>c)</w:t>
      </w:r>
      <w:r>
        <w:rPr>
          <w:noProof/>
        </w:rPr>
        <w:tab/>
        <w:t>Verfügbarkeit von Zollkontrollausrüstung, die vereinbarten Normen ent</w:t>
      </w:r>
      <w:r>
        <w:rPr>
          <w:noProof/>
        </w:rPr>
        <w:t>spricht, an den Grenzübergangsstellen der Luftgrenzen (nach Art der Ausrüstung)</w:t>
      </w:r>
    </w:p>
    <w:p w:rsidR="005526F5" w:rsidRDefault="00E907A7">
      <w:pPr>
        <w:pStyle w:val="Point1"/>
        <w:rPr>
          <w:noProof/>
        </w:rPr>
      </w:pPr>
      <w:r>
        <w:rPr>
          <w:noProof/>
        </w:rPr>
        <w:t>d)</w:t>
      </w:r>
      <w:r>
        <w:rPr>
          <w:noProof/>
        </w:rPr>
        <w:tab/>
        <w:t>Verfügbarkeit von Zollkontrollausrüstung, die vereinbarten Normen entspricht, an den Grenzübergangsstellen für den Postverkehr (nach Art der Ausrüstung)</w:t>
      </w:r>
    </w:p>
    <w:p w:rsidR="005526F5" w:rsidRDefault="00E907A7">
      <w:pPr>
        <w:pStyle w:val="Point1"/>
        <w:rPr>
          <w:noProof/>
        </w:rPr>
      </w:pPr>
      <w:r>
        <w:rPr>
          <w:noProof/>
        </w:rPr>
        <w:t>e)</w:t>
      </w:r>
      <w:r>
        <w:rPr>
          <w:noProof/>
        </w:rPr>
        <w:tab/>
        <w:t>Verfügbarkeit von</w:t>
      </w:r>
      <w:r>
        <w:rPr>
          <w:noProof/>
        </w:rPr>
        <w:t xml:space="preserve"> Zollkontrollausrüstung, die vereinbarten Normen entspricht, an den Grenzübergangsstellen für den Schienenverkehr (nach Art der Ausrüstung)</w:t>
      </w:r>
    </w:p>
    <w:sectPr w:rsidR="005526F5" w:rsidSect="00E907A7"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6F5" w:rsidRDefault="00E907A7">
      <w:pPr>
        <w:spacing w:before="0" w:after="0"/>
      </w:pPr>
      <w:r>
        <w:separator/>
      </w:r>
    </w:p>
  </w:endnote>
  <w:endnote w:type="continuationSeparator" w:id="0">
    <w:p w:rsidR="005526F5" w:rsidRDefault="00E907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A7" w:rsidRPr="00E907A7" w:rsidRDefault="00E907A7" w:rsidP="00E907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A7" w:rsidRPr="00E907A7" w:rsidRDefault="00E907A7" w:rsidP="00E907A7">
    <w:pPr>
      <w:pStyle w:val="Footer"/>
      <w:rPr>
        <w:rFonts w:ascii="Arial" w:hAnsi="Arial" w:cs="Arial"/>
        <w:b/>
        <w:sz w:val="48"/>
      </w:rPr>
    </w:pPr>
    <w:r w:rsidRPr="00E907A7">
      <w:rPr>
        <w:rFonts w:ascii="Arial" w:hAnsi="Arial" w:cs="Arial"/>
        <w:b/>
        <w:sz w:val="48"/>
      </w:rPr>
      <w:t>DE</w:t>
    </w:r>
    <w:r w:rsidRPr="00E907A7">
      <w:rPr>
        <w:rFonts w:ascii="Arial" w:hAnsi="Arial" w:cs="Arial"/>
        <w:b/>
        <w:sz w:val="48"/>
      </w:rPr>
      <w:tab/>
    </w:r>
    <w:r w:rsidRPr="00E907A7">
      <w:rPr>
        <w:rFonts w:ascii="Arial" w:hAnsi="Arial" w:cs="Arial"/>
        <w:b/>
        <w:sz w:val="48"/>
      </w:rPr>
      <w:tab/>
    </w:r>
    <w:r w:rsidRPr="00E907A7">
      <w:tab/>
    </w:r>
    <w:proofErr w:type="spellStart"/>
    <w:r w:rsidRPr="00E907A7">
      <w:rPr>
        <w:rFonts w:ascii="Arial" w:hAnsi="Arial" w:cs="Arial"/>
        <w:b/>
        <w:sz w:val="48"/>
      </w:rPr>
      <w:t>DE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A7" w:rsidRPr="00E907A7" w:rsidRDefault="00E907A7" w:rsidP="00E907A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A7" w:rsidRPr="00E907A7" w:rsidRDefault="00E907A7" w:rsidP="00E907A7">
    <w:pPr>
      <w:pStyle w:val="Footer"/>
      <w:rPr>
        <w:rFonts w:ascii="Arial" w:hAnsi="Arial" w:cs="Arial"/>
        <w:b/>
        <w:sz w:val="48"/>
      </w:rPr>
    </w:pPr>
    <w:r w:rsidRPr="00E907A7">
      <w:rPr>
        <w:rFonts w:ascii="Arial" w:hAnsi="Arial" w:cs="Arial"/>
        <w:b/>
        <w:sz w:val="48"/>
      </w:rPr>
      <w:t>DE</w:t>
    </w:r>
    <w:r w:rsidRPr="00E907A7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  <w:r>
      <w:tab/>
    </w:r>
    <w:r w:rsidRPr="00E907A7">
      <w:tab/>
    </w:r>
    <w:r w:rsidRPr="00E907A7">
      <w:rPr>
        <w:rFonts w:ascii="Arial" w:hAnsi="Arial" w:cs="Arial"/>
        <w:b/>
        <w:sz w:val="48"/>
      </w:rPr>
      <w:t>DE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A7" w:rsidRPr="00E907A7" w:rsidRDefault="00E907A7" w:rsidP="00E907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6F5" w:rsidRDefault="00E907A7">
      <w:pPr>
        <w:spacing w:before="0" w:after="0"/>
      </w:pPr>
      <w:r>
        <w:separator/>
      </w:r>
    </w:p>
  </w:footnote>
  <w:footnote w:type="continuationSeparator" w:id="0">
    <w:p w:rsidR="005526F5" w:rsidRDefault="00E907A7">
      <w:pPr>
        <w:spacing w:before="0" w:after="0"/>
      </w:pPr>
      <w:r>
        <w:continuationSeparator/>
      </w:r>
    </w:p>
  </w:footnote>
  <w:footnote w:id="1">
    <w:p w:rsidR="005526F5" w:rsidRDefault="00E907A7">
      <w:pPr>
        <w:pStyle w:val="FootnoteText"/>
      </w:pPr>
      <w:r>
        <w:rPr>
          <w:rStyle w:val="FootnoteReference"/>
        </w:rPr>
        <w:footnoteRef/>
      </w:r>
      <w:r>
        <w:tab/>
        <w:t>Vorbehaltlich geltender Rechtsvorschriften und sonstiger Empfehlungen in Bezug auf den Gesundheitsschutz und d</w:t>
      </w:r>
      <w:r>
        <w:t>ie Wahrung der Privatsphäre.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A7" w:rsidRPr="00E907A7" w:rsidRDefault="00E907A7" w:rsidP="00E907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A7" w:rsidRPr="00E907A7" w:rsidRDefault="00E907A7" w:rsidP="00E907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A7" w:rsidRPr="00E907A7" w:rsidRDefault="00E907A7" w:rsidP="00E907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3ECA565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B9CC4EA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A0F0C9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225C644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F202F2D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6CF6B11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CA187AB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97C4C3D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2"/>
  </w:num>
  <w:num w:numId="12">
    <w:abstractNumId w:val="20"/>
  </w:num>
  <w:num w:numId="13">
    <w:abstractNumId w:val="11"/>
  </w:num>
  <w:num w:numId="14">
    <w:abstractNumId w:val="13"/>
  </w:num>
  <w:num w:numId="15">
    <w:abstractNumId w:val="9"/>
  </w:num>
  <w:num w:numId="16">
    <w:abstractNumId w:val="19"/>
  </w:num>
  <w:num w:numId="17">
    <w:abstractNumId w:val="8"/>
  </w:num>
  <w:num w:numId="18">
    <w:abstractNumId w:val="14"/>
  </w:num>
  <w:num w:numId="19">
    <w:abstractNumId w:val="16"/>
  </w:num>
  <w:num w:numId="20">
    <w:abstractNumId w:val="17"/>
  </w:num>
  <w:num w:numId="21">
    <w:abstractNumId w:val="10"/>
  </w:num>
  <w:num w:numId="22">
    <w:abstractNumId w:val="15"/>
  </w:num>
  <w:num w:numId="23">
    <w:abstractNumId w:val="21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20"/>
  </w:num>
  <w:num w:numId="28">
    <w:abstractNumId w:val="11"/>
  </w:num>
  <w:num w:numId="29">
    <w:abstractNumId w:val="13"/>
  </w:num>
  <w:num w:numId="30">
    <w:abstractNumId w:val="9"/>
  </w:num>
  <w:num w:numId="31">
    <w:abstractNumId w:val="19"/>
  </w:num>
  <w:num w:numId="32">
    <w:abstractNumId w:val="8"/>
  </w:num>
  <w:num w:numId="33">
    <w:abstractNumId w:val="14"/>
  </w:num>
  <w:num w:numId="34">
    <w:abstractNumId w:val="16"/>
  </w:num>
  <w:num w:numId="35">
    <w:abstractNumId w:val="17"/>
  </w:num>
  <w:num w:numId="36">
    <w:abstractNumId w:val="10"/>
  </w:num>
  <w:num w:numId="37">
    <w:abstractNumId w:val="15"/>
  </w:num>
  <w:num w:numId="38">
    <w:abstractNumId w:val="21"/>
  </w:num>
  <w:numIdMacAtCleanup w:val="2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EMOULIN Pierre-Yves (TAXUD)">
    <w15:presenceInfo w15:providerId="None" w15:userId="DEMOULIN Pierre-Yves (TAXUD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hideSpellingErrors/>
  <w:hideGrammaticalError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18-06-12 10:19:38"/>
    <w:docVar w:name="DQCResult_Distribution" w:val="0;1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0"/>
    <w:docVar w:name="DQCResult_UnknownFonts" w:val="0;0"/>
    <w:docVar w:name="DQCResult_UnknownStyles" w:val="0;0"/>
    <w:docVar w:name="DQCStatus" w:val="Yellow"/>
    <w:docVar w:name="DQCVersion" w:val="3"/>
    <w:docVar w:name="DQCWithWarnings" w:val="0"/>
    <w:docVar w:name="LW_ACCOMPAGNANT" w:val="des Vorschlags für eine"/>
    <w:docVar w:name="LW_ACCOMPAGNANT.CP" w:val="des Vorschlags für eine"/>
    <w:docVar w:name="LW_ANNEX_NBR_FIRST" w:val="1"/>
    <w:docVar w:name="LW_ANNEX_NBR_LAST" w:val="2"/>
    <w:docVar w:name="LW_ANNEX_UNIQUE" w:val="0"/>
    <w:docVar w:name="LW_CORRIGENDUM" w:val="&lt;UNUSED&gt;"/>
    <w:docVar w:name="LW_COVERPAGE_EXISTS" w:val="True"/>
    <w:docVar w:name="LW_COVERPAGE_GUID" w:val="02AD273C-093A-4CB5-B063-A5FF80D13C20"/>
    <w:docVar w:name="LW_COVERPAGE_TYPE" w:val="1"/>
    <w:docVar w:name="LW_CROSSREFERENCE" w:val="{SWD(2018) 347}_x000a_{SWD(2018) 348}_x000a_{SEC(2018) 315}"/>
    <w:docVar w:name="LW_DocType" w:val="ANNEX"/>
    <w:docVar w:name="LW_EMISSION" w:val="12.6.2018"/>
    <w:docVar w:name="LW_EMISSION_ISODATE" w:val="2018-06-12"/>
    <w:docVar w:name="LW_EMISSION_LOCATION" w:val="BRX"/>
    <w:docVar w:name="LW_EMISSION_PREFIX" w:val="Straßburg, den"/>
    <w:docVar w:name="LW_EMISSION_SUFFIX" w:val="&lt;EMPTY&gt;"/>
    <w:docVar w:name="LW_ID_DOCSTRUCTURE" w:val="COM/ANNEX"/>
    <w:docVar w:name="LW_ID_DOCTYPE" w:val="SG-017"/>
    <w:docVar w:name="LW_LANGUE" w:val="DE"/>
    <w:docVar w:name="LW_LEVEL_OF_SENSITIVITY" w:val="Standard treatment"/>
    <w:docVar w:name="LW_NOM.INST" w:val="EUROPÄISCHE KOMMISSION"/>
    <w:docVar w:name="LW_NOM.INST_JOINTDOC" w:val="&lt;EMPTY&gt;"/>
    <w:docVar w:name="LW_OBJETACTEPRINCIPAL" w:val="zur Schaffung des Instruments für finanzielle Hilfe für Zollkontrollausrüstung im Rahmen des Fonds für integriertes Grenzmanagement"/>
    <w:docVar w:name="LW_OBJETACTEPRINCIPAL.CP" w:val="zur Schaffung des Instruments für finanzielle Hilfe für Zollkontrollausrüstung im Rahmen des Fonds für integriertes Grenzmanagement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18) 474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 xsi:nil=&quot;true&quot; /&gt;_x000d__x000a_  &lt;limited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footnote xsi:nil=&quot;true&quot; /&gt;_x000d__x000a_  &lt;isRestricted&gt;false&lt;/isRestricted&gt;_x000d__x000a_&lt;/SensitivityLevel&gt;"/>
    <w:docVar w:name="LW_SUPERTITRE" w:val="&lt;UNUSED&gt;"/>
    <w:docVar w:name="LW_TYPE.DOC" w:val="ANHÄNGE"/>
    <w:docVar w:name="LW_TYPE.DOC.CP" w:val="ANHÄNGE"/>
    <w:docVar w:name="LW_TYPEACTEPRINCIPAL" w:val="VERORDNUNG DES EUROPÄISCHEN PARLAMENTS UND DES RATES"/>
    <w:docVar w:name="LW_TYPEACTEPRINCIPAL.CP" w:val="VERORDNUNG DES EUROPÄISCHEN PARLAMENTS UND DES RATES"/>
  </w:docVars>
  <w:rsids>
    <w:rsidRoot w:val="005526F5"/>
    <w:rsid w:val="005526F5"/>
    <w:rsid w:val="00E9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de-DE" w:bidi="de-DE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1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1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1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1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de-D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  <w:lang w:val="de-DE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de-DE"/>
    </w:rPr>
  </w:style>
  <w:style w:type="paragraph" w:styleId="Header">
    <w:name w:val="header"/>
    <w:basedOn w:val="Normal"/>
    <w:link w:val="HeaderChar"/>
    <w:uiPriority w:val="99"/>
    <w:unhideWhenUsed/>
    <w:rsid w:val="00E907A7"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E907A7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E907A7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E907A7"/>
    <w:rPr>
      <w:rFonts w:ascii="Times New Roman" w:hAnsi="Times New Roman" w:cs="Times New Roman"/>
      <w:sz w:val="24"/>
      <w:lang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rsid w:val="00E907A7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rsid w:val="00E907A7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  <w:rPr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E907A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  <w:lang w:eastAsia="en-US" w:bidi="ar-SA"/>
    </w:rPr>
  </w:style>
  <w:style w:type="paragraph" w:customStyle="1" w:styleId="FooterSensitivity">
    <w:name w:val="Footer Sensitivity"/>
    <w:basedOn w:val="Normal"/>
    <w:rsid w:val="00E907A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  <w:lang w:eastAsia="en-US" w:bidi="ar-SA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5"/>
      </w:numPr>
    </w:pPr>
  </w:style>
  <w:style w:type="paragraph" w:customStyle="1" w:styleId="Tiret1">
    <w:name w:val="Tiret 1"/>
    <w:basedOn w:val="Point1"/>
    <w:pPr>
      <w:numPr>
        <w:numId w:val="26"/>
      </w:numPr>
    </w:pPr>
  </w:style>
  <w:style w:type="paragraph" w:customStyle="1" w:styleId="Tiret2">
    <w:name w:val="Tiret 2"/>
    <w:basedOn w:val="Point2"/>
    <w:pPr>
      <w:numPr>
        <w:numId w:val="27"/>
      </w:numPr>
    </w:pPr>
  </w:style>
  <w:style w:type="paragraph" w:customStyle="1" w:styleId="Tiret3">
    <w:name w:val="Tiret 3"/>
    <w:basedOn w:val="Point3"/>
    <w:pPr>
      <w:numPr>
        <w:numId w:val="28"/>
      </w:numPr>
    </w:pPr>
  </w:style>
  <w:style w:type="paragraph" w:customStyle="1" w:styleId="Tiret4">
    <w:name w:val="Tiret 4"/>
    <w:basedOn w:val="Point4"/>
    <w:pPr>
      <w:numPr>
        <w:numId w:val="29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0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0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0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0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2"/>
      </w:numPr>
    </w:pPr>
  </w:style>
  <w:style w:type="paragraph" w:customStyle="1" w:styleId="Point1number">
    <w:name w:val="Point 1 (number)"/>
    <w:basedOn w:val="Normal"/>
    <w:pPr>
      <w:numPr>
        <w:ilvl w:val="2"/>
        <w:numId w:val="32"/>
      </w:numPr>
    </w:pPr>
  </w:style>
  <w:style w:type="paragraph" w:customStyle="1" w:styleId="Point2number">
    <w:name w:val="Point 2 (number)"/>
    <w:basedOn w:val="Normal"/>
    <w:pPr>
      <w:numPr>
        <w:ilvl w:val="4"/>
        <w:numId w:val="32"/>
      </w:numPr>
    </w:pPr>
  </w:style>
  <w:style w:type="paragraph" w:customStyle="1" w:styleId="Point3number">
    <w:name w:val="Point 3 (number)"/>
    <w:basedOn w:val="Normal"/>
    <w:pPr>
      <w:numPr>
        <w:ilvl w:val="6"/>
        <w:numId w:val="32"/>
      </w:numPr>
    </w:pPr>
  </w:style>
  <w:style w:type="paragraph" w:customStyle="1" w:styleId="Point0letter">
    <w:name w:val="Point 0 (letter)"/>
    <w:basedOn w:val="Normal"/>
    <w:pPr>
      <w:numPr>
        <w:ilvl w:val="1"/>
        <w:numId w:val="32"/>
      </w:numPr>
    </w:pPr>
  </w:style>
  <w:style w:type="paragraph" w:customStyle="1" w:styleId="Point1letter">
    <w:name w:val="Point 1 (letter)"/>
    <w:basedOn w:val="Normal"/>
    <w:pPr>
      <w:numPr>
        <w:ilvl w:val="3"/>
        <w:numId w:val="32"/>
      </w:numPr>
    </w:pPr>
  </w:style>
  <w:style w:type="paragraph" w:customStyle="1" w:styleId="Point2letter">
    <w:name w:val="Point 2 (letter)"/>
    <w:basedOn w:val="Normal"/>
    <w:pPr>
      <w:numPr>
        <w:ilvl w:val="5"/>
        <w:numId w:val="32"/>
      </w:numPr>
    </w:pPr>
  </w:style>
  <w:style w:type="paragraph" w:customStyle="1" w:styleId="Point3letter">
    <w:name w:val="Point 3 (letter)"/>
    <w:basedOn w:val="Normal"/>
    <w:pPr>
      <w:numPr>
        <w:ilvl w:val="7"/>
        <w:numId w:val="32"/>
      </w:numPr>
    </w:pPr>
  </w:style>
  <w:style w:type="paragraph" w:customStyle="1" w:styleId="Point4letter">
    <w:name w:val="Point 4 (letter)"/>
    <w:basedOn w:val="Normal"/>
    <w:pPr>
      <w:numPr>
        <w:ilvl w:val="8"/>
        <w:numId w:val="32"/>
      </w:numPr>
    </w:pPr>
  </w:style>
  <w:style w:type="paragraph" w:customStyle="1" w:styleId="Bullet0">
    <w:name w:val="Bullet 0"/>
    <w:basedOn w:val="Normal"/>
    <w:pPr>
      <w:numPr>
        <w:numId w:val="33"/>
      </w:numPr>
    </w:pPr>
  </w:style>
  <w:style w:type="paragraph" w:customStyle="1" w:styleId="Bullet1">
    <w:name w:val="Bullet 1"/>
    <w:basedOn w:val="Normal"/>
    <w:pPr>
      <w:numPr>
        <w:numId w:val="34"/>
      </w:numPr>
    </w:pPr>
  </w:style>
  <w:style w:type="paragraph" w:customStyle="1" w:styleId="Bullet2">
    <w:name w:val="Bullet 2"/>
    <w:basedOn w:val="Normal"/>
    <w:pPr>
      <w:numPr>
        <w:numId w:val="35"/>
      </w:numPr>
    </w:pPr>
  </w:style>
  <w:style w:type="paragraph" w:customStyle="1" w:styleId="Bullet3">
    <w:name w:val="Bullet 3"/>
    <w:basedOn w:val="Normal"/>
    <w:pPr>
      <w:numPr>
        <w:numId w:val="36"/>
      </w:numPr>
    </w:pPr>
  </w:style>
  <w:style w:type="paragraph" w:customStyle="1" w:styleId="Bullet4">
    <w:name w:val="Bullet 4"/>
    <w:basedOn w:val="Normal"/>
    <w:pPr>
      <w:numPr>
        <w:numId w:val="37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8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de-DE" w:bidi="de-DE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1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1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1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1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de-D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  <w:lang w:val="de-DE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de-DE"/>
    </w:rPr>
  </w:style>
  <w:style w:type="paragraph" w:styleId="Header">
    <w:name w:val="header"/>
    <w:basedOn w:val="Normal"/>
    <w:link w:val="HeaderChar"/>
    <w:uiPriority w:val="99"/>
    <w:unhideWhenUsed/>
    <w:rsid w:val="00E907A7"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E907A7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E907A7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E907A7"/>
    <w:rPr>
      <w:rFonts w:ascii="Times New Roman" w:hAnsi="Times New Roman" w:cs="Times New Roman"/>
      <w:sz w:val="24"/>
      <w:lang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rsid w:val="00E907A7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rsid w:val="00E907A7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  <w:rPr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E907A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  <w:lang w:eastAsia="en-US" w:bidi="ar-SA"/>
    </w:rPr>
  </w:style>
  <w:style w:type="paragraph" w:customStyle="1" w:styleId="FooterSensitivity">
    <w:name w:val="Footer Sensitivity"/>
    <w:basedOn w:val="Normal"/>
    <w:rsid w:val="00E907A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  <w:lang w:eastAsia="en-US" w:bidi="ar-SA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5"/>
      </w:numPr>
    </w:pPr>
  </w:style>
  <w:style w:type="paragraph" w:customStyle="1" w:styleId="Tiret1">
    <w:name w:val="Tiret 1"/>
    <w:basedOn w:val="Point1"/>
    <w:pPr>
      <w:numPr>
        <w:numId w:val="26"/>
      </w:numPr>
    </w:pPr>
  </w:style>
  <w:style w:type="paragraph" w:customStyle="1" w:styleId="Tiret2">
    <w:name w:val="Tiret 2"/>
    <w:basedOn w:val="Point2"/>
    <w:pPr>
      <w:numPr>
        <w:numId w:val="27"/>
      </w:numPr>
    </w:pPr>
  </w:style>
  <w:style w:type="paragraph" w:customStyle="1" w:styleId="Tiret3">
    <w:name w:val="Tiret 3"/>
    <w:basedOn w:val="Point3"/>
    <w:pPr>
      <w:numPr>
        <w:numId w:val="28"/>
      </w:numPr>
    </w:pPr>
  </w:style>
  <w:style w:type="paragraph" w:customStyle="1" w:styleId="Tiret4">
    <w:name w:val="Tiret 4"/>
    <w:basedOn w:val="Point4"/>
    <w:pPr>
      <w:numPr>
        <w:numId w:val="29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0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0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0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0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2"/>
      </w:numPr>
    </w:pPr>
  </w:style>
  <w:style w:type="paragraph" w:customStyle="1" w:styleId="Point1number">
    <w:name w:val="Point 1 (number)"/>
    <w:basedOn w:val="Normal"/>
    <w:pPr>
      <w:numPr>
        <w:ilvl w:val="2"/>
        <w:numId w:val="32"/>
      </w:numPr>
    </w:pPr>
  </w:style>
  <w:style w:type="paragraph" w:customStyle="1" w:styleId="Point2number">
    <w:name w:val="Point 2 (number)"/>
    <w:basedOn w:val="Normal"/>
    <w:pPr>
      <w:numPr>
        <w:ilvl w:val="4"/>
        <w:numId w:val="32"/>
      </w:numPr>
    </w:pPr>
  </w:style>
  <w:style w:type="paragraph" w:customStyle="1" w:styleId="Point3number">
    <w:name w:val="Point 3 (number)"/>
    <w:basedOn w:val="Normal"/>
    <w:pPr>
      <w:numPr>
        <w:ilvl w:val="6"/>
        <w:numId w:val="32"/>
      </w:numPr>
    </w:pPr>
  </w:style>
  <w:style w:type="paragraph" w:customStyle="1" w:styleId="Point0letter">
    <w:name w:val="Point 0 (letter)"/>
    <w:basedOn w:val="Normal"/>
    <w:pPr>
      <w:numPr>
        <w:ilvl w:val="1"/>
        <w:numId w:val="32"/>
      </w:numPr>
    </w:pPr>
  </w:style>
  <w:style w:type="paragraph" w:customStyle="1" w:styleId="Point1letter">
    <w:name w:val="Point 1 (letter)"/>
    <w:basedOn w:val="Normal"/>
    <w:pPr>
      <w:numPr>
        <w:ilvl w:val="3"/>
        <w:numId w:val="32"/>
      </w:numPr>
    </w:pPr>
  </w:style>
  <w:style w:type="paragraph" w:customStyle="1" w:styleId="Point2letter">
    <w:name w:val="Point 2 (letter)"/>
    <w:basedOn w:val="Normal"/>
    <w:pPr>
      <w:numPr>
        <w:ilvl w:val="5"/>
        <w:numId w:val="32"/>
      </w:numPr>
    </w:pPr>
  </w:style>
  <w:style w:type="paragraph" w:customStyle="1" w:styleId="Point3letter">
    <w:name w:val="Point 3 (letter)"/>
    <w:basedOn w:val="Normal"/>
    <w:pPr>
      <w:numPr>
        <w:ilvl w:val="7"/>
        <w:numId w:val="32"/>
      </w:numPr>
    </w:pPr>
  </w:style>
  <w:style w:type="paragraph" w:customStyle="1" w:styleId="Point4letter">
    <w:name w:val="Point 4 (letter)"/>
    <w:basedOn w:val="Normal"/>
    <w:pPr>
      <w:numPr>
        <w:ilvl w:val="8"/>
        <w:numId w:val="32"/>
      </w:numPr>
    </w:pPr>
  </w:style>
  <w:style w:type="paragraph" w:customStyle="1" w:styleId="Bullet0">
    <w:name w:val="Bullet 0"/>
    <w:basedOn w:val="Normal"/>
    <w:pPr>
      <w:numPr>
        <w:numId w:val="33"/>
      </w:numPr>
    </w:pPr>
  </w:style>
  <w:style w:type="paragraph" w:customStyle="1" w:styleId="Bullet1">
    <w:name w:val="Bullet 1"/>
    <w:basedOn w:val="Normal"/>
    <w:pPr>
      <w:numPr>
        <w:numId w:val="34"/>
      </w:numPr>
    </w:pPr>
  </w:style>
  <w:style w:type="paragraph" w:customStyle="1" w:styleId="Bullet2">
    <w:name w:val="Bullet 2"/>
    <w:basedOn w:val="Normal"/>
    <w:pPr>
      <w:numPr>
        <w:numId w:val="35"/>
      </w:numPr>
    </w:pPr>
  </w:style>
  <w:style w:type="paragraph" w:customStyle="1" w:styleId="Bullet3">
    <w:name w:val="Bullet 3"/>
    <w:basedOn w:val="Normal"/>
    <w:pPr>
      <w:numPr>
        <w:numId w:val="36"/>
      </w:numPr>
    </w:pPr>
  </w:style>
  <w:style w:type="paragraph" w:customStyle="1" w:styleId="Bullet4">
    <w:name w:val="Bullet 4"/>
    <w:basedOn w:val="Normal"/>
    <w:pPr>
      <w:numPr>
        <w:numId w:val="37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8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emf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microsoft.com/office/2011/relationships/people" Target="people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6B29732916DF4D831BB0FCE0DA1F47" ma:contentTypeVersion="0" ma:contentTypeDescription="Create a new document." ma:contentTypeScope="" ma:versionID="5e87b6185a4559021c2d2dd44491d6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20aa71ebba3a1c4bc292c1729acccd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1C91E9-6D7E-46CD-9BFD-C815ADE41FA6}">
  <ds:schemaRefs>
    <ds:schemaRef ds:uri="http://purl.org/dc/terms/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B791DAED-FD2A-4FD3-A33F-147675A7A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F53365-29B5-46FB-975A-2153D2D37A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3</TotalTime>
  <Pages>4</Pages>
  <Words>362</Words>
  <Characters>3280</Characters>
  <Application>Microsoft Office Word</Application>
  <DocSecurity>0</DocSecurity>
  <Lines>190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8</cp:revision>
  <dcterms:created xsi:type="dcterms:W3CDTF">2018-06-11T11:28:00Z</dcterms:created>
  <dcterms:modified xsi:type="dcterms:W3CDTF">2018-06-12T08:33:00Z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6.0.1.0</vt:lpwstr>
  </property>
  <property fmtid="{D5CDD505-2E9C-101B-9397-08002B2CF9AE}" pid="4" name="Last edited using">
    <vt:lpwstr>LW 6.0, Build 20171009</vt:lpwstr>
  </property>
  <property fmtid="{D5CDD505-2E9C-101B-9397-08002B2CF9AE}" pid="5" name="Created using">
    <vt:lpwstr>LW 6.0, Build 20171009</vt:lpwstr>
  </property>
  <property fmtid="{D5CDD505-2E9C-101B-9397-08002B2CF9AE}" pid="6" name="First annex">
    <vt:lpwstr>1</vt:lpwstr>
  </property>
  <property fmtid="{D5CDD505-2E9C-101B-9397-08002B2CF9AE}" pid="7" name="Last annex">
    <vt:lpwstr>2</vt:lpwstr>
  </property>
  <property fmtid="{D5CDD505-2E9C-101B-9397-08002B2CF9AE}" pid="8" name="Unique annex">
    <vt:lpwstr>0</vt:lpwstr>
  </property>
  <property fmtid="{D5CDD505-2E9C-101B-9397-08002B2CF9AE}" pid="9" name="Part">
    <vt:lpwstr>&lt;UNUSED&gt;</vt:lpwstr>
  </property>
  <property fmtid="{D5CDD505-2E9C-101B-9397-08002B2CF9AE}" pid="10" name="Total parts">
    <vt:lpwstr>&lt;UNUSED&gt;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IsMyDocuments">
    <vt:bool>true</vt:bool>
  </property>
  <property fmtid="{D5CDD505-2E9C-101B-9397-08002B2CF9AE}" pid="14" name="ContentTypeId">
    <vt:lpwstr>0x010100676B29732916DF4D831BB0FCE0DA1F47</vt:lpwstr>
  </property>
  <property fmtid="{D5CDD505-2E9C-101B-9397-08002B2CF9AE}" pid="15" name="DQCStatus">
    <vt:lpwstr>Yellow (DQC version 03)</vt:lpwstr>
  </property>
  <property name="OP_sanitized" fmtid="{D5CDD505-2E9C-101B-9397-08002B2CF9AE}" pid="16">
    <vt:lpwstr>True</vt:lpwstr>
  </property>
</Properties>
</file>