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FCA1AED2-A2D2-4B0F-B423-9D85712BD0E3" style="width:450.45pt;height:380.15pt">
            <v:imagedata r:id="rId8" o:title=""/>
          </v:shape>
        </w:pict>
      </w:r>
    </w:p>
    <w:p>
      <w:pPr>
        <w:rPr>
          <w:noProof/>
        </w:rPr>
        <w:sectPr>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EXPUNERE DE MOTIVE</w:t>
      </w:r>
    </w:p>
    <w:p>
      <w:pPr>
        <w:pStyle w:val="ManualHeading1"/>
        <w:rPr>
          <w:noProof/>
        </w:rPr>
      </w:pPr>
      <w:r>
        <w:rPr>
          <w:noProof/>
        </w:rPr>
        <w:t>1.</w:t>
      </w:r>
      <w:r>
        <w:rPr>
          <w:noProof/>
        </w:rPr>
        <w:tab/>
        <w:t>CONTEXTUL PROPUNERII</w:t>
      </w:r>
    </w:p>
    <w:p>
      <w:pPr>
        <w:rPr>
          <w:noProof/>
        </w:rPr>
      </w:pPr>
      <w:r>
        <w:rPr>
          <w:noProof/>
        </w:rPr>
        <w:t>Regulamentul (UE) nr. 515/2014 al Parlamentului European și al Consiliului din 16 aprilie 2014 de instituire, în cadrul Fondului pentru securitate internă, a instrumentului de sprijin financiar pentru frontiere externe și vize și de abrogare a Deciziei nr. 574/2007/CE a intrat în vigoare la 21 mai 2014 și a devenit aplicabil la 1 ianuarie 2014</w:t>
      </w:r>
      <w:r>
        <w:rPr>
          <w:rStyle w:val="FootnoteReference"/>
          <w:noProof/>
        </w:rPr>
        <w:footnoteReference w:id="1"/>
      </w:r>
      <w:r>
        <w:rPr>
          <w:noProof/>
        </w:rPr>
        <w:t>.</w:t>
      </w:r>
    </w:p>
    <w:p>
      <w:pPr>
        <w:rPr>
          <w:noProof/>
        </w:rPr>
      </w:pPr>
      <w:r>
        <w:rPr>
          <w:noProof/>
        </w:rPr>
        <w:t>De asemenea, Regulamentul (UE) nr. 514/2014 al Parlamentului European și al Consiliului din 16 aprilie 2014 de stabilire a dispozițiilor generale privind Fondul pentru azil, migrație și integrare, precum și instrumentul de sprijin financiar pentru cooperarea polițienească, prevenirea și combaterea criminalității și gestionarea crizelor a intrat în vigoare la 21 mai 2014 și a devenit aplicabil la 1 ianuarie 2014</w:t>
      </w:r>
      <w:r>
        <w:rPr>
          <w:rStyle w:val="FootnoteReference"/>
          <w:noProof/>
        </w:rPr>
        <w:footnoteReference w:id="2"/>
      </w:r>
      <w:r>
        <w:rPr>
          <w:noProof/>
        </w:rPr>
        <w:t>. În temeiul articolului 19 din Regulamentul (UE) nr. 515/2014, dispozițiile Regulamentului (UE) nr. 514/2014 se aplică Instrumentului de sprijin financiar pentru frontiere externe și vize, în cadrul Fondului pentru securitate internă (denumit în continuare „FSI - Frontiere și vize”).</w:t>
      </w:r>
    </w:p>
    <w:p>
      <w:pPr>
        <w:rPr>
          <w:noProof/>
        </w:rPr>
      </w:pPr>
      <w:r>
        <w:rPr>
          <w:noProof/>
        </w:rPr>
        <w:t>Scopul FSI - Frontiere și vize este de a institui un mecanism de solidaritate care să prevadă în cazul statelor participante norme europene comune privind controlul la frontierele externe, în interes reciproc și în nume reciproc. FSI - Frontiere și vize va contribui la îndeplinirea unui obiectiv-cheie al acquis-ului Schengen, și anume la asumarea în comun a responsabilității asigurării unui „control eficace, de înalt nivel și uniform la frontierele lor externe”, astfel cum se prevede la articolul 15 din Regulamentul (UE) 2016/399 al Parlamentului European și al Consiliului</w:t>
      </w:r>
      <w:r>
        <w:rPr>
          <w:rStyle w:val="FootnoteReference"/>
          <w:noProof/>
        </w:rPr>
        <w:footnoteReference w:id="3"/>
      </w:r>
      <w:r>
        <w:rPr>
          <w:noProof/>
        </w:rPr>
        <w:t>. Prin urmare, acesta constituie o dezvoltare a acquis-ului Schengen.</w:t>
      </w:r>
    </w:p>
    <w:p>
      <w:pPr>
        <w:rPr>
          <w:noProof/>
        </w:rPr>
      </w:pPr>
      <w:r>
        <w:rPr>
          <w:noProof/>
        </w:rPr>
        <w:t>Articolul 5 alineatul (7) din Regulamentul (UE) nr. 515/2014 prevede participarea la instrument a țărilor asociate la implementarea, aplicarea și dezvoltarea acquis-ului Schengen în conformitate cu dispozițiile regulamentului respectiv și încheierea de acorduri privind contribuțiile lor financiare și normele suplimentare necesare unei asemenea participări, care să includă dispoziții prin care să se asigure protejarea intereselor financiare ale Uniunii și a competențelor de audit ale Curții de Conturi, întrucât acordurile de asociere respective nu prevăd astfel de norme.</w:t>
      </w:r>
    </w:p>
    <w:p>
      <w:pPr>
        <w:rPr>
          <w:noProof/>
        </w:rPr>
      </w:pPr>
      <w:r>
        <w:rPr>
          <w:noProof/>
        </w:rPr>
        <w:t xml:space="preserve">Obiectivul proiectului de acord cu Elveția este de a stabili acordurile menționate la articolul 5 alineatul (7) din Regulamentul (UE) nr. 515/2014 și de a permite Comisiei să își asume răspunderea finală pentru execuția bugetului instrumentului în această țară asociată și să determine contribuția acesteia la bugetul Uniunii alocat acestui instrument. </w:t>
      </w:r>
    </w:p>
    <w:p>
      <w:pPr>
        <w:rPr>
          <w:noProof/>
        </w:rPr>
      </w:pPr>
      <w:r>
        <w:rPr>
          <w:noProof/>
        </w:rPr>
        <w:t xml:space="preserve">În ceea ce privește controalele bugetare și financiare, statele membre au obligații orizontale [de exemplu, competența Curții de Conturi și a Oficiului European de Luptă Antifraudă (OLAF)], care rezultă fie direct din tratat, fie din legislația secundară a Uniunii. Aceste obligații se aplică în mod direct statelor membre și, prin urmare, nu sunt prevăzute în Regulamentul (UE) nr. 515/2014. Cu toate acestea, în conformitate cu articolul 5 alineatul (7) din Regulamentul (UE) nr. 515/2014, acestea trebuie extinse la țara asociată prin intermediul proiectului de acord. </w:t>
      </w:r>
    </w:p>
    <w:p>
      <w:pPr>
        <w:rPr>
          <w:noProof/>
        </w:rPr>
      </w:pPr>
      <w:r>
        <w:rPr>
          <w:noProof/>
        </w:rPr>
        <w:t xml:space="preserve">În vederea protejării intereselor financiare ale Uniunii împotriva fraudei și a altor nereguli, Regulamentul (UE) nr. 514/2014 prevede să se acorde personalului Comisiei, Curții de Conturi și OLAF un acces adecvat pentru a efectua controale. Articolul 5 alineatul (9) din Regulamentul (UE) nr. 514/2014 prevede în plus că acordurile de cooperare cu țări terțe vor autoriza în mod expres Comisia, Curtea de Conturi și OLAF să efectueze astfel de audituri, controale la fața locului și inspecții. Prin urmare, se prevede acest lucru în proiectul de acord. </w:t>
      </w:r>
    </w:p>
    <w:p>
      <w:pPr>
        <w:pStyle w:val="ManualHeading1"/>
        <w:rPr>
          <w:noProof/>
        </w:rPr>
      </w:pPr>
      <w:r>
        <w:rPr>
          <w:noProof/>
        </w:rPr>
        <w:t>2.</w:t>
      </w:r>
      <w:r>
        <w:rPr>
          <w:noProof/>
        </w:rPr>
        <w:tab/>
        <w:t>ELEMENTELE JURIDICE ALE PROPUNERII</w:t>
      </w:r>
    </w:p>
    <w:p>
      <w:pPr>
        <w:pStyle w:val="ManualHeading2"/>
        <w:rPr>
          <w:rFonts w:eastAsia="Arial Unicode MS"/>
          <w:noProof/>
          <w:u w:color="000000"/>
          <w:bdr w:val="nil"/>
        </w:rPr>
      </w:pPr>
      <w:r>
        <w:rPr>
          <w:noProof/>
        </w:rPr>
        <w:t>•</w:t>
      </w:r>
      <w:r>
        <w:rPr>
          <w:noProof/>
        </w:rPr>
        <w:tab/>
        <w:t>Temei juridic</w:t>
      </w:r>
    </w:p>
    <w:p>
      <w:pPr>
        <w:rPr>
          <w:noProof/>
          <w:color w:val="000000"/>
        </w:rPr>
      </w:pPr>
      <w:r>
        <w:rPr>
          <w:noProof/>
          <w:color w:val="000000"/>
        </w:rPr>
        <w:t>Întrucât obiectivul prezentei propuneri de semnare a acordului este încheierea acordurilor între Uniune și Elveția privind contribuția acestei țări la Instrumentul de sprijin financiar pentru frontiere externe și vize pentru perioada 2014-2020 și privind normele suplimentare necesare în vederea acestei participări, prezenta propunere se bazează pe articolul 77 alineatul (2) și pe articolul 218 alineatul (5) din Tratatul privind funcționarea Uniunii Europene.</w:t>
      </w:r>
    </w:p>
    <w:p>
      <w:pPr>
        <w:pStyle w:val="ManualHeading2"/>
        <w:rPr>
          <w:rFonts w:eastAsia="Arial Unicode MS"/>
          <w:noProof/>
          <w:color w:val="000000"/>
          <w:u w:color="000000"/>
          <w:bdr w:val="nil"/>
        </w:rPr>
      </w:pPr>
      <w:r>
        <w:rPr>
          <w:noProof/>
          <w:color w:val="000000"/>
          <w:u w:color="000000"/>
          <w:bdr w:val="nil"/>
        </w:rPr>
        <w:t>•</w:t>
      </w:r>
      <w:r>
        <w:rPr>
          <w:noProof/>
        </w:rPr>
        <w:tab/>
      </w:r>
      <w:r>
        <w:rPr>
          <w:noProof/>
          <w:color w:val="000000"/>
          <w:u w:color="000000"/>
          <w:bdr w:val="nil"/>
        </w:rPr>
        <w:t xml:space="preserve">Necesitatea deciziei propuse </w:t>
      </w:r>
    </w:p>
    <w:p>
      <w:pPr>
        <w:pBdr>
          <w:top w:val="nil"/>
          <w:left w:val="nil"/>
          <w:bottom w:val="nil"/>
          <w:right w:val="nil"/>
          <w:between w:val="nil"/>
          <w:bar w:val="nil"/>
        </w:pBdr>
        <w:spacing w:before="0" w:after="240"/>
        <w:rPr>
          <w:noProof/>
        </w:rPr>
      </w:pPr>
      <w:r>
        <w:rPr>
          <w:noProof/>
        </w:rPr>
        <w:t>În temeiul articolului 5 alineatul (7) din Regulamentul (UE) nr. 515/2014, încheierea acordului cu Elveția este necesară pentru stabilirea dispozițiilor privind contribuția acestei țări la Instrumentul de sprijin financiar pentru frontiere externe și vize pentru perioada 2014-2020 și privind normele suplimentare necesare în vederea acestei participări.</w:t>
      </w:r>
    </w:p>
    <w:p>
      <w:pPr>
        <w:pBdr>
          <w:top w:val="nil"/>
          <w:left w:val="nil"/>
          <w:bottom w:val="nil"/>
          <w:right w:val="nil"/>
          <w:between w:val="nil"/>
          <w:bar w:val="nil"/>
        </w:pBdr>
        <w:spacing w:before="0" w:after="240"/>
        <w:rPr>
          <w:rFonts w:eastAsia="Arial Unicode MS"/>
          <w:noProof/>
          <w:color w:val="000000"/>
        </w:rPr>
      </w:pPr>
      <w:r>
        <w:rPr>
          <w:noProof/>
        </w:rPr>
        <w:t>Deși articolul 19 alineatul (4) din acord, astfel cum a fost parafat, prevede posibilitatea de a aplica acordul cu titlu provizoriu din ziua următoare semnării acestuia, fără a se aduce atingere cerințelor constituționale, autoritățile elvețiene au informat Comisia că, în temeiul legii elvețiene privind organizarea guvernamentală și administrativă, aplicarea cu titlu provizoriu nu este posibilă. Prin urmare, prezenta propunere de decizie a Consiliului nu include aplicarea cu titlu provizoriu a acordului. Acordul va intra în vigoare în conformitate cu dispozițiile articolului 19 alineatele (2) și (3) din acord în prima zi a primei luni următoare datei ultimei notificări privind finalizarea procedurii de ratificare.</w:t>
      </w:r>
    </w:p>
    <w:p>
      <w:pPr>
        <w:pStyle w:val="ManualHeading2"/>
        <w:rPr>
          <w:rFonts w:eastAsia="Arial Unicode MS"/>
          <w:noProof/>
          <w:color w:val="000000"/>
          <w:u w:color="000000"/>
          <w:bdr w:val="nil"/>
        </w:rPr>
      </w:pPr>
      <w:r>
        <w:rPr>
          <w:noProof/>
          <w:color w:val="000000"/>
          <w:u w:color="000000"/>
          <w:bdr w:val="nil"/>
        </w:rPr>
        <w:t>•</w:t>
      </w:r>
      <w:r>
        <w:rPr>
          <w:noProof/>
        </w:rPr>
        <w:tab/>
      </w:r>
      <w:r>
        <w:rPr>
          <w:noProof/>
          <w:color w:val="000000"/>
          <w:u w:color="000000"/>
          <w:bdr w:val="nil"/>
        </w:rPr>
        <w:t>Proporționalitate</w:t>
      </w:r>
    </w:p>
    <w:p>
      <w:pPr>
        <w:pBdr>
          <w:top w:val="nil"/>
          <w:left w:val="nil"/>
          <w:bottom w:val="nil"/>
          <w:right w:val="nil"/>
          <w:between w:val="nil"/>
          <w:bar w:val="nil"/>
        </w:pBdr>
        <w:spacing w:before="0" w:after="240"/>
        <w:rPr>
          <w:rFonts w:eastAsia="Arial Unicode MS"/>
          <w:noProof/>
          <w:color w:val="000000"/>
        </w:rPr>
      </w:pPr>
      <w:r>
        <w:rPr>
          <w:noProof/>
        </w:rPr>
        <w:t xml:space="preserve">Nu se aplică. </w:t>
      </w:r>
    </w:p>
    <w:p>
      <w:pPr>
        <w:pStyle w:val="ManualHeading2"/>
        <w:rPr>
          <w:rFonts w:eastAsia="Arial Unicode MS"/>
          <w:noProof/>
          <w:color w:val="000000"/>
          <w:u w:color="000000"/>
          <w:bdr w:val="nil"/>
        </w:rPr>
      </w:pPr>
      <w:r>
        <w:rPr>
          <w:noProof/>
          <w:color w:val="000000"/>
          <w:u w:color="000000"/>
          <w:bdr w:val="nil"/>
        </w:rPr>
        <w:t>•</w:t>
      </w:r>
      <w:r>
        <w:rPr>
          <w:noProof/>
        </w:rPr>
        <w:tab/>
      </w:r>
      <w:r>
        <w:rPr>
          <w:noProof/>
          <w:color w:val="000000"/>
          <w:u w:color="000000"/>
          <w:bdr w:val="nil"/>
        </w:rPr>
        <w:t>Alegerea instrumentului</w:t>
      </w:r>
    </w:p>
    <w:p>
      <w:pPr>
        <w:rPr>
          <w:noProof/>
        </w:rPr>
      </w:pPr>
      <w:r>
        <w:rPr>
          <w:noProof/>
        </w:rPr>
        <w:t xml:space="preserve">Nu se aplică. </w:t>
      </w:r>
    </w:p>
    <w:p>
      <w:pPr>
        <w:pStyle w:val="ManualHeading1"/>
        <w:rPr>
          <w:noProof/>
        </w:rPr>
      </w:pPr>
      <w:r>
        <w:rPr>
          <w:noProof/>
        </w:rPr>
        <w:t>3.</w:t>
      </w:r>
      <w:r>
        <w:rPr>
          <w:noProof/>
        </w:rPr>
        <w:tab/>
        <w:t>REZULTATELE CONSULTĂRILOR CU PĂRȚILE INTERESATE ȘI ALE EVALUĂRII IMPACTULUI</w:t>
      </w:r>
    </w:p>
    <w:p>
      <w:pPr>
        <w:pStyle w:val="ManualHeading2"/>
        <w:rPr>
          <w:rFonts w:eastAsia="Arial Unicode MS"/>
          <w:noProof/>
          <w:u w:color="000000"/>
          <w:bdr w:val="nil"/>
        </w:rPr>
      </w:pPr>
      <w:r>
        <w:rPr>
          <w:noProof/>
        </w:rPr>
        <w:t>•</w:t>
      </w:r>
      <w:r>
        <w:rPr>
          <w:noProof/>
        </w:rPr>
        <w:tab/>
        <w:t>Rezultatele negocierilor</w:t>
      </w:r>
    </w:p>
    <w:p>
      <w:pPr>
        <w:rPr>
          <w:noProof/>
        </w:rPr>
      </w:pPr>
      <w:r>
        <w:rPr>
          <w:noProof/>
        </w:rPr>
        <w:t>La 28 mai 2014, Comisia a prezentat Consiliului o recomandare de autorizare a Comisiei să deschidă negocieri cu Norvegia, Islanda, Elveția și Liechtenstein privind un acord internațional de instituire a unor astfel de norme suplimentare.</w:t>
      </w:r>
    </w:p>
    <w:p>
      <w:pPr>
        <w:rPr>
          <w:noProof/>
        </w:rPr>
      </w:pPr>
      <w:r>
        <w:rPr>
          <w:noProof/>
        </w:rPr>
        <w:t>La 14 iulie 2014, Comisia a primit autorizația Consiliului de a deschide negocieri cu Norvegia, Islanda, Elveția și Liechtenstein privind un acord referitor la modalitățile de participare a acestor țări la Fondul pentru securitate internă – Frontiere și vize.</w:t>
      </w:r>
    </w:p>
    <w:p>
      <w:pPr>
        <w:rPr>
          <w:noProof/>
        </w:rPr>
      </w:pPr>
      <w:r>
        <w:rPr>
          <w:noProof/>
        </w:rPr>
        <w:t>Negocierile s-au desfășurat simultan cu toate țările asociate. Au avut loc două runde de negocieri. Textul final al proiectului de acord cu Elveția a fost parafat la 21 aprilie 2017.</w:t>
      </w:r>
    </w:p>
    <w:p>
      <w:pPr>
        <w:rPr>
          <w:noProof/>
        </w:rPr>
      </w:pPr>
      <w:r>
        <w:rPr>
          <w:noProof/>
        </w:rPr>
        <w:t>Comisia consideră că obiectivele stabilite de Consiliu în cadrul directivelor sale de negociere au fost îndeplinite și că proiectul de acord este acceptabil pentru Uniune.</w:t>
      </w:r>
    </w:p>
    <w:p>
      <w:pPr>
        <w:rPr>
          <w:noProof/>
        </w:rPr>
      </w:pPr>
      <w:r>
        <w:rPr>
          <w:noProof/>
        </w:rPr>
        <w:t>Statele membre au fost informate și consultate în cadrul grupurilor de lucru relevante ale Consiliului.</w:t>
      </w:r>
    </w:p>
    <w:p>
      <w:pPr>
        <w:rPr>
          <w:noProof/>
        </w:rPr>
      </w:pPr>
      <w:r>
        <w:rPr>
          <w:noProof/>
        </w:rPr>
        <w:t>Textul final al acordului poate fi rezumat după cum urmează:</w:t>
      </w:r>
    </w:p>
    <w:p>
      <w:pPr>
        <w:rPr>
          <w:noProof/>
        </w:rPr>
      </w:pPr>
      <w:r>
        <w:rPr>
          <w:noProof/>
        </w:rPr>
        <w:t>proiectul de acord prevede o contribuție financiară anuală din partea Elveției la bugetul Fondului pentru securitate internă - Frontiere și vize egală cu o sumă anuală calculată pe baza PIB-ului său, ca procent din PIB-ul tuturor statelor participante la fond (articolul 10 și anexa); plățile anuale sunt specificate la articolul 11.</w:t>
      </w:r>
    </w:p>
    <w:p>
      <w:pPr>
        <w:rPr>
          <w:noProof/>
        </w:rPr>
      </w:pPr>
      <w:r>
        <w:rPr>
          <w:noProof/>
        </w:rPr>
        <w:t xml:space="preserve">În plus, proiectul de acord prevede și modalitățile de desemnare a autorității responsabile și sistemul de raportare anuală. </w:t>
      </w:r>
    </w:p>
    <w:p>
      <w:pPr>
        <w:rPr>
          <w:noProof/>
        </w:rPr>
      </w:pPr>
      <w:r>
        <w:rPr>
          <w:noProof/>
        </w:rPr>
        <w:t xml:space="preserve">Acordul conține, de asemenea, dispoziții ce vizează protejarea intereselor financiare ale Uniunii împotriva fraudei și măsuri de asigurare a respectării dispozițiilor privind gestiunea financiară și controlul, astfel cum sunt prevăzute în Tratatul privind funcționarea Uniunii Europene („TFUE”) și în dreptul Uniunii întemeiat pe TFUE. </w:t>
      </w:r>
    </w:p>
    <w:p>
      <w:pPr>
        <w:pStyle w:val="ManualHeading2"/>
        <w:rPr>
          <w:rFonts w:eastAsia="Arial Unicode MS"/>
          <w:noProof/>
          <w:u w:color="000000"/>
          <w:bdr w:val="nil"/>
        </w:rPr>
      </w:pPr>
      <w:r>
        <w:rPr>
          <w:noProof/>
          <w:color w:val="000000"/>
          <w:u w:color="000000"/>
          <w:bdr w:val="nil"/>
        </w:rPr>
        <w:t>•</w:t>
      </w:r>
      <w:r>
        <w:rPr>
          <w:noProof/>
        </w:rPr>
        <w:tab/>
        <w:t>Evaluările ex post/verificările adecvării legislației existente</w:t>
      </w:r>
    </w:p>
    <w:p>
      <w:pPr>
        <w:pBdr>
          <w:top w:val="nil"/>
          <w:left w:val="nil"/>
          <w:bottom w:val="nil"/>
          <w:right w:val="nil"/>
          <w:between w:val="nil"/>
          <w:bar w:val="nil"/>
        </w:pBdr>
        <w:spacing w:before="0" w:after="240"/>
        <w:rPr>
          <w:rFonts w:eastAsia="Arial Unicode MS"/>
          <w:noProof/>
          <w:color w:val="000000"/>
        </w:rPr>
      </w:pPr>
      <w:r>
        <w:rPr>
          <w:noProof/>
        </w:rPr>
        <w:t xml:space="preserve">Nu se aplică. </w:t>
      </w:r>
    </w:p>
    <w:p>
      <w:pPr>
        <w:pStyle w:val="ManualHeading2"/>
        <w:rPr>
          <w:rFonts w:eastAsia="Arial Unicode MS"/>
          <w:noProof/>
          <w:color w:val="000000"/>
          <w:u w:color="000000"/>
          <w:bdr w:val="nil"/>
        </w:rPr>
      </w:pPr>
      <w:r>
        <w:rPr>
          <w:noProof/>
          <w:color w:val="000000"/>
          <w:u w:color="000000"/>
          <w:bdr w:val="nil"/>
        </w:rPr>
        <w:t>•</w:t>
      </w:r>
      <w:r>
        <w:rPr>
          <w:noProof/>
        </w:rPr>
        <w:tab/>
      </w:r>
      <w:r>
        <w:rPr>
          <w:noProof/>
          <w:color w:val="000000"/>
          <w:u w:color="000000"/>
          <w:bdr w:val="nil"/>
        </w:rPr>
        <w:t>Consultări cu părțile interesate</w:t>
      </w:r>
    </w:p>
    <w:p>
      <w:pPr>
        <w:pBdr>
          <w:top w:val="nil"/>
          <w:left w:val="nil"/>
          <w:bottom w:val="nil"/>
          <w:right w:val="nil"/>
          <w:between w:val="nil"/>
          <w:bar w:val="nil"/>
        </w:pBdr>
        <w:spacing w:before="0" w:after="240"/>
        <w:rPr>
          <w:rFonts w:eastAsia="Arial Unicode MS"/>
          <w:noProof/>
          <w:color w:val="000000"/>
        </w:rPr>
      </w:pPr>
      <w:r>
        <w:rPr>
          <w:noProof/>
        </w:rPr>
        <w:t>Nu se aplică.</w:t>
      </w:r>
    </w:p>
    <w:p>
      <w:pPr>
        <w:pStyle w:val="ManualHeading2"/>
        <w:rPr>
          <w:rFonts w:eastAsia="Arial Unicode MS"/>
          <w:noProof/>
          <w:color w:val="000000"/>
          <w:u w:color="000000"/>
          <w:bdr w:val="nil"/>
        </w:rPr>
      </w:pPr>
      <w:r>
        <w:rPr>
          <w:noProof/>
          <w:color w:val="000000"/>
          <w:u w:color="000000"/>
          <w:bdr w:val="nil"/>
        </w:rPr>
        <w:t>•</w:t>
      </w:r>
      <w:r>
        <w:rPr>
          <w:noProof/>
        </w:rPr>
        <w:tab/>
      </w:r>
      <w:r>
        <w:rPr>
          <w:noProof/>
          <w:color w:val="000000"/>
          <w:u w:color="000000"/>
          <w:bdr w:val="nil"/>
        </w:rPr>
        <w:t>Obținerea și utilizarea expertizei</w:t>
      </w:r>
    </w:p>
    <w:p>
      <w:pPr>
        <w:pBdr>
          <w:top w:val="nil"/>
          <w:left w:val="nil"/>
          <w:bottom w:val="nil"/>
          <w:right w:val="nil"/>
          <w:between w:val="nil"/>
          <w:bar w:val="nil"/>
        </w:pBdr>
        <w:spacing w:before="0" w:after="240"/>
        <w:rPr>
          <w:rFonts w:eastAsia="Arial Unicode MS"/>
          <w:noProof/>
          <w:color w:val="000000"/>
        </w:rPr>
      </w:pPr>
      <w:r>
        <w:rPr>
          <w:noProof/>
        </w:rPr>
        <w:t>Nu se aplică.</w:t>
      </w:r>
    </w:p>
    <w:p>
      <w:pPr>
        <w:pStyle w:val="ManualHeading2"/>
        <w:rPr>
          <w:rFonts w:eastAsia="Arial Unicode MS"/>
          <w:noProof/>
          <w:color w:val="000000"/>
          <w:u w:color="000000"/>
          <w:bdr w:val="nil"/>
        </w:rPr>
      </w:pPr>
      <w:r>
        <w:rPr>
          <w:noProof/>
          <w:color w:val="000000"/>
          <w:u w:color="000000"/>
          <w:bdr w:val="nil"/>
        </w:rPr>
        <w:t>•</w:t>
      </w:r>
      <w:r>
        <w:rPr>
          <w:noProof/>
        </w:rPr>
        <w:tab/>
      </w:r>
      <w:r>
        <w:rPr>
          <w:noProof/>
          <w:color w:val="000000"/>
          <w:u w:color="000000"/>
          <w:bdr w:val="nil"/>
        </w:rPr>
        <w:t>Evaluarea impactului</w:t>
      </w:r>
    </w:p>
    <w:p>
      <w:pPr>
        <w:pBdr>
          <w:top w:val="nil"/>
          <w:left w:val="nil"/>
          <w:bottom w:val="nil"/>
          <w:right w:val="nil"/>
          <w:between w:val="nil"/>
          <w:bar w:val="nil"/>
        </w:pBdr>
        <w:spacing w:before="0" w:after="240"/>
        <w:rPr>
          <w:rFonts w:eastAsia="Arial Unicode MS"/>
          <w:noProof/>
          <w:color w:val="000000"/>
        </w:rPr>
      </w:pPr>
      <w:r>
        <w:rPr>
          <w:noProof/>
        </w:rPr>
        <w:t xml:space="preserve">Nu se aplică, având în vedere faptul că propunerea este legată de gestionarea programului și vizează semnarea unui acord internațional care a fost negociat pe baza directivelor de negociere stabilite de Consiliu. </w:t>
      </w:r>
    </w:p>
    <w:p>
      <w:pPr>
        <w:pStyle w:val="ManualHeading2"/>
        <w:rPr>
          <w:rFonts w:eastAsia="Arial Unicode MS"/>
          <w:noProof/>
          <w:color w:val="000000"/>
          <w:u w:color="000000"/>
          <w:bdr w:val="nil"/>
        </w:rPr>
      </w:pPr>
      <w:r>
        <w:rPr>
          <w:noProof/>
          <w:color w:val="000000"/>
          <w:u w:color="000000"/>
          <w:bdr w:val="nil"/>
        </w:rPr>
        <w:t>•</w:t>
      </w:r>
      <w:r>
        <w:rPr>
          <w:noProof/>
        </w:rPr>
        <w:tab/>
      </w:r>
      <w:r>
        <w:rPr>
          <w:noProof/>
          <w:color w:val="000000"/>
          <w:u w:color="000000"/>
          <w:bdr w:val="nil"/>
        </w:rPr>
        <w:t>Adecvarea reglementărilor și simplificarea</w:t>
      </w:r>
    </w:p>
    <w:p>
      <w:pPr>
        <w:pBdr>
          <w:top w:val="nil"/>
          <w:left w:val="nil"/>
          <w:bottom w:val="nil"/>
          <w:right w:val="nil"/>
          <w:between w:val="nil"/>
          <w:bar w:val="nil"/>
        </w:pBdr>
        <w:spacing w:before="0" w:after="240"/>
        <w:rPr>
          <w:rFonts w:eastAsia="Arial Unicode MS"/>
          <w:noProof/>
          <w:color w:val="000000"/>
        </w:rPr>
      </w:pPr>
      <w:r>
        <w:rPr>
          <w:noProof/>
        </w:rPr>
        <w:t>Nu se aplică.</w:t>
      </w:r>
    </w:p>
    <w:p>
      <w:pPr>
        <w:pStyle w:val="ManualHeading2"/>
        <w:rPr>
          <w:rFonts w:eastAsia="Arial Unicode MS"/>
          <w:noProof/>
          <w:color w:val="000000"/>
          <w:u w:color="000000"/>
          <w:bdr w:val="nil"/>
        </w:rPr>
      </w:pPr>
      <w:r>
        <w:rPr>
          <w:noProof/>
          <w:color w:val="000000"/>
          <w:u w:color="000000"/>
          <w:bdr w:val="nil"/>
        </w:rPr>
        <w:t>•</w:t>
      </w:r>
      <w:r>
        <w:rPr>
          <w:noProof/>
        </w:rPr>
        <w:tab/>
      </w:r>
      <w:r>
        <w:rPr>
          <w:noProof/>
          <w:color w:val="000000"/>
          <w:u w:color="000000"/>
          <w:bdr w:val="nil"/>
        </w:rPr>
        <w:t>Drepturile fundamentale</w:t>
      </w:r>
    </w:p>
    <w:p>
      <w:pPr>
        <w:pBdr>
          <w:top w:val="nil"/>
          <w:left w:val="nil"/>
          <w:bottom w:val="nil"/>
          <w:right w:val="nil"/>
          <w:between w:val="nil"/>
          <w:bar w:val="nil"/>
        </w:pBdr>
        <w:spacing w:before="0" w:after="240"/>
        <w:rPr>
          <w:rFonts w:eastAsia="Arial Unicode MS"/>
          <w:noProof/>
          <w:color w:val="000000"/>
        </w:rPr>
      </w:pPr>
      <w:r>
        <w:rPr>
          <w:noProof/>
        </w:rPr>
        <w:t>Nu se aplică.</w:t>
      </w:r>
    </w:p>
    <w:p>
      <w:pPr>
        <w:pStyle w:val="ManualHeading1"/>
        <w:rPr>
          <w:noProof/>
        </w:rPr>
      </w:pPr>
      <w:r>
        <w:rPr>
          <w:noProof/>
        </w:rPr>
        <w:t>4.</w:t>
      </w:r>
      <w:r>
        <w:rPr>
          <w:noProof/>
        </w:rPr>
        <w:tab/>
        <w:t>IMPLICAȚII BUGETARE</w:t>
      </w:r>
    </w:p>
    <w:p>
      <w:pPr>
        <w:rPr>
          <w:noProof/>
        </w:rPr>
      </w:pPr>
      <w:r>
        <w:rPr>
          <w:noProof/>
        </w:rPr>
        <w:t>Articolul 10 din proiectul de acord și anexa la acesta prevăd dispozițiile legate de contribuțiile financiare anuale ale țării asociate la bugetul Fondului pentru securitate internă – Frontiere și vize și eventuala lor adaptare la situația descrisă în anexă.</w:t>
      </w:r>
    </w:p>
    <w:p>
      <w:pPr>
        <w:pStyle w:val="ManualHeading1"/>
        <w:rPr>
          <w:noProof/>
        </w:rPr>
      </w:pPr>
      <w:r>
        <w:rPr>
          <w:noProof/>
        </w:rPr>
        <w:t>5.</w:t>
      </w:r>
      <w:r>
        <w:rPr>
          <w:noProof/>
        </w:rPr>
        <w:tab/>
        <w:t>ALTE ELEMENTE</w:t>
      </w:r>
    </w:p>
    <w:p>
      <w:pPr>
        <w:pStyle w:val="ManualHeading2"/>
        <w:rPr>
          <w:rFonts w:eastAsia="Arial Unicode MS"/>
          <w:noProof/>
          <w:u w:color="000000"/>
          <w:bdr w:val="nil"/>
        </w:rPr>
      </w:pPr>
      <w:r>
        <w:rPr>
          <w:noProof/>
        </w:rPr>
        <w:t>•</w:t>
      </w:r>
      <w:r>
        <w:rPr>
          <w:noProof/>
        </w:rPr>
        <w:tab/>
        <w:t>Aplicarea teritorială</w:t>
      </w:r>
    </w:p>
    <w:p>
      <w:pPr>
        <w:pBdr>
          <w:top w:val="nil"/>
          <w:left w:val="nil"/>
          <w:bottom w:val="nil"/>
          <w:right w:val="nil"/>
          <w:between w:val="nil"/>
          <w:bar w:val="nil"/>
        </w:pBdr>
        <w:spacing w:before="0" w:after="240"/>
        <w:rPr>
          <w:noProof/>
        </w:rPr>
      </w:pPr>
      <w:r>
        <w:rPr>
          <w:noProof/>
        </w:rPr>
        <w:t>Regulamentul (UE) nr. 515/2014 constituie o dezvoltare a acquis-ului Schengen. În acest sens, prezentul acord cu Elveția se bazează, la rândul său, pe acquis-ul Schengen.</w:t>
      </w:r>
    </w:p>
    <w:p>
      <w:pPr>
        <w:pBdr>
          <w:top w:val="nil"/>
          <w:left w:val="nil"/>
          <w:bottom w:val="nil"/>
          <w:right w:val="nil"/>
          <w:between w:val="nil"/>
          <w:bar w:val="nil"/>
        </w:pBdr>
        <w:spacing w:before="0" w:after="240"/>
        <w:rPr>
          <w:noProof/>
        </w:rPr>
      </w:pPr>
      <w:r>
        <w:rPr>
          <w:noProof/>
        </w:rPr>
        <w:t>În conformitate cu articolele 1 și 2 din Protocolul nr. 22 privind poziția Danemarcei, anexat la TUE și la TFUE, Danemarca nu participă la adoptarea prezentei decizii, nu are obligații în temeiul acesteia și nu face obiectul aplicării sale. În conformitate cu articolul 4 din protocolul menționat anterior, Danemarca va decide, în termen de șase luni de la data adoptării prezentei propuneri de către Consiliu, dacă va transpune decizia propusă în legislația sa internă.</w:t>
      </w:r>
    </w:p>
    <w:p>
      <w:pPr>
        <w:pBdr>
          <w:top w:val="nil"/>
          <w:left w:val="nil"/>
          <w:bottom w:val="nil"/>
          <w:right w:val="nil"/>
          <w:between w:val="nil"/>
          <w:bar w:val="nil"/>
        </w:pBdr>
        <w:spacing w:before="0" w:after="240"/>
        <w:rPr>
          <w:noProof/>
          <w:color w:val="000000"/>
        </w:rPr>
      </w:pPr>
      <w:r>
        <w:rPr>
          <w:noProof/>
        </w:rPr>
        <w:t>Prezenta propunere constituie o dezvoltare a elementelor acquis-ului Schengen la care Regatul Unit și Irlanda nu participă. Prin urmare, aceste țări nu vor avea obligații și nu vor face obiectul aplicării sale, în conformitate cu Deciziile 2000/365/CE</w:t>
      </w:r>
      <w:r>
        <w:rPr>
          <w:rStyle w:val="FootnoteReference"/>
          <w:noProof/>
        </w:rPr>
        <w:footnoteReference w:id="4"/>
      </w:r>
      <w:r>
        <w:rPr>
          <w:noProof/>
        </w:rPr>
        <w:t xml:space="preserve"> și, respectiv, 2002/192/CE</w:t>
      </w:r>
      <w:r>
        <w:rPr>
          <w:rStyle w:val="FootnoteReference"/>
          <w:noProof/>
        </w:rPr>
        <w:footnoteReference w:id="5"/>
      </w:r>
      <w:r>
        <w:rPr>
          <w:noProof/>
        </w:rPr>
        <w:t xml:space="preserve"> ale Consiliului.</w:t>
      </w:r>
    </w:p>
    <w:p>
      <w:pPr>
        <w:pStyle w:val="ManualHeading2"/>
        <w:rPr>
          <w:rFonts w:eastAsia="Arial Unicode MS"/>
          <w:noProof/>
          <w:color w:val="000000"/>
          <w:u w:color="000000"/>
          <w:bdr w:val="nil"/>
        </w:rPr>
      </w:pPr>
      <w:r>
        <w:rPr>
          <w:noProof/>
        </w:rPr>
        <w:t xml:space="preserve"> </w:t>
      </w:r>
      <w:r>
        <w:rPr>
          <w:noProof/>
          <w:color w:val="000000"/>
          <w:u w:color="000000"/>
          <w:bdr w:val="nil"/>
        </w:rPr>
        <w:t>•</w:t>
      </w:r>
      <w:r>
        <w:rPr>
          <w:noProof/>
        </w:rPr>
        <w:tab/>
      </w:r>
      <w:r>
        <w:rPr>
          <w:noProof/>
          <w:color w:val="000000"/>
          <w:u w:color="000000"/>
          <w:bdr w:val="nil"/>
        </w:rPr>
        <w:t>Planurile de punere în aplicare și mecanismele de monitorizare, evaluare și raportare</w:t>
      </w:r>
    </w:p>
    <w:p>
      <w:pPr>
        <w:pBdr>
          <w:top w:val="nil"/>
          <w:left w:val="nil"/>
          <w:bottom w:val="nil"/>
          <w:right w:val="nil"/>
          <w:between w:val="nil"/>
          <w:bar w:val="nil"/>
        </w:pBdr>
        <w:spacing w:before="0" w:after="240"/>
        <w:rPr>
          <w:rFonts w:eastAsia="Arial Unicode MS"/>
          <w:noProof/>
          <w:color w:val="000000"/>
        </w:rPr>
      </w:pPr>
      <w:r>
        <w:rPr>
          <w:noProof/>
        </w:rPr>
        <w:t>Articolul 17 din acord specifică mecanismele de raportare și de monitorizare aplicabile. Până la data de 15 februarie a fiecărui an, până în 2022 inclusiv, Elveția trebuie să prezinte Comisiei un raport anual privind punerea în aplicare pentru exercițiul financiar precedent.</w:t>
      </w:r>
    </w:p>
    <w:p>
      <w:pPr>
        <w:pStyle w:val="ManualHeading2"/>
        <w:rPr>
          <w:rFonts w:eastAsia="Arial Unicode MS"/>
          <w:noProof/>
          <w:color w:val="000000"/>
          <w:u w:color="000000"/>
          <w:bdr w:val="nil"/>
        </w:rPr>
      </w:pPr>
      <w:r>
        <w:rPr>
          <w:noProof/>
          <w:color w:val="000000"/>
          <w:u w:color="000000"/>
          <w:bdr w:val="nil"/>
        </w:rPr>
        <w:t>•</w:t>
      </w:r>
      <w:r>
        <w:rPr>
          <w:noProof/>
        </w:rPr>
        <w:tab/>
      </w:r>
      <w:r>
        <w:rPr>
          <w:noProof/>
          <w:color w:val="000000"/>
          <w:u w:color="000000"/>
          <w:bdr w:val="nil"/>
        </w:rPr>
        <w:t>Documente explicative (în cazul directivelor)</w:t>
      </w:r>
    </w:p>
    <w:p>
      <w:pPr>
        <w:pBdr>
          <w:top w:val="nil"/>
          <w:left w:val="nil"/>
          <w:bottom w:val="nil"/>
          <w:right w:val="nil"/>
          <w:between w:val="nil"/>
          <w:bar w:val="nil"/>
        </w:pBdr>
        <w:spacing w:before="0" w:after="240"/>
        <w:rPr>
          <w:rFonts w:eastAsia="Arial Unicode MS"/>
          <w:noProof/>
          <w:color w:val="000000"/>
        </w:rPr>
      </w:pPr>
      <w:r>
        <w:rPr>
          <w:noProof/>
        </w:rPr>
        <w:t>Nu se aplică.</w:t>
      </w:r>
    </w:p>
    <w:p>
      <w:pPr>
        <w:pStyle w:val="ManualHeading2"/>
        <w:rPr>
          <w:rFonts w:eastAsia="Arial Unicode MS"/>
          <w:noProof/>
          <w:color w:val="000000"/>
          <w:u w:color="000000"/>
          <w:bdr w:val="nil"/>
        </w:rPr>
      </w:pPr>
      <w:r>
        <w:rPr>
          <w:noProof/>
          <w:color w:val="000000"/>
          <w:u w:color="000000"/>
          <w:bdr w:val="nil"/>
        </w:rPr>
        <w:t>•</w:t>
      </w:r>
      <w:r>
        <w:rPr>
          <w:noProof/>
        </w:rPr>
        <w:tab/>
      </w:r>
      <w:r>
        <w:rPr>
          <w:noProof/>
          <w:color w:val="000000"/>
          <w:u w:color="000000"/>
          <w:bdr w:val="nil"/>
        </w:rPr>
        <w:t>Explicații detaliate cu privire la prevederile specifice ale propunerii</w:t>
      </w:r>
    </w:p>
    <w:p>
      <w:pPr>
        <w:rPr>
          <w:rFonts w:eastAsia="Arial Unicode MS"/>
          <w:noProof/>
          <w:color w:val="000000"/>
        </w:rPr>
      </w:pPr>
      <w:r>
        <w:rPr>
          <w:noProof/>
        </w:rPr>
        <w:t xml:space="preserve">Nu sunt necesare. </w:t>
      </w:r>
    </w:p>
    <w:p>
      <w:pPr>
        <w:rPr>
          <w:noProof/>
          <w:color w:val="000000"/>
        </w:rPr>
      </w:pPr>
      <w:r>
        <w:rPr>
          <w:noProof/>
          <w:color w:val="000000"/>
        </w:rPr>
        <w:t>Având în vedere cele de mai sus, Comisia propune Consiliului să decidă semnarea acordului în numele Uniunii și să autorizeze președintele Consiliului să numească persoana (persoanele) împuternicită (împuternicite) corespunzător să îl semneze în numele Uniunii.</w:t>
      </w:r>
    </w:p>
    <w:p>
      <w:pPr>
        <w:rPr>
          <w:noProof/>
        </w:rPr>
      </w:pPr>
      <w:r>
        <w:rPr>
          <w:noProof/>
        </w:rPr>
        <w:t>Comisia a prezentat o propunere separată de decizie a Consiliului privind încheierea acordului dintre Uniunea Europeană și Confederația Elvețiană privind normele suplimentare referitoare la Instrumentul de sprijin financiar pentru frontiere externe și vize, în cadrul Fondului pentru securitate internă pentru perioada 2014-2020</w:t>
      </w:r>
      <w:r>
        <w:rPr>
          <w:rStyle w:val="FootnoteReference"/>
          <w:noProof/>
        </w:rPr>
        <w:footnoteReference w:id="6"/>
      </w:r>
      <w:r>
        <w:rPr>
          <w:noProof/>
        </w:rPr>
        <w:t>, atașat la prezentul document.</w:t>
      </w:r>
      <w:r>
        <w:rPr>
          <w:noProof/>
          <w:color w:val="000000"/>
        </w:rPr>
        <w:t xml:space="preserve"> Consiliul adoptă prezenta decizie după obținerea aprobării Parlamentului European.</w:t>
      </w:r>
    </w:p>
    <w:p>
      <w:pPr>
        <w:pStyle w:val="ManualHeading1"/>
        <w:rPr>
          <w:noProof/>
        </w:rPr>
      </w:pPr>
    </w:p>
    <w:p>
      <w:pPr>
        <w:rPr>
          <w:noProof/>
        </w:rPr>
        <w:sectPr>
          <w:footerReference w:type="default" r:id="rId15"/>
          <w:footerReference w:type="first" r:id="rId16"/>
          <w:pgSz w:w="11907" w:h="16839"/>
          <w:pgMar w:top="1134" w:right="1417" w:bottom="1134" w:left="1417" w:header="709" w:footer="709" w:gutter="0"/>
          <w:pgNumType w:start="1"/>
          <w:cols w:space="708"/>
          <w:docGrid w:linePitch="360"/>
        </w:sectPr>
      </w:pPr>
    </w:p>
    <w:p>
      <w:pPr>
        <w:pStyle w:val="Rfrenceinterinstitutionnelle"/>
        <w:rPr>
          <w:noProof/>
        </w:rPr>
      </w:pPr>
      <w:r>
        <w:rPr>
          <w:noProof/>
        </w:rPr>
        <w:t>2018/0031 (NLE)</w:t>
      </w:r>
    </w:p>
    <w:p>
      <w:pPr>
        <w:pStyle w:val="Statut"/>
        <w:rPr>
          <w:noProof/>
        </w:rPr>
      </w:pPr>
      <w:r>
        <w:rPr>
          <w:noProof/>
        </w:rPr>
        <w:t>Propunere de</w:t>
      </w:r>
    </w:p>
    <w:p>
      <w:pPr>
        <w:pStyle w:val="Typedudocument"/>
        <w:rPr>
          <w:noProof/>
        </w:rPr>
      </w:pPr>
      <w:r>
        <w:rPr>
          <w:noProof/>
        </w:rPr>
        <w:t>DECIZIE A CONSILIULUI</w:t>
      </w:r>
    </w:p>
    <w:p>
      <w:pPr>
        <w:pStyle w:val="Titreobjet"/>
        <w:rPr>
          <w:noProof/>
        </w:rPr>
      </w:pPr>
      <w:r>
        <w:rPr>
          <w:noProof/>
        </w:rPr>
        <w:t>privind semnarea, în numele Uniunii Europene, a Acordului dintre Uniunea Europeană și Confederația Elvețiană privind normele suplimentare referitoare la Instrumentul de sprijin financiar pentru frontiere externe și vize, în cadrul Fondului pentru securitate internă, pentru perioada 2014-2020</w:t>
      </w:r>
    </w:p>
    <w:p>
      <w:pPr>
        <w:pStyle w:val="Institutionquiagit"/>
        <w:rPr>
          <w:noProof/>
        </w:rPr>
      </w:pPr>
      <w:r>
        <w:rPr>
          <w:noProof/>
        </w:rPr>
        <w:t>CONSILIUL UNIUNII EUROPENE,</w:t>
      </w:r>
    </w:p>
    <w:p>
      <w:pPr>
        <w:rPr>
          <w:noProof/>
        </w:rPr>
      </w:pPr>
      <w:r>
        <w:rPr>
          <w:noProof/>
        </w:rPr>
        <w:t>având în vedere Tratatul privind funcționarea Uniunii Europene, în special articolul 77 alineatul (2), coroborat cu articolul 218 alineatul (5),</w:t>
      </w:r>
    </w:p>
    <w:p>
      <w:pPr>
        <w:rPr>
          <w:noProof/>
        </w:rPr>
      </w:pPr>
      <w:r>
        <w:rPr>
          <w:noProof/>
        </w:rPr>
        <w:t>având în vedere propunerea Comisiei Europene,</w:t>
      </w:r>
    </w:p>
    <w:p>
      <w:pPr>
        <w:rPr>
          <w:noProof/>
        </w:rPr>
      </w:pPr>
      <w:r>
        <w:rPr>
          <w:noProof/>
        </w:rPr>
        <w:t>întrucât:</w:t>
      </w:r>
    </w:p>
    <w:p>
      <w:pPr>
        <w:pStyle w:val="ManualConsidrant"/>
        <w:rPr>
          <w:noProof/>
          <w:color w:val="000000"/>
        </w:rPr>
      </w:pPr>
      <w:r>
        <w:t>(1)</w:t>
      </w:r>
      <w:r>
        <w:tab/>
      </w:r>
      <w:r>
        <w:rPr>
          <w:noProof/>
        </w:rPr>
        <w:t>Regulamentul (UE) nr. 515/2014 al Parlamentului European și al Consiliului</w:t>
      </w:r>
      <w:r>
        <w:rPr>
          <w:rStyle w:val="FootnoteReference"/>
          <w:noProof/>
        </w:rPr>
        <w:footnoteReference w:id="7"/>
      </w:r>
      <w:r>
        <w:rPr>
          <w:noProof/>
        </w:rPr>
        <w:t xml:space="preserve"> prevede că țările asociate la implementarea, punerea în aplicare și dezvoltarea acquis-ului Schengen participă la Instrumentul de sprijin financiar pentru frontiere externe și vize și că se încheie acorduri privind contribuțiile lor financiare și normele suplimentare necesare unei asemenea participări, inclusiv dispozițiile care asigură protejarea intereselor financiare ale Uniunii și a competențelor de audit ale Curții de Conturi. </w:t>
      </w:r>
    </w:p>
    <w:p>
      <w:pPr>
        <w:pStyle w:val="ManualConsidrant"/>
        <w:rPr>
          <w:noProof/>
        </w:rPr>
      </w:pPr>
      <w:r>
        <w:t>(2)</w:t>
      </w:r>
      <w:r>
        <w:tab/>
      </w:r>
      <w:r>
        <w:rPr>
          <w:noProof/>
        </w:rPr>
        <w:t xml:space="preserve">La 14 iulie 2014, Consiliul a autorizat Comisia să deschidă negocieri cu Regatul Norvegiei, Republica Islanda, Confederația Elvețiană și Principatul Liechtenstein în vederea încheierii unui acord privind modalitățile de participare a acestor țări la Fondul pentru securitate internă – Frontiere și vize. Negocierile cu Confederația Elvețiană s-au încheiat cu succes prin parafarea acordului la 21 aprilie 2017. </w:t>
      </w:r>
    </w:p>
    <w:p>
      <w:pPr>
        <w:pStyle w:val="ManualConsidrant"/>
        <w:rPr>
          <w:noProof/>
        </w:rPr>
      </w:pPr>
      <w:r>
        <w:t>(3)</w:t>
      </w:r>
      <w:r>
        <w:tab/>
      </w:r>
      <w:r>
        <w:rPr>
          <w:noProof/>
        </w:rPr>
        <w:t>În conformitate cu articolele 1 și 2 din Protocolul nr. 22 privind poziția Danemarcei, anexat la Tratatul privind Uniunea Europeană și la Tratatul privind funcționarea Uniunii Europene, Danemarca nu participă la adoptarea prezentei decizii, nu are obligații în temeiul acesteia și nu face obiectul aplicării sale. Având în vedere faptul că prezenta decizie constituie o dezvoltare a acquis-ului Schengen, Danemarca decide, în conformitate cu articolul 4 din protocolul respectiv, în termen de șase luni de la data la care Consiliul hotărăște cu privire la prezenta decizie, dacă o va transpune în legislația sa internă.</w:t>
      </w:r>
    </w:p>
    <w:p>
      <w:pPr>
        <w:pStyle w:val="ManualConsidrant"/>
        <w:rPr>
          <w:noProof/>
        </w:rPr>
      </w:pPr>
      <w:r>
        <w:t>(4)</w:t>
      </w:r>
      <w:r>
        <w:tab/>
      </w:r>
      <w:r>
        <w:rPr>
          <w:noProof/>
        </w:rPr>
        <w:t>Prezenta decizie constituie o dezvoltare a dispozițiilor acquis-ului Schengen la care Regatul Unit nu participă, în conformitate cu Decizia 2000/365/CE a Consiliului</w:t>
      </w:r>
      <w:r>
        <w:rPr>
          <w:rStyle w:val="FootnoteReference"/>
          <w:noProof/>
        </w:rPr>
        <w:footnoteReference w:id="8"/>
      </w:r>
      <w:r>
        <w:rPr>
          <w:noProof/>
        </w:rPr>
        <w:t>; prin urmare, Regatul Unit nu participă la adoptarea prezentei decizii, nu are obligații în temeiul acesteia și nu face obiectul aplicării sale.</w:t>
      </w:r>
    </w:p>
    <w:p>
      <w:pPr>
        <w:pStyle w:val="ManualConsidrant"/>
        <w:rPr>
          <w:noProof/>
        </w:rPr>
      </w:pPr>
      <w:r>
        <w:t>(5)</w:t>
      </w:r>
      <w:r>
        <w:tab/>
      </w:r>
      <w:r>
        <w:rPr>
          <w:noProof/>
        </w:rPr>
        <w:t>Prezenta decizie reprezintă o dezvoltare a dispozițiilor acquis-ului Schengen la care Irlanda nu participă, în conformitate cu Decizia 2002/192/CE a Consiliului</w:t>
      </w:r>
      <w:r>
        <w:rPr>
          <w:rStyle w:val="FootnoteReference"/>
          <w:noProof/>
        </w:rPr>
        <w:footnoteReference w:id="9"/>
      </w:r>
      <w:r>
        <w:rPr>
          <w:noProof/>
        </w:rPr>
        <w:t>; prin urmare, Irlanda nu participă la adoptarea prezentei decizii, nu are obligații în temeiul acesteia și nu face obiectul aplicării sale.</w:t>
      </w:r>
    </w:p>
    <w:p>
      <w:pPr>
        <w:pStyle w:val="ManualConsidrant"/>
        <w:rPr>
          <w:noProof/>
        </w:rPr>
      </w:pPr>
      <w:r>
        <w:t>(6)</w:t>
      </w:r>
      <w:r>
        <w:tab/>
      </w:r>
      <w:r>
        <w:rPr>
          <w:noProof/>
        </w:rPr>
        <w:t>Acordul ar trebui semnat în numele Uniunii, sub rezerva încheierii sale la o dată ulterioară,</w:t>
      </w:r>
    </w:p>
    <w:p>
      <w:pPr>
        <w:pStyle w:val="Formuledadoption"/>
        <w:rPr>
          <w:noProof/>
        </w:rPr>
      </w:pPr>
      <w:r>
        <w:rPr>
          <w:noProof/>
        </w:rPr>
        <w:t xml:space="preserve">ADOPTĂ PREZENTA DECIZIE: </w:t>
      </w:r>
    </w:p>
    <w:p>
      <w:pPr>
        <w:pStyle w:val="Titrearticle"/>
        <w:rPr>
          <w:noProof/>
        </w:rPr>
      </w:pPr>
      <w:r>
        <w:rPr>
          <w:noProof/>
        </w:rPr>
        <w:t>Articolul 1</w:t>
      </w:r>
    </w:p>
    <w:p>
      <w:pPr>
        <w:rPr>
          <w:noProof/>
        </w:rPr>
      </w:pPr>
      <w:r>
        <w:rPr>
          <w:noProof/>
        </w:rPr>
        <w:t xml:space="preserve">Se autorizează semnarea, în numele Uniunii Europene, a Acordului dintre Uniunea Europeană și Confederația Elvețiană privind normele suplimentare referitoare la Instrumentul de sprijin financiar pentru frontiere externe și vize, în cadrul Fondului pentru securitate internă, pentru perioada 2014-2020, sub rezerva încheierii acordului menționat. </w:t>
      </w:r>
    </w:p>
    <w:p>
      <w:pPr>
        <w:rPr>
          <w:noProof/>
        </w:rPr>
      </w:pPr>
      <w:r>
        <w:rPr>
          <w:noProof/>
        </w:rPr>
        <w:t>Textul acordului care urmează să fie semnat este anexat la prezenta decizie.</w:t>
      </w:r>
    </w:p>
    <w:p>
      <w:pPr>
        <w:pStyle w:val="Titrearticle"/>
        <w:keepNext w:val="0"/>
        <w:rPr>
          <w:noProof/>
        </w:rPr>
      </w:pPr>
      <w:r>
        <w:rPr>
          <w:noProof/>
        </w:rPr>
        <w:t>Articolul 2</w:t>
      </w:r>
    </w:p>
    <w:p>
      <w:pPr>
        <w:keepLines/>
        <w:rPr>
          <w:noProof/>
        </w:rPr>
      </w:pPr>
      <w:r>
        <w:rPr>
          <w:noProof/>
        </w:rPr>
        <w:t>Secretariatul General al Consiliului stabilește instrumentul prin care se acordă puteri depline pentru semnarea acordului, sub rezerva încheierii acestuia, persoanei (persoanelor) indicate de către negociatorul acordului.</w:t>
      </w:r>
    </w:p>
    <w:p>
      <w:pPr>
        <w:pStyle w:val="Titrearticle"/>
        <w:rPr>
          <w:noProof/>
          <w:color w:val="000000"/>
        </w:rPr>
      </w:pPr>
      <w:r>
        <w:rPr>
          <w:noProof/>
          <w:color w:val="000000"/>
        </w:rPr>
        <w:t>Articolul 3</w:t>
      </w:r>
    </w:p>
    <w:p>
      <w:pPr>
        <w:keepNext/>
        <w:keepLines/>
        <w:rPr>
          <w:noProof/>
        </w:rPr>
      </w:pPr>
      <w:r>
        <w:rPr>
          <w:noProof/>
        </w:rPr>
        <w:t>Prezenta decizie intră în vigoare la data adoptării.</w:t>
      </w:r>
    </w:p>
    <w:p>
      <w:pPr>
        <w:pStyle w:val="Fait"/>
        <w:rPr>
          <w:noProof/>
        </w:rPr>
      </w:pPr>
      <w:r>
        <w:t>Adoptată la Bruxelles,</w:t>
      </w:r>
    </w:p>
    <w:p>
      <w:pPr>
        <w:pStyle w:val="Institutionquisigne"/>
        <w:rPr>
          <w:noProof/>
        </w:rPr>
      </w:pPr>
      <w:r>
        <w:rPr>
          <w:noProof/>
        </w:rPr>
        <w:tab/>
        <w:t>Pentru Consiliu,</w:t>
      </w:r>
    </w:p>
    <w:p>
      <w:pPr>
        <w:pStyle w:val="Personnequisigne"/>
        <w:rPr>
          <w:noProof/>
        </w:rPr>
      </w:pPr>
      <w:r>
        <w:rPr>
          <w:noProof/>
        </w:rPr>
        <w:tab/>
        <w:t>Președintele</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RO</w:t>
    </w:r>
    <w:r>
      <w:rPr>
        <w:rFonts w:ascii="Arial" w:hAnsi="Arial" w:cs="Arial"/>
        <w:b/>
        <w:sz w:val="48"/>
      </w:rPr>
      <w:tab/>
    </w:r>
    <w:r>
      <w:rPr>
        <w:rFonts w:ascii="Arial" w:hAnsi="Arial" w:cs="Arial"/>
        <w:b/>
        <w:sz w:val="48"/>
      </w:rPr>
      <w:tab/>
    </w:r>
    <w:r>
      <w:tab/>
    </w:r>
    <w:r>
      <w:rPr>
        <w:rFonts w:ascii="Arial" w:hAnsi="Arial" w:cs="Arial"/>
        <w:b/>
        <w:sz w:val="48"/>
      </w:rPr>
      <w:t>RO</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RO</w:t>
    </w:r>
    <w:r>
      <w:rPr>
        <w:rFonts w:ascii="Arial" w:hAnsi="Arial" w:cs="Arial"/>
        <w:b/>
        <w:sz w:val="48"/>
      </w:rPr>
      <w:tab/>
    </w:r>
    <w:r>
      <w:fldChar w:fldCharType="begin"/>
    </w:r>
    <w:r>
      <w:instrText xml:space="preserve"> PAGE  \* MERGEFORMAT </w:instrText>
    </w:r>
    <w:r>
      <w:fldChar w:fldCharType="separate"/>
    </w:r>
    <w:r>
      <w:rPr>
        <w:noProof/>
      </w:rPr>
      <w:t>6</w:t>
    </w:r>
    <w:r>
      <w:fldChar w:fldCharType="end"/>
    </w:r>
    <w:r>
      <w:tab/>
    </w:r>
    <w:r>
      <w:tab/>
    </w:r>
    <w:r>
      <w:rPr>
        <w:rFonts w:ascii="Arial" w:hAnsi="Arial" w:cs="Arial"/>
        <w:b/>
        <w:sz w:val="48"/>
      </w:rPr>
      <w:t>RO</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rPr>
          <w:lang w:val="fi-FI"/>
        </w:rPr>
      </w:pPr>
      <w:r>
        <w:rPr>
          <w:rStyle w:val="FootnoteReference"/>
        </w:rPr>
        <w:footnoteRef/>
      </w:r>
      <w:r>
        <w:tab/>
        <w:t>JO L 150, 20.5.2014, p. 143.</w:t>
      </w:r>
    </w:p>
  </w:footnote>
  <w:footnote w:id="2">
    <w:p>
      <w:pPr>
        <w:pStyle w:val="FootnoteText"/>
        <w:rPr>
          <w:lang w:val="fi-FI"/>
        </w:rPr>
      </w:pPr>
      <w:r>
        <w:rPr>
          <w:rStyle w:val="FootnoteReference"/>
        </w:rPr>
        <w:footnoteRef/>
      </w:r>
      <w:r>
        <w:tab/>
        <w:t>JO L 150, 20.5.2014, p. 112.</w:t>
      </w:r>
    </w:p>
  </w:footnote>
  <w:footnote w:id="3">
    <w:p>
      <w:pPr>
        <w:pStyle w:val="FootnoteText"/>
      </w:pPr>
      <w:r>
        <w:rPr>
          <w:rStyle w:val="FootnoteReference"/>
        </w:rPr>
        <w:footnoteRef/>
      </w:r>
      <w:r>
        <w:tab/>
        <w:t>JO L 77, 23.3.2016, p. 1.</w:t>
      </w:r>
    </w:p>
  </w:footnote>
  <w:footnote w:id="4">
    <w:p>
      <w:pPr>
        <w:pStyle w:val="FootnoteText"/>
      </w:pPr>
      <w:r>
        <w:rPr>
          <w:rStyle w:val="FootnoteReference"/>
        </w:rPr>
        <w:footnoteRef/>
      </w:r>
      <w:r>
        <w:tab/>
        <w:t>Decizia Consiliului din 29 mai 2000 privind solicitarea Regatului Unit al Marii Britanii și Irlandei de Nord de a participa la unele dintre dispozițiile acquis-ului Schengen (JO L 131, 1.6.2000, p. 43).</w:t>
      </w:r>
    </w:p>
  </w:footnote>
  <w:footnote w:id="5">
    <w:p>
      <w:pPr>
        <w:pStyle w:val="FootnoteText"/>
      </w:pPr>
      <w:r>
        <w:rPr>
          <w:rStyle w:val="FootnoteReference"/>
        </w:rPr>
        <w:footnoteRef/>
      </w:r>
      <w:r>
        <w:tab/>
        <w:t>Decizia Consiliului din 28 februarie 2002 privind solicitarea Irlandei de a participa la unele dintre dispozițiile acquis-ului Schengen (JO L 64, 7.3.2002, p. 20).</w:t>
      </w:r>
    </w:p>
  </w:footnote>
  <w:footnote w:id="6">
    <w:p>
      <w:pPr>
        <w:pStyle w:val="FootnoteText"/>
        <w:rPr>
          <w:rFonts w:eastAsia="Times New Roman"/>
        </w:rPr>
      </w:pPr>
      <w:r>
        <w:rPr>
          <w:rStyle w:val="FootnoteReference"/>
        </w:rPr>
        <w:footnoteRef/>
      </w:r>
      <w:r>
        <w:tab/>
        <w:t>Propunerea de decizie a Consiliului privind încheierea, în numele Uniunii Europene, a Acordului dintre Uniunea Europeană și Confederația Elvețiană privind normele suplimentare referitoare la Instrumentul de sprijin financiar pentru frontiere externe și vize, în cadrul Fondului pentru securitate internă pentru perioada 2014-2020, COM(2016) XXX final [referința se introduce după ce SG atribuie un număr].</w:t>
      </w:r>
    </w:p>
    <w:p>
      <w:pPr>
        <w:pStyle w:val="FootnoteText"/>
      </w:pPr>
    </w:p>
  </w:footnote>
  <w:footnote w:id="7">
    <w:p>
      <w:pPr>
        <w:pStyle w:val="FootnoteText"/>
        <w:ind w:left="240" w:hanging="240"/>
      </w:pPr>
      <w:r>
        <w:rPr>
          <w:rStyle w:val="FootnoteReference"/>
        </w:rPr>
        <w:footnoteRef/>
      </w:r>
      <w:r>
        <w:tab/>
        <w:t>Regulamentul (UE) nr. 515/2014 al Parlamentului European și al Consiliului din 16 aprilie 2014 de instituire, în cadrul Fondului pentru securitate internă, a instrumentului de sprijin financiar pentru frontiere externe și vize și de abrogare a Deciziei nr. 574/2007/CE (JO L 150, 20.5.2014, p. 143).</w:t>
      </w:r>
    </w:p>
  </w:footnote>
  <w:footnote w:id="8">
    <w:p>
      <w:pPr>
        <w:pStyle w:val="FootnoteText"/>
        <w:ind w:left="240" w:hanging="240"/>
      </w:pPr>
      <w:r>
        <w:rPr>
          <w:rStyle w:val="FootnoteReference"/>
        </w:rPr>
        <w:footnoteRef/>
      </w:r>
      <w:r>
        <w:tab/>
        <w:t>Decizia Consiliului din 29 mai 2000 privind solicitarea Regatului Unit al Marii Britanii și Irlandei de Nord de a participa la unele dintre dispozițiile acquis-ului Schengen (JO L 131, 1.6.2000, p. 43).</w:t>
      </w:r>
    </w:p>
  </w:footnote>
  <w:footnote w:id="9">
    <w:p>
      <w:pPr>
        <w:pStyle w:val="FootnoteText"/>
      </w:pPr>
      <w:r>
        <w:rPr>
          <w:rStyle w:val="FootnoteReference"/>
        </w:rPr>
        <w:footnoteRef/>
      </w:r>
      <w:r>
        <w:tab/>
        <w:t>Decizia Consiliului din 28 februarie 2002 privind solicitarea Irlandei de a participa la unele dintre dispozițiile acquis-ului Schengen (JO L 64, 7.3.2002, p. 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F3A6D20"/>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874CDB58"/>
    <w:lvl w:ilvl="0">
      <w:start w:val="1"/>
      <w:numFmt w:val="decimal"/>
      <w:pStyle w:val="ListNumber3"/>
      <w:lvlText w:val="%1."/>
      <w:lvlJc w:val="left"/>
      <w:pPr>
        <w:tabs>
          <w:tab w:val="num" w:pos="926"/>
        </w:tabs>
        <w:ind w:left="926" w:hanging="360"/>
      </w:pPr>
    </w:lvl>
  </w:abstractNum>
  <w:abstractNum w:abstractNumId="2">
    <w:nsid w:val="FFFFFF7F"/>
    <w:multiLevelType w:val="singleLevel"/>
    <w:tmpl w:val="6CAA4DA8"/>
    <w:lvl w:ilvl="0">
      <w:start w:val="1"/>
      <w:numFmt w:val="decimal"/>
      <w:pStyle w:val="ListNumber2"/>
      <w:lvlText w:val="%1."/>
      <w:lvlJc w:val="left"/>
      <w:pPr>
        <w:tabs>
          <w:tab w:val="num" w:pos="643"/>
        </w:tabs>
        <w:ind w:left="643" w:hanging="360"/>
      </w:pPr>
    </w:lvl>
  </w:abstractNum>
  <w:abstractNum w:abstractNumId="3">
    <w:nsid w:val="FFFFFF81"/>
    <w:multiLevelType w:val="singleLevel"/>
    <w:tmpl w:val="F2901768"/>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90360FF6"/>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740A1D52"/>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9386DEDE"/>
    <w:lvl w:ilvl="0">
      <w:start w:val="1"/>
      <w:numFmt w:val="decimal"/>
      <w:pStyle w:val="ListNumber"/>
      <w:lvlText w:val="%1."/>
      <w:lvlJc w:val="left"/>
      <w:pPr>
        <w:tabs>
          <w:tab w:val="num" w:pos="360"/>
        </w:tabs>
        <w:ind w:left="360" w:hanging="360"/>
      </w:pPr>
    </w:lvl>
  </w:abstractNum>
  <w:abstractNum w:abstractNumId="7">
    <w:nsid w:val="FFFFFF89"/>
    <w:multiLevelType w:val="singleLevel"/>
    <w:tmpl w:val="448E82C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21"/>
    <w:lvlOverride w:ilvl="0">
      <w:startOverride w:val="1"/>
    </w:lvlOverride>
  </w:num>
  <w:num w:numId="2">
    <w:abstractNumId w:val="0"/>
  </w:num>
  <w:num w:numId="3">
    <w:abstractNumId w:val="7"/>
  </w:num>
  <w:num w:numId="4">
    <w:abstractNumId w:val="5"/>
  </w:num>
  <w:num w:numId="5">
    <w:abstractNumId w:val="4"/>
  </w:num>
  <w:num w:numId="6">
    <w:abstractNumId w:val="3"/>
  </w:num>
  <w:num w:numId="7">
    <w:abstractNumId w:val="6"/>
  </w:num>
  <w:num w:numId="8">
    <w:abstractNumId w:val="2"/>
  </w:num>
  <w:num w:numId="9">
    <w:abstractNumId w:val="1"/>
  </w:num>
  <w:num w:numId="10">
    <w:abstractNumId w:val="18"/>
  </w:num>
  <w:num w:numId="11">
    <w:abstractNumId w:val="12"/>
  </w:num>
  <w:num w:numId="12">
    <w:abstractNumId w:val="20"/>
  </w:num>
  <w:num w:numId="13">
    <w:abstractNumId w:val="11"/>
  </w:num>
  <w:num w:numId="14">
    <w:abstractNumId w:val="13"/>
  </w:num>
  <w:num w:numId="15">
    <w:abstractNumId w:val="9"/>
  </w:num>
  <w:num w:numId="16">
    <w:abstractNumId w:val="19"/>
  </w:num>
  <w:num w:numId="17">
    <w:abstractNumId w:val="8"/>
  </w:num>
  <w:num w:numId="18">
    <w:abstractNumId w:val="14"/>
  </w:num>
  <w:num w:numId="19">
    <w:abstractNumId w:val="16"/>
  </w:num>
  <w:num w:numId="20">
    <w:abstractNumId w:val="17"/>
  </w:num>
  <w:num w:numId="21">
    <w:abstractNumId w:val="10"/>
  </w:num>
  <w:num w:numId="22">
    <w:abstractNumId w:val="15"/>
  </w:num>
  <w:num w:numId="23">
    <w:abstractNumId w:val="21"/>
  </w:num>
  <w:num w:numId="24">
    <w:abstractNumId w:val="18"/>
  </w:num>
  <w:num w:numId="25">
    <w:abstractNumId w:val="12"/>
  </w:num>
  <w:num w:numId="26">
    <w:abstractNumId w:val="20"/>
  </w:num>
  <w:num w:numId="27">
    <w:abstractNumId w:val="11"/>
  </w:num>
  <w:num w:numId="28">
    <w:abstractNumId w:val="13"/>
  </w:num>
  <w:num w:numId="29">
    <w:abstractNumId w:val="9"/>
  </w:num>
  <w:num w:numId="30">
    <w:abstractNumId w:val="19"/>
  </w:num>
  <w:num w:numId="31">
    <w:abstractNumId w:val="8"/>
  </w:num>
  <w:num w:numId="32">
    <w:abstractNumId w:val="14"/>
  </w:num>
  <w:num w:numId="33">
    <w:abstractNumId w:val="16"/>
  </w:num>
  <w:num w:numId="34">
    <w:abstractNumId w:val="17"/>
  </w:num>
  <w:num w:numId="35">
    <w:abstractNumId w:val="10"/>
  </w:num>
  <w:num w:numId="36">
    <w:abstractNumId w:val="15"/>
  </w:num>
  <w:num w:numId="37">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30"/>
  <w:hideSpellingErrors/>
  <w:hideGrammaticalErrors/>
  <w:attachedTemplate r:id="rId1"/>
  <w:revisionView w:markup="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8-02-08 17:16:05"/>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2"/>
    <w:docVar w:name="DQCResult_ModifiedMarkers" w:val="0;0"/>
    <w:docVar w:name="DQCResult_ModifiedNumbering" w:val="0;0"/>
    <w:docVar w:name="DQCResult_Objects" w:val="0;0"/>
    <w:docVar w:name="DQCResult_Sections" w:val="0;1"/>
    <w:docVar w:name="DQCResult_StructureCheck" w:val="0;0"/>
    <w:docVar w:name="DQCResult_SuperfluousWhitespace" w:val="0;3"/>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FCA1AED2-A2D2-4B0F-B423-9D85712BD0E3"/>
    <w:docVar w:name="LW_COVERPAGE_TYPE" w:val="1"/>
    <w:docVar w:name="LW_CROSSREFERENCE" w:val="&lt;UNUSED&gt;"/>
    <w:docVar w:name="LW_DocType" w:val="COM"/>
    <w:docVar w:name="LW_EMISSION" w:val="14.2.2018"/>
    <w:docVar w:name="LW_EMISSION_ISODATE" w:val="2018-02-14"/>
    <w:docVar w:name="LW_EMISSION_LOCATION" w:val="BRX"/>
    <w:docVar w:name="LW_EMISSION_PREFIX" w:val="Bruxelles, "/>
    <w:docVar w:name="LW_EMISSION_SUFFIX" w:val="&lt;EMPTY&gt;"/>
    <w:docVar w:name="LW_ID_DOCMODEL" w:val="SJ-019"/>
    <w:docVar w:name="LW_ID_DOCSIGNATURE" w:val="SJ-019"/>
    <w:docVar w:name="LW_ID_DOCSTRUCTURE" w:val="COM/PL/ORG"/>
    <w:docVar w:name="LW_ID_DOCTYPE" w:val="SJ-019"/>
    <w:docVar w:name="LW_ID_EXP.MOTIFS.NEW" w:val="EM_PL_"/>
    <w:docVar w:name="LW_ID_STATUT" w:val="SJ-019"/>
    <w:docVar w:name="LW_INTERETEEE.CP" w:val="&lt;UNUSED&gt;"/>
    <w:docVar w:name="LW_LANGUE" w:val="RO"/>
    <w:docVar w:name="LW_LEVEL_OF_SENSITIVITY" w:val="Standard treatment"/>
    <w:docVar w:name="LW_NOM.INST" w:val="COMISIA EUROPEAN\u258?"/>
    <w:docVar w:name="LW_NOM.INST_JOINTDOC" w:val="&lt;EMPTY&gt;"/>
    <w:docVar w:name="LW_PART_NBR" w:val="1"/>
    <w:docVar w:name="LW_PART_NBR_TOTAL" w:val="1"/>
    <w:docVar w:name="LW_REF.II.NEW.CP" w:val="NLE"/>
    <w:docVar w:name="LW_REF.II.NEW.CP_NUMBER" w:val="0031"/>
    <w:docVar w:name="LW_REF.II.NEW.CP_YEAR" w:val="2018"/>
    <w:docVar w:name="LW_REF.INST.NEW" w:val="COM"/>
    <w:docVar w:name="LW_REF.INST.NEW_ADOPTED" w:val="final"/>
    <w:docVar w:name="LW_REF.INST.NEW_TEXT" w:val="(2018) 64"/>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Propunere de"/>
    <w:docVar w:name="LW_SUPERTITRE" w:val="&lt;UNUSED&gt;"/>
    <w:docVar w:name="LW_TITRE.OBJ.CP" w:val="privind semnarea, în numele Uniunii Europene, a Acordului dintre Uniunea European\u259? \u537?i Confedera\u539?ia Elve\u539?ian\u259? privind normele suplimentare referitoare la Instrumentul de sprijin financiar pentru frontiere externe \u537?i vize, în cadrul Fondului pentru securitate intern\u259?, pentru perioada 2014-2020"/>
    <w:docVar w:name="LW_TYPE.DOC.CP" w:val="DECIZIE A CONSILIULUI"/>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ro-RO" w:bidi="ro-RO"/>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3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0"/>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4">
    <w:name w:val="List Number 4"/>
    <w:basedOn w:val="Normal"/>
    <w:uiPriority w:val="99"/>
    <w:semiHidden/>
    <w:unhideWhenUsed/>
    <w:pPr>
      <w:numPr>
        <w:numId w:val="2"/>
      </w:numPr>
      <w:contextualSpacing/>
    </w:pPr>
    <w:rPr>
      <w:rFonts w:eastAsia="Calibri"/>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ro-RO"/>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ro-RO"/>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ro-RO"/>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9"/>
      </w:numPr>
    </w:pPr>
  </w:style>
  <w:style w:type="paragraph" w:customStyle="1" w:styleId="NumPar2">
    <w:name w:val="NumPar 2"/>
    <w:basedOn w:val="Normal"/>
    <w:next w:val="Text1"/>
    <w:pPr>
      <w:numPr>
        <w:ilvl w:val="1"/>
        <w:numId w:val="29"/>
      </w:numPr>
    </w:pPr>
  </w:style>
  <w:style w:type="paragraph" w:customStyle="1" w:styleId="NumPar3">
    <w:name w:val="NumPar 3"/>
    <w:basedOn w:val="Normal"/>
    <w:next w:val="Text1"/>
    <w:pPr>
      <w:numPr>
        <w:ilvl w:val="2"/>
        <w:numId w:val="29"/>
      </w:numPr>
    </w:pPr>
  </w:style>
  <w:style w:type="paragraph" w:customStyle="1" w:styleId="NumPar4">
    <w:name w:val="NumPar 4"/>
    <w:basedOn w:val="Normal"/>
    <w:next w:val="Text1"/>
    <w:pPr>
      <w:numPr>
        <w:ilvl w:val="3"/>
        <w:numId w:val="2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1"/>
      </w:numPr>
    </w:pPr>
  </w:style>
  <w:style w:type="paragraph" w:customStyle="1" w:styleId="Point1number">
    <w:name w:val="Point 1 (number)"/>
    <w:basedOn w:val="Normal"/>
    <w:pPr>
      <w:numPr>
        <w:ilvl w:val="2"/>
        <w:numId w:val="31"/>
      </w:numPr>
    </w:pPr>
  </w:style>
  <w:style w:type="paragraph" w:customStyle="1" w:styleId="Point2number">
    <w:name w:val="Point 2 (number)"/>
    <w:basedOn w:val="Normal"/>
    <w:pPr>
      <w:numPr>
        <w:ilvl w:val="4"/>
        <w:numId w:val="31"/>
      </w:numPr>
    </w:pPr>
  </w:style>
  <w:style w:type="paragraph" w:customStyle="1" w:styleId="Point3number">
    <w:name w:val="Point 3 (number)"/>
    <w:basedOn w:val="Normal"/>
    <w:pPr>
      <w:numPr>
        <w:ilvl w:val="6"/>
        <w:numId w:val="31"/>
      </w:numPr>
    </w:pPr>
  </w:style>
  <w:style w:type="paragraph" w:customStyle="1" w:styleId="Point0letter">
    <w:name w:val="Point 0 (letter)"/>
    <w:basedOn w:val="Normal"/>
    <w:pPr>
      <w:numPr>
        <w:ilvl w:val="1"/>
        <w:numId w:val="31"/>
      </w:numPr>
    </w:pPr>
  </w:style>
  <w:style w:type="paragraph" w:customStyle="1" w:styleId="Point1letter">
    <w:name w:val="Point 1 (letter)"/>
    <w:basedOn w:val="Normal"/>
    <w:pPr>
      <w:numPr>
        <w:ilvl w:val="3"/>
        <w:numId w:val="31"/>
      </w:numPr>
    </w:pPr>
  </w:style>
  <w:style w:type="paragraph" w:customStyle="1" w:styleId="Point2letter">
    <w:name w:val="Point 2 (letter)"/>
    <w:basedOn w:val="Normal"/>
    <w:pPr>
      <w:numPr>
        <w:ilvl w:val="5"/>
        <w:numId w:val="31"/>
      </w:numPr>
    </w:pPr>
  </w:style>
  <w:style w:type="paragraph" w:customStyle="1" w:styleId="Point3letter">
    <w:name w:val="Point 3 (letter)"/>
    <w:basedOn w:val="Normal"/>
    <w:pPr>
      <w:numPr>
        <w:ilvl w:val="7"/>
        <w:numId w:val="31"/>
      </w:numPr>
    </w:pPr>
  </w:style>
  <w:style w:type="paragraph" w:customStyle="1" w:styleId="Point4letter">
    <w:name w:val="Point 4 (letter)"/>
    <w:basedOn w:val="Normal"/>
    <w:pPr>
      <w:numPr>
        <w:ilvl w:val="8"/>
        <w:numId w:val="31"/>
      </w:numPr>
    </w:pPr>
  </w:style>
  <w:style w:type="paragraph" w:customStyle="1" w:styleId="Bullet0">
    <w:name w:val="Bullet 0"/>
    <w:basedOn w:val="Normal"/>
    <w:pPr>
      <w:numPr>
        <w:numId w:val="32"/>
      </w:numPr>
    </w:pPr>
  </w:style>
  <w:style w:type="paragraph" w:customStyle="1" w:styleId="Bullet1">
    <w:name w:val="Bullet 1"/>
    <w:basedOn w:val="Normal"/>
    <w:pPr>
      <w:numPr>
        <w:numId w:val="33"/>
      </w:numPr>
    </w:pPr>
  </w:style>
  <w:style w:type="paragraph" w:customStyle="1" w:styleId="Bullet2">
    <w:name w:val="Bullet 2"/>
    <w:basedOn w:val="Normal"/>
    <w:pPr>
      <w:numPr>
        <w:numId w:val="34"/>
      </w:numPr>
    </w:pPr>
  </w:style>
  <w:style w:type="paragraph" w:customStyle="1" w:styleId="Bullet3">
    <w:name w:val="Bullet 3"/>
    <w:basedOn w:val="Normal"/>
    <w:pPr>
      <w:numPr>
        <w:numId w:val="35"/>
      </w:numPr>
    </w:pPr>
  </w:style>
  <w:style w:type="paragraph" w:customStyle="1" w:styleId="Bullet4">
    <w:name w:val="Bullet 4"/>
    <w:basedOn w:val="Normal"/>
    <w:pPr>
      <w:numPr>
        <w:numId w:val="3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ro-RO" w:bidi="ro-RO"/>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3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0"/>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4">
    <w:name w:val="List Number 4"/>
    <w:basedOn w:val="Normal"/>
    <w:uiPriority w:val="99"/>
    <w:semiHidden/>
    <w:unhideWhenUsed/>
    <w:pPr>
      <w:numPr>
        <w:numId w:val="2"/>
      </w:numPr>
      <w:contextualSpacing/>
    </w:pPr>
    <w:rPr>
      <w:rFonts w:eastAsia="Calibri"/>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ro-RO"/>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ro-RO"/>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ro-RO"/>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9"/>
      </w:numPr>
    </w:pPr>
  </w:style>
  <w:style w:type="paragraph" w:customStyle="1" w:styleId="NumPar2">
    <w:name w:val="NumPar 2"/>
    <w:basedOn w:val="Normal"/>
    <w:next w:val="Text1"/>
    <w:pPr>
      <w:numPr>
        <w:ilvl w:val="1"/>
        <w:numId w:val="29"/>
      </w:numPr>
    </w:pPr>
  </w:style>
  <w:style w:type="paragraph" w:customStyle="1" w:styleId="NumPar3">
    <w:name w:val="NumPar 3"/>
    <w:basedOn w:val="Normal"/>
    <w:next w:val="Text1"/>
    <w:pPr>
      <w:numPr>
        <w:ilvl w:val="2"/>
        <w:numId w:val="29"/>
      </w:numPr>
    </w:pPr>
  </w:style>
  <w:style w:type="paragraph" w:customStyle="1" w:styleId="NumPar4">
    <w:name w:val="NumPar 4"/>
    <w:basedOn w:val="Normal"/>
    <w:next w:val="Text1"/>
    <w:pPr>
      <w:numPr>
        <w:ilvl w:val="3"/>
        <w:numId w:val="2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1"/>
      </w:numPr>
    </w:pPr>
  </w:style>
  <w:style w:type="paragraph" w:customStyle="1" w:styleId="Point1number">
    <w:name w:val="Point 1 (number)"/>
    <w:basedOn w:val="Normal"/>
    <w:pPr>
      <w:numPr>
        <w:ilvl w:val="2"/>
        <w:numId w:val="31"/>
      </w:numPr>
    </w:pPr>
  </w:style>
  <w:style w:type="paragraph" w:customStyle="1" w:styleId="Point2number">
    <w:name w:val="Point 2 (number)"/>
    <w:basedOn w:val="Normal"/>
    <w:pPr>
      <w:numPr>
        <w:ilvl w:val="4"/>
        <w:numId w:val="31"/>
      </w:numPr>
    </w:pPr>
  </w:style>
  <w:style w:type="paragraph" w:customStyle="1" w:styleId="Point3number">
    <w:name w:val="Point 3 (number)"/>
    <w:basedOn w:val="Normal"/>
    <w:pPr>
      <w:numPr>
        <w:ilvl w:val="6"/>
        <w:numId w:val="31"/>
      </w:numPr>
    </w:pPr>
  </w:style>
  <w:style w:type="paragraph" w:customStyle="1" w:styleId="Point0letter">
    <w:name w:val="Point 0 (letter)"/>
    <w:basedOn w:val="Normal"/>
    <w:pPr>
      <w:numPr>
        <w:ilvl w:val="1"/>
        <w:numId w:val="31"/>
      </w:numPr>
    </w:pPr>
  </w:style>
  <w:style w:type="paragraph" w:customStyle="1" w:styleId="Point1letter">
    <w:name w:val="Point 1 (letter)"/>
    <w:basedOn w:val="Normal"/>
    <w:pPr>
      <w:numPr>
        <w:ilvl w:val="3"/>
        <w:numId w:val="31"/>
      </w:numPr>
    </w:pPr>
  </w:style>
  <w:style w:type="paragraph" w:customStyle="1" w:styleId="Point2letter">
    <w:name w:val="Point 2 (letter)"/>
    <w:basedOn w:val="Normal"/>
    <w:pPr>
      <w:numPr>
        <w:ilvl w:val="5"/>
        <w:numId w:val="31"/>
      </w:numPr>
    </w:pPr>
  </w:style>
  <w:style w:type="paragraph" w:customStyle="1" w:styleId="Point3letter">
    <w:name w:val="Point 3 (letter)"/>
    <w:basedOn w:val="Normal"/>
    <w:pPr>
      <w:numPr>
        <w:ilvl w:val="7"/>
        <w:numId w:val="31"/>
      </w:numPr>
    </w:pPr>
  </w:style>
  <w:style w:type="paragraph" w:customStyle="1" w:styleId="Point4letter">
    <w:name w:val="Point 4 (letter)"/>
    <w:basedOn w:val="Normal"/>
    <w:pPr>
      <w:numPr>
        <w:ilvl w:val="8"/>
        <w:numId w:val="31"/>
      </w:numPr>
    </w:pPr>
  </w:style>
  <w:style w:type="paragraph" w:customStyle="1" w:styleId="Bullet0">
    <w:name w:val="Bullet 0"/>
    <w:basedOn w:val="Normal"/>
    <w:pPr>
      <w:numPr>
        <w:numId w:val="32"/>
      </w:numPr>
    </w:pPr>
  </w:style>
  <w:style w:type="paragraph" w:customStyle="1" w:styleId="Bullet1">
    <w:name w:val="Bullet 1"/>
    <w:basedOn w:val="Normal"/>
    <w:pPr>
      <w:numPr>
        <w:numId w:val="33"/>
      </w:numPr>
    </w:pPr>
  </w:style>
  <w:style w:type="paragraph" w:customStyle="1" w:styleId="Bullet2">
    <w:name w:val="Bullet 2"/>
    <w:basedOn w:val="Normal"/>
    <w:pPr>
      <w:numPr>
        <w:numId w:val="34"/>
      </w:numPr>
    </w:pPr>
  </w:style>
  <w:style w:type="paragraph" w:customStyle="1" w:styleId="Bullet3">
    <w:name w:val="Bullet 3"/>
    <w:basedOn w:val="Normal"/>
    <w:pPr>
      <w:numPr>
        <w:numId w:val="35"/>
      </w:numPr>
    </w:pPr>
  </w:style>
  <w:style w:type="paragraph" w:customStyle="1" w:styleId="Bullet4">
    <w:name w:val="Bullet 4"/>
    <w:basedOn w:val="Normal"/>
    <w:pPr>
      <w:numPr>
        <w:numId w:val="3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COM.dotm</Template>
  <TotalTime>2</TotalTime>
  <Pages>7</Pages>
  <Words>1997</Words>
  <Characters>12104</Characters>
  <Application>Microsoft Office Word</Application>
  <DocSecurity>0</DocSecurity>
  <Lines>208</Lines>
  <Paragraphs>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18</cp:revision>
  <dcterms:created xsi:type="dcterms:W3CDTF">2018-01-24T08:51:00Z</dcterms:created>
  <dcterms:modified xsi:type="dcterms:W3CDTF">2018-02-08T16:16:00Z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vt:lpwstr>
  </property>
  <property fmtid="{D5CDD505-2E9C-101B-9397-08002B2CF9AE}" pid="4" name="Last edited using">
    <vt:lpwstr>LW 6.0, Build 20171009</vt:lpwstr>
  </property>
  <property fmtid="{D5CDD505-2E9C-101B-9397-08002B2CF9AE}" pid="5" name="Created using">
    <vt:lpwstr>LW 6.0, Build 20171009</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SJ-019</vt:lpwstr>
  </property>
  <property fmtid="{D5CDD505-2E9C-101B-9397-08002B2CF9AE}" pid="10" name="DQCStatus">
    <vt:lpwstr>Green (DQC version 03)</vt:lpwstr>
  </property>
  <property name="OP_sanitized" fmtid="{D5CDD505-2E9C-101B-9397-08002B2CF9AE}" pid="11">
    <vt:lpwstr>True</vt:lpwstr>
  </property>
</Properties>
</file>