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04125" w14:textId="6241CF08" w:rsidR="00E57511" w:rsidRPr="00025997" w:rsidRDefault="00C101A8" w:rsidP="00C101A8">
      <w:pPr>
        <w:pStyle w:val="Pagedecouverture"/>
        <w:rPr>
          <w:noProof/>
        </w:rPr>
      </w:pPr>
      <w:r>
        <w:rPr>
          <w:noProof/>
        </w:rPr>
        <w:pict w14:anchorId="214BFE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1621CFB7-A01E-4901-8B48-25D7E52E7B24" style="width:455.25pt;height:442.5pt">
            <v:imagedata r:id="rId8" o:title=""/>
          </v:shape>
        </w:pict>
      </w:r>
    </w:p>
    <w:p w14:paraId="06EFD015" w14:textId="77777777" w:rsidR="00E57511" w:rsidRPr="00025997" w:rsidRDefault="00E57511" w:rsidP="00E57511">
      <w:pPr>
        <w:rPr>
          <w:noProof/>
        </w:rPr>
        <w:sectPr w:rsidR="00E57511" w:rsidRPr="00025997" w:rsidSect="00C101A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390E6C7A" w14:textId="77777777" w:rsidR="00E57511" w:rsidRPr="00025997" w:rsidRDefault="00E57511" w:rsidP="00E57511">
      <w:pPr>
        <w:pStyle w:val="Annexetitre"/>
        <w:rPr>
          <w:noProof/>
        </w:rPr>
      </w:pPr>
      <w:bookmarkStart w:id="0" w:name="_GoBack"/>
      <w:bookmarkEnd w:id="0"/>
      <w:r w:rsidRPr="00025997">
        <w:rPr>
          <w:noProof/>
        </w:rPr>
        <w:lastRenderedPageBreak/>
        <w:t xml:space="preserve">ПРИЛОЖЕНИЕ </w:t>
      </w:r>
    </w:p>
    <w:p w14:paraId="79645CA8" w14:textId="2A128A71" w:rsidR="00905D22" w:rsidRPr="00025997" w:rsidRDefault="00905D22" w:rsidP="00E57511">
      <w:pPr>
        <w:rPr>
          <w:noProof/>
        </w:rPr>
      </w:pPr>
    </w:p>
    <w:p w14:paraId="628F5908" w14:textId="48BE1812" w:rsidR="00693339" w:rsidRPr="00025997" w:rsidRDefault="00693339" w:rsidP="00693339">
      <w:pPr>
        <w:rPr>
          <w:noProof/>
        </w:rPr>
      </w:pPr>
      <w:r w:rsidRPr="00025997">
        <w:rPr>
          <w:noProof/>
        </w:rPr>
        <w:t>РЕШЕНИЕ № […]/2023 НА СЪВМЕСТНИЯ КОМИТЕТ, СЪЗДАДЕН СЪС СПОРАЗУМЕНИЕТО ЗА ОТТЕГЛЯНЕТО НА ОБЕДИНЕНОТО КРАЛСТВО ВЕЛИКОБРИТАНИЯ И СЕВЕРНА ИРЛАНДИЯ ОТ ЕВРОПЕЙСКИЯ СЪЮЗ И ЕВРОПЕЙСКАТА ОБЩНОСТ ЗА АТОМНА ЕНЕРГИЯ</w:t>
      </w:r>
    </w:p>
    <w:p w14:paraId="3057633F" w14:textId="77777777" w:rsidR="00693339" w:rsidRPr="00025997" w:rsidRDefault="00693339" w:rsidP="00693339">
      <w:pPr>
        <w:rPr>
          <w:noProof/>
        </w:rPr>
      </w:pPr>
    </w:p>
    <w:p w14:paraId="23872B79" w14:textId="77777777" w:rsidR="00693339" w:rsidRPr="00025997" w:rsidRDefault="00693339" w:rsidP="00973D36">
      <w:pPr>
        <w:jc w:val="center"/>
        <w:rPr>
          <w:noProof/>
        </w:rPr>
      </w:pPr>
      <w:r w:rsidRPr="00025997">
        <w:rPr>
          <w:noProof/>
        </w:rPr>
        <w:t>от... година</w:t>
      </w:r>
    </w:p>
    <w:p w14:paraId="139B94A8" w14:textId="77777777" w:rsidR="00693339" w:rsidRPr="00025997" w:rsidRDefault="00693339" w:rsidP="00973D36">
      <w:pPr>
        <w:jc w:val="center"/>
        <w:rPr>
          <w:noProof/>
        </w:rPr>
      </w:pPr>
    </w:p>
    <w:p w14:paraId="52A2A063" w14:textId="7626EEBC" w:rsidR="00693339" w:rsidRPr="00025997" w:rsidRDefault="00693339" w:rsidP="00973D36">
      <w:pPr>
        <w:jc w:val="center"/>
        <w:rPr>
          <w:noProof/>
        </w:rPr>
      </w:pPr>
      <w:r w:rsidRPr="00025997">
        <w:rPr>
          <w:noProof/>
        </w:rPr>
        <w:t>за добавяне на новоприет акт на Съюза в приложение 2 към Рамката от Уиндзор</w:t>
      </w:r>
    </w:p>
    <w:p w14:paraId="43EFC803" w14:textId="77777777" w:rsidR="00693339" w:rsidRPr="00025997" w:rsidRDefault="00693339" w:rsidP="00693339">
      <w:pPr>
        <w:rPr>
          <w:noProof/>
        </w:rPr>
      </w:pPr>
    </w:p>
    <w:p w14:paraId="6D18691E" w14:textId="77777777" w:rsidR="00EA130D" w:rsidRPr="00025997" w:rsidRDefault="00EA130D" w:rsidP="00693339">
      <w:pPr>
        <w:rPr>
          <w:noProof/>
        </w:rPr>
      </w:pPr>
    </w:p>
    <w:p w14:paraId="60D8F0F5" w14:textId="1D73588A" w:rsidR="00693339" w:rsidRPr="00025997" w:rsidRDefault="00693339" w:rsidP="00693339">
      <w:pPr>
        <w:rPr>
          <w:noProof/>
        </w:rPr>
      </w:pPr>
      <w:r w:rsidRPr="00025997">
        <w:rPr>
          <w:noProof/>
        </w:rPr>
        <w:t>СЪВМЕСТНИЯТ КОМИТЕТ,</w:t>
      </w:r>
    </w:p>
    <w:p w14:paraId="7DA0C6FC" w14:textId="77777777" w:rsidR="00693339" w:rsidRPr="00025997" w:rsidRDefault="00693339" w:rsidP="00693339">
      <w:pPr>
        <w:rPr>
          <w:noProof/>
        </w:rPr>
      </w:pPr>
    </w:p>
    <w:p w14:paraId="1BFEA58A" w14:textId="6C8A1738" w:rsidR="00693339" w:rsidRPr="00025997" w:rsidRDefault="00693339" w:rsidP="00693339">
      <w:pPr>
        <w:rPr>
          <w:noProof/>
        </w:rPr>
      </w:pPr>
      <w:r w:rsidRPr="00025997">
        <w:rPr>
          <w:noProof/>
        </w:rPr>
        <w:t>като взе предвид Споразумението за оттеглянето на Обединеното кралство Великобритания и Северна Ирландия от Европейския съюз и Европейската общност за атомна енергия</w:t>
      </w:r>
      <w:r w:rsidR="00C91294" w:rsidRPr="00025997">
        <w:rPr>
          <w:rStyle w:val="FootnoteReference"/>
          <w:noProof/>
        </w:rPr>
        <w:footnoteReference w:id="1"/>
      </w:r>
      <w:r w:rsidRPr="00025997">
        <w:rPr>
          <w:noProof/>
        </w:rPr>
        <w:t xml:space="preserve"> („Споразумението за оттегляне“), и по-специално член 13, параграф 4 от Рамката от Уиндзор</w:t>
      </w:r>
      <w:r w:rsidR="00826664" w:rsidRPr="00025997">
        <w:rPr>
          <w:rStyle w:val="FootnoteReference"/>
          <w:noProof/>
        </w:rPr>
        <w:footnoteReference w:id="2"/>
      </w:r>
      <w:r w:rsidRPr="00025997">
        <w:rPr>
          <w:noProof/>
        </w:rPr>
        <w:t>,</w:t>
      </w:r>
    </w:p>
    <w:p w14:paraId="13215981" w14:textId="77777777" w:rsidR="00693339" w:rsidRPr="00025997" w:rsidRDefault="00693339" w:rsidP="00693339">
      <w:pPr>
        <w:rPr>
          <w:noProof/>
        </w:rPr>
      </w:pPr>
    </w:p>
    <w:p w14:paraId="01737073" w14:textId="77777777" w:rsidR="00693339" w:rsidRPr="00025997" w:rsidRDefault="00693339" w:rsidP="00693339">
      <w:pPr>
        <w:rPr>
          <w:noProof/>
        </w:rPr>
      </w:pPr>
      <w:r w:rsidRPr="00025997">
        <w:rPr>
          <w:noProof/>
        </w:rPr>
        <w:t>като има предвид, че:</w:t>
      </w:r>
    </w:p>
    <w:p w14:paraId="44ADA34D" w14:textId="77777777" w:rsidR="00693339" w:rsidRPr="00025997" w:rsidRDefault="00693339" w:rsidP="00693339">
      <w:pPr>
        <w:rPr>
          <w:noProof/>
        </w:rPr>
      </w:pPr>
    </w:p>
    <w:p w14:paraId="4A12F578" w14:textId="14CCC4A3" w:rsidR="00693339" w:rsidRPr="00025997" w:rsidRDefault="00693339" w:rsidP="00E810E8">
      <w:pPr>
        <w:pStyle w:val="Point0number"/>
        <w:numPr>
          <w:ilvl w:val="0"/>
          <w:numId w:val="5"/>
        </w:numPr>
        <w:rPr>
          <w:noProof/>
        </w:rPr>
      </w:pPr>
      <w:r w:rsidRPr="00025997">
        <w:rPr>
          <w:noProof/>
        </w:rPr>
        <w:t>С член 13, параграф 4 от Рамката от Уиндзор Съвместният комитет, създаден съгласно член 164, параграф 1 от Споразумението за оттегляне (наричан по-нататък „Съвместният комитет“), се оправомощава да приема решения за добавяне на новоприети актове на Съюза, попадащи в обхвата на Рамката от Уиндзор, към съответните приложения към Рамката от Уиндзор. Съгласно член 166, параграф 2 от Споразумението за оттегляне решенията, приети от Съвместния комитет, са задължителни за Съюза и Обединеното кралство. Съюзът и Обединеното кралство трябва да прилагат тези решения, които имат същото правно действие като Споразумението за оттегляне.</w:t>
      </w:r>
    </w:p>
    <w:p w14:paraId="1B4293E3" w14:textId="77777777" w:rsidR="00881265" w:rsidRPr="00025997" w:rsidRDefault="00881265" w:rsidP="00146DB1">
      <w:pPr>
        <w:rPr>
          <w:noProof/>
        </w:rPr>
      </w:pPr>
    </w:p>
    <w:p w14:paraId="30E354C2" w14:textId="6413D170" w:rsidR="00E326F5" w:rsidRPr="00025997" w:rsidRDefault="00F9407E" w:rsidP="00E810E8">
      <w:pPr>
        <w:pStyle w:val="Point0number"/>
        <w:rPr>
          <w:noProof/>
        </w:rPr>
      </w:pPr>
      <w:r w:rsidRPr="00025997">
        <w:rPr>
          <w:noProof/>
        </w:rPr>
        <w:t xml:space="preserve">Новоприет акт на Съюза следва да бъде добавен в приложение 2 към Рамката от Уиндзор, </w:t>
      </w:r>
    </w:p>
    <w:p w14:paraId="0676BFD3" w14:textId="77777777" w:rsidR="00EA130D" w:rsidRPr="00025997" w:rsidRDefault="00EA130D" w:rsidP="00693339">
      <w:pPr>
        <w:rPr>
          <w:noProof/>
        </w:rPr>
      </w:pPr>
    </w:p>
    <w:p w14:paraId="1E809F74" w14:textId="77777777" w:rsidR="0056751A" w:rsidRPr="00025997" w:rsidRDefault="0056751A" w:rsidP="00693339">
      <w:pPr>
        <w:rPr>
          <w:noProof/>
        </w:rPr>
      </w:pPr>
    </w:p>
    <w:p w14:paraId="76C3893B" w14:textId="77777777" w:rsidR="0056751A" w:rsidRPr="00025997" w:rsidRDefault="0056751A" w:rsidP="00693339">
      <w:pPr>
        <w:rPr>
          <w:noProof/>
        </w:rPr>
      </w:pPr>
    </w:p>
    <w:p w14:paraId="70682C26" w14:textId="4674893B" w:rsidR="00693339" w:rsidRPr="00025997" w:rsidRDefault="00693339" w:rsidP="00693339">
      <w:pPr>
        <w:rPr>
          <w:noProof/>
        </w:rPr>
      </w:pPr>
      <w:r w:rsidRPr="00025997">
        <w:rPr>
          <w:noProof/>
        </w:rPr>
        <w:t>ПРИЕ НАСТОЯЩОТО РЕШЕНИЕ:</w:t>
      </w:r>
    </w:p>
    <w:p w14:paraId="6772A577" w14:textId="77777777" w:rsidR="00693339" w:rsidRPr="00025997" w:rsidRDefault="00693339" w:rsidP="00693339">
      <w:pPr>
        <w:rPr>
          <w:noProof/>
        </w:rPr>
      </w:pPr>
    </w:p>
    <w:p w14:paraId="4E831549" w14:textId="0347C10B" w:rsidR="00881265" w:rsidRPr="00025997" w:rsidRDefault="00693339" w:rsidP="00146DB1">
      <w:pPr>
        <w:pStyle w:val="Text6"/>
        <w:rPr>
          <w:i/>
          <w:iCs/>
          <w:noProof/>
        </w:rPr>
      </w:pPr>
      <w:r w:rsidRPr="00025997">
        <w:rPr>
          <w:i/>
          <w:noProof/>
        </w:rPr>
        <w:t>Член 1</w:t>
      </w:r>
    </w:p>
    <w:p w14:paraId="39E3948B" w14:textId="675CA69C" w:rsidR="00693339" w:rsidRPr="00025997" w:rsidRDefault="00F9407E" w:rsidP="00693339">
      <w:pPr>
        <w:rPr>
          <w:noProof/>
        </w:rPr>
      </w:pPr>
      <w:r w:rsidRPr="00025997">
        <w:rPr>
          <w:noProof/>
        </w:rPr>
        <w:t>Регламент (ЕС) 2023/2419 на Европейския парламент и на Съвета от 18 октомври 2023 г. относно етикетирането на биологичните храни за домашни любимци</w:t>
      </w:r>
      <w:r w:rsidRPr="00025997">
        <w:rPr>
          <w:rStyle w:val="FootnoteReference"/>
          <w:noProof/>
        </w:rPr>
        <w:footnoteReference w:id="3"/>
      </w:r>
      <w:r w:rsidRPr="00025997">
        <w:rPr>
          <w:noProof/>
        </w:rPr>
        <w:t xml:space="preserve"> се добавя в приложение 2 към Рамката от Уиндзор в точка 34 „Фуражи — продукти и хигиена“.</w:t>
      </w:r>
    </w:p>
    <w:p w14:paraId="2862BE1F" w14:textId="77777777" w:rsidR="00E326F5" w:rsidRPr="00025997" w:rsidRDefault="00E326F5" w:rsidP="00693339">
      <w:pPr>
        <w:rPr>
          <w:noProof/>
        </w:rPr>
      </w:pPr>
    </w:p>
    <w:p w14:paraId="1869A12B" w14:textId="77777777" w:rsidR="00693339" w:rsidRPr="00025997" w:rsidRDefault="00693339" w:rsidP="00146DB1">
      <w:pPr>
        <w:pStyle w:val="Text6"/>
        <w:rPr>
          <w:i/>
          <w:iCs/>
          <w:noProof/>
        </w:rPr>
      </w:pPr>
      <w:r w:rsidRPr="00025997">
        <w:rPr>
          <w:i/>
          <w:noProof/>
        </w:rPr>
        <w:t>Член 2</w:t>
      </w:r>
    </w:p>
    <w:p w14:paraId="0E83286E" w14:textId="77777777" w:rsidR="00693339" w:rsidRPr="00025997" w:rsidRDefault="00693339" w:rsidP="00693339">
      <w:pPr>
        <w:rPr>
          <w:noProof/>
        </w:rPr>
      </w:pPr>
      <w:r w:rsidRPr="00025997">
        <w:rPr>
          <w:noProof/>
        </w:rPr>
        <w:t>Настоящото решение влиза в сила в деня след деня на приемането му.</w:t>
      </w:r>
    </w:p>
    <w:p w14:paraId="58B2B989" w14:textId="77777777" w:rsidR="00693339" w:rsidRPr="00025997" w:rsidRDefault="00693339" w:rsidP="00693339">
      <w:pPr>
        <w:rPr>
          <w:noProof/>
        </w:rPr>
      </w:pPr>
    </w:p>
    <w:p w14:paraId="5B8491BD" w14:textId="77777777" w:rsidR="00693339" w:rsidRPr="00025997" w:rsidRDefault="00693339" w:rsidP="00693339">
      <w:pPr>
        <w:rPr>
          <w:noProof/>
        </w:rPr>
      </w:pPr>
      <w:r w:rsidRPr="00025997">
        <w:rPr>
          <w:noProof/>
        </w:rPr>
        <w:t>Съставено в Брюксел на […] година.</w:t>
      </w:r>
    </w:p>
    <w:p w14:paraId="07D7D8C1" w14:textId="77777777" w:rsidR="00693339" w:rsidRPr="00025997" w:rsidRDefault="00693339" w:rsidP="00693339">
      <w:pPr>
        <w:rPr>
          <w:noProof/>
        </w:rPr>
      </w:pPr>
    </w:p>
    <w:p w14:paraId="0AABFE4F" w14:textId="77777777" w:rsidR="00881265" w:rsidRPr="00025997" w:rsidRDefault="00881265" w:rsidP="00693339">
      <w:pPr>
        <w:rPr>
          <w:noProof/>
        </w:rPr>
      </w:pPr>
    </w:p>
    <w:p w14:paraId="51A1AF77" w14:textId="6DF92922" w:rsidR="00693339" w:rsidRPr="00025997" w:rsidRDefault="00693339" w:rsidP="00693339">
      <w:pPr>
        <w:rPr>
          <w:noProof/>
        </w:rPr>
      </w:pPr>
      <w:r w:rsidRPr="00025997">
        <w:rPr>
          <w:noProof/>
        </w:rPr>
        <w:t xml:space="preserve">За Съвместния комитет </w:t>
      </w:r>
    </w:p>
    <w:p w14:paraId="2455EA11" w14:textId="42D55926" w:rsidR="00693339" w:rsidRPr="00025997" w:rsidRDefault="00693339" w:rsidP="00693339">
      <w:pPr>
        <w:rPr>
          <w:noProof/>
        </w:rPr>
      </w:pPr>
      <w:r w:rsidRPr="00025997">
        <w:rPr>
          <w:noProof/>
        </w:rPr>
        <w:t>Съпредседатели</w:t>
      </w:r>
    </w:p>
    <w:sectPr w:rsidR="00693339" w:rsidRPr="00025997" w:rsidSect="00C101A8">
      <w:headerReference w:type="even" r:id="rId15"/>
      <w:footerReference w:type="even" r:id="rId16"/>
      <w:footerReference w:type="default" r:id="rId17"/>
      <w:headerReference w:type="first" r:id="rId18"/>
      <w:footerReference w:type="first" r:id="rId19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A759E" w14:textId="77777777" w:rsidR="00E57511" w:rsidRDefault="00E57511" w:rsidP="00E57511">
      <w:pPr>
        <w:spacing w:before="0" w:after="0"/>
      </w:pPr>
      <w:r>
        <w:separator/>
      </w:r>
    </w:p>
  </w:endnote>
  <w:endnote w:type="continuationSeparator" w:id="0">
    <w:p w14:paraId="780514C7" w14:textId="77777777" w:rsidR="00E57511" w:rsidRDefault="00E57511" w:rsidP="00E5751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0E85D" w14:textId="1F86F937" w:rsidR="00C101A8" w:rsidRPr="00C101A8" w:rsidRDefault="00C101A8" w:rsidP="00C101A8">
    <w:pPr>
      <w:pStyle w:val="Footer"/>
      <w:rPr>
        <w:rFonts w:ascii="Arial" w:hAnsi="Arial" w:cs="Arial"/>
        <w:b/>
        <w:sz w:val="48"/>
      </w:rPr>
    </w:pPr>
    <w:r w:rsidRPr="00C101A8">
      <w:rPr>
        <w:rFonts w:ascii="Arial" w:hAnsi="Arial" w:cs="Arial"/>
        <w:b/>
        <w:sz w:val="48"/>
      </w:rPr>
      <w:t>BG</w:t>
    </w:r>
    <w:r w:rsidRPr="00C101A8">
      <w:rPr>
        <w:rFonts w:ascii="Arial" w:hAnsi="Arial" w:cs="Arial"/>
        <w:b/>
        <w:sz w:val="48"/>
      </w:rPr>
      <w:tab/>
    </w:r>
    <w:r w:rsidRPr="00C101A8">
      <w:rPr>
        <w:rFonts w:ascii="Arial" w:hAnsi="Arial" w:cs="Arial"/>
        <w:b/>
        <w:sz w:val="48"/>
      </w:rPr>
      <w:tab/>
    </w:r>
    <w:r w:rsidRPr="00C101A8">
      <w:tab/>
    </w:r>
    <w:r w:rsidRPr="00C101A8">
      <w:rPr>
        <w:rFonts w:ascii="Arial" w:hAnsi="Arial" w:cs="Arial"/>
        <w:b/>
        <w:sz w:val="48"/>
      </w:rPr>
      <w:t>BG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55762" w14:textId="1329EEDB" w:rsidR="00C101A8" w:rsidRPr="00C101A8" w:rsidRDefault="00C101A8" w:rsidP="00C101A8">
    <w:pPr>
      <w:pStyle w:val="Footer"/>
      <w:rPr>
        <w:rFonts w:ascii="Arial" w:hAnsi="Arial" w:cs="Arial"/>
        <w:b/>
        <w:sz w:val="48"/>
      </w:rPr>
    </w:pPr>
    <w:r w:rsidRPr="00C101A8">
      <w:rPr>
        <w:rFonts w:ascii="Arial" w:hAnsi="Arial" w:cs="Arial"/>
        <w:b/>
        <w:sz w:val="48"/>
      </w:rPr>
      <w:t>BG</w:t>
    </w:r>
    <w:r w:rsidRPr="00C101A8">
      <w:rPr>
        <w:rFonts w:ascii="Arial" w:hAnsi="Arial" w:cs="Arial"/>
        <w:b/>
        <w:sz w:val="48"/>
      </w:rPr>
      <w:tab/>
    </w:r>
    <w:r w:rsidRPr="00C101A8">
      <w:rPr>
        <w:rFonts w:ascii="Arial" w:hAnsi="Arial" w:cs="Arial"/>
        <w:b/>
        <w:sz w:val="48"/>
      </w:rPr>
      <w:tab/>
    </w:r>
    <w:r w:rsidRPr="00C101A8">
      <w:tab/>
    </w:r>
    <w:r w:rsidRPr="00C101A8">
      <w:rPr>
        <w:rFonts w:ascii="Arial" w:hAnsi="Arial" w:cs="Arial"/>
        <w:b/>
        <w:sz w:val="48"/>
      </w:rPr>
      <w:t>BG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23296" w14:textId="77777777" w:rsidR="00C101A8" w:rsidRPr="00C101A8" w:rsidRDefault="00C101A8" w:rsidP="00C101A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709526" w14:textId="77777777" w:rsidR="00C101A8" w:rsidRDefault="00C101A8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751B0" w14:textId="1DEADBCC" w:rsidR="00C101A8" w:rsidRPr="00C101A8" w:rsidRDefault="00C101A8" w:rsidP="00C101A8">
    <w:pPr>
      <w:pStyle w:val="Footer"/>
      <w:rPr>
        <w:rFonts w:ascii="Arial" w:hAnsi="Arial" w:cs="Arial"/>
        <w:b/>
        <w:sz w:val="48"/>
      </w:rPr>
    </w:pPr>
    <w:r w:rsidRPr="00C101A8">
      <w:rPr>
        <w:rFonts w:ascii="Arial" w:hAnsi="Arial" w:cs="Arial"/>
        <w:b/>
        <w:sz w:val="48"/>
      </w:rPr>
      <w:t>BG</w:t>
    </w:r>
    <w:r w:rsidRPr="00C101A8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C101A8">
      <w:tab/>
    </w:r>
    <w:r w:rsidRPr="00C101A8">
      <w:rPr>
        <w:rFonts w:ascii="Arial" w:hAnsi="Arial" w:cs="Arial"/>
        <w:b/>
        <w:sz w:val="48"/>
      </w:rPr>
      <w:t>BG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0D42CD" w14:textId="77777777" w:rsidR="00C101A8" w:rsidRDefault="00C101A8" w:rsidP="00C101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FF4EB" w14:textId="77777777" w:rsidR="00E57511" w:rsidRDefault="00E57511" w:rsidP="00E57511">
      <w:pPr>
        <w:spacing w:before="0" w:after="0"/>
      </w:pPr>
      <w:r>
        <w:separator/>
      </w:r>
    </w:p>
  </w:footnote>
  <w:footnote w:type="continuationSeparator" w:id="0">
    <w:p w14:paraId="3F157EB9" w14:textId="77777777" w:rsidR="00E57511" w:rsidRDefault="00E57511" w:rsidP="00E57511">
      <w:pPr>
        <w:spacing w:before="0" w:after="0"/>
      </w:pPr>
      <w:r>
        <w:continuationSeparator/>
      </w:r>
    </w:p>
  </w:footnote>
  <w:footnote w:id="1">
    <w:p w14:paraId="13C46CC0" w14:textId="2952E651" w:rsidR="00C91294" w:rsidRDefault="00C91294">
      <w:pPr>
        <w:pStyle w:val="FootnoteText"/>
      </w:pPr>
      <w:r>
        <w:rPr>
          <w:rStyle w:val="FootnoteReference"/>
        </w:rPr>
        <w:footnoteRef/>
      </w:r>
      <w:r>
        <w:tab/>
        <w:t>ОВ L 29, 31.1.2020 г., стр. 7.</w:t>
      </w:r>
      <w:r>
        <w:rPr>
          <w:rStyle w:val="Hyperlink"/>
        </w:rPr>
        <w:t xml:space="preserve"> </w:t>
      </w:r>
    </w:p>
  </w:footnote>
  <w:footnote w:id="2">
    <w:p w14:paraId="3C23C73C" w14:textId="017D281E" w:rsidR="00826664" w:rsidRPr="0087189F" w:rsidRDefault="00826664" w:rsidP="00826664">
      <w:pPr>
        <w:pStyle w:val="FootnoteText"/>
      </w:pPr>
      <w:r>
        <w:rPr>
          <w:rStyle w:val="FootnoteReference"/>
        </w:rPr>
        <w:footnoteRef/>
      </w:r>
      <w:r>
        <w:tab/>
        <w:t>Съвместна декларация № 1/2023 на Съюза и Обединеното кралство в Съвместния комитет, създаден със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от 24 март 2023 г. (OВ L 102, 17.4.2023 г., стр. 87).</w:t>
      </w:r>
    </w:p>
  </w:footnote>
  <w:footnote w:id="3">
    <w:p w14:paraId="6870AEDF" w14:textId="78261713" w:rsidR="00F9407E" w:rsidRDefault="00F9407E">
      <w:pPr>
        <w:pStyle w:val="FootnoteText"/>
      </w:pPr>
      <w:r>
        <w:rPr>
          <w:rStyle w:val="FootnoteReference"/>
        </w:rPr>
        <w:footnoteRef/>
      </w:r>
      <w:r>
        <w:tab/>
        <w:t>OВ L, 2023/2419, 27.10.2023 г.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4AF46" w14:textId="77777777" w:rsidR="00C101A8" w:rsidRPr="00C101A8" w:rsidRDefault="00C101A8" w:rsidP="00C101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049D5" w14:textId="77777777" w:rsidR="00C101A8" w:rsidRPr="00C101A8" w:rsidRDefault="00C101A8" w:rsidP="00C101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CD3E50" w14:textId="77777777" w:rsidR="00C101A8" w:rsidRPr="00C101A8" w:rsidRDefault="00C101A8" w:rsidP="00C101A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D63AF" w14:textId="77777777" w:rsidR="00C101A8" w:rsidRDefault="00C101A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E56D4" w14:textId="77777777" w:rsidR="00C101A8" w:rsidRDefault="00C101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6136D55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8274405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F61EA91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A326912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8D8CC54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04709C3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F77A9AD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88CC9B7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  <w:num w:numId="8">
    <w:abstractNumId w:val="1"/>
  </w:num>
  <w:num w:numId="9">
    <w:abstractNumId w:val="0"/>
  </w:num>
  <w:num w:numId="10">
    <w:abstractNumId w:val="19"/>
  </w:num>
  <w:num w:numId="11">
    <w:abstractNumId w:val="12"/>
  </w:num>
  <w:num w:numId="12">
    <w:abstractNumId w:val="21"/>
  </w:num>
  <w:num w:numId="13">
    <w:abstractNumId w:val="11"/>
  </w:num>
  <w:num w:numId="14">
    <w:abstractNumId w:val="13"/>
  </w:num>
  <w:num w:numId="15">
    <w:abstractNumId w:val="14"/>
  </w:num>
  <w:num w:numId="16">
    <w:abstractNumId w:val="9"/>
  </w:num>
  <w:num w:numId="17">
    <w:abstractNumId w:val="20"/>
  </w:num>
  <w:num w:numId="18">
    <w:abstractNumId w:val="8"/>
  </w:num>
  <w:num w:numId="19">
    <w:abstractNumId w:val="15"/>
  </w:num>
  <w:num w:numId="20">
    <w:abstractNumId w:val="17"/>
  </w:num>
  <w:num w:numId="21">
    <w:abstractNumId w:val="18"/>
  </w:num>
  <w:num w:numId="22">
    <w:abstractNumId w:val="10"/>
  </w:num>
  <w:num w:numId="23">
    <w:abstractNumId w:val="16"/>
  </w:num>
  <w:num w:numId="24">
    <w:abstractNumId w:val="22"/>
  </w:num>
  <w:num w:numId="25">
    <w:abstractNumId w:val="19"/>
  </w:num>
  <w:num w:numId="26">
    <w:abstractNumId w:val="12"/>
  </w:num>
  <w:num w:numId="27">
    <w:abstractNumId w:val="21"/>
  </w:num>
  <w:num w:numId="28">
    <w:abstractNumId w:val="11"/>
  </w:num>
  <w:num w:numId="29">
    <w:abstractNumId w:val="13"/>
  </w:num>
  <w:num w:numId="30">
    <w:abstractNumId w:val="14"/>
  </w:num>
  <w:num w:numId="31">
    <w:abstractNumId w:val="9"/>
  </w:num>
  <w:num w:numId="32">
    <w:abstractNumId w:val="20"/>
  </w:num>
  <w:num w:numId="33">
    <w:abstractNumId w:val="8"/>
  </w:num>
  <w:num w:numId="34">
    <w:abstractNumId w:val="15"/>
  </w:num>
  <w:num w:numId="35">
    <w:abstractNumId w:val="17"/>
  </w:num>
  <w:num w:numId="36">
    <w:abstractNumId w:val="18"/>
  </w:num>
  <w:num w:numId="37">
    <w:abstractNumId w:val="10"/>
  </w:num>
  <w:num w:numId="38">
    <w:abstractNumId w:val="16"/>
  </w:num>
  <w:num w:numId="39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4-04-10 17:49:46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\u1082?\u1098?\u1084?"/>
    <w:docVar w:name="LW_ACCOMPAGNANT.CP" w:val="\u1082?\u1098?\u1084?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1621CFB7-A01E-4901-8B48-25D7E52E7B24"/>
    <w:docVar w:name="LW_COVERPAGE_TYPE" w:val="1"/>
    <w:docVar w:name="LW_CROSSREFERENCE" w:val="&lt;UNUSED&gt;"/>
    <w:docVar w:name="LW_DocType" w:val="ANNEX"/>
    <w:docVar w:name="LW_EMISSION" w:val="5.4.2024"/>
    <w:docVar w:name="LW_EMISSION_ISODATE" w:val="2024-04-05"/>
    <w:docVar w:name="LW_EMISSION_LOCATION" w:val="BRX"/>
    <w:docVar w:name="LW_EMISSION_PREFIX" w:val="\u1041?\u1088?\u1102?\u1082?\u1089?\u1077?\u1083?, "/>
    <w:docVar w:name="LW_EMISSION_SUFFIX" w:val=" \u1075?."/>
    <w:docVar w:name="LW_ID_DOCSTRUCTURE" w:val="COM/ANNEX"/>
    <w:docVar w:name="LW_ID_DOCTYPE" w:val="SG-017"/>
    <w:docVar w:name="LW_LANGUE" w:val="BG"/>
    <w:docVar w:name="LW_LEVEL_OF_SENSITIVITY" w:val="Standard treatment"/>
    <w:docVar w:name="LW_NOM.INST" w:val="\u1045?\u1042?\u1056?\u1054?\u1055?\u1045?\u1049?\u1057?\u1050?\u1040? \u1050?\u1054?\u1052?\u1048?\u1057?\u1048?\u1071?"/>
    <w:docVar w:name="LW_NOM.INST_JOINTDOC" w:val="&lt;EMPTY&gt;"/>
    <w:docVar w:name="LW_OBJETACTEPRINCIPAL" w:val="\u1079?\u1072? \u1091?\u1089?\u1090?\u1072?\u1085?\u1086?\u1074?\u1103?\u1074?\u1072?\u1085?\u1077? \u1085?\u1072? \u1087?\u1086?\u1079?\u1080?\u1094?\u1080?\u1103?\u1090?\u1072?, \u1082?\u1086?\u1103?\u1090?\u1086? \u1090?\u1088?\u1103?\u1073?\u1074?\u1072? \u1076?\u1072? \u1089?\u1077? \u1079?\u1072?\u1077?\u1084?\u1077? \u1086?\u1090? \u1080?\u1084?\u1077?\u1090?\u1086? \u1085?\u1072? \u1045?\u1074?\u1088?\u1086?\u1087?\u1077?\u1081?\u1089?\u1082?\u1080?\u1103? \u1089?\u1098?\u1102?\u1079? \u1074? \u1088?\u1072?\u1084?\u1082?\u1080?\u1090?\u1077? \u1085?\u1072? \u1057?\u1098?\u1074?\u1084?\u1077?\u1089?\u1090?\u1085?\u1080?\u1103? \u1082?\u1086?\u1084?\u1080?\u1090?\u1077?\u1090?, \u1089?\u1098?\u1079?\u1076?\u1072?\u1076?\u1077?\u1085? \u1089?\u1098?\u1089? \u1057?\u1087?\u1086?\u1088?\u1072?\u1079?\u1091?\u1084?\u1077?\u1085?\u1080?\u1077?\u1090?\u1086? \u1079?\u1072? \u1086?\u1090?\u1090?\u1077?\u1075?\u1083?\u1103?\u1085?\u1077?\u1090?\u1086? \u1085?\u1072? \u1054?\u1073?\u1077?\u1076?\u1080?\u1085?\u1077?\u1085?\u1086?\u1090?\u1086? \u1082?\u1088?\u1072?\u1083?\u1089?\u1090?\u1074?\u1086? \u1042?\u1077?\u1083?\u1080?\u1082?\u1086?\u1073?\u1088?\u1080?\u1090?\u1072?\u1085?\u1080?\u1103? \u1080? \u1057?\u1077?\u1074?\u1077?\u1088?\u1085?\u1072? \u1048?\u1088?\u1083?\u1072?\u1085?\u1076?\u1080?\u1103? \u1086?\u1090? \u1045?\u1074?\u1088?\u1086?\u1087?\u1077?\u1081?\u1089?\u1082?\u1080?\u1103? \u1089?\u1098?\u1102?\u1079? \u1080? \u1045?\u1074?\u1088?\u1086?\u1087?\u1077?\u1081?\u1089?\u1082?\u1072?\u1090?\u1072? \u1086?\u1073?\u1097?\u1085?\u1086?\u1089?\u1090? \u1079?\u1072? \u1072?\u1090?\u1086?\u1084?\u1085?\u1072? \u1077?\u1085?\u1077?\u1088?\u1075?\u1080?\u1103?, \u1087?\u1086? \u1086?\u1090?\u1085?\u1086?\u1096?\u1077?\u1085?\u1080?\u1077? \u1085?\u1072? \u1087?\u1088?\u1080?\u1077?\u1084?\u1072?\u1085?\u1077?\u1090?\u1086? \u1085?\u1072? \u1088?\u1077?\u1096?\u1077?\u1085?\u1080?\u1077? \u1079?\u1072? \u1076?\u1086?\u1073?\u1072?\u1074?\u1103?\u1085?\u1077? \u1085?\u1072? \u1085?\u1086?\u1074?\u1086?\u1087?\u1088?\u1080?\u1077?\u1090? \u1072?\u1082?\u1090? \u1085?\u1072? \u1057?\u1098?\u1102?\u1079?\u1072? \u1074? \u1087?\u1088?\u1080?\u1083?\u1086?\u1078?\u1077?\u1085?\u1080?\u1077? 2 \u1082?\u1098?\u1084? \u1056?\u1072?\u1084?\u1082?\u1072?\u1090?\u1072? \u1086?\u1090? \u1059?\u1080?\u1085?\u1076?\u1079?\u1086?\u1088?"/>
    <w:docVar w:name="LW_OBJETACTEPRINCIPAL.CP" w:val="\u1079?\u1072? \u1091?\u1089?\u1090?\u1072?\u1085?\u1086?\u1074?\u1103?\u1074?\u1072?\u1085?\u1077? \u1085?\u1072? \u1087?\u1086?\u1079?\u1080?\u1094?\u1080?\u1103?\u1090?\u1072?, \u1082?\u1086?\u1103?\u1090?\u1086? \u1090?\u1088?\u1103?\u1073?\u1074?\u1072? \u1076?\u1072? \u1089?\u1077? \u1079?\u1072?\u1077?\u1084?\u1077? \u1086?\u1090? \u1080?\u1084?\u1077?\u1090?\u1086? \u1085?\u1072? \u1045?\u1074?\u1088?\u1086?\u1087?\u1077?\u1081?\u1089?\u1082?\u1080?\u1103? \u1089?\u1098?\u1102?\u1079? \u1074? \u1088?\u1072?\u1084?\u1082?\u1080?\u1090?\u1077? \u1085?\u1072? \u1057?\u1098?\u1074?\u1084?\u1077?\u1089?\u1090?\u1085?\u1080?\u1103? \u1082?\u1086?\u1084?\u1080?\u1090?\u1077?\u1090?, \u1089?\u1098?\u1079?\u1076?\u1072?\u1076?\u1077?\u1085? \u1089?\u1098?\u1089? \u1057?\u1087?\u1086?\u1088?\u1072?\u1079?\u1091?\u1084?\u1077?\u1085?\u1080?\u1077?\u1090?\u1086? \u1079?\u1072? \u1086?\u1090?\u1090?\u1077?\u1075?\u1083?\u1103?\u1085?\u1077?\u1090?\u1086? \u1085?\u1072? \u1054?\u1073?\u1077?\u1076?\u1080?\u1085?\u1077?\u1085?\u1086?\u1090?\u1086? \u1082?\u1088?\u1072?\u1083?\u1089?\u1090?\u1074?\u1086? \u1042?\u1077?\u1083?\u1080?\u1082?\u1086?\u1073?\u1088?\u1080?\u1090?\u1072?\u1085?\u1080?\u1103? \u1080? \u1057?\u1077?\u1074?\u1077?\u1088?\u1085?\u1072? \u1048?\u1088?\u1083?\u1072?\u1085?\u1076?\u1080?\u1103? \u1086?\u1090? \u1045?\u1074?\u1088?\u1086?\u1087?\u1077?\u1081?\u1089?\u1082?\u1080?\u1103? \u1089?\u1098?\u1102?\u1079? \u1080? \u1045?\u1074?\u1088?\u1086?\u1087?\u1077?\u1081?\u1089?\u1082?\u1072?\u1090?\u1072? \u1086?\u1073?\u1097?\u1085?\u1086?\u1089?\u1090? \u1079?\u1072? \u1072?\u1090?\u1086?\u1084?\u1085?\u1072? \u1077?\u1085?\u1077?\u1088?\u1075?\u1080?\u1103?, \u1087?\u1086? \u1086?\u1090?\u1085?\u1086?\u1096?\u1077?\u1085?\u1080?\u1077? \u1085?\u1072? \u1087?\u1088?\u1080?\u1077?\u1084?\u1072?\u1085?\u1077?\u1090?\u1086? \u1085?\u1072? \u1088?\u1077?\u1096?\u1077?\u1085?\u1080?\u1077? \u1079?\u1072? \u1076?\u1086?\u1073?\u1072?\u1074?\u1103?\u1085?\u1077? \u1085?\u1072? \u1085?\u1086?\u1074?\u1086?\u1087?\u1088?\u1080?\u1077?\u1090? \u1072?\u1082?\u1090? \u1085?\u1072? \u1057?\u1098?\u1102?\u1079?\u1072? \u1074? \u1087?\u1088?\u1080?\u1083?\u1086?\u1078?\u1077?\u1085?\u1080?\u1077? 2 \u1082?\u1098?\u1084? \u1056?\u1072?\u1084?\u1082?\u1072?\u1090?\u1072? \u1086?\u1090? \u1059?\u1080?\u1085?\u1076?\u1079?\u1086?\u1088?"/>
    <w:docVar w:name="LW_PART_NBR" w:val="1"/>
    <w:docVar w:name="LW_PART_NBR_TOTAL" w:val="1"/>
    <w:docVar w:name="LW_REF.INST.NEW" w:val="COM"/>
    <w:docVar w:name="LW_REF.INST.NEW_ADOPTED" w:val="final"/>
    <w:docVar w:name="LW_REF.INST.NEW_TEXT" w:val="(2024) 165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\u1055?\u1056?\u1048?\u1051?\u1054?\u1046?\u1045?\u1053?\u1048?\u1045?"/>
    <w:docVar w:name="LW_TYPE.DOC.CP" w:val="\u1055?\u1056?\u1048?\u1051?\u1054?\u1046?\u1045?\u1053?\u1048?\u1045?"/>
    <w:docVar w:name="LW_TYPEACTEPRINCIPAL" w:val="\u1055?\u1088?\u1077?\u1076?\u1083?\u1086?\u1078?\u1077?\u1085?\u1080?\u1077? \u1079?\u1072? \u1056?\u1045?\u1064?\u1045?\u1053?\u1048?\u1045? \u1053?\u1040? \u1057?\u1066?\u1042?\u1045?\u1058?\u1040?"/>
    <w:docVar w:name="LW_TYPEACTEPRINCIPAL.CP" w:val="\u1055?\u1088?\u1077?\u1076?\u1083?\u1086?\u1078?\u1077?\u1085?\u1080?\u1077? \u1079?\u1072? \u1056?\u1045?\u1064?\u1045?\u1053?\u1048?\u1045? \u1053?\u1040? \u1057?\u1066?\u1042?\u1045?\u1058?\u1040?"/>
    <w:docVar w:name="LwApiVersions" w:val="LW4CoDe 1.24.5.0; LW 9.0, Build 20240221"/>
  </w:docVars>
  <w:rsids>
    <w:rsidRoot w:val="00E57511"/>
    <w:rsid w:val="00001426"/>
    <w:rsid w:val="00025997"/>
    <w:rsid w:val="00072CD5"/>
    <w:rsid w:val="0007356B"/>
    <w:rsid w:val="0007413E"/>
    <w:rsid w:val="00077D50"/>
    <w:rsid w:val="00084365"/>
    <w:rsid w:val="000C2010"/>
    <w:rsid w:val="000D5788"/>
    <w:rsid w:val="001026EF"/>
    <w:rsid w:val="001107A2"/>
    <w:rsid w:val="001166BA"/>
    <w:rsid w:val="00143CA7"/>
    <w:rsid w:val="00146DB1"/>
    <w:rsid w:val="00152BA9"/>
    <w:rsid w:val="00165C4F"/>
    <w:rsid w:val="00191BE8"/>
    <w:rsid w:val="001B0244"/>
    <w:rsid w:val="001B22C0"/>
    <w:rsid w:val="001E39E9"/>
    <w:rsid w:val="001E77BA"/>
    <w:rsid w:val="001F343E"/>
    <w:rsid w:val="001F5E5E"/>
    <w:rsid w:val="002A5673"/>
    <w:rsid w:val="002C1952"/>
    <w:rsid w:val="002E47AF"/>
    <w:rsid w:val="003074E9"/>
    <w:rsid w:val="003265F6"/>
    <w:rsid w:val="003F2685"/>
    <w:rsid w:val="00492EB7"/>
    <w:rsid w:val="004A1E45"/>
    <w:rsid w:val="004C115B"/>
    <w:rsid w:val="005150DC"/>
    <w:rsid w:val="00531BC0"/>
    <w:rsid w:val="00535377"/>
    <w:rsid w:val="00555D8A"/>
    <w:rsid w:val="00556814"/>
    <w:rsid w:val="0056751A"/>
    <w:rsid w:val="0057619F"/>
    <w:rsid w:val="00581153"/>
    <w:rsid w:val="00590DF8"/>
    <w:rsid w:val="005C01A4"/>
    <w:rsid w:val="005D67BA"/>
    <w:rsid w:val="005E05A3"/>
    <w:rsid w:val="005E3B5F"/>
    <w:rsid w:val="0060340E"/>
    <w:rsid w:val="00626E37"/>
    <w:rsid w:val="00691C04"/>
    <w:rsid w:val="00693339"/>
    <w:rsid w:val="006948EB"/>
    <w:rsid w:val="006A6BCB"/>
    <w:rsid w:val="0072213F"/>
    <w:rsid w:val="007538CE"/>
    <w:rsid w:val="00756F2A"/>
    <w:rsid w:val="00793769"/>
    <w:rsid w:val="007D48AE"/>
    <w:rsid w:val="007D5510"/>
    <w:rsid w:val="007D766F"/>
    <w:rsid w:val="007E5FA2"/>
    <w:rsid w:val="00806D42"/>
    <w:rsid w:val="00826664"/>
    <w:rsid w:val="00826798"/>
    <w:rsid w:val="00844F5B"/>
    <w:rsid w:val="00870A33"/>
    <w:rsid w:val="0087189F"/>
    <w:rsid w:val="00881265"/>
    <w:rsid w:val="00887B76"/>
    <w:rsid w:val="00892A66"/>
    <w:rsid w:val="008D6398"/>
    <w:rsid w:val="00900B36"/>
    <w:rsid w:val="00905D22"/>
    <w:rsid w:val="00906C21"/>
    <w:rsid w:val="009718E7"/>
    <w:rsid w:val="00973D36"/>
    <w:rsid w:val="00981D46"/>
    <w:rsid w:val="009F0CAE"/>
    <w:rsid w:val="009F435D"/>
    <w:rsid w:val="009F77C0"/>
    <w:rsid w:val="00A00BD6"/>
    <w:rsid w:val="00A247A1"/>
    <w:rsid w:val="00A2664D"/>
    <w:rsid w:val="00A6243B"/>
    <w:rsid w:val="00A71F6D"/>
    <w:rsid w:val="00AF374D"/>
    <w:rsid w:val="00B031FA"/>
    <w:rsid w:val="00B064B2"/>
    <w:rsid w:val="00B11B0D"/>
    <w:rsid w:val="00B33668"/>
    <w:rsid w:val="00B45F1E"/>
    <w:rsid w:val="00B9079A"/>
    <w:rsid w:val="00BA4F3C"/>
    <w:rsid w:val="00BB30BC"/>
    <w:rsid w:val="00BC253F"/>
    <w:rsid w:val="00C02084"/>
    <w:rsid w:val="00C0623E"/>
    <w:rsid w:val="00C101A8"/>
    <w:rsid w:val="00C123D3"/>
    <w:rsid w:val="00C57E8B"/>
    <w:rsid w:val="00C67BDE"/>
    <w:rsid w:val="00C91294"/>
    <w:rsid w:val="00C953CA"/>
    <w:rsid w:val="00D03537"/>
    <w:rsid w:val="00D12C95"/>
    <w:rsid w:val="00D1410A"/>
    <w:rsid w:val="00D14674"/>
    <w:rsid w:val="00D27160"/>
    <w:rsid w:val="00D328C4"/>
    <w:rsid w:val="00D33986"/>
    <w:rsid w:val="00D348B7"/>
    <w:rsid w:val="00D808BE"/>
    <w:rsid w:val="00D83F53"/>
    <w:rsid w:val="00D85C15"/>
    <w:rsid w:val="00D954D7"/>
    <w:rsid w:val="00DA3D96"/>
    <w:rsid w:val="00DC3338"/>
    <w:rsid w:val="00DD3E88"/>
    <w:rsid w:val="00E13988"/>
    <w:rsid w:val="00E326F5"/>
    <w:rsid w:val="00E41528"/>
    <w:rsid w:val="00E57511"/>
    <w:rsid w:val="00E810E8"/>
    <w:rsid w:val="00EA130D"/>
    <w:rsid w:val="00EC2E5A"/>
    <w:rsid w:val="00ED5C12"/>
    <w:rsid w:val="00EE79A4"/>
    <w:rsid w:val="00EF31C8"/>
    <w:rsid w:val="00F0733F"/>
    <w:rsid w:val="00F31321"/>
    <w:rsid w:val="00F420F2"/>
    <w:rsid w:val="00F7024E"/>
    <w:rsid w:val="00F82260"/>
    <w:rsid w:val="00F83755"/>
    <w:rsid w:val="00F860E0"/>
    <w:rsid w:val="00F92F6D"/>
    <w:rsid w:val="00F9407E"/>
    <w:rsid w:val="00FD071A"/>
    <w:rsid w:val="00FD385B"/>
    <w:rsid w:val="00FD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05E19D4C"/>
  <w15:docId w15:val="{0820D5A1-23B8-4F48-879B-E97FAD43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bg-BG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2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2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2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2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32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32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32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rsid w:val="0069333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69333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69333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93339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rsid w:val="008812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1BE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91B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4365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267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67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6798"/>
    <w:rPr>
      <w:rFonts w:ascii="Times New Roman" w:hAnsi="Times New Roman" w:cs="Times New Roman"/>
      <w:sz w:val="20"/>
      <w:szCs w:val="20"/>
      <w:lang w:val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67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6798"/>
    <w:rPr>
      <w:rFonts w:ascii="Times New Roman" w:hAnsi="Times New Roman" w:cs="Times New Roman"/>
      <w:b/>
      <w:bCs/>
      <w:sz w:val="20"/>
      <w:szCs w:val="20"/>
      <w:lang w:val="bg-BG"/>
    </w:rPr>
  </w:style>
  <w:style w:type="paragraph" w:styleId="Revision">
    <w:name w:val="Revision"/>
    <w:hidden/>
    <w:uiPriority w:val="99"/>
    <w:semiHidden/>
    <w:rsid w:val="00D954D7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265F6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3265F6"/>
    <w:pPr>
      <w:spacing w:after="0"/>
    </w:pPr>
  </w:style>
  <w:style w:type="paragraph" w:styleId="ListNumber">
    <w:name w:val="List Number"/>
    <w:basedOn w:val="Normal"/>
    <w:uiPriority w:val="99"/>
    <w:semiHidden/>
    <w:unhideWhenUsed/>
    <w:rsid w:val="003265F6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3265F6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3265F6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3265F6"/>
    <w:pPr>
      <w:numPr>
        <w:numId w:val="9"/>
      </w:numPr>
      <w:contextualSpacing/>
    </w:pPr>
  </w:style>
  <w:style w:type="character" w:styleId="Emphasis">
    <w:name w:val="Emphasis"/>
    <w:uiPriority w:val="20"/>
    <w:qFormat/>
    <w:rsid w:val="007E5FA2"/>
    <w:rPr>
      <w:i/>
      <w:iCs/>
    </w:rPr>
  </w:style>
  <w:style w:type="character" w:customStyle="1" w:styleId="HeaderChar">
    <w:name w:val="Header Char"/>
    <w:basedOn w:val="DefaultParagraphFont"/>
    <w:link w:val="Header"/>
    <w:uiPriority w:val="99"/>
    <w:rsid w:val="00C101A8"/>
    <w:rPr>
      <w:rFonts w:ascii="Times New Roman" w:hAnsi="Times New Roman" w:cs="Times New Roman"/>
      <w:sz w:val="24"/>
      <w:lang w:val="bg-BG"/>
    </w:rPr>
  </w:style>
  <w:style w:type="character" w:customStyle="1" w:styleId="FooterChar">
    <w:name w:val="Footer Char"/>
    <w:basedOn w:val="DefaultParagraphFont"/>
    <w:link w:val="Footer"/>
    <w:uiPriority w:val="99"/>
    <w:rsid w:val="00C101A8"/>
    <w:rPr>
      <w:rFonts w:ascii="Times New Roman" w:hAnsi="Times New Roman" w:cs="Times New Roman"/>
      <w:sz w:val="24"/>
      <w:lang w:val="bg-BG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C101A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C101A8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C101A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5"/>
      </w:numPr>
    </w:pPr>
  </w:style>
  <w:style w:type="paragraph" w:customStyle="1" w:styleId="Tiret1">
    <w:name w:val="Tiret 1"/>
    <w:basedOn w:val="Point1"/>
    <w:pPr>
      <w:numPr>
        <w:numId w:val="26"/>
      </w:numPr>
    </w:pPr>
  </w:style>
  <w:style w:type="paragraph" w:customStyle="1" w:styleId="Tiret2">
    <w:name w:val="Tiret 2"/>
    <w:basedOn w:val="Point2"/>
    <w:pPr>
      <w:numPr>
        <w:numId w:val="27"/>
      </w:numPr>
    </w:pPr>
  </w:style>
  <w:style w:type="paragraph" w:customStyle="1" w:styleId="Tiret3">
    <w:name w:val="Tiret 3"/>
    <w:basedOn w:val="Point3"/>
    <w:pPr>
      <w:numPr>
        <w:numId w:val="28"/>
      </w:numPr>
    </w:pPr>
  </w:style>
  <w:style w:type="paragraph" w:customStyle="1" w:styleId="Tiret4">
    <w:name w:val="Tiret 4"/>
    <w:basedOn w:val="Point4"/>
    <w:pPr>
      <w:numPr>
        <w:numId w:val="29"/>
      </w:numPr>
    </w:pPr>
  </w:style>
  <w:style w:type="paragraph" w:customStyle="1" w:styleId="Tiret5">
    <w:name w:val="Tiret 5"/>
    <w:basedOn w:val="Point5"/>
    <w:pPr>
      <w:numPr>
        <w:numId w:val="30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1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1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1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1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31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31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31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3"/>
      </w:numPr>
    </w:pPr>
  </w:style>
  <w:style w:type="paragraph" w:customStyle="1" w:styleId="Point1number">
    <w:name w:val="Point 1 (number)"/>
    <w:basedOn w:val="Normal"/>
    <w:pPr>
      <w:numPr>
        <w:ilvl w:val="2"/>
        <w:numId w:val="33"/>
      </w:numPr>
    </w:pPr>
  </w:style>
  <w:style w:type="paragraph" w:customStyle="1" w:styleId="Point2number">
    <w:name w:val="Point 2 (number)"/>
    <w:basedOn w:val="Normal"/>
    <w:pPr>
      <w:numPr>
        <w:ilvl w:val="4"/>
        <w:numId w:val="33"/>
      </w:numPr>
    </w:pPr>
  </w:style>
  <w:style w:type="paragraph" w:customStyle="1" w:styleId="Point3number">
    <w:name w:val="Point 3 (number)"/>
    <w:basedOn w:val="Normal"/>
    <w:pPr>
      <w:numPr>
        <w:ilvl w:val="6"/>
        <w:numId w:val="33"/>
      </w:numPr>
    </w:pPr>
  </w:style>
  <w:style w:type="paragraph" w:customStyle="1" w:styleId="Point0letter">
    <w:name w:val="Point 0 (letter)"/>
    <w:basedOn w:val="Normal"/>
    <w:pPr>
      <w:numPr>
        <w:ilvl w:val="1"/>
        <w:numId w:val="33"/>
      </w:numPr>
    </w:pPr>
  </w:style>
  <w:style w:type="paragraph" w:customStyle="1" w:styleId="Point1letter">
    <w:name w:val="Point 1 (letter)"/>
    <w:basedOn w:val="Normal"/>
    <w:pPr>
      <w:numPr>
        <w:ilvl w:val="3"/>
        <w:numId w:val="33"/>
      </w:numPr>
    </w:pPr>
  </w:style>
  <w:style w:type="paragraph" w:customStyle="1" w:styleId="Point2letter">
    <w:name w:val="Point 2 (letter)"/>
    <w:basedOn w:val="Normal"/>
    <w:pPr>
      <w:numPr>
        <w:ilvl w:val="5"/>
        <w:numId w:val="33"/>
      </w:numPr>
    </w:pPr>
  </w:style>
  <w:style w:type="paragraph" w:customStyle="1" w:styleId="Point3letter">
    <w:name w:val="Point 3 (letter)"/>
    <w:basedOn w:val="Normal"/>
    <w:pPr>
      <w:numPr>
        <w:ilvl w:val="7"/>
        <w:numId w:val="33"/>
      </w:numPr>
    </w:pPr>
  </w:style>
  <w:style w:type="paragraph" w:customStyle="1" w:styleId="Point4letter">
    <w:name w:val="Point 4 (letter)"/>
    <w:basedOn w:val="Normal"/>
    <w:pPr>
      <w:numPr>
        <w:ilvl w:val="8"/>
        <w:numId w:val="33"/>
      </w:numPr>
    </w:pPr>
  </w:style>
  <w:style w:type="paragraph" w:customStyle="1" w:styleId="Bullet0">
    <w:name w:val="Bullet 0"/>
    <w:basedOn w:val="Normal"/>
    <w:pPr>
      <w:numPr>
        <w:numId w:val="34"/>
      </w:numPr>
    </w:pPr>
  </w:style>
  <w:style w:type="paragraph" w:customStyle="1" w:styleId="Bullet1">
    <w:name w:val="Bullet 1"/>
    <w:basedOn w:val="Normal"/>
    <w:pPr>
      <w:numPr>
        <w:numId w:val="35"/>
      </w:numPr>
    </w:pPr>
  </w:style>
  <w:style w:type="paragraph" w:customStyle="1" w:styleId="Bullet2">
    <w:name w:val="Bullet 2"/>
    <w:basedOn w:val="Normal"/>
    <w:pPr>
      <w:numPr>
        <w:numId w:val="36"/>
      </w:numPr>
    </w:pPr>
  </w:style>
  <w:style w:type="paragraph" w:customStyle="1" w:styleId="Bullet3">
    <w:name w:val="Bullet 3"/>
    <w:basedOn w:val="Normal"/>
    <w:pPr>
      <w:numPr>
        <w:numId w:val="37"/>
      </w:numPr>
    </w:pPr>
  </w:style>
  <w:style w:type="paragraph" w:customStyle="1" w:styleId="Bullet4">
    <w:name w:val="Bullet 4"/>
    <w:basedOn w:val="Normal"/>
    <w:pPr>
      <w:numPr>
        <w:numId w:val="38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9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101A8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C101A8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C101A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C101A8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3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C9FC5-FA17-49BC-8376-A1B582C7D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10</TotalTime>
  <Pages>3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17</cp:revision>
  <dcterms:created xsi:type="dcterms:W3CDTF">2024-04-03T10:58:00Z</dcterms:created>
  <dcterms:modified xsi:type="dcterms:W3CDTF">2024-04-10T15:49:00Z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8.0.25.0</vt:lpwstr>
  </property>
  <property fmtid="{D5CDD505-2E9C-101B-9397-08002B2CF9AE}" pid="4" name="Last edited using">
    <vt:lpwstr>LW 9.0, Build 20230317</vt:lpwstr>
  </property>
  <property fmtid="{D5CDD505-2E9C-101B-9397-08002B2CF9AE}" pid="5" name="MSIP_Label_6bd9ddd1-4d20-43f6-abfa-fc3c07406f94_Enabled">
    <vt:lpwstr>true</vt:lpwstr>
  </property>
  <property fmtid="{D5CDD505-2E9C-101B-9397-08002B2CF9AE}" pid="6" name="MSIP_Label_6bd9ddd1-4d20-43f6-abfa-fc3c07406f94_SetDate">
    <vt:lpwstr>2023-02-09T10:20:23Z</vt:lpwstr>
  </property>
  <property fmtid="{D5CDD505-2E9C-101B-9397-08002B2CF9AE}" pid="7" name="MSIP_Label_6bd9ddd1-4d20-43f6-abfa-fc3c07406f94_Method">
    <vt:lpwstr>Standard</vt:lpwstr>
  </property>
  <property fmtid="{D5CDD505-2E9C-101B-9397-08002B2CF9AE}" pid="8" name="MSIP_Label_6bd9ddd1-4d20-43f6-abfa-fc3c07406f94_Name">
    <vt:lpwstr>Commission Use</vt:lpwstr>
  </property>
  <property fmtid="{D5CDD505-2E9C-101B-9397-08002B2CF9AE}" pid="9" name="MSIP_Label_6bd9ddd1-4d20-43f6-abfa-fc3c07406f94_SiteId">
    <vt:lpwstr>b24c8b06-522c-46fe-9080-70926f8dddb1</vt:lpwstr>
  </property>
  <property fmtid="{D5CDD505-2E9C-101B-9397-08002B2CF9AE}" pid="10" name="MSIP_Label_6bd9ddd1-4d20-43f6-abfa-fc3c07406f94_ActionId">
    <vt:lpwstr>5f093d14-ac39-4d12-aec0-3a79a50eedd5</vt:lpwstr>
  </property>
  <property fmtid="{D5CDD505-2E9C-101B-9397-08002B2CF9AE}" pid="11" name="MSIP_Label_6bd9ddd1-4d20-43f6-abfa-fc3c07406f94_ContentBits">
    <vt:lpwstr>0</vt:lpwstr>
  </property>
  <property fmtid="{D5CDD505-2E9C-101B-9397-08002B2CF9AE}" pid="12" name="Created using">
    <vt:lpwstr>LW 8.1, Build 20230124</vt:lpwstr>
  </property>
  <property fmtid="{D5CDD505-2E9C-101B-9397-08002B2CF9AE}" pid="13" name="First annex">
    <vt:lpwstr>1</vt:lpwstr>
  </property>
  <property fmtid="{D5CDD505-2E9C-101B-9397-08002B2CF9AE}" pid="14" name="Last annex">
    <vt:lpwstr>1</vt:lpwstr>
  </property>
  <property fmtid="{D5CDD505-2E9C-101B-9397-08002B2CF9AE}" pid="15" name="Unique annex">
    <vt:lpwstr>1</vt:lpwstr>
  </property>
  <property fmtid="{D5CDD505-2E9C-101B-9397-08002B2CF9AE}" pid="16" name="Part">
    <vt:lpwstr>1</vt:lpwstr>
  </property>
  <property fmtid="{D5CDD505-2E9C-101B-9397-08002B2CF9AE}" pid="17" name="Total parts">
    <vt:lpwstr>1</vt:lpwstr>
  </property>
  <property fmtid="{D5CDD505-2E9C-101B-9397-08002B2CF9AE}" pid="18" name="Level of sensitivity">
    <vt:lpwstr>Standard treatment</vt:lpwstr>
  </property>
  <property fmtid="{D5CDD505-2E9C-101B-9397-08002B2CF9AE}" pid="19" name="LWTemplateID">
    <vt:lpwstr>SG-017</vt:lpwstr>
  </property>
  <property fmtid="{D5CDD505-2E9C-101B-9397-08002B2CF9AE}" pid="20" name="DQCStatus">
    <vt:lpwstr>Green (DQC version 03)</vt:lpwstr>
  </property>
  <property name="OP_sanitized" fmtid="{D5CDD505-2E9C-101B-9397-08002B2CF9AE}" pid="21">
    <vt:lpwstr>True</vt:lpwstr>
  </property>
</Properties>
</file>