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4916E" w14:textId="402B5BDD" w:rsidR="00515585" w:rsidRPr="006307A2" w:rsidRDefault="00451A76" w:rsidP="00451A76">
      <w:pPr>
        <w:pStyle w:val="Pagedecouverture"/>
        <w:rPr>
          <w:noProof/>
        </w:rPr>
      </w:pPr>
      <w:r>
        <w:rPr>
          <w:noProof/>
        </w:rPr>
        <w:pict w14:anchorId="3AA006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E870B970-F144-4C71-B9E3-02E39732172F" style="width:455.25pt;height:369.75pt">
            <v:imagedata r:id="rId7" o:title=""/>
          </v:shape>
        </w:pict>
      </w:r>
    </w:p>
    <w:p w14:paraId="2E9BF610" w14:textId="77777777" w:rsidR="00515585" w:rsidRPr="006307A2" w:rsidRDefault="00515585" w:rsidP="00515585">
      <w:pPr>
        <w:rPr>
          <w:noProof/>
        </w:rPr>
        <w:sectPr w:rsidR="00515585" w:rsidRPr="006307A2" w:rsidSect="00451A76">
          <w:footerReference w:type="default" r:id="rId8"/>
          <w:pgSz w:w="11907" w:h="16839"/>
          <w:pgMar w:top="1134" w:right="1417" w:bottom="1134" w:left="1417" w:header="709" w:footer="709" w:gutter="0"/>
          <w:pgNumType w:start="0"/>
          <w:cols w:space="720"/>
          <w:docGrid w:linePitch="360"/>
        </w:sectPr>
      </w:pPr>
    </w:p>
    <w:p w14:paraId="303B9A22" w14:textId="77777777" w:rsidR="00515585" w:rsidRPr="006307A2" w:rsidRDefault="00515585" w:rsidP="00515585">
      <w:pPr>
        <w:pStyle w:val="Exposdesmotifstitre"/>
        <w:rPr>
          <w:noProof/>
        </w:rPr>
      </w:pPr>
      <w:bookmarkStart w:id="0" w:name="_GoBack"/>
      <w:bookmarkEnd w:id="0"/>
      <w:r w:rsidRPr="006307A2">
        <w:rPr>
          <w:noProof/>
        </w:rPr>
        <w:lastRenderedPageBreak/>
        <w:t>EXPUNERE DE MOTIVE</w:t>
      </w:r>
    </w:p>
    <w:p w14:paraId="7994C76A" w14:textId="77777777" w:rsidR="00515585" w:rsidRPr="006307A2" w:rsidRDefault="00515585" w:rsidP="00515585">
      <w:pPr>
        <w:pStyle w:val="ManualHeading1"/>
        <w:rPr>
          <w:noProof/>
        </w:rPr>
      </w:pPr>
      <w:r w:rsidRPr="006307A2">
        <w:rPr>
          <w:noProof/>
        </w:rPr>
        <w:t>1.</w:t>
      </w:r>
      <w:r w:rsidRPr="006307A2">
        <w:rPr>
          <w:noProof/>
        </w:rPr>
        <w:tab/>
        <w:t>Obiectul propunerii</w:t>
      </w:r>
    </w:p>
    <w:p w14:paraId="5BB32F22" w14:textId="77777777" w:rsidR="00515585" w:rsidRPr="006307A2" w:rsidRDefault="00515585" w:rsidP="00515585">
      <w:pPr>
        <w:pStyle w:val="Body"/>
        <w:rPr>
          <w:noProof/>
          <w:lang w:val="ro-RO"/>
        </w:rPr>
      </w:pPr>
      <w:r w:rsidRPr="006307A2">
        <w:rPr>
          <w:noProof/>
          <w:lang w:val="ro-RO"/>
        </w:rPr>
        <w:t>Prezenta propunere se referă la decizia de stabilire a poziției care trebuie adoptată în numele Uniunii în cadrul comitetului director regional înființat prin Tratatul de instituire a Comunității transporturilor („TCT”) în legătură cu adoptarea avută în vedere a unei decizii privind bugetul Comunității transporturilor pentru anul 2023.</w:t>
      </w:r>
    </w:p>
    <w:p w14:paraId="04240E7C" w14:textId="77777777" w:rsidR="00515585" w:rsidRPr="006307A2" w:rsidRDefault="00515585" w:rsidP="00515585">
      <w:pPr>
        <w:pStyle w:val="ManualHeading1"/>
        <w:rPr>
          <w:noProof/>
        </w:rPr>
      </w:pPr>
      <w:r w:rsidRPr="006307A2">
        <w:rPr>
          <w:noProof/>
        </w:rPr>
        <w:t>2.</w:t>
      </w:r>
      <w:r w:rsidRPr="006307A2">
        <w:rPr>
          <w:noProof/>
        </w:rPr>
        <w:tab/>
        <w:t>Contextul propunerii</w:t>
      </w:r>
    </w:p>
    <w:p w14:paraId="764C6A6F" w14:textId="77777777" w:rsidR="00515585" w:rsidRPr="006307A2" w:rsidRDefault="00515585" w:rsidP="00515585">
      <w:pPr>
        <w:pStyle w:val="ManualHeading2"/>
        <w:rPr>
          <w:noProof/>
        </w:rPr>
      </w:pPr>
      <w:r w:rsidRPr="006307A2">
        <w:rPr>
          <w:noProof/>
        </w:rPr>
        <w:t>2.1.</w:t>
      </w:r>
      <w:r w:rsidRPr="006307A2">
        <w:rPr>
          <w:noProof/>
        </w:rPr>
        <w:tab/>
        <w:t>Tratatul de instituire a Comunității transporturilor</w:t>
      </w:r>
    </w:p>
    <w:p w14:paraId="6C9C17C9" w14:textId="551E9DE3" w:rsidR="00515585" w:rsidRPr="006307A2" w:rsidRDefault="00515585" w:rsidP="00515585">
      <w:pPr>
        <w:pStyle w:val="Body"/>
        <w:rPr>
          <w:noProof/>
          <w:lang w:val="ro-RO"/>
        </w:rPr>
      </w:pPr>
      <w:r w:rsidRPr="006307A2">
        <w:rPr>
          <w:noProof/>
          <w:lang w:val="ro-RO"/>
        </w:rPr>
        <w:t>TCT urmărește crearea unei Comunități a transporturilor în sectorul transportului rutier, feroviar, pe căile navigabile interioare și maritim, precum și dezvoltarea rețelei de transport dintre Uniunea Europeană și părțile din Europa de Sud-Est. TCT a intrat în vigoare la 1</w:t>
      </w:r>
      <w:r w:rsidR="006307A2" w:rsidRPr="006307A2">
        <w:rPr>
          <w:noProof/>
          <w:lang w:val="ro-RO"/>
        </w:rPr>
        <w:t> mai </w:t>
      </w:r>
      <w:r w:rsidRPr="006307A2">
        <w:rPr>
          <w:noProof/>
          <w:lang w:val="ro-RO"/>
        </w:rPr>
        <w:t>2019.</w:t>
      </w:r>
    </w:p>
    <w:p w14:paraId="3B4976C7" w14:textId="77777777" w:rsidR="00515585" w:rsidRPr="006307A2" w:rsidRDefault="00515585" w:rsidP="00515585">
      <w:pPr>
        <w:pStyle w:val="Body"/>
        <w:rPr>
          <w:noProof/>
          <w:lang w:val="ro-RO"/>
        </w:rPr>
      </w:pPr>
      <w:r w:rsidRPr="006307A2">
        <w:rPr>
          <w:noProof/>
          <w:lang w:val="ro-RO"/>
        </w:rPr>
        <w:t>Uniunea Europeană este parte la TCT</w:t>
      </w:r>
      <w:r w:rsidRPr="006307A2">
        <w:rPr>
          <w:rStyle w:val="FootnoteReference"/>
          <w:rFonts w:eastAsiaTheme="majorEastAsia"/>
          <w:noProof/>
          <w:lang w:val="ro-RO"/>
        </w:rPr>
        <w:footnoteReference w:id="1"/>
      </w:r>
      <w:r w:rsidRPr="006307A2">
        <w:rPr>
          <w:noProof/>
          <w:lang w:val="ro-RO"/>
        </w:rPr>
        <w:t>.</w:t>
      </w:r>
    </w:p>
    <w:p w14:paraId="0C5E7468" w14:textId="77777777" w:rsidR="00515585" w:rsidRPr="006307A2" w:rsidRDefault="00515585" w:rsidP="00515585">
      <w:pPr>
        <w:pStyle w:val="ManualHeading2"/>
        <w:rPr>
          <w:noProof/>
        </w:rPr>
      </w:pPr>
      <w:r w:rsidRPr="006307A2">
        <w:rPr>
          <w:noProof/>
        </w:rPr>
        <w:t>2.2.</w:t>
      </w:r>
      <w:r w:rsidRPr="006307A2">
        <w:rPr>
          <w:noProof/>
        </w:rPr>
        <w:tab/>
        <w:t>Comitetul director regional</w:t>
      </w:r>
    </w:p>
    <w:p w14:paraId="1EA47188" w14:textId="77777777" w:rsidR="00515585" w:rsidRPr="006307A2" w:rsidRDefault="00515585" w:rsidP="00515585">
      <w:pPr>
        <w:pStyle w:val="Body"/>
        <w:rPr>
          <w:noProof/>
          <w:lang w:val="ro-RO"/>
        </w:rPr>
      </w:pPr>
      <w:r w:rsidRPr="006307A2">
        <w:rPr>
          <w:noProof/>
          <w:lang w:val="ro-RO"/>
        </w:rPr>
        <w:t>Comitetul director regional a fost instituit prin articolul 24 din TCT. El este responsabil cu administrarea TCT și cu asigurarea punerii în aplicare corespunzătoare a acestuia. În acest scop, comitetul face recomandări și ia decizii în cazurile prevăzute în TCT. În special, comitetul director regional:</w:t>
      </w:r>
    </w:p>
    <w:p w14:paraId="25A42747" w14:textId="77777777" w:rsidR="00515585" w:rsidRPr="006307A2" w:rsidRDefault="00515585" w:rsidP="00515585">
      <w:pPr>
        <w:pStyle w:val="Point0"/>
        <w:rPr>
          <w:noProof/>
        </w:rPr>
      </w:pPr>
      <w:r w:rsidRPr="006307A2">
        <w:rPr>
          <w:noProof/>
        </w:rPr>
        <w:t>(a)</w:t>
      </w:r>
      <w:r w:rsidRPr="006307A2">
        <w:rPr>
          <w:noProof/>
        </w:rPr>
        <w:tab/>
        <w:t>pregătește lucrările Consiliului ministerial;</w:t>
      </w:r>
    </w:p>
    <w:p w14:paraId="2583A377" w14:textId="77777777" w:rsidR="00515585" w:rsidRPr="006307A2" w:rsidRDefault="00515585" w:rsidP="00515585">
      <w:pPr>
        <w:pStyle w:val="Point0"/>
        <w:rPr>
          <w:noProof/>
        </w:rPr>
      </w:pPr>
      <w:r w:rsidRPr="006307A2">
        <w:rPr>
          <w:noProof/>
        </w:rPr>
        <w:t>(b)</w:t>
      </w:r>
      <w:r w:rsidRPr="006307A2">
        <w:rPr>
          <w:noProof/>
        </w:rPr>
        <w:tab/>
        <w:t>hotărăște instituirea de comitete tehnice;</w:t>
      </w:r>
    </w:p>
    <w:p w14:paraId="4622C972" w14:textId="77777777" w:rsidR="00515585" w:rsidRPr="006307A2" w:rsidRDefault="00515585" w:rsidP="00515585">
      <w:pPr>
        <w:pStyle w:val="Point0"/>
        <w:rPr>
          <w:noProof/>
        </w:rPr>
      </w:pPr>
      <w:r w:rsidRPr="006307A2">
        <w:rPr>
          <w:noProof/>
        </w:rPr>
        <w:t>(c)</w:t>
      </w:r>
      <w:r w:rsidRPr="006307A2">
        <w:rPr>
          <w:noProof/>
        </w:rPr>
        <w:tab/>
        <w:t>în ceea ce privește actele legislative recent adoptate ale UE, ia măsurile corespunzătoare, în special prin revizuirea anexei I la TCT;</w:t>
      </w:r>
    </w:p>
    <w:p w14:paraId="3F97039D" w14:textId="77777777" w:rsidR="00515585" w:rsidRPr="006307A2" w:rsidRDefault="00515585" w:rsidP="00515585">
      <w:pPr>
        <w:pStyle w:val="Point0"/>
        <w:rPr>
          <w:noProof/>
        </w:rPr>
      </w:pPr>
      <w:r w:rsidRPr="006307A2">
        <w:rPr>
          <w:noProof/>
        </w:rPr>
        <w:t>(d)</w:t>
      </w:r>
      <w:r w:rsidRPr="006307A2">
        <w:rPr>
          <w:noProof/>
        </w:rPr>
        <w:tab/>
        <w:t>numește directorul secretariatului permanent, în urma consultărilor cu Consiliul ministerial;</w:t>
      </w:r>
    </w:p>
    <w:p w14:paraId="1F7278C7" w14:textId="77777777" w:rsidR="00515585" w:rsidRPr="006307A2" w:rsidRDefault="00515585" w:rsidP="00515585">
      <w:pPr>
        <w:pStyle w:val="Point0"/>
        <w:rPr>
          <w:noProof/>
        </w:rPr>
      </w:pPr>
      <w:r w:rsidRPr="006307A2">
        <w:rPr>
          <w:noProof/>
        </w:rPr>
        <w:t>(e)</w:t>
      </w:r>
      <w:r w:rsidRPr="006307A2">
        <w:rPr>
          <w:noProof/>
        </w:rPr>
        <w:tab/>
        <w:t>poate numi unul sau mai mulți directori adjuncți ai secretariatului permanent;</w:t>
      </w:r>
    </w:p>
    <w:p w14:paraId="05901C80" w14:textId="77777777" w:rsidR="00515585" w:rsidRPr="006307A2" w:rsidRDefault="00515585" w:rsidP="00515585">
      <w:pPr>
        <w:pStyle w:val="Point0"/>
        <w:rPr>
          <w:noProof/>
        </w:rPr>
      </w:pPr>
      <w:r w:rsidRPr="006307A2">
        <w:rPr>
          <w:noProof/>
        </w:rPr>
        <w:t>(f)</w:t>
      </w:r>
      <w:r w:rsidRPr="006307A2">
        <w:rPr>
          <w:noProof/>
        </w:rPr>
        <w:tab/>
        <w:t>stabilește regulile Secretariatului permanent;</w:t>
      </w:r>
    </w:p>
    <w:p w14:paraId="04A20271" w14:textId="77777777" w:rsidR="00515585" w:rsidRPr="006307A2" w:rsidRDefault="00515585" w:rsidP="00515585">
      <w:pPr>
        <w:pStyle w:val="Point0"/>
        <w:rPr>
          <w:noProof/>
        </w:rPr>
      </w:pPr>
      <w:r w:rsidRPr="006307A2">
        <w:rPr>
          <w:noProof/>
        </w:rPr>
        <w:t>(g)</w:t>
      </w:r>
      <w:r w:rsidRPr="006307A2">
        <w:rPr>
          <w:noProof/>
        </w:rPr>
        <w:tab/>
        <w:t>poate revizui, printr-o decizie, nivelul contribuțiilor la buget;</w:t>
      </w:r>
    </w:p>
    <w:p w14:paraId="56445568" w14:textId="77777777" w:rsidR="00515585" w:rsidRPr="006307A2" w:rsidRDefault="00515585" w:rsidP="00515585">
      <w:pPr>
        <w:pStyle w:val="Point0"/>
        <w:rPr>
          <w:noProof/>
        </w:rPr>
      </w:pPr>
      <w:r w:rsidRPr="006307A2">
        <w:rPr>
          <w:noProof/>
        </w:rPr>
        <w:t>(h)</w:t>
      </w:r>
      <w:r w:rsidRPr="006307A2">
        <w:rPr>
          <w:noProof/>
        </w:rPr>
        <w:tab/>
        <w:t>adoptă bugetul anual al Comunității transporturilor;</w:t>
      </w:r>
    </w:p>
    <w:p w14:paraId="168D6501" w14:textId="77777777" w:rsidR="00515585" w:rsidRPr="006307A2" w:rsidRDefault="00515585" w:rsidP="00515585">
      <w:pPr>
        <w:pStyle w:val="Point0"/>
        <w:rPr>
          <w:noProof/>
        </w:rPr>
      </w:pPr>
      <w:r w:rsidRPr="006307A2">
        <w:rPr>
          <w:noProof/>
        </w:rPr>
        <w:t>(i)</w:t>
      </w:r>
      <w:r w:rsidRPr="006307A2">
        <w:rPr>
          <w:noProof/>
        </w:rPr>
        <w:tab/>
        <w:t>adoptă o decizie precizând procedura de execuție bugetară, procedura de prezentare și de auditare a conturilor, precum și procedura de control contabil;</w:t>
      </w:r>
    </w:p>
    <w:p w14:paraId="49689242" w14:textId="77777777" w:rsidR="00515585" w:rsidRPr="006307A2" w:rsidRDefault="00515585" w:rsidP="00515585">
      <w:pPr>
        <w:pStyle w:val="Point0"/>
        <w:rPr>
          <w:noProof/>
        </w:rPr>
      </w:pPr>
      <w:r w:rsidRPr="006307A2">
        <w:rPr>
          <w:noProof/>
        </w:rPr>
        <w:t>(j)</w:t>
      </w:r>
      <w:r w:rsidRPr="006307A2">
        <w:rPr>
          <w:noProof/>
        </w:rPr>
        <w:tab/>
        <w:t>ia decizii cu privire la litigiile inițiate de părțile contractante;</w:t>
      </w:r>
    </w:p>
    <w:p w14:paraId="4BBFBEF9" w14:textId="77777777" w:rsidR="00515585" w:rsidRPr="006307A2" w:rsidRDefault="00515585" w:rsidP="00515585">
      <w:pPr>
        <w:pStyle w:val="Point0"/>
        <w:rPr>
          <w:noProof/>
        </w:rPr>
      </w:pPr>
      <w:r w:rsidRPr="006307A2">
        <w:rPr>
          <w:noProof/>
        </w:rPr>
        <w:t>(k)</w:t>
      </w:r>
      <w:r w:rsidRPr="006307A2">
        <w:rPr>
          <w:noProof/>
        </w:rPr>
        <w:tab/>
        <w:t>adoptă principiile generale în domeniul accesului la documente, în legătură cu documentele deținute de organismele instituite de TCT sau în temeiul acestuia;</w:t>
      </w:r>
    </w:p>
    <w:p w14:paraId="160E3DDC" w14:textId="77777777" w:rsidR="00515585" w:rsidRPr="006307A2" w:rsidRDefault="00515585" w:rsidP="00515585">
      <w:pPr>
        <w:pStyle w:val="Point0"/>
        <w:rPr>
          <w:noProof/>
        </w:rPr>
      </w:pPr>
      <w:r w:rsidRPr="006307A2">
        <w:rPr>
          <w:noProof/>
        </w:rPr>
        <w:t>(l)</w:t>
      </w:r>
      <w:r w:rsidRPr="006307A2">
        <w:rPr>
          <w:noProof/>
        </w:rPr>
        <w:tab/>
        <w:t>adoptă rapoarte anuale în atenția Consiliului ministerial privind implementarea rețelei globale;</w:t>
      </w:r>
    </w:p>
    <w:p w14:paraId="3B67EDE0" w14:textId="77777777" w:rsidR="00515585" w:rsidRPr="006307A2" w:rsidRDefault="00515585" w:rsidP="00515585">
      <w:pPr>
        <w:pStyle w:val="Point0"/>
        <w:rPr>
          <w:noProof/>
        </w:rPr>
      </w:pPr>
      <w:r w:rsidRPr="006307A2">
        <w:rPr>
          <w:noProof/>
        </w:rPr>
        <w:t>(m)</w:t>
      </w:r>
      <w:r w:rsidRPr="006307A2">
        <w:rPr>
          <w:noProof/>
        </w:rPr>
        <w:tab/>
        <w:t>în ceea ce privește anumite acte ale Uniunii, stabilește termene și modalități de transpunere de către părțile din Europa de Sud-Est.</w:t>
      </w:r>
    </w:p>
    <w:p w14:paraId="1D1D72C2" w14:textId="77777777" w:rsidR="00515585" w:rsidRPr="006307A2" w:rsidRDefault="00515585" w:rsidP="00515585">
      <w:pPr>
        <w:pStyle w:val="Body"/>
        <w:rPr>
          <w:noProof/>
          <w:lang w:val="ro-RO"/>
        </w:rPr>
      </w:pPr>
      <w:r w:rsidRPr="006307A2">
        <w:rPr>
          <w:noProof/>
          <w:lang w:val="ro-RO"/>
        </w:rPr>
        <w:t>Comitetul director regional este format dintr-un reprezentant titular și un reprezentant supleant ai fiecărei părți contractante. Toate statele membre ale UE pot să participe în calitate de observatori.</w:t>
      </w:r>
    </w:p>
    <w:p w14:paraId="0DC841CA" w14:textId="77777777" w:rsidR="00515585" w:rsidRPr="006307A2" w:rsidRDefault="00515585" w:rsidP="00515585">
      <w:pPr>
        <w:pStyle w:val="Body"/>
        <w:rPr>
          <w:noProof/>
          <w:lang w:val="ro-RO"/>
        </w:rPr>
      </w:pPr>
      <w:r w:rsidRPr="006307A2">
        <w:rPr>
          <w:noProof/>
          <w:lang w:val="ro-RO"/>
        </w:rPr>
        <w:t xml:space="preserve">Comitetul director regional hotărăște în unanimitate. </w:t>
      </w:r>
    </w:p>
    <w:p w14:paraId="56909688" w14:textId="77777777" w:rsidR="00515585" w:rsidRPr="006307A2" w:rsidRDefault="00515585" w:rsidP="00515585">
      <w:pPr>
        <w:pStyle w:val="ManualHeading2"/>
        <w:rPr>
          <w:noProof/>
        </w:rPr>
      </w:pPr>
      <w:r w:rsidRPr="006307A2">
        <w:rPr>
          <w:noProof/>
        </w:rPr>
        <w:t>2.3.</w:t>
      </w:r>
      <w:r w:rsidRPr="006307A2">
        <w:rPr>
          <w:noProof/>
        </w:rPr>
        <w:tab/>
        <w:t>Actul avut în vedere al comitetului director regional</w:t>
      </w:r>
    </w:p>
    <w:p w14:paraId="03EBC96F" w14:textId="77777777" w:rsidR="00515585" w:rsidRPr="006307A2" w:rsidRDefault="00515585" w:rsidP="00515585">
      <w:pPr>
        <w:pStyle w:val="Body"/>
        <w:rPr>
          <w:noProof/>
          <w:lang w:val="ro-RO"/>
        </w:rPr>
      </w:pPr>
      <w:r w:rsidRPr="006307A2">
        <w:rPr>
          <w:noProof/>
          <w:lang w:val="ro-RO"/>
        </w:rPr>
        <w:t>În 2022, în cadrul ultimei sale reuniuni, comitetul director regional urmează să adopte o decizie privind bugetul Comunității transporturilor pentru anul 2023 („actul avut în vedere”).</w:t>
      </w:r>
    </w:p>
    <w:p w14:paraId="079B5BA1" w14:textId="77777777" w:rsidR="00515585" w:rsidRPr="006307A2" w:rsidRDefault="00515585" w:rsidP="00515585">
      <w:pPr>
        <w:pStyle w:val="Body"/>
        <w:rPr>
          <w:noProof/>
          <w:lang w:val="ro-RO"/>
        </w:rPr>
      </w:pPr>
      <w:r w:rsidRPr="006307A2">
        <w:rPr>
          <w:noProof/>
          <w:lang w:val="ro-RO"/>
        </w:rPr>
        <w:t>Scopul actului avut în vedere este de a stabili bugetul anual al Comunității transporturilor pentru anul 2023.</w:t>
      </w:r>
    </w:p>
    <w:p w14:paraId="6E16DAB8" w14:textId="77777777" w:rsidR="00515585" w:rsidRPr="006307A2" w:rsidRDefault="00515585" w:rsidP="00515585">
      <w:pPr>
        <w:pStyle w:val="Body"/>
        <w:rPr>
          <w:noProof/>
          <w:lang w:val="ro-RO"/>
        </w:rPr>
      </w:pPr>
      <w:r w:rsidRPr="006307A2">
        <w:rPr>
          <w:noProof/>
          <w:lang w:val="ro-RO"/>
        </w:rPr>
        <w:t xml:space="preserve">Actul avut în vedere va deveni obligatoriu pentru părți în conformitate cu articolul 25 alineatul (1) din TCT, care prevede următoarele: „O decizie a comitetului director regional are caracter obligatoriu pentru părțile contractante. Ori de câte ori o decizie luată de comitetul director regional impune unei părți contractante luarea unor măsuri, partea respectivă ia măsurile necesare și informează comitetul director regional cu privire la acest lucru.” </w:t>
      </w:r>
    </w:p>
    <w:p w14:paraId="7DD1BDA0" w14:textId="77777777" w:rsidR="00515585" w:rsidRPr="006307A2" w:rsidRDefault="00515585" w:rsidP="00515585">
      <w:pPr>
        <w:pStyle w:val="ManualHeading1"/>
        <w:rPr>
          <w:noProof/>
        </w:rPr>
      </w:pPr>
      <w:r w:rsidRPr="006307A2">
        <w:rPr>
          <w:noProof/>
        </w:rPr>
        <w:t>3.</w:t>
      </w:r>
      <w:r w:rsidRPr="006307A2">
        <w:rPr>
          <w:noProof/>
        </w:rPr>
        <w:tab/>
        <w:t>Poziția care trebuie adoptată în numele Uniunii</w:t>
      </w:r>
    </w:p>
    <w:p w14:paraId="72649BD5" w14:textId="77777777" w:rsidR="00515585" w:rsidRPr="006307A2" w:rsidRDefault="00515585" w:rsidP="00515585">
      <w:pPr>
        <w:pStyle w:val="Body"/>
        <w:spacing w:before="0" w:after="240"/>
        <w:rPr>
          <w:noProof/>
          <w:lang w:val="ro-RO"/>
        </w:rPr>
      </w:pPr>
      <w:r w:rsidRPr="006307A2">
        <w:rPr>
          <w:noProof/>
          <w:lang w:val="ro-RO"/>
        </w:rPr>
        <w:t xml:space="preserve">Contribuția la bugetul Comunității transporturilor este stabilită în anexa V la TCT. Cota Uniunii se ridică la 80 % din buget, în timp ce restul de 20 % trebuie asigurat de către părțile din Balcanii de Vest. </w:t>
      </w:r>
    </w:p>
    <w:p w14:paraId="18BB2C33" w14:textId="77777777" w:rsidR="00515585" w:rsidRPr="006307A2" w:rsidRDefault="00515585" w:rsidP="00515585">
      <w:pPr>
        <w:pStyle w:val="Body"/>
        <w:spacing w:before="0" w:after="240"/>
        <w:rPr>
          <w:noProof/>
          <w:lang w:val="ro-RO"/>
        </w:rPr>
      </w:pPr>
      <w:r w:rsidRPr="006307A2">
        <w:rPr>
          <w:noProof/>
          <w:lang w:val="ro-RO"/>
        </w:rPr>
        <w:t xml:space="preserve">Pentru 2022, bugetul s-a ridicat la </w:t>
      </w:r>
      <w:r w:rsidRPr="006307A2">
        <w:rPr>
          <w:b/>
          <w:noProof/>
          <w:lang w:val="ro-RO"/>
        </w:rPr>
        <w:t>3,002 milioane EUR</w:t>
      </w:r>
      <w:r w:rsidRPr="006307A2">
        <w:rPr>
          <w:noProof/>
          <w:lang w:val="ro-RO"/>
        </w:rPr>
        <w:t xml:space="preserve">, din care </w:t>
      </w:r>
      <w:r w:rsidRPr="006307A2">
        <w:rPr>
          <w:b/>
          <w:noProof/>
          <w:lang w:val="ro-RO"/>
        </w:rPr>
        <w:t>2,401 milioane EUR</w:t>
      </w:r>
      <w:r w:rsidRPr="006307A2">
        <w:rPr>
          <w:noProof/>
          <w:lang w:val="ro-RO"/>
        </w:rPr>
        <w:t xml:space="preserve"> (80 %) din partea UE și </w:t>
      </w:r>
      <w:r w:rsidRPr="006307A2">
        <w:rPr>
          <w:b/>
          <w:noProof/>
          <w:lang w:val="ro-RO"/>
        </w:rPr>
        <w:t>0,6 milioane EUR</w:t>
      </w:r>
      <w:r w:rsidRPr="006307A2">
        <w:rPr>
          <w:noProof/>
          <w:lang w:val="ro-RO"/>
        </w:rPr>
        <w:t xml:space="preserve"> de la părțile din Balcanii de Vest.</w:t>
      </w:r>
    </w:p>
    <w:p w14:paraId="5F9B50B4" w14:textId="531EF358" w:rsidR="00515585" w:rsidRPr="006307A2" w:rsidRDefault="00515585" w:rsidP="00515585">
      <w:pPr>
        <w:pStyle w:val="Body"/>
        <w:spacing w:before="0" w:after="240"/>
        <w:rPr>
          <w:noProof/>
          <w:lang w:val="ro-RO"/>
        </w:rPr>
      </w:pPr>
      <w:r w:rsidRPr="006307A2">
        <w:rPr>
          <w:noProof/>
          <w:lang w:val="ro-RO"/>
        </w:rPr>
        <w:t xml:space="preserve">Pentru 2023, se propune un buget de </w:t>
      </w:r>
      <w:r w:rsidRPr="006307A2">
        <w:rPr>
          <w:b/>
          <w:noProof/>
          <w:lang w:val="ro-RO"/>
        </w:rPr>
        <w:t>3,060 milioane EUR</w:t>
      </w:r>
      <w:r w:rsidRPr="006307A2">
        <w:rPr>
          <w:noProof/>
          <w:lang w:val="ro-RO"/>
        </w:rPr>
        <w:t xml:space="preserve">. În ceea ce privește creditele noi, 80 % dintre acestea vor proveni de la UE </w:t>
      </w:r>
      <w:r w:rsidRPr="006307A2">
        <w:rPr>
          <w:b/>
          <w:noProof/>
          <w:lang w:val="ro-RO"/>
        </w:rPr>
        <w:t>(2,448 milioane EUR)</w:t>
      </w:r>
      <w:r w:rsidRPr="006307A2">
        <w:rPr>
          <w:noProof/>
          <w:lang w:val="ro-RO"/>
        </w:rPr>
        <w:t xml:space="preserve">, iar restul de 20 % </w:t>
      </w:r>
      <w:r w:rsidRPr="006307A2">
        <w:rPr>
          <w:b/>
          <w:noProof/>
          <w:lang w:val="ro-RO"/>
        </w:rPr>
        <w:t>(0,612</w:t>
      </w:r>
      <w:r w:rsidR="006307A2" w:rsidRPr="006307A2">
        <w:rPr>
          <w:b/>
          <w:noProof/>
          <w:lang w:val="ro-RO"/>
        </w:rPr>
        <w:t> </w:t>
      </w:r>
      <w:r w:rsidRPr="006307A2">
        <w:rPr>
          <w:b/>
          <w:noProof/>
          <w:lang w:val="ro-RO"/>
        </w:rPr>
        <w:t>milioane EUR)</w:t>
      </w:r>
      <w:r w:rsidRPr="006307A2">
        <w:rPr>
          <w:noProof/>
          <w:lang w:val="ro-RO"/>
        </w:rPr>
        <w:t xml:space="preserve"> de la părțile din Balcanii de Vest. </w:t>
      </w:r>
    </w:p>
    <w:p w14:paraId="647401B9" w14:textId="77777777" w:rsidR="00515585" w:rsidRPr="006307A2" w:rsidRDefault="00515585" w:rsidP="00515585">
      <w:pPr>
        <w:pStyle w:val="Body"/>
        <w:spacing w:before="0" w:after="240"/>
        <w:rPr>
          <w:noProof/>
          <w:lang w:val="ro-RO"/>
        </w:rPr>
      </w:pPr>
      <w:r w:rsidRPr="006307A2">
        <w:rPr>
          <w:noProof/>
          <w:lang w:val="ro-RO"/>
        </w:rPr>
        <w:t xml:space="preserve">Bugetul propus pentru 2023 reprezintă o creștere cu 2 % comparativ cu 2022. Acest lucru este justificat de evoluțiile inflației din regiune și din UE. Acest cuantum va acoperi costurile de funcționare ale secretariatului permanent și organizarea reuniunilor diferitelor organisme ale Comunității transporturilor. Bugetul pentru 2023 reflectă, de asemenea, acordarea unei atenții sporite activităților de consolidare a capacităților și asistenței tehnice destinate partenerilor regionali. </w:t>
      </w:r>
    </w:p>
    <w:p w14:paraId="51730B78" w14:textId="77777777" w:rsidR="00515585" w:rsidRPr="006307A2" w:rsidRDefault="00515585" w:rsidP="00515585">
      <w:pPr>
        <w:pStyle w:val="Body"/>
        <w:rPr>
          <w:noProof/>
          <w:lang w:val="ro-RO"/>
        </w:rPr>
      </w:pPr>
      <w:r w:rsidRPr="006307A2">
        <w:rPr>
          <w:noProof/>
          <w:lang w:val="ro-RO"/>
        </w:rPr>
        <w:t xml:space="preserve">Adoptarea prezentei decizii de către comitetul director regional este necesară pentru punerea în aplicare a TCT și pentru funcționarea secretariatului permanent. </w:t>
      </w:r>
    </w:p>
    <w:p w14:paraId="458BDEB3" w14:textId="77777777" w:rsidR="00515585" w:rsidRPr="006307A2" w:rsidRDefault="00515585" w:rsidP="00515585">
      <w:pPr>
        <w:pStyle w:val="ManualHeading1"/>
        <w:rPr>
          <w:noProof/>
        </w:rPr>
      </w:pPr>
      <w:r w:rsidRPr="006307A2">
        <w:rPr>
          <w:noProof/>
        </w:rPr>
        <w:t>4.</w:t>
      </w:r>
      <w:r w:rsidRPr="006307A2">
        <w:rPr>
          <w:noProof/>
        </w:rPr>
        <w:tab/>
        <w:t>Temeiul juridic</w:t>
      </w:r>
    </w:p>
    <w:p w14:paraId="21EB4648" w14:textId="77777777" w:rsidR="00515585" w:rsidRPr="006307A2" w:rsidRDefault="00515585" w:rsidP="00515585">
      <w:pPr>
        <w:pStyle w:val="ManualHeading2"/>
        <w:rPr>
          <w:noProof/>
        </w:rPr>
      </w:pPr>
      <w:r w:rsidRPr="006307A2">
        <w:rPr>
          <w:noProof/>
        </w:rPr>
        <w:t>4.1.</w:t>
      </w:r>
      <w:r w:rsidRPr="006307A2">
        <w:rPr>
          <w:noProof/>
        </w:rPr>
        <w:tab/>
        <w:t>Temeiul juridic procedural</w:t>
      </w:r>
    </w:p>
    <w:p w14:paraId="59F3F60C" w14:textId="77777777" w:rsidR="00515585" w:rsidRPr="006307A2" w:rsidRDefault="00515585" w:rsidP="00515585">
      <w:pPr>
        <w:pStyle w:val="ManualHeading3"/>
        <w:rPr>
          <w:noProof/>
        </w:rPr>
      </w:pPr>
      <w:r w:rsidRPr="006307A2">
        <w:rPr>
          <w:noProof/>
        </w:rPr>
        <w:t>4.1.1.</w:t>
      </w:r>
      <w:r w:rsidRPr="006307A2">
        <w:rPr>
          <w:noProof/>
        </w:rPr>
        <w:tab/>
        <w:t>Principii</w:t>
      </w:r>
    </w:p>
    <w:p w14:paraId="7F33058B" w14:textId="77777777" w:rsidR="00515585" w:rsidRPr="006307A2" w:rsidRDefault="00515585" w:rsidP="00515585">
      <w:pPr>
        <w:pStyle w:val="Body"/>
        <w:rPr>
          <w:noProof/>
          <w:lang w:val="ro-RO"/>
        </w:rPr>
      </w:pPr>
      <w:r w:rsidRPr="006307A2">
        <w:rPr>
          <w:noProof/>
          <w:lang w:val="ro-RO"/>
        </w:rPr>
        <w:t>Articolul 218 alineatul (9) din Tratatul privind funcționarea Uniunii Europene (TFUE) prevede posibilitatea adoptării unor decizii de stabilire „</w:t>
      </w:r>
      <w:r w:rsidRPr="006307A2">
        <w:rPr>
          <w:i/>
          <w:noProof/>
          <w:lang w:val="ro-RO"/>
        </w:rPr>
        <w:t>a pozițiilor care trebuie adoptate în numele Uniunii în cadrul unui organism creat printr-un acord, în cazul în care acest organism trebuie să adopte acte cu efecte juridice, cu excepția actelor care modifică sau completează cadrul instituțional al acordului</w:t>
      </w:r>
      <w:r w:rsidRPr="006307A2">
        <w:rPr>
          <w:noProof/>
          <w:lang w:val="ro-RO"/>
        </w:rPr>
        <w:t>.”</w:t>
      </w:r>
    </w:p>
    <w:p w14:paraId="6368A7DF" w14:textId="77777777" w:rsidR="00515585" w:rsidRPr="006307A2" w:rsidRDefault="00515585" w:rsidP="00515585">
      <w:pPr>
        <w:pStyle w:val="Body"/>
        <w:rPr>
          <w:noProof/>
          <w:lang w:val="ro-RO"/>
        </w:rPr>
      </w:pPr>
      <w:r w:rsidRPr="006307A2">
        <w:rPr>
          <w:noProof/>
          <w:lang w:val="ro-RO"/>
        </w:rPr>
        <w:t>Conceptul de „</w:t>
      </w:r>
      <w:r w:rsidRPr="006307A2">
        <w:rPr>
          <w:i/>
          <w:noProof/>
          <w:lang w:val="ro-RO"/>
        </w:rPr>
        <w:t>acte cu efecte juridice</w:t>
      </w:r>
      <w:r w:rsidRPr="006307A2">
        <w:rPr>
          <w:noProof/>
          <w:lang w:val="ro-RO"/>
        </w:rPr>
        <w:t>” include actele care au efecte juridice în temeiul normelor de drept internațional aplicabile organismului în cauză. Acesta include, de asemenea, instrumentele care nu au un caracter obligatoriu în temeiul dreptului internațional, dar care „</w:t>
      </w:r>
      <w:r w:rsidRPr="006307A2">
        <w:rPr>
          <w:i/>
          <w:noProof/>
          <w:lang w:val="ro-RO"/>
        </w:rPr>
        <w:t>au vocația de a influența în mod decisiv conținutul reglementării adoptate de legiuitorul Uniunii</w:t>
      </w:r>
      <w:r w:rsidRPr="006307A2">
        <w:rPr>
          <w:noProof/>
          <w:lang w:val="ro-RO"/>
        </w:rPr>
        <w:t>”</w:t>
      </w:r>
      <w:r w:rsidRPr="006307A2">
        <w:rPr>
          <w:rStyle w:val="FootnoteReference"/>
          <w:rFonts w:eastAsiaTheme="majorEastAsia"/>
          <w:noProof/>
          <w:lang w:val="ro-RO"/>
        </w:rPr>
        <w:footnoteReference w:id="2"/>
      </w:r>
      <w:r w:rsidRPr="006307A2">
        <w:rPr>
          <w:noProof/>
          <w:lang w:val="ro-RO"/>
        </w:rPr>
        <w:t>.</w:t>
      </w:r>
    </w:p>
    <w:p w14:paraId="40FCF1F3" w14:textId="77777777" w:rsidR="00515585" w:rsidRPr="006307A2" w:rsidRDefault="00515585" w:rsidP="00515585">
      <w:pPr>
        <w:pStyle w:val="ManualHeading3"/>
        <w:rPr>
          <w:noProof/>
        </w:rPr>
      </w:pPr>
      <w:r w:rsidRPr="006307A2">
        <w:rPr>
          <w:noProof/>
        </w:rPr>
        <w:t>4.1.2.</w:t>
      </w:r>
      <w:r w:rsidRPr="006307A2">
        <w:rPr>
          <w:noProof/>
        </w:rPr>
        <w:tab/>
        <w:t>Aplicarea la cazul în speță</w:t>
      </w:r>
    </w:p>
    <w:p w14:paraId="42DACC3F" w14:textId="77777777" w:rsidR="00515585" w:rsidRPr="006307A2" w:rsidRDefault="00515585" w:rsidP="00515585">
      <w:pPr>
        <w:pStyle w:val="Body"/>
        <w:rPr>
          <w:noProof/>
          <w:lang w:val="ro-RO"/>
        </w:rPr>
      </w:pPr>
      <w:r w:rsidRPr="006307A2">
        <w:rPr>
          <w:noProof/>
          <w:lang w:val="ro-RO"/>
        </w:rPr>
        <w:t>Comitetul director regional este un organism înființat printr-un tratat, și anume TCT.</w:t>
      </w:r>
    </w:p>
    <w:p w14:paraId="5EDA65FA" w14:textId="77777777" w:rsidR="00515585" w:rsidRPr="006307A2" w:rsidRDefault="00515585" w:rsidP="00515585">
      <w:pPr>
        <w:pStyle w:val="Body"/>
        <w:rPr>
          <w:noProof/>
          <w:lang w:val="ro-RO"/>
        </w:rPr>
      </w:pPr>
      <w:r w:rsidRPr="006307A2">
        <w:rPr>
          <w:noProof/>
          <w:lang w:val="ro-RO"/>
        </w:rPr>
        <w:t>Actul pe care comitetul director regional este invitat să îl adopte constituie un act cu efecte juridice. În conformitate cu articolul 35 din TCT, comitetul director regional este împuternicit să adopte bugetul Comunității transporturilor, iar în conformitate cu articolul 25 alineatul (1) din TCT, această decizie are caracter obligatoriu pentru părțile la TCT. Prin natura sa și prin faptul că este o dispoziție de drept internațional care reglementează comitetul director regional, acest act conține elemente care afectează poziția juridică a părților la TCT și, prin urmare, și pe cea a Uniunii. În consecință, actul avut în vedere va avea caracter obligatoriu în temeiul dreptului internațional, în conformitate cu articolul 25 alineatul (1) din TCT. Actul avut în vedere nu completează și nu modifică cadrul instituțional al TCT. În consecință, temeiul juridic procedural al propunerii de decizie este articolul 218 alineatul (9) din TFUE.</w:t>
      </w:r>
    </w:p>
    <w:p w14:paraId="7B870088" w14:textId="77777777" w:rsidR="00515585" w:rsidRPr="006307A2" w:rsidRDefault="00515585" w:rsidP="00515585">
      <w:pPr>
        <w:pStyle w:val="ManualHeading2"/>
        <w:rPr>
          <w:noProof/>
        </w:rPr>
      </w:pPr>
      <w:r w:rsidRPr="006307A2">
        <w:rPr>
          <w:noProof/>
        </w:rPr>
        <w:t>4.2.</w:t>
      </w:r>
      <w:r w:rsidRPr="006307A2">
        <w:rPr>
          <w:noProof/>
        </w:rPr>
        <w:tab/>
        <w:t>Temeiul juridic material</w:t>
      </w:r>
    </w:p>
    <w:p w14:paraId="052C6403" w14:textId="77777777" w:rsidR="00515585" w:rsidRPr="006307A2" w:rsidRDefault="00515585" w:rsidP="00515585">
      <w:pPr>
        <w:pStyle w:val="ManualHeading3"/>
        <w:rPr>
          <w:noProof/>
        </w:rPr>
      </w:pPr>
      <w:r w:rsidRPr="006307A2">
        <w:rPr>
          <w:noProof/>
        </w:rPr>
        <w:t>4.2.1.</w:t>
      </w:r>
      <w:r w:rsidRPr="006307A2">
        <w:rPr>
          <w:noProof/>
        </w:rPr>
        <w:tab/>
        <w:t>Principii</w:t>
      </w:r>
    </w:p>
    <w:p w14:paraId="13056B49" w14:textId="77777777" w:rsidR="00515585" w:rsidRPr="006307A2" w:rsidRDefault="00515585" w:rsidP="00515585">
      <w:pPr>
        <w:pStyle w:val="CommentText"/>
        <w:rPr>
          <w:noProof/>
          <w:lang w:val="ro-RO"/>
        </w:rPr>
      </w:pPr>
      <w:r w:rsidRPr="006307A2">
        <w:rPr>
          <w:noProof/>
          <w:lang w:val="ro-RO"/>
        </w:rPr>
        <w:t>Temeiul juridic material al unei decizii adoptate în temeiul articolului 218 alineatul (9) din TFUE depinde în primul rând de obiectivul și de conținutul actului avut în vedere cu privire la care se adoptă o poziție în numele Uniunii. În cazul în care actul avut în vedere urmărește două obiective sau include două elemente, iar unul dintre aceste obiective sau elemente poate fi identificat ca fiind obiectivul sau elementul principal, iar celălalt obiectiv sau element are mai degrabă un caracter accesoriu, decizia adoptată în temeiul articolului 218 alineatul (9) din TFUE trebuie să se întemeieze pe un singur temei juridic material, respectiv pe cel impus de obiectivul sau de elementul principal sau predominant.</w:t>
      </w:r>
    </w:p>
    <w:p w14:paraId="51F178BB" w14:textId="77777777" w:rsidR="00515585" w:rsidRPr="006307A2" w:rsidRDefault="00515585" w:rsidP="00515585">
      <w:pPr>
        <w:pStyle w:val="Body"/>
        <w:rPr>
          <w:noProof/>
          <w:lang w:val="ro-RO"/>
        </w:rPr>
      </w:pPr>
      <w:r w:rsidRPr="006307A2">
        <w:rPr>
          <w:noProof/>
          <w:lang w:val="ro-RO"/>
        </w:rPr>
        <w:t>În ceea ce privește un act avut în vedere care urmărește simultan mai multe obiective sau care include mai multe elemente care sunt legate între ele în mod inextricabil, fără ca vreunul să fie accesoriu în raport cu un altul, temeiul juridic material al unei decizii adoptate în temeiul articolului 218 alineatul (9) din TFUE va trebui să includă, în mod excepțional, diferitele temeiuri juridice relevante.</w:t>
      </w:r>
    </w:p>
    <w:p w14:paraId="37B17407" w14:textId="77777777" w:rsidR="00515585" w:rsidRPr="006307A2" w:rsidRDefault="00515585" w:rsidP="00515585">
      <w:pPr>
        <w:pStyle w:val="ManualHeading3"/>
        <w:rPr>
          <w:noProof/>
        </w:rPr>
      </w:pPr>
      <w:r w:rsidRPr="006307A2">
        <w:rPr>
          <w:noProof/>
        </w:rPr>
        <w:t>4.2.2.</w:t>
      </w:r>
      <w:r w:rsidRPr="006307A2">
        <w:rPr>
          <w:noProof/>
        </w:rPr>
        <w:tab/>
        <w:t>Aplicarea la cazul în speță</w:t>
      </w:r>
    </w:p>
    <w:p w14:paraId="2DBCFF12" w14:textId="77777777" w:rsidR="00515585" w:rsidRPr="006307A2" w:rsidRDefault="00515585" w:rsidP="00515585">
      <w:pPr>
        <w:pStyle w:val="Body"/>
        <w:rPr>
          <w:noProof/>
          <w:lang w:val="ro-RO"/>
        </w:rPr>
      </w:pPr>
      <w:r w:rsidRPr="006307A2">
        <w:rPr>
          <w:noProof/>
          <w:lang w:val="ro-RO"/>
        </w:rPr>
        <w:t xml:space="preserve">Actul avut în vedere este necesar pentru buna funcționare a TCT. La rândul său, TCT urmărește obiective și include elemente din domeniul transportului rutier, feroviar și pe căi navigabile interioare, care sunt moduri de transport ce intră sub incidența articolului 91 din TFUE, precum și din domeniul transportului maritim, un mod de transport care intră sub incidența articolului 100 alineatul (2) din TFUE. </w:t>
      </w:r>
      <w:r w:rsidRPr="006307A2">
        <w:rPr>
          <w:noProof/>
          <w:color w:val="444444"/>
          <w:u w:color="444444"/>
          <w:shd w:val="clear" w:color="auto" w:fill="FFFFFF"/>
          <w:lang w:val="ro-RO"/>
        </w:rPr>
        <w:t>Datorită caracterului său orizontal, actul avut în vedere se referă la toate aceste elemente, care</w:t>
      </w:r>
      <w:r w:rsidRPr="006307A2">
        <w:rPr>
          <w:noProof/>
          <w:lang w:val="ro-RO"/>
        </w:rPr>
        <w:t xml:space="preserve"> sunt legate în mod inextricabil între ele, fără ca vreunul să fie accesoriu în raport cu un altul.</w:t>
      </w:r>
    </w:p>
    <w:p w14:paraId="469216CD" w14:textId="77777777" w:rsidR="00515585" w:rsidRPr="006307A2" w:rsidRDefault="00515585" w:rsidP="00515585">
      <w:pPr>
        <w:pStyle w:val="Body"/>
        <w:rPr>
          <w:noProof/>
          <w:lang w:val="ro-RO"/>
        </w:rPr>
      </w:pPr>
      <w:r w:rsidRPr="006307A2">
        <w:rPr>
          <w:noProof/>
          <w:lang w:val="ro-RO"/>
        </w:rPr>
        <w:t>Prin urmare, temeiul juridic material al propunerii de decizie cuprinde următoarele dispoziții: articolul 91 și articolul 100 alineatul (2) din TFUE.</w:t>
      </w:r>
    </w:p>
    <w:p w14:paraId="6D819854" w14:textId="77777777" w:rsidR="00515585" w:rsidRPr="006307A2" w:rsidRDefault="00515585" w:rsidP="00515585">
      <w:pPr>
        <w:pStyle w:val="ManualHeading2"/>
        <w:rPr>
          <w:noProof/>
        </w:rPr>
      </w:pPr>
      <w:r w:rsidRPr="006307A2">
        <w:rPr>
          <w:noProof/>
        </w:rPr>
        <w:t>4.3.</w:t>
      </w:r>
      <w:r w:rsidRPr="006307A2">
        <w:rPr>
          <w:noProof/>
        </w:rPr>
        <w:tab/>
        <w:t>Concluzie</w:t>
      </w:r>
    </w:p>
    <w:p w14:paraId="1FBDB0E6" w14:textId="77777777" w:rsidR="00515585" w:rsidRPr="006307A2" w:rsidRDefault="00515585" w:rsidP="00515585">
      <w:pPr>
        <w:pStyle w:val="Body"/>
        <w:rPr>
          <w:noProof/>
          <w:lang w:val="ro-RO"/>
        </w:rPr>
      </w:pPr>
      <w:r w:rsidRPr="006307A2">
        <w:rPr>
          <w:noProof/>
          <w:lang w:val="ro-RO"/>
        </w:rPr>
        <w:t>Temeiul juridic al deciziei propuse trebuie să fie articolul 91 și articolul 100 alineatul (2) din TFUE, coroborate cu articolul 218 alineatul (9) din TFUE.</w:t>
      </w:r>
    </w:p>
    <w:p w14:paraId="4B382E10" w14:textId="77777777" w:rsidR="00515585" w:rsidRPr="006307A2" w:rsidRDefault="00515585" w:rsidP="00515585">
      <w:pPr>
        <w:pStyle w:val="ManualHeading1"/>
        <w:rPr>
          <w:noProof/>
        </w:rPr>
      </w:pPr>
      <w:r w:rsidRPr="006307A2">
        <w:rPr>
          <w:noProof/>
        </w:rPr>
        <w:t>5.</w:t>
      </w:r>
      <w:r w:rsidRPr="006307A2">
        <w:rPr>
          <w:noProof/>
        </w:rPr>
        <w:tab/>
        <w:t>Publicarea actului avut în vedere</w:t>
      </w:r>
    </w:p>
    <w:p w14:paraId="454BF2BB" w14:textId="77777777" w:rsidR="00515585" w:rsidRPr="006307A2" w:rsidRDefault="00515585" w:rsidP="00515585">
      <w:pPr>
        <w:pStyle w:val="Body"/>
        <w:rPr>
          <w:noProof/>
          <w:lang w:val="ro-RO"/>
        </w:rPr>
      </w:pPr>
      <w:r w:rsidRPr="006307A2">
        <w:rPr>
          <w:noProof/>
          <w:lang w:val="ro-RO"/>
        </w:rPr>
        <w:t xml:space="preserve">În conformitate cu articolul 25 alineatul (2) din Tratatul de instituire a Comunității transporturilor, deciziile comitetului director regional se publică în </w:t>
      </w:r>
      <w:r w:rsidRPr="006307A2">
        <w:rPr>
          <w:i/>
          <w:iCs/>
          <w:noProof/>
          <w:lang w:val="ro-RO"/>
        </w:rPr>
        <w:t>Jurnalul Oficial al Uniunii Europene</w:t>
      </w:r>
      <w:r w:rsidRPr="006307A2">
        <w:rPr>
          <w:noProof/>
          <w:lang w:val="ro-RO"/>
        </w:rPr>
        <w:t>.</w:t>
      </w:r>
    </w:p>
    <w:p w14:paraId="0DABBE63" w14:textId="77777777" w:rsidR="00515585" w:rsidRPr="006307A2" w:rsidRDefault="00515585" w:rsidP="00515585">
      <w:pPr>
        <w:pStyle w:val="Body"/>
        <w:rPr>
          <w:noProof/>
          <w:lang w:val="ro-RO"/>
        </w:rPr>
        <w:sectPr w:rsidR="00515585" w:rsidRPr="006307A2" w:rsidSect="00451A76">
          <w:footerReference w:type="default" r:id="rId9"/>
          <w:footerReference w:type="first" r:id="rId10"/>
          <w:pgSz w:w="11900" w:h="16840"/>
          <w:pgMar w:top="1134" w:right="1417" w:bottom="1134" w:left="1417" w:header="709" w:footer="709" w:gutter="0"/>
          <w:cols w:space="720"/>
          <w:docGrid w:linePitch="326"/>
        </w:sectPr>
      </w:pPr>
    </w:p>
    <w:p w14:paraId="39955F6B" w14:textId="19B112D5" w:rsidR="00485BF1" w:rsidRDefault="00485BF1" w:rsidP="00485BF1">
      <w:pPr>
        <w:pStyle w:val="Rfrenceinterinstitutionnelle"/>
        <w:rPr>
          <w:noProof/>
        </w:rPr>
      </w:pPr>
      <w:r w:rsidRPr="00485BF1">
        <w:t>2022/0296 (NLE)</w:t>
      </w:r>
    </w:p>
    <w:p w14:paraId="10B39643" w14:textId="2DD40375" w:rsidR="00515585" w:rsidRPr="006307A2" w:rsidRDefault="004D7B64" w:rsidP="004D7B64">
      <w:pPr>
        <w:pStyle w:val="Statut"/>
        <w:rPr>
          <w:noProof/>
        </w:rPr>
      </w:pPr>
      <w:r w:rsidRPr="006307A2">
        <w:rPr>
          <w:noProof/>
        </w:rPr>
        <w:t>Propunere de</w:t>
      </w:r>
    </w:p>
    <w:p w14:paraId="549847F4" w14:textId="6844F9A7" w:rsidR="00515585" w:rsidRPr="006307A2" w:rsidRDefault="004D7B64" w:rsidP="004D7B64">
      <w:pPr>
        <w:pStyle w:val="Typedudocument"/>
        <w:rPr>
          <w:noProof/>
        </w:rPr>
      </w:pPr>
      <w:r w:rsidRPr="006307A2">
        <w:rPr>
          <w:noProof/>
        </w:rPr>
        <w:t>DECIZIE A CONSILIULUI</w:t>
      </w:r>
    </w:p>
    <w:p w14:paraId="710D3DA5" w14:textId="7E565C3A" w:rsidR="00515585" w:rsidRPr="006307A2" w:rsidRDefault="004D7B64" w:rsidP="004D7B64">
      <w:pPr>
        <w:pStyle w:val="Titreobjet"/>
        <w:rPr>
          <w:noProof/>
        </w:rPr>
      </w:pPr>
      <w:r w:rsidRPr="006307A2">
        <w:rPr>
          <w:noProof/>
        </w:rPr>
        <w:t>privind poziția care trebuie adoptată în numele Uniunii Europene în cadrul comitetului director regional al Comunității transporturilor în ceea ce privește adoptarea bugetului Comunității transporturilor pentru anul 2023</w:t>
      </w:r>
    </w:p>
    <w:p w14:paraId="2402D343" w14:textId="77777777" w:rsidR="00515585" w:rsidRPr="006307A2" w:rsidRDefault="00515585" w:rsidP="00515585">
      <w:pPr>
        <w:pStyle w:val="Institutionquiagit"/>
        <w:rPr>
          <w:b/>
          <w:bCs/>
          <w:noProof/>
        </w:rPr>
      </w:pPr>
      <w:r w:rsidRPr="006307A2">
        <w:rPr>
          <w:b/>
          <w:noProof/>
        </w:rPr>
        <w:t>CONSILIUL UNIUNII EUROPENE,</w:t>
      </w:r>
    </w:p>
    <w:p w14:paraId="1B6F6F9C" w14:textId="77777777" w:rsidR="00515585" w:rsidRPr="006307A2" w:rsidRDefault="00515585" w:rsidP="002B0931">
      <w:pPr>
        <w:rPr>
          <w:noProof/>
        </w:rPr>
      </w:pPr>
      <w:r w:rsidRPr="006307A2">
        <w:rPr>
          <w:noProof/>
        </w:rPr>
        <w:t>având în vedere Tratatul privind funcționarea Uniunii Europene, în special articolul 91 și articolul 100 alineatul (2), coroborate cu articolul 218 alineatul (9),</w:t>
      </w:r>
    </w:p>
    <w:p w14:paraId="1D1964FA" w14:textId="77777777" w:rsidR="00515585" w:rsidRPr="006307A2" w:rsidRDefault="00515585" w:rsidP="002B0931">
      <w:pPr>
        <w:rPr>
          <w:noProof/>
        </w:rPr>
      </w:pPr>
      <w:r w:rsidRPr="006307A2">
        <w:rPr>
          <w:noProof/>
        </w:rPr>
        <w:t>având în vedere propunerea Comisiei Europene,</w:t>
      </w:r>
    </w:p>
    <w:p w14:paraId="72439239" w14:textId="77777777" w:rsidR="00515585" w:rsidRPr="006307A2" w:rsidRDefault="00515585" w:rsidP="002B0931">
      <w:pPr>
        <w:rPr>
          <w:noProof/>
        </w:rPr>
      </w:pPr>
      <w:r w:rsidRPr="006307A2">
        <w:rPr>
          <w:noProof/>
        </w:rPr>
        <w:t>întrucât:</w:t>
      </w:r>
    </w:p>
    <w:p w14:paraId="254D98E2" w14:textId="77777777" w:rsidR="00515585" w:rsidRPr="006307A2" w:rsidRDefault="00515585" w:rsidP="00515585">
      <w:pPr>
        <w:pStyle w:val="ManualConsidrant"/>
        <w:rPr>
          <w:noProof/>
        </w:rPr>
      </w:pPr>
      <w:r w:rsidRPr="006307A2">
        <w:rPr>
          <w:noProof/>
        </w:rPr>
        <w:t>(1)</w:t>
      </w:r>
      <w:r w:rsidRPr="006307A2">
        <w:rPr>
          <w:noProof/>
        </w:rPr>
        <w:tab/>
        <w:t>Tratatul de instituire a Comunității transporturilor (TCT) a fost semnat de Uniune în conformitate cu Decizia (UE) 2017/1937 a Consiliului</w:t>
      </w:r>
      <w:r w:rsidRPr="006307A2">
        <w:rPr>
          <w:rStyle w:val="FootnoteReference"/>
          <w:rFonts w:eastAsia="Times New Roman"/>
          <w:noProof/>
        </w:rPr>
        <w:footnoteReference w:id="3"/>
      </w:r>
      <w:r w:rsidRPr="006307A2">
        <w:rPr>
          <w:noProof/>
        </w:rPr>
        <w:t>. La 4 martie 2019, el a fost aprobat în numele Uniunii prin Decizia (UE) 2019/392 a Consiliului</w:t>
      </w:r>
      <w:r w:rsidRPr="006307A2">
        <w:rPr>
          <w:rStyle w:val="FootnoteReference"/>
          <w:rFonts w:eastAsia="Times New Roman"/>
          <w:noProof/>
        </w:rPr>
        <w:footnoteReference w:id="4"/>
      </w:r>
      <w:r w:rsidRPr="006307A2">
        <w:rPr>
          <w:noProof/>
        </w:rPr>
        <w:t>. Tratatul a intrat în vigoare la 1 mai 2019.</w:t>
      </w:r>
    </w:p>
    <w:p w14:paraId="2CEED977" w14:textId="77777777" w:rsidR="00515585" w:rsidRPr="006307A2" w:rsidRDefault="00515585" w:rsidP="00515585">
      <w:pPr>
        <w:pStyle w:val="ManualConsidrant"/>
        <w:rPr>
          <w:noProof/>
        </w:rPr>
      </w:pPr>
      <w:r w:rsidRPr="006307A2">
        <w:rPr>
          <w:noProof/>
        </w:rPr>
        <w:t>(2)</w:t>
      </w:r>
      <w:r w:rsidRPr="006307A2">
        <w:rPr>
          <w:noProof/>
        </w:rPr>
        <w:tab/>
        <w:t>În temeiul articolului 35 din TCT, comitetul director regional al Comunității transporturilor (denumit în continuare „comitetul director”) trebuie să adopte în fiecare an bugetul Comunității transporturilor. Articolul 35 din TCT împuternicește, de asemenea, comitetul director să adopte decizii care să precizeze procedura de execuție bugetară</w:t>
      </w:r>
      <w:r w:rsidRPr="006307A2">
        <w:rPr>
          <w:noProof/>
          <w:color w:val="444444"/>
          <w:u w:color="444444"/>
          <w:shd w:val="clear" w:color="auto" w:fill="FFFFFF"/>
        </w:rPr>
        <w:t>.</w:t>
      </w:r>
    </w:p>
    <w:p w14:paraId="62196905" w14:textId="77777777" w:rsidR="00515585" w:rsidRPr="006307A2" w:rsidRDefault="00515585" w:rsidP="00515585">
      <w:pPr>
        <w:pStyle w:val="ManualConsidrant"/>
        <w:rPr>
          <w:noProof/>
        </w:rPr>
      </w:pPr>
      <w:r w:rsidRPr="006307A2">
        <w:rPr>
          <w:noProof/>
        </w:rPr>
        <w:t>(3)</w:t>
      </w:r>
      <w:r w:rsidRPr="006307A2">
        <w:rPr>
          <w:noProof/>
        </w:rPr>
        <w:tab/>
        <w:t>Comitetul director trebuie să adopte o decizie privind bugetul Comunității transporturilor pentru anul 2023 în cadrul ultimei sale reuniuni din 2022.</w:t>
      </w:r>
    </w:p>
    <w:p w14:paraId="03DEC6E7" w14:textId="77777777" w:rsidR="00515585" w:rsidRPr="006307A2" w:rsidRDefault="00515585" w:rsidP="00515585">
      <w:pPr>
        <w:pStyle w:val="ManualConsidrant"/>
        <w:rPr>
          <w:noProof/>
        </w:rPr>
      </w:pPr>
      <w:r w:rsidRPr="006307A2">
        <w:rPr>
          <w:noProof/>
        </w:rPr>
        <w:t>(4)</w:t>
      </w:r>
      <w:r w:rsidRPr="006307A2">
        <w:rPr>
          <w:noProof/>
        </w:rPr>
        <w:tab/>
        <w:t xml:space="preserve">Bugetul Comunității transporturilor propus pentru anul 2023 este necesar pentru buna funcționare a organismelor Comunității transporturilor. El acoperă costurile cu resursele umane, cu deplasările, cu programele și echipamentele informatice, precum și cheltuielile operaționale precum studiile, consolidarea capacităților, asistența tehnică și organizarea de conferințe și de reuniuni. </w:t>
      </w:r>
    </w:p>
    <w:p w14:paraId="1481367B" w14:textId="77777777" w:rsidR="00515585" w:rsidRPr="006307A2" w:rsidRDefault="00515585" w:rsidP="00515585">
      <w:pPr>
        <w:pStyle w:val="ManualConsidrant"/>
        <w:rPr>
          <w:noProof/>
        </w:rPr>
      </w:pPr>
      <w:r w:rsidRPr="006307A2">
        <w:rPr>
          <w:noProof/>
        </w:rPr>
        <w:t>(5)</w:t>
      </w:r>
      <w:r w:rsidRPr="006307A2">
        <w:rPr>
          <w:noProof/>
        </w:rPr>
        <w:tab/>
        <w:t>Este oportun să se stabilească poziția care trebuie adoptată în numele Uniunii în cadrul comitetului director, având în vedere faptul că o astfel de decizie, care este necesară pentru funcționarea secretariatului permanent al Comunității transporturilor, va fi obligatorie pentru Uniune,</w:t>
      </w:r>
    </w:p>
    <w:p w14:paraId="3C13C6C1" w14:textId="77777777" w:rsidR="00515585" w:rsidRPr="006307A2" w:rsidRDefault="00515585" w:rsidP="00515585">
      <w:pPr>
        <w:pStyle w:val="Formuledadoption"/>
        <w:rPr>
          <w:noProof/>
        </w:rPr>
      </w:pPr>
      <w:r w:rsidRPr="006307A2">
        <w:rPr>
          <w:noProof/>
        </w:rPr>
        <w:t>ADOPTĂ PREZENTA DECIZIE:</w:t>
      </w:r>
    </w:p>
    <w:p w14:paraId="5DBCAB2F" w14:textId="77777777" w:rsidR="00515585" w:rsidRPr="006307A2" w:rsidRDefault="00515585" w:rsidP="00515585">
      <w:pPr>
        <w:pStyle w:val="Titrearticle"/>
        <w:rPr>
          <w:noProof/>
        </w:rPr>
      </w:pPr>
      <w:r w:rsidRPr="006307A2">
        <w:rPr>
          <w:noProof/>
        </w:rPr>
        <w:t>Articolul 1</w:t>
      </w:r>
    </w:p>
    <w:p w14:paraId="2A001872" w14:textId="76B93C3A" w:rsidR="00515585" w:rsidRPr="006307A2" w:rsidRDefault="00515585" w:rsidP="00515585">
      <w:pPr>
        <w:pStyle w:val="Body"/>
        <w:rPr>
          <w:noProof/>
          <w:lang w:val="ro-RO"/>
        </w:rPr>
      </w:pPr>
      <w:r w:rsidRPr="006307A2">
        <w:rPr>
          <w:noProof/>
          <w:lang w:val="ro-RO"/>
        </w:rPr>
        <w:t>Poziția care trebuie adoptată în numele Uniunii în cadrul comitetului director regional al Comunității transporturilor în ceea ce privește bugetul Comunității transporturilor pentru anul</w:t>
      </w:r>
      <w:r w:rsidR="006307A2" w:rsidRPr="006307A2">
        <w:rPr>
          <w:noProof/>
          <w:lang w:val="ro-RO"/>
        </w:rPr>
        <w:t> </w:t>
      </w:r>
      <w:r w:rsidRPr="006307A2">
        <w:rPr>
          <w:noProof/>
          <w:lang w:val="ro-RO"/>
        </w:rPr>
        <w:t>2023 se bazează pe proiectul de decizie a comitetului director regional, anexat la prezenta decizie.</w:t>
      </w:r>
    </w:p>
    <w:p w14:paraId="60B6963E" w14:textId="77777777" w:rsidR="00515585" w:rsidRPr="006307A2" w:rsidRDefault="00515585" w:rsidP="00246EB2">
      <w:pPr>
        <w:pStyle w:val="Titrearticle"/>
        <w:rPr>
          <w:noProof/>
        </w:rPr>
      </w:pPr>
      <w:r w:rsidRPr="006307A2">
        <w:rPr>
          <w:noProof/>
        </w:rPr>
        <w:t>Articolul 2</w:t>
      </w:r>
    </w:p>
    <w:p w14:paraId="57AEB7A4" w14:textId="77777777" w:rsidR="00515585" w:rsidRPr="006307A2" w:rsidRDefault="00515585" w:rsidP="00515585">
      <w:pPr>
        <w:pStyle w:val="Body"/>
        <w:rPr>
          <w:noProof/>
          <w:lang w:val="ro-RO"/>
        </w:rPr>
      </w:pPr>
      <w:r w:rsidRPr="006307A2">
        <w:rPr>
          <w:noProof/>
          <w:lang w:val="ro-RO"/>
        </w:rPr>
        <w:t>Prezenta decizie se adresează Comisiei.</w:t>
      </w:r>
    </w:p>
    <w:p w14:paraId="64C7F6BA" w14:textId="2B83EB24" w:rsidR="00515585" w:rsidRPr="006307A2" w:rsidRDefault="00A243BA" w:rsidP="00246EB2">
      <w:pPr>
        <w:pStyle w:val="Fait"/>
        <w:rPr>
          <w:noProof/>
        </w:rPr>
      </w:pPr>
      <w:r w:rsidRPr="00A243BA">
        <w:t>Adoptată la Bruxelles,</w:t>
      </w:r>
    </w:p>
    <w:p w14:paraId="665129D7" w14:textId="77777777" w:rsidR="00515585" w:rsidRPr="006307A2" w:rsidRDefault="00515585" w:rsidP="00246EB2">
      <w:pPr>
        <w:pStyle w:val="Institutionquisigne"/>
        <w:rPr>
          <w:noProof/>
        </w:rPr>
      </w:pPr>
      <w:r w:rsidRPr="006307A2">
        <w:rPr>
          <w:noProof/>
        </w:rPr>
        <w:tab/>
        <w:t>Pentru Consiliu</w:t>
      </w:r>
    </w:p>
    <w:p w14:paraId="52BF0900" w14:textId="77777777" w:rsidR="00515585" w:rsidRPr="006307A2" w:rsidRDefault="00515585" w:rsidP="00246EB2">
      <w:pPr>
        <w:pStyle w:val="Personnequisigne"/>
        <w:keepNext/>
        <w:rPr>
          <w:noProof/>
        </w:rPr>
      </w:pPr>
      <w:r w:rsidRPr="006307A2">
        <w:rPr>
          <w:noProof/>
        </w:rPr>
        <w:tab/>
        <w:t>Președintele</w:t>
      </w:r>
    </w:p>
    <w:p w14:paraId="05C9346C" w14:textId="77777777" w:rsidR="00515585" w:rsidRPr="006307A2" w:rsidRDefault="00515585" w:rsidP="00246EB2">
      <w:pPr>
        <w:pStyle w:val="Institutionquisigne"/>
        <w:rPr>
          <w:noProof/>
        </w:rPr>
      </w:pPr>
    </w:p>
    <w:p w14:paraId="12ECCA89" w14:textId="77777777" w:rsidR="00515585" w:rsidRPr="006307A2" w:rsidRDefault="00515585" w:rsidP="00515585">
      <w:pPr>
        <w:pStyle w:val="Personnequisigne"/>
        <w:rPr>
          <w:noProof/>
        </w:rPr>
      </w:pPr>
    </w:p>
    <w:sectPr w:rsidR="00515585" w:rsidRPr="006307A2" w:rsidSect="00451A76">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47A5B" w14:textId="77777777" w:rsidR="00515585" w:rsidRDefault="00515585" w:rsidP="00515585">
      <w:pPr>
        <w:spacing w:before="0" w:after="0"/>
      </w:pPr>
      <w:r>
        <w:separator/>
      </w:r>
    </w:p>
  </w:endnote>
  <w:endnote w:type="continuationSeparator" w:id="0">
    <w:p w14:paraId="4F9CE666" w14:textId="77777777" w:rsidR="00515585" w:rsidRDefault="00515585" w:rsidP="0051558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roman"/>
    <w:pitch w:val="default"/>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A3931" w14:textId="5717926D" w:rsidR="004D7B64" w:rsidRPr="00451A76" w:rsidRDefault="00451A76" w:rsidP="00451A76">
    <w:pPr>
      <w:pStyle w:val="Footer"/>
      <w:rPr>
        <w:rFonts w:ascii="Arial" w:hAnsi="Arial" w:cs="Arial"/>
        <w:b/>
        <w:sz w:val="48"/>
      </w:rPr>
    </w:pPr>
    <w:r w:rsidRPr="00451A76">
      <w:rPr>
        <w:rFonts w:ascii="Arial" w:hAnsi="Arial" w:cs="Arial"/>
        <w:b/>
        <w:sz w:val="48"/>
      </w:rPr>
      <w:t>RO</w:t>
    </w:r>
    <w:r w:rsidRPr="00451A76">
      <w:rPr>
        <w:rFonts w:ascii="Arial" w:hAnsi="Arial" w:cs="Arial"/>
        <w:b/>
        <w:sz w:val="48"/>
      </w:rPr>
      <w:tab/>
    </w:r>
    <w:r w:rsidRPr="00451A76">
      <w:rPr>
        <w:rFonts w:ascii="Arial" w:hAnsi="Arial" w:cs="Arial"/>
        <w:b/>
        <w:sz w:val="48"/>
      </w:rPr>
      <w:tab/>
    </w:r>
    <w:r w:rsidRPr="00451A76">
      <w:tab/>
    </w:r>
    <w:r w:rsidRPr="00451A76">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E3A60" w14:textId="75782D04" w:rsidR="00451A76" w:rsidRPr="00451A76" w:rsidRDefault="00451A76" w:rsidP="00451A76">
    <w:pPr>
      <w:pStyle w:val="Footer"/>
      <w:rPr>
        <w:rFonts w:ascii="Arial" w:hAnsi="Arial" w:cs="Arial"/>
        <w:b/>
        <w:sz w:val="48"/>
      </w:rPr>
    </w:pPr>
    <w:r w:rsidRPr="00451A76">
      <w:rPr>
        <w:rFonts w:ascii="Arial" w:hAnsi="Arial" w:cs="Arial"/>
        <w:b/>
        <w:sz w:val="48"/>
      </w:rPr>
      <w:t>RO</w:t>
    </w:r>
    <w:r w:rsidRPr="00451A76">
      <w:rPr>
        <w:rFonts w:ascii="Arial" w:hAnsi="Arial" w:cs="Arial"/>
        <w:b/>
        <w:sz w:val="48"/>
      </w:rPr>
      <w:tab/>
    </w:r>
    <w:r>
      <w:fldChar w:fldCharType="begin"/>
    </w:r>
    <w:r>
      <w:instrText xml:space="preserve"> PAGE  \* MERGEFORMAT </w:instrText>
    </w:r>
    <w:r>
      <w:fldChar w:fldCharType="separate"/>
    </w:r>
    <w:r w:rsidR="00246EB2">
      <w:rPr>
        <w:noProof/>
      </w:rPr>
      <w:t>6</w:t>
    </w:r>
    <w:r>
      <w:fldChar w:fldCharType="end"/>
    </w:r>
    <w:r>
      <w:tab/>
    </w:r>
    <w:r w:rsidRPr="00451A76">
      <w:tab/>
    </w:r>
    <w:r w:rsidRPr="00451A76">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F7417" w14:textId="77777777" w:rsidR="00451A76" w:rsidRPr="00451A76" w:rsidRDefault="00451A76" w:rsidP="00451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D0FC4" w14:textId="77777777" w:rsidR="00515585" w:rsidRDefault="00515585" w:rsidP="00515585">
      <w:pPr>
        <w:spacing w:before="0" w:after="0"/>
      </w:pPr>
      <w:r>
        <w:separator/>
      </w:r>
    </w:p>
  </w:footnote>
  <w:footnote w:type="continuationSeparator" w:id="0">
    <w:p w14:paraId="25546CF2" w14:textId="77777777" w:rsidR="00515585" w:rsidRDefault="00515585" w:rsidP="00515585">
      <w:pPr>
        <w:spacing w:before="0" w:after="0"/>
      </w:pPr>
      <w:r>
        <w:continuationSeparator/>
      </w:r>
    </w:p>
  </w:footnote>
  <w:footnote w:id="1">
    <w:p w14:paraId="5BD017B8" w14:textId="77777777" w:rsidR="00515585" w:rsidRDefault="00515585" w:rsidP="00515585">
      <w:pPr>
        <w:pStyle w:val="FootnoteText"/>
      </w:pPr>
      <w:r>
        <w:rPr>
          <w:rStyle w:val="FootnoteReference"/>
        </w:rPr>
        <w:footnoteRef/>
      </w:r>
      <w:r>
        <w:tab/>
        <w:t xml:space="preserve">Decizia (UE) </w:t>
      </w:r>
      <w:r w:rsidRPr="006307A2">
        <w:t>2017</w:t>
      </w:r>
      <w:r>
        <w:t>/</w:t>
      </w:r>
      <w:r w:rsidRPr="006307A2">
        <w:t>1937</w:t>
      </w:r>
      <w:r>
        <w:t xml:space="preserve"> a Consiliului din </w:t>
      </w:r>
      <w:r w:rsidRPr="006307A2">
        <w:t>11</w:t>
      </w:r>
      <w:r>
        <w:t xml:space="preserve"> iulie </w:t>
      </w:r>
      <w:r w:rsidRPr="006307A2">
        <w:t>2017</w:t>
      </w:r>
      <w:r>
        <w:t xml:space="preserve"> privind semnarea, în numele Uniunii Europene, și aplicarea cu titlu provizoriu a Tratatului de instituire a Comunității transporturilor (JO L </w:t>
      </w:r>
      <w:r w:rsidRPr="006307A2">
        <w:t>278</w:t>
      </w:r>
      <w:r>
        <w:t xml:space="preserve">, </w:t>
      </w:r>
      <w:r w:rsidRPr="006307A2">
        <w:t>27</w:t>
      </w:r>
      <w:r>
        <w:t>.</w:t>
      </w:r>
      <w:r w:rsidRPr="006307A2">
        <w:t>10</w:t>
      </w:r>
      <w:r>
        <w:t>.</w:t>
      </w:r>
      <w:r w:rsidRPr="006307A2">
        <w:t>2017</w:t>
      </w:r>
      <w:r>
        <w:t>, p. </w:t>
      </w:r>
      <w:r w:rsidRPr="006307A2">
        <w:t>1</w:t>
      </w:r>
      <w:r>
        <w:t>).</w:t>
      </w:r>
    </w:p>
  </w:footnote>
  <w:footnote w:id="2">
    <w:p w14:paraId="592ACC2D" w14:textId="77777777" w:rsidR="00515585" w:rsidRDefault="00515585" w:rsidP="00515585">
      <w:pPr>
        <w:pStyle w:val="FootnoteText"/>
      </w:pPr>
      <w:r>
        <w:rPr>
          <w:rStyle w:val="FootnoteReference"/>
        </w:rPr>
        <w:footnoteRef/>
      </w:r>
      <w:r>
        <w:tab/>
        <w:t xml:space="preserve">Hotărârea Curții de Justiție din </w:t>
      </w:r>
      <w:r w:rsidRPr="006307A2">
        <w:t>7</w:t>
      </w:r>
      <w:r>
        <w:t xml:space="preserve"> octombrie </w:t>
      </w:r>
      <w:r w:rsidRPr="006307A2">
        <w:t>2014</w:t>
      </w:r>
      <w:r>
        <w:t>, Germania/Consiliul, C-</w:t>
      </w:r>
      <w:r w:rsidRPr="006307A2">
        <w:t>399</w:t>
      </w:r>
      <w:r>
        <w:t>/</w:t>
      </w:r>
      <w:r w:rsidRPr="006307A2">
        <w:t>12</w:t>
      </w:r>
      <w:r>
        <w:t>, ECLI:EU:C:</w:t>
      </w:r>
      <w:r w:rsidRPr="006307A2">
        <w:t>2014</w:t>
      </w:r>
      <w:r>
        <w:t>:</w:t>
      </w:r>
      <w:r w:rsidRPr="006307A2">
        <w:t>2258</w:t>
      </w:r>
      <w:r>
        <w:t xml:space="preserve">, punctele </w:t>
      </w:r>
      <w:r w:rsidRPr="006307A2">
        <w:t>61</w:t>
      </w:r>
      <w:r>
        <w:t>-</w:t>
      </w:r>
      <w:r w:rsidRPr="006307A2">
        <w:t>64</w:t>
      </w:r>
      <w:r>
        <w:t xml:space="preserve">. </w:t>
      </w:r>
    </w:p>
  </w:footnote>
  <w:footnote w:id="3">
    <w:p w14:paraId="59E7CE7C" w14:textId="77777777" w:rsidR="00515585" w:rsidRDefault="00515585" w:rsidP="00515585">
      <w:pPr>
        <w:pStyle w:val="FootnoteText"/>
      </w:pPr>
      <w:r>
        <w:rPr>
          <w:rStyle w:val="FootnoteReference"/>
        </w:rPr>
        <w:footnoteRef/>
      </w:r>
      <w:r>
        <w:tab/>
        <w:t xml:space="preserve">Decizia (UE) </w:t>
      </w:r>
      <w:r w:rsidRPr="006307A2">
        <w:t>2017</w:t>
      </w:r>
      <w:r>
        <w:t>/</w:t>
      </w:r>
      <w:r w:rsidRPr="006307A2">
        <w:t>1937</w:t>
      </w:r>
      <w:r>
        <w:t xml:space="preserve"> a Consiliului din </w:t>
      </w:r>
      <w:r w:rsidRPr="006307A2">
        <w:t>11</w:t>
      </w:r>
      <w:r>
        <w:t xml:space="preserve"> iulie </w:t>
      </w:r>
      <w:r w:rsidRPr="006307A2">
        <w:t>2017</w:t>
      </w:r>
      <w:r>
        <w:t xml:space="preserve"> privind semnarea, în numele Uniunii Europene, și aplicarea cu titlu provizoriu a Tratatului de instituire a Comunității transporturilor, JO L </w:t>
      </w:r>
      <w:r w:rsidRPr="006307A2">
        <w:t>278</w:t>
      </w:r>
      <w:r>
        <w:t xml:space="preserve">, </w:t>
      </w:r>
      <w:r w:rsidRPr="006307A2">
        <w:t>27</w:t>
      </w:r>
      <w:r>
        <w:t>.</w:t>
      </w:r>
      <w:r w:rsidRPr="006307A2">
        <w:t>10</w:t>
      </w:r>
      <w:r>
        <w:t>.</w:t>
      </w:r>
      <w:r w:rsidRPr="006307A2">
        <w:t>2017</w:t>
      </w:r>
      <w:r>
        <w:t>, p. </w:t>
      </w:r>
      <w:r w:rsidRPr="006307A2">
        <w:t>1</w:t>
      </w:r>
      <w:r>
        <w:t>.</w:t>
      </w:r>
    </w:p>
  </w:footnote>
  <w:footnote w:id="4">
    <w:p w14:paraId="2CE959B8" w14:textId="60E55E8E" w:rsidR="00515585" w:rsidRDefault="00515585" w:rsidP="00515585">
      <w:pPr>
        <w:pStyle w:val="FootnoteText"/>
      </w:pPr>
      <w:r>
        <w:rPr>
          <w:rStyle w:val="FootnoteReference"/>
        </w:rPr>
        <w:footnoteRef/>
      </w:r>
      <w:r>
        <w:tab/>
        <w:t xml:space="preserve">Decizia (UE) </w:t>
      </w:r>
      <w:r w:rsidRPr="006307A2">
        <w:t>2019</w:t>
      </w:r>
      <w:r>
        <w:t>/</w:t>
      </w:r>
      <w:r w:rsidRPr="006307A2">
        <w:t>392</w:t>
      </w:r>
      <w:r>
        <w:t xml:space="preserve"> a Consiliului din </w:t>
      </w:r>
      <w:r w:rsidRPr="006307A2">
        <w:t>4</w:t>
      </w:r>
      <w:r>
        <w:t xml:space="preserve"> martie </w:t>
      </w:r>
      <w:r w:rsidRPr="006307A2">
        <w:t>2019</w:t>
      </w:r>
      <w:r>
        <w:t xml:space="preserve"> privind încheierea, în numele Uniunii Europene, a Tratatului de instituire a Comunității transporturilor, JO L </w:t>
      </w:r>
      <w:r w:rsidRPr="006307A2">
        <w:t>71</w:t>
      </w:r>
      <w:r>
        <w:t xml:space="preserve">, </w:t>
      </w:r>
      <w:r w:rsidRPr="006307A2">
        <w:t>13</w:t>
      </w:r>
      <w:r>
        <w:t>.</w:t>
      </w:r>
      <w:r w:rsidRPr="006307A2">
        <w:t>3</w:t>
      </w:r>
      <w:r>
        <w:t>.</w:t>
      </w:r>
      <w:r w:rsidRPr="006307A2">
        <w:t>2019</w:t>
      </w:r>
      <w:r>
        <w:t>, p. </w:t>
      </w:r>
      <w:r w:rsidRPr="006307A2">
        <w:t>1</w:t>
      </w:r>
      <w:r w:rsidR="006307A2">
        <w:t>-</w:t>
      </w:r>
      <w:r w:rsidR="006307A2" w:rsidRPr="006307A2">
        <w:t>4</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636214B8"/>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EF24E48E"/>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AE6AB3D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00A4CEE0"/>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0CEFC4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B1EC4AE0"/>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E1E00BC8"/>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2D0A3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9"/>
  </w:num>
  <w:num w:numId="10">
    <w:abstractNumId w:val="12"/>
  </w:num>
  <w:num w:numId="11">
    <w:abstractNumId w:val="21"/>
  </w:num>
  <w:num w:numId="12">
    <w:abstractNumId w:val="11"/>
  </w:num>
  <w:num w:numId="13">
    <w:abstractNumId w:val="13"/>
  </w:num>
  <w:num w:numId="14">
    <w:abstractNumId w:val="14"/>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 w:numId="24">
    <w:abstractNumId w:val="19"/>
  </w:num>
  <w:num w:numId="25">
    <w:abstractNumId w:val="12"/>
  </w:num>
  <w:num w:numId="26">
    <w:abstractNumId w:val="21"/>
  </w:num>
  <w:num w:numId="27">
    <w:abstractNumId w:val="11"/>
  </w:num>
  <w:num w:numId="28">
    <w:abstractNumId w:val="13"/>
  </w:num>
  <w:num w:numId="29">
    <w:abstractNumId w:val="14"/>
  </w:num>
  <w:num w:numId="30">
    <w:abstractNumId w:val="9"/>
  </w:num>
  <w:num w:numId="31">
    <w:abstractNumId w:val="20"/>
  </w:num>
  <w:num w:numId="32">
    <w:abstractNumId w:val="8"/>
  </w:num>
  <w:num w:numId="33">
    <w:abstractNumId w:val="15"/>
  </w:num>
  <w:num w:numId="34">
    <w:abstractNumId w:val="17"/>
  </w:num>
  <w:num w:numId="35">
    <w:abstractNumId w:val="18"/>
  </w:num>
  <w:num w:numId="36">
    <w:abstractNumId w:val="10"/>
  </w:num>
  <w:num w:numId="37">
    <w:abstractNumId w:val="16"/>
  </w:num>
  <w:num w:numId="3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2-09-21 10:21:24"/>
    <w:docVar w:name="DQCResult_Distribution" w:val="0;0"/>
    <w:docVar w:name="DQCResult_DocumentContent" w:val="0;0"/>
    <w:docVar w:name="DQCResult_DocumentSize" w:val="0;0"/>
    <w:docVar w:name="DQCResult_InvalidFootnotes" w:val="0;0"/>
    <w:docVar w:name="DQCResult_LinkedStyles" w:val="0;0"/>
    <w:docVar w:name="DQCResult_ModifiedMarkers" w:val="0;0"/>
    <w:docVar w:name="DQCResult_ModifiedNumbering" w:val="0;0"/>
    <w:docVar w:name="DQCResult_Objects" w:val="0;0"/>
    <w:docVar w:name="DQCResult_StructureCheck" w:val="0;0"/>
    <w:docVar w:name="DQCResult_UnknownFonts" w:val="0;0"/>
    <w:docVar w:name="DQCStatus" w:val="Green"/>
    <w:docVar w:name="DQCVersion" w:val="3"/>
    <w:docVar w:name="DQCWithWarnings" w:val="0"/>
    <w:docVar w:name="LW_CORRIGENDUM" w:val="&lt;UNUSED&gt;"/>
    <w:docVar w:name="LW_COVERPAGE_EXISTS" w:val="True"/>
    <w:docVar w:name="LW_COVERPAGE_GUID" w:val="E870B970-F144-4C71-B9E3-02E39732172F"/>
    <w:docVar w:name="LW_COVERPAGE_TYPE" w:val="1"/>
    <w:docVar w:name="LW_CROSSREFERENCE" w:val="&lt;UNUSED&gt;"/>
    <w:docVar w:name="LW_DocType" w:val="COM"/>
    <w:docVar w:name="LW_EMISSION" w:val="28.9.2022"/>
    <w:docVar w:name="LW_EMISSION_ISODATE" w:val="2022-09-28"/>
    <w:docVar w:name="LW_EMISSION_LOCATION" w:val="BRX"/>
    <w:docVar w:name="LW_EMISSION_PREFIX" w:val="Bruxelles, "/>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296"/>
    <w:docVar w:name="LW_REF.II.NEW.CP_YEAR" w:val="2022"/>
    <w:docVar w:name="LW_REF.INST.NEW" w:val="COM"/>
    <w:docVar w:name="LW_REF.INST.NEW_ADOPTED" w:val="final"/>
    <w:docVar w:name="LW_REF.INST.NEW_TEXT" w:val="(2022) 48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poziția care trebuie adoptată în numele Uniunii Europene în cadrul comitetului director regional al Comunității transporturilor în ceea ce privește adoptarea bugetului Comunității transporturilor pentru anul 2023"/>
    <w:docVar w:name="LW_TYPE.DOC.CP" w:val="DECIZIE A CONSILIULUI"/>
    <w:docVar w:name="LwApiVersions" w:val="LW4CoDe 1.23.2.0; LW 8.0, Build 20211117"/>
  </w:docVars>
  <w:rsids>
    <w:rsidRoot w:val="00515585"/>
    <w:rsid w:val="000B7A7D"/>
    <w:rsid w:val="00152894"/>
    <w:rsid w:val="00192D30"/>
    <w:rsid w:val="002329D5"/>
    <w:rsid w:val="00246EB2"/>
    <w:rsid w:val="002B0931"/>
    <w:rsid w:val="00396ACD"/>
    <w:rsid w:val="003D2DE1"/>
    <w:rsid w:val="00403310"/>
    <w:rsid w:val="00437AA5"/>
    <w:rsid w:val="00451A76"/>
    <w:rsid w:val="00453456"/>
    <w:rsid w:val="00485BF1"/>
    <w:rsid w:val="00492396"/>
    <w:rsid w:val="004C2A50"/>
    <w:rsid w:val="004D7B64"/>
    <w:rsid w:val="004E19F9"/>
    <w:rsid w:val="00515585"/>
    <w:rsid w:val="00517205"/>
    <w:rsid w:val="00542487"/>
    <w:rsid w:val="00582810"/>
    <w:rsid w:val="00595540"/>
    <w:rsid w:val="005B5FA6"/>
    <w:rsid w:val="006307A2"/>
    <w:rsid w:val="006654AB"/>
    <w:rsid w:val="006B4A98"/>
    <w:rsid w:val="006B7B93"/>
    <w:rsid w:val="006C476E"/>
    <w:rsid w:val="006F096F"/>
    <w:rsid w:val="006F7EFE"/>
    <w:rsid w:val="0072635B"/>
    <w:rsid w:val="00763F4F"/>
    <w:rsid w:val="00771C52"/>
    <w:rsid w:val="007D0861"/>
    <w:rsid w:val="007E010B"/>
    <w:rsid w:val="00802FC2"/>
    <w:rsid w:val="008E2694"/>
    <w:rsid w:val="00940731"/>
    <w:rsid w:val="009957C5"/>
    <w:rsid w:val="00A243BA"/>
    <w:rsid w:val="00A565C7"/>
    <w:rsid w:val="00A67A52"/>
    <w:rsid w:val="00B0157B"/>
    <w:rsid w:val="00B70BA1"/>
    <w:rsid w:val="00C3044A"/>
    <w:rsid w:val="00C3731F"/>
    <w:rsid w:val="00CF2792"/>
    <w:rsid w:val="00D42889"/>
    <w:rsid w:val="00D70D0A"/>
    <w:rsid w:val="00DB4B20"/>
    <w:rsid w:val="00DF76D8"/>
    <w:rsid w:val="00E07235"/>
    <w:rsid w:val="00E33C9F"/>
    <w:rsid w:val="00E41A0C"/>
    <w:rsid w:val="00E979AB"/>
    <w:rsid w:val="00EC39BC"/>
    <w:rsid w:val="00EE140B"/>
    <w:rsid w:val="00FA67ED"/>
    <w:rsid w:val="00FC23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21138A"/>
  <w15:docId w15:val="{F9587517-054A-4D5F-91E0-D325E37B3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rsid w:val="00517205"/>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517205"/>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517205"/>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rsid w:val="00517205"/>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rsid w:val="00517205"/>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rsid w:val="00517205"/>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rsid w:val="00517205"/>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515585"/>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fr-BE"/>
    </w:rPr>
  </w:style>
  <w:style w:type="paragraph" w:customStyle="1" w:styleId="Body">
    <w:name w:val="Body"/>
    <w:rsid w:val="00515585"/>
    <w:pPr>
      <w:pBdr>
        <w:top w:val="nil"/>
        <w:left w:val="nil"/>
        <w:bottom w:val="nil"/>
        <w:right w:val="nil"/>
        <w:between w:val="nil"/>
        <w:bar w:val="nil"/>
      </w:pBdr>
      <w:spacing w:before="120" w:after="120" w:line="240" w:lineRule="auto"/>
      <w:jc w:val="both"/>
    </w:pPr>
    <w:rPr>
      <w:rFonts w:ascii="Times New Roman" w:eastAsia="Times New Roman" w:hAnsi="Times New Roman" w:cs="Times New Roman"/>
      <w:color w:val="000000"/>
      <w:sz w:val="24"/>
      <w:szCs w:val="24"/>
      <w:u w:color="000000"/>
      <w:bdr w:val="nil"/>
      <w:lang w:eastAsia="fr-BE"/>
    </w:rPr>
  </w:style>
  <w:style w:type="paragraph" w:styleId="CommentText">
    <w:name w:val="annotation text"/>
    <w:link w:val="CommentTextChar"/>
    <w:rsid w:val="00515585"/>
    <w:pPr>
      <w:pBdr>
        <w:top w:val="nil"/>
        <w:left w:val="nil"/>
        <w:bottom w:val="nil"/>
        <w:right w:val="nil"/>
        <w:between w:val="nil"/>
        <w:bar w:val="nil"/>
      </w:pBdr>
      <w:spacing w:before="120" w:after="120" w:line="240" w:lineRule="auto"/>
      <w:jc w:val="both"/>
    </w:pPr>
    <w:rPr>
      <w:rFonts w:ascii="Times New Roman" w:eastAsia="Arial Unicode MS" w:hAnsi="Times New Roman" w:cs="Arial Unicode MS"/>
      <w:color w:val="000000"/>
      <w:sz w:val="20"/>
      <w:szCs w:val="20"/>
      <w:u w:color="000000"/>
      <w:bdr w:val="nil"/>
      <w:lang w:eastAsia="fr-BE"/>
    </w:rPr>
  </w:style>
  <w:style w:type="character" w:customStyle="1" w:styleId="CommentTextChar">
    <w:name w:val="Comment Text Char"/>
    <w:basedOn w:val="DefaultParagraphFont"/>
    <w:link w:val="CommentText"/>
    <w:rsid w:val="00515585"/>
    <w:rPr>
      <w:rFonts w:ascii="Times New Roman" w:eastAsia="Arial Unicode MS" w:hAnsi="Times New Roman" w:cs="Arial Unicode MS"/>
      <w:color w:val="000000"/>
      <w:sz w:val="20"/>
      <w:szCs w:val="20"/>
      <w:u w:color="000000"/>
      <w:bdr w:val="nil"/>
      <w:lang w:eastAsia="fr-BE"/>
    </w:rPr>
  </w:style>
  <w:style w:type="paragraph" w:styleId="Caption">
    <w:name w:val="caption"/>
    <w:basedOn w:val="Normal"/>
    <w:next w:val="Normal"/>
    <w:uiPriority w:val="35"/>
    <w:semiHidden/>
    <w:unhideWhenUsed/>
    <w:qFormat/>
    <w:rsid w:val="00C3044A"/>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C3044A"/>
    <w:pPr>
      <w:spacing w:after="0"/>
    </w:pPr>
  </w:style>
  <w:style w:type="paragraph" w:styleId="ListBullet">
    <w:name w:val="List Bullet"/>
    <w:basedOn w:val="Normal"/>
    <w:uiPriority w:val="99"/>
    <w:semiHidden/>
    <w:unhideWhenUsed/>
    <w:rsid w:val="00C3044A"/>
    <w:pPr>
      <w:numPr>
        <w:numId w:val="1"/>
      </w:numPr>
      <w:contextualSpacing/>
    </w:pPr>
  </w:style>
  <w:style w:type="paragraph" w:styleId="ListBullet2">
    <w:name w:val="List Bullet 2"/>
    <w:basedOn w:val="Normal"/>
    <w:uiPriority w:val="99"/>
    <w:semiHidden/>
    <w:unhideWhenUsed/>
    <w:rsid w:val="00C3044A"/>
    <w:pPr>
      <w:numPr>
        <w:numId w:val="2"/>
      </w:numPr>
      <w:contextualSpacing/>
    </w:pPr>
  </w:style>
  <w:style w:type="paragraph" w:styleId="ListBullet3">
    <w:name w:val="List Bullet 3"/>
    <w:basedOn w:val="Normal"/>
    <w:uiPriority w:val="99"/>
    <w:semiHidden/>
    <w:unhideWhenUsed/>
    <w:rsid w:val="00C3044A"/>
    <w:pPr>
      <w:numPr>
        <w:numId w:val="3"/>
      </w:numPr>
      <w:contextualSpacing/>
    </w:pPr>
  </w:style>
  <w:style w:type="paragraph" w:styleId="ListBullet4">
    <w:name w:val="List Bullet 4"/>
    <w:basedOn w:val="Normal"/>
    <w:uiPriority w:val="99"/>
    <w:semiHidden/>
    <w:unhideWhenUsed/>
    <w:rsid w:val="00C3044A"/>
    <w:pPr>
      <w:numPr>
        <w:numId w:val="4"/>
      </w:numPr>
      <w:contextualSpacing/>
    </w:pPr>
  </w:style>
  <w:style w:type="paragraph" w:styleId="ListNumber">
    <w:name w:val="List Number"/>
    <w:basedOn w:val="Normal"/>
    <w:uiPriority w:val="99"/>
    <w:semiHidden/>
    <w:unhideWhenUsed/>
    <w:rsid w:val="00C3044A"/>
    <w:pPr>
      <w:numPr>
        <w:numId w:val="5"/>
      </w:numPr>
      <w:contextualSpacing/>
    </w:pPr>
  </w:style>
  <w:style w:type="paragraph" w:styleId="ListNumber2">
    <w:name w:val="List Number 2"/>
    <w:basedOn w:val="Normal"/>
    <w:uiPriority w:val="99"/>
    <w:semiHidden/>
    <w:unhideWhenUsed/>
    <w:rsid w:val="00C3044A"/>
    <w:pPr>
      <w:numPr>
        <w:numId w:val="6"/>
      </w:numPr>
      <w:contextualSpacing/>
    </w:pPr>
  </w:style>
  <w:style w:type="paragraph" w:styleId="ListNumber3">
    <w:name w:val="List Number 3"/>
    <w:basedOn w:val="Normal"/>
    <w:uiPriority w:val="99"/>
    <w:semiHidden/>
    <w:unhideWhenUsed/>
    <w:rsid w:val="00C3044A"/>
    <w:pPr>
      <w:numPr>
        <w:numId w:val="7"/>
      </w:numPr>
      <w:contextualSpacing/>
    </w:pPr>
  </w:style>
  <w:style w:type="paragraph" w:styleId="ListNumber4">
    <w:name w:val="List Number 4"/>
    <w:basedOn w:val="Normal"/>
    <w:uiPriority w:val="99"/>
    <w:semiHidden/>
    <w:unhideWhenUsed/>
    <w:rsid w:val="00C3044A"/>
    <w:pPr>
      <w:numPr>
        <w:numId w:val="8"/>
      </w:numPr>
      <w:contextualSpacing/>
    </w:pPr>
  </w:style>
  <w:style w:type="character" w:styleId="CommentReference">
    <w:name w:val="annotation reference"/>
    <w:basedOn w:val="DefaultParagraphFont"/>
    <w:uiPriority w:val="99"/>
    <w:semiHidden/>
    <w:unhideWhenUsed/>
    <w:rsid w:val="006C476E"/>
    <w:rPr>
      <w:sz w:val="16"/>
      <w:szCs w:val="16"/>
    </w:rPr>
  </w:style>
  <w:style w:type="paragraph" w:styleId="CommentSubject">
    <w:name w:val="annotation subject"/>
    <w:basedOn w:val="CommentText"/>
    <w:next w:val="CommentText"/>
    <w:link w:val="CommentSubjectChar"/>
    <w:uiPriority w:val="99"/>
    <w:semiHidden/>
    <w:unhideWhenUsed/>
    <w:rsid w:val="006C476E"/>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HAnsi" w:cs="Times New Roman"/>
      <w:b/>
      <w:bCs/>
      <w:color w:val="auto"/>
      <w:bdr w:val="none" w:sz="0" w:space="0" w:color="auto"/>
      <w:lang w:eastAsia="en-US"/>
    </w:rPr>
  </w:style>
  <w:style w:type="character" w:customStyle="1" w:styleId="CommentSubjectChar">
    <w:name w:val="Comment Subject Char"/>
    <w:basedOn w:val="CommentTextChar"/>
    <w:link w:val="CommentSubject"/>
    <w:uiPriority w:val="99"/>
    <w:semiHidden/>
    <w:rsid w:val="006C476E"/>
    <w:rPr>
      <w:rFonts w:ascii="Times New Roman" w:eastAsia="Arial Unicode MS" w:hAnsi="Times New Roman" w:cs="Times New Roman"/>
      <w:b/>
      <w:bCs/>
      <w:color w:val="000000"/>
      <w:sz w:val="20"/>
      <w:szCs w:val="20"/>
      <w:u w:color="000000"/>
      <w:bdr w:val="nil"/>
      <w:lang w:val="ro-RO" w:eastAsia="fr-BE"/>
    </w:rPr>
  </w:style>
  <w:style w:type="character" w:styleId="Hyperlink">
    <w:name w:val="Hyperlink"/>
    <w:basedOn w:val="DefaultParagraphFont"/>
    <w:uiPriority w:val="99"/>
    <w:unhideWhenUsed/>
    <w:rsid w:val="006C476E"/>
    <w:rPr>
      <w:color w:val="0000FF" w:themeColor="hyperlink"/>
      <w:u w:val="single"/>
    </w:rPr>
  </w:style>
  <w:style w:type="paragraph" w:styleId="BalloonText">
    <w:name w:val="Balloon Text"/>
    <w:basedOn w:val="Normal"/>
    <w:link w:val="BalloonTextChar"/>
    <w:uiPriority w:val="99"/>
    <w:semiHidden/>
    <w:unhideWhenUsed/>
    <w:rsid w:val="006C476E"/>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76E"/>
    <w:rPr>
      <w:rFonts w:ascii="Segoe UI" w:hAnsi="Segoe UI" w:cs="Segoe UI"/>
      <w:sz w:val="18"/>
      <w:szCs w:val="18"/>
      <w:lang w:val="ro-RO"/>
    </w:rPr>
  </w:style>
  <w:style w:type="paragraph" w:styleId="Header">
    <w:name w:val="header"/>
    <w:basedOn w:val="Normal"/>
    <w:link w:val="HeaderChar"/>
    <w:uiPriority w:val="99"/>
    <w:unhideWhenUsed/>
    <w:rsid w:val="00451A76"/>
    <w:pPr>
      <w:tabs>
        <w:tab w:val="center" w:pos="4535"/>
        <w:tab w:val="right" w:pos="9071"/>
      </w:tabs>
      <w:spacing w:before="0"/>
    </w:pPr>
  </w:style>
  <w:style w:type="character" w:customStyle="1" w:styleId="HeaderChar">
    <w:name w:val="Header Char"/>
    <w:basedOn w:val="DefaultParagraphFont"/>
    <w:link w:val="Header"/>
    <w:uiPriority w:val="99"/>
    <w:rsid w:val="00451A76"/>
    <w:rPr>
      <w:rFonts w:ascii="Times New Roman" w:hAnsi="Times New Roman" w:cs="Times New Roman"/>
      <w:sz w:val="24"/>
      <w:lang w:val="ro-RO"/>
    </w:rPr>
  </w:style>
  <w:style w:type="paragraph" w:styleId="Footer">
    <w:name w:val="footer"/>
    <w:basedOn w:val="Normal"/>
    <w:link w:val="FooterChar"/>
    <w:uiPriority w:val="99"/>
    <w:unhideWhenUsed/>
    <w:rsid w:val="00451A76"/>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451A76"/>
    <w:rPr>
      <w:rFonts w:ascii="Times New Roman" w:hAnsi="Times New Roman" w:cs="Times New Roman"/>
      <w:sz w:val="24"/>
      <w:lang w:val="ro-RO"/>
    </w:rPr>
  </w:style>
  <w:style w:type="paragraph" w:styleId="FootnoteText">
    <w:name w:val="footnote text"/>
    <w:basedOn w:val="Normal"/>
    <w:link w:val="FootnoteTextChar"/>
    <w:uiPriority w:val="99"/>
    <w:semiHidden/>
    <w:unhideWhenUsed/>
    <w:rsid w:val="00517205"/>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517205"/>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517205"/>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sid w:val="00517205"/>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sid w:val="00517205"/>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sid w:val="00517205"/>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sid w:val="00517205"/>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sid w:val="00517205"/>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sid w:val="00517205"/>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rsid w:val="00517205"/>
    <w:pPr>
      <w:spacing w:after="240"/>
      <w:jc w:val="center"/>
    </w:pPr>
    <w:rPr>
      <w:b/>
      <w:sz w:val="28"/>
    </w:rPr>
  </w:style>
  <w:style w:type="paragraph" w:styleId="TOC1">
    <w:name w:val="toc 1"/>
    <w:basedOn w:val="Normal"/>
    <w:next w:val="Normal"/>
    <w:uiPriority w:val="39"/>
    <w:semiHidden/>
    <w:unhideWhenUsed/>
    <w:rsid w:val="00517205"/>
    <w:pPr>
      <w:tabs>
        <w:tab w:val="right" w:leader="dot" w:pos="9071"/>
      </w:tabs>
      <w:spacing w:before="60"/>
      <w:ind w:left="850" w:hanging="850"/>
      <w:jc w:val="left"/>
    </w:pPr>
  </w:style>
  <w:style w:type="paragraph" w:styleId="TOC2">
    <w:name w:val="toc 2"/>
    <w:basedOn w:val="Normal"/>
    <w:next w:val="Normal"/>
    <w:uiPriority w:val="39"/>
    <w:semiHidden/>
    <w:unhideWhenUsed/>
    <w:rsid w:val="00517205"/>
    <w:pPr>
      <w:tabs>
        <w:tab w:val="right" w:leader="dot" w:pos="9071"/>
      </w:tabs>
      <w:spacing w:before="60"/>
      <w:ind w:left="850" w:hanging="850"/>
      <w:jc w:val="left"/>
    </w:pPr>
  </w:style>
  <w:style w:type="paragraph" w:styleId="TOC3">
    <w:name w:val="toc 3"/>
    <w:basedOn w:val="Normal"/>
    <w:next w:val="Normal"/>
    <w:uiPriority w:val="39"/>
    <w:semiHidden/>
    <w:unhideWhenUsed/>
    <w:rsid w:val="00517205"/>
    <w:pPr>
      <w:tabs>
        <w:tab w:val="right" w:leader="dot" w:pos="9071"/>
      </w:tabs>
      <w:spacing w:before="60"/>
      <w:ind w:left="850" w:hanging="850"/>
      <w:jc w:val="left"/>
    </w:pPr>
  </w:style>
  <w:style w:type="paragraph" w:styleId="TOC4">
    <w:name w:val="toc 4"/>
    <w:basedOn w:val="Normal"/>
    <w:next w:val="Normal"/>
    <w:uiPriority w:val="39"/>
    <w:semiHidden/>
    <w:unhideWhenUsed/>
    <w:rsid w:val="00517205"/>
    <w:pPr>
      <w:tabs>
        <w:tab w:val="right" w:leader="dot" w:pos="9071"/>
      </w:tabs>
      <w:spacing w:before="60"/>
      <w:ind w:left="850" w:hanging="850"/>
      <w:jc w:val="left"/>
    </w:pPr>
  </w:style>
  <w:style w:type="paragraph" w:styleId="TOC5">
    <w:name w:val="toc 5"/>
    <w:basedOn w:val="Normal"/>
    <w:next w:val="Normal"/>
    <w:uiPriority w:val="39"/>
    <w:semiHidden/>
    <w:unhideWhenUsed/>
    <w:rsid w:val="00517205"/>
    <w:pPr>
      <w:tabs>
        <w:tab w:val="right" w:leader="dot" w:pos="9071"/>
      </w:tabs>
      <w:spacing w:before="300"/>
      <w:jc w:val="left"/>
    </w:pPr>
  </w:style>
  <w:style w:type="paragraph" w:styleId="TOC6">
    <w:name w:val="toc 6"/>
    <w:basedOn w:val="Normal"/>
    <w:next w:val="Normal"/>
    <w:uiPriority w:val="39"/>
    <w:semiHidden/>
    <w:unhideWhenUsed/>
    <w:rsid w:val="00517205"/>
    <w:pPr>
      <w:tabs>
        <w:tab w:val="right" w:leader="dot" w:pos="9071"/>
      </w:tabs>
      <w:spacing w:before="240"/>
      <w:jc w:val="left"/>
    </w:pPr>
  </w:style>
  <w:style w:type="paragraph" w:styleId="TOC7">
    <w:name w:val="toc 7"/>
    <w:basedOn w:val="Normal"/>
    <w:next w:val="Normal"/>
    <w:uiPriority w:val="39"/>
    <w:semiHidden/>
    <w:unhideWhenUsed/>
    <w:rsid w:val="00517205"/>
    <w:pPr>
      <w:tabs>
        <w:tab w:val="right" w:leader="dot" w:pos="9071"/>
      </w:tabs>
      <w:spacing w:before="180"/>
      <w:jc w:val="left"/>
    </w:pPr>
  </w:style>
  <w:style w:type="paragraph" w:styleId="TOC8">
    <w:name w:val="toc 8"/>
    <w:basedOn w:val="Normal"/>
    <w:next w:val="Normal"/>
    <w:uiPriority w:val="39"/>
    <w:semiHidden/>
    <w:unhideWhenUsed/>
    <w:rsid w:val="00517205"/>
    <w:pPr>
      <w:tabs>
        <w:tab w:val="right" w:leader="dot" w:pos="9071"/>
      </w:tabs>
      <w:jc w:val="left"/>
    </w:pPr>
  </w:style>
  <w:style w:type="paragraph" w:styleId="TOC9">
    <w:name w:val="toc 9"/>
    <w:basedOn w:val="Normal"/>
    <w:next w:val="Normal"/>
    <w:uiPriority w:val="39"/>
    <w:semiHidden/>
    <w:unhideWhenUsed/>
    <w:rsid w:val="00517205"/>
    <w:pPr>
      <w:tabs>
        <w:tab w:val="right" w:leader="dot" w:pos="9071"/>
      </w:tabs>
      <w:ind w:left="1417" w:hanging="1417"/>
      <w:jc w:val="left"/>
    </w:pPr>
  </w:style>
  <w:style w:type="paragraph" w:customStyle="1" w:styleId="HeaderLandscape">
    <w:name w:val="HeaderLandscape"/>
    <w:basedOn w:val="Normal"/>
    <w:rsid w:val="00451A76"/>
    <w:pPr>
      <w:tabs>
        <w:tab w:val="center" w:pos="7285"/>
        <w:tab w:val="right" w:pos="14003"/>
      </w:tabs>
      <w:spacing w:before="0"/>
    </w:pPr>
  </w:style>
  <w:style w:type="paragraph" w:customStyle="1" w:styleId="FooterLandscape">
    <w:name w:val="FooterLandscape"/>
    <w:basedOn w:val="Normal"/>
    <w:rsid w:val="00451A76"/>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517205"/>
    <w:rPr>
      <w:shd w:val="clear" w:color="auto" w:fill="auto"/>
      <w:vertAlign w:val="superscript"/>
    </w:rPr>
  </w:style>
  <w:style w:type="paragraph" w:customStyle="1" w:styleId="HeaderSensitivity">
    <w:name w:val="Header Sensitivity"/>
    <w:basedOn w:val="Normal"/>
    <w:rsid w:val="00451A76"/>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451A76"/>
    <w:pPr>
      <w:spacing w:before="0"/>
      <w:jc w:val="right"/>
    </w:pPr>
    <w:rPr>
      <w:sz w:val="28"/>
    </w:rPr>
  </w:style>
  <w:style w:type="paragraph" w:customStyle="1" w:styleId="FooterSensitivity">
    <w:name w:val="Footer Sensitivity"/>
    <w:basedOn w:val="Normal"/>
    <w:rsid w:val="00451A76"/>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517205"/>
    <w:pPr>
      <w:ind w:left="850"/>
    </w:pPr>
  </w:style>
  <w:style w:type="paragraph" w:customStyle="1" w:styleId="Text2">
    <w:name w:val="Text 2"/>
    <w:basedOn w:val="Normal"/>
    <w:rsid w:val="00517205"/>
    <w:pPr>
      <w:ind w:left="1417"/>
    </w:pPr>
  </w:style>
  <w:style w:type="paragraph" w:customStyle="1" w:styleId="Text3">
    <w:name w:val="Text 3"/>
    <w:basedOn w:val="Normal"/>
    <w:rsid w:val="00517205"/>
    <w:pPr>
      <w:ind w:left="1984"/>
    </w:pPr>
  </w:style>
  <w:style w:type="paragraph" w:customStyle="1" w:styleId="Text4">
    <w:name w:val="Text 4"/>
    <w:basedOn w:val="Normal"/>
    <w:rsid w:val="00517205"/>
    <w:pPr>
      <w:ind w:left="2551"/>
    </w:pPr>
  </w:style>
  <w:style w:type="paragraph" w:customStyle="1" w:styleId="Text5">
    <w:name w:val="Text 5"/>
    <w:basedOn w:val="Normal"/>
    <w:rsid w:val="00517205"/>
    <w:pPr>
      <w:ind w:left="3118"/>
    </w:pPr>
  </w:style>
  <w:style w:type="paragraph" w:customStyle="1" w:styleId="Text6">
    <w:name w:val="Text 6"/>
    <w:basedOn w:val="Normal"/>
    <w:rsid w:val="00517205"/>
    <w:pPr>
      <w:ind w:left="3685"/>
    </w:pPr>
  </w:style>
  <w:style w:type="paragraph" w:customStyle="1" w:styleId="NormalCentered">
    <w:name w:val="Normal Centered"/>
    <w:basedOn w:val="Normal"/>
    <w:rsid w:val="00517205"/>
    <w:pPr>
      <w:jc w:val="center"/>
    </w:pPr>
  </w:style>
  <w:style w:type="paragraph" w:customStyle="1" w:styleId="NormalLeft">
    <w:name w:val="Normal Left"/>
    <w:basedOn w:val="Normal"/>
    <w:rsid w:val="00517205"/>
    <w:pPr>
      <w:jc w:val="left"/>
    </w:pPr>
  </w:style>
  <w:style w:type="paragraph" w:customStyle="1" w:styleId="NormalRight">
    <w:name w:val="Normal Right"/>
    <w:basedOn w:val="Normal"/>
    <w:rsid w:val="00517205"/>
    <w:pPr>
      <w:jc w:val="right"/>
    </w:pPr>
  </w:style>
  <w:style w:type="paragraph" w:customStyle="1" w:styleId="QuotedText">
    <w:name w:val="Quoted Text"/>
    <w:basedOn w:val="Normal"/>
    <w:rsid w:val="00517205"/>
    <w:pPr>
      <w:ind w:left="1417"/>
    </w:pPr>
  </w:style>
  <w:style w:type="paragraph" w:customStyle="1" w:styleId="Point0">
    <w:name w:val="Point 0"/>
    <w:basedOn w:val="Normal"/>
    <w:rsid w:val="00517205"/>
    <w:pPr>
      <w:ind w:left="850" w:hanging="850"/>
    </w:pPr>
  </w:style>
  <w:style w:type="paragraph" w:customStyle="1" w:styleId="Point1">
    <w:name w:val="Point 1"/>
    <w:basedOn w:val="Normal"/>
    <w:rsid w:val="00517205"/>
    <w:pPr>
      <w:ind w:left="1417" w:hanging="567"/>
    </w:pPr>
  </w:style>
  <w:style w:type="paragraph" w:customStyle="1" w:styleId="Point2">
    <w:name w:val="Point 2"/>
    <w:basedOn w:val="Normal"/>
    <w:rsid w:val="00517205"/>
    <w:pPr>
      <w:ind w:left="1984" w:hanging="567"/>
    </w:pPr>
  </w:style>
  <w:style w:type="paragraph" w:customStyle="1" w:styleId="Point3">
    <w:name w:val="Point 3"/>
    <w:basedOn w:val="Normal"/>
    <w:rsid w:val="00517205"/>
    <w:pPr>
      <w:ind w:left="2551" w:hanging="567"/>
    </w:pPr>
  </w:style>
  <w:style w:type="paragraph" w:customStyle="1" w:styleId="Point4">
    <w:name w:val="Point 4"/>
    <w:basedOn w:val="Normal"/>
    <w:rsid w:val="00517205"/>
    <w:pPr>
      <w:ind w:left="3118" w:hanging="567"/>
    </w:pPr>
  </w:style>
  <w:style w:type="paragraph" w:customStyle="1" w:styleId="Point5">
    <w:name w:val="Point 5"/>
    <w:basedOn w:val="Normal"/>
    <w:rsid w:val="00517205"/>
    <w:pPr>
      <w:ind w:left="3685" w:hanging="567"/>
    </w:pPr>
  </w:style>
  <w:style w:type="paragraph" w:customStyle="1" w:styleId="Tiret0">
    <w:name w:val="Tiret 0"/>
    <w:basedOn w:val="Point0"/>
    <w:rsid w:val="00517205"/>
    <w:pPr>
      <w:numPr>
        <w:numId w:val="24"/>
      </w:numPr>
    </w:pPr>
  </w:style>
  <w:style w:type="paragraph" w:customStyle="1" w:styleId="Tiret1">
    <w:name w:val="Tiret 1"/>
    <w:basedOn w:val="Point1"/>
    <w:rsid w:val="00517205"/>
    <w:pPr>
      <w:numPr>
        <w:numId w:val="25"/>
      </w:numPr>
    </w:pPr>
  </w:style>
  <w:style w:type="paragraph" w:customStyle="1" w:styleId="Tiret2">
    <w:name w:val="Tiret 2"/>
    <w:basedOn w:val="Point2"/>
    <w:rsid w:val="00517205"/>
    <w:pPr>
      <w:numPr>
        <w:numId w:val="26"/>
      </w:numPr>
    </w:pPr>
  </w:style>
  <w:style w:type="paragraph" w:customStyle="1" w:styleId="Tiret3">
    <w:name w:val="Tiret 3"/>
    <w:basedOn w:val="Point3"/>
    <w:rsid w:val="00517205"/>
    <w:pPr>
      <w:numPr>
        <w:numId w:val="27"/>
      </w:numPr>
    </w:pPr>
  </w:style>
  <w:style w:type="paragraph" w:customStyle="1" w:styleId="Tiret4">
    <w:name w:val="Tiret 4"/>
    <w:basedOn w:val="Point4"/>
    <w:rsid w:val="00517205"/>
    <w:pPr>
      <w:numPr>
        <w:numId w:val="28"/>
      </w:numPr>
    </w:pPr>
  </w:style>
  <w:style w:type="paragraph" w:customStyle="1" w:styleId="Tiret5">
    <w:name w:val="Tiret 5"/>
    <w:basedOn w:val="Point5"/>
    <w:rsid w:val="00517205"/>
    <w:pPr>
      <w:numPr>
        <w:numId w:val="29"/>
      </w:numPr>
    </w:pPr>
  </w:style>
  <w:style w:type="paragraph" w:customStyle="1" w:styleId="PointDouble0">
    <w:name w:val="PointDouble 0"/>
    <w:basedOn w:val="Normal"/>
    <w:rsid w:val="00517205"/>
    <w:pPr>
      <w:tabs>
        <w:tab w:val="left" w:pos="850"/>
      </w:tabs>
      <w:ind w:left="1417" w:hanging="1417"/>
    </w:pPr>
  </w:style>
  <w:style w:type="paragraph" w:customStyle="1" w:styleId="PointDouble1">
    <w:name w:val="PointDouble 1"/>
    <w:basedOn w:val="Normal"/>
    <w:rsid w:val="00517205"/>
    <w:pPr>
      <w:tabs>
        <w:tab w:val="left" w:pos="1417"/>
      </w:tabs>
      <w:ind w:left="1984" w:hanging="1134"/>
    </w:pPr>
  </w:style>
  <w:style w:type="paragraph" w:customStyle="1" w:styleId="PointDouble2">
    <w:name w:val="PointDouble 2"/>
    <w:basedOn w:val="Normal"/>
    <w:rsid w:val="00517205"/>
    <w:pPr>
      <w:tabs>
        <w:tab w:val="left" w:pos="1984"/>
      </w:tabs>
      <w:ind w:left="2551" w:hanging="1134"/>
    </w:pPr>
  </w:style>
  <w:style w:type="paragraph" w:customStyle="1" w:styleId="PointDouble3">
    <w:name w:val="PointDouble 3"/>
    <w:basedOn w:val="Normal"/>
    <w:rsid w:val="00517205"/>
    <w:pPr>
      <w:tabs>
        <w:tab w:val="left" w:pos="2551"/>
      </w:tabs>
      <w:ind w:left="3118" w:hanging="1134"/>
    </w:pPr>
  </w:style>
  <w:style w:type="paragraph" w:customStyle="1" w:styleId="PointDouble4">
    <w:name w:val="PointDouble 4"/>
    <w:basedOn w:val="Normal"/>
    <w:rsid w:val="00517205"/>
    <w:pPr>
      <w:tabs>
        <w:tab w:val="left" w:pos="3118"/>
      </w:tabs>
      <w:ind w:left="3685" w:hanging="1134"/>
    </w:pPr>
  </w:style>
  <w:style w:type="paragraph" w:customStyle="1" w:styleId="PointTriple0">
    <w:name w:val="PointTriple 0"/>
    <w:basedOn w:val="Normal"/>
    <w:rsid w:val="00517205"/>
    <w:pPr>
      <w:tabs>
        <w:tab w:val="left" w:pos="850"/>
        <w:tab w:val="left" w:pos="1417"/>
      </w:tabs>
      <w:ind w:left="1984" w:hanging="1984"/>
    </w:pPr>
  </w:style>
  <w:style w:type="paragraph" w:customStyle="1" w:styleId="PointTriple1">
    <w:name w:val="PointTriple 1"/>
    <w:basedOn w:val="Normal"/>
    <w:rsid w:val="00517205"/>
    <w:pPr>
      <w:tabs>
        <w:tab w:val="left" w:pos="1417"/>
        <w:tab w:val="left" w:pos="1984"/>
      </w:tabs>
      <w:ind w:left="2551" w:hanging="1701"/>
    </w:pPr>
  </w:style>
  <w:style w:type="paragraph" w:customStyle="1" w:styleId="PointTriple2">
    <w:name w:val="PointTriple 2"/>
    <w:basedOn w:val="Normal"/>
    <w:rsid w:val="00517205"/>
    <w:pPr>
      <w:tabs>
        <w:tab w:val="left" w:pos="1984"/>
        <w:tab w:val="left" w:pos="2551"/>
      </w:tabs>
      <w:ind w:left="3118" w:hanging="1701"/>
    </w:pPr>
  </w:style>
  <w:style w:type="paragraph" w:customStyle="1" w:styleId="PointTriple3">
    <w:name w:val="PointTriple 3"/>
    <w:basedOn w:val="Normal"/>
    <w:rsid w:val="00517205"/>
    <w:pPr>
      <w:tabs>
        <w:tab w:val="left" w:pos="2551"/>
        <w:tab w:val="left" w:pos="3118"/>
      </w:tabs>
      <w:ind w:left="3685" w:hanging="1701"/>
    </w:pPr>
  </w:style>
  <w:style w:type="paragraph" w:customStyle="1" w:styleId="PointTriple4">
    <w:name w:val="PointTriple 4"/>
    <w:basedOn w:val="Normal"/>
    <w:rsid w:val="00517205"/>
    <w:pPr>
      <w:tabs>
        <w:tab w:val="left" w:pos="3118"/>
        <w:tab w:val="left" w:pos="3685"/>
      </w:tabs>
      <w:ind w:left="4252" w:hanging="1701"/>
    </w:pPr>
  </w:style>
  <w:style w:type="paragraph" w:customStyle="1" w:styleId="NumPar1">
    <w:name w:val="NumPar 1"/>
    <w:basedOn w:val="Normal"/>
    <w:next w:val="Text1"/>
    <w:rsid w:val="00517205"/>
    <w:pPr>
      <w:numPr>
        <w:numId w:val="30"/>
      </w:numPr>
    </w:pPr>
  </w:style>
  <w:style w:type="paragraph" w:customStyle="1" w:styleId="NumPar2">
    <w:name w:val="NumPar 2"/>
    <w:basedOn w:val="Normal"/>
    <w:next w:val="Text1"/>
    <w:rsid w:val="00517205"/>
    <w:pPr>
      <w:numPr>
        <w:ilvl w:val="1"/>
        <w:numId w:val="30"/>
      </w:numPr>
    </w:pPr>
  </w:style>
  <w:style w:type="paragraph" w:customStyle="1" w:styleId="NumPar3">
    <w:name w:val="NumPar 3"/>
    <w:basedOn w:val="Normal"/>
    <w:next w:val="Text1"/>
    <w:rsid w:val="00517205"/>
    <w:pPr>
      <w:numPr>
        <w:ilvl w:val="2"/>
        <w:numId w:val="30"/>
      </w:numPr>
    </w:pPr>
  </w:style>
  <w:style w:type="paragraph" w:customStyle="1" w:styleId="NumPar4">
    <w:name w:val="NumPar 4"/>
    <w:basedOn w:val="Normal"/>
    <w:next w:val="Text1"/>
    <w:rsid w:val="00517205"/>
    <w:pPr>
      <w:numPr>
        <w:ilvl w:val="3"/>
        <w:numId w:val="30"/>
      </w:numPr>
    </w:pPr>
  </w:style>
  <w:style w:type="paragraph" w:customStyle="1" w:styleId="NumPar5">
    <w:name w:val="NumPar 5"/>
    <w:basedOn w:val="Normal"/>
    <w:next w:val="Text2"/>
    <w:rsid w:val="00517205"/>
    <w:pPr>
      <w:numPr>
        <w:ilvl w:val="4"/>
        <w:numId w:val="30"/>
      </w:numPr>
    </w:pPr>
  </w:style>
  <w:style w:type="paragraph" w:customStyle="1" w:styleId="NumPar6">
    <w:name w:val="NumPar 6"/>
    <w:basedOn w:val="Normal"/>
    <w:next w:val="Text2"/>
    <w:rsid w:val="00517205"/>
    <w:pPr>
      <w:numPr>
        <w:ilvl w:val="5"/>
        <w:numId w:val="30"/>
      </w:numPr>
    </w:pPr>
  </w:style>
  <w:style w:type="paragraph" w:customStyle="1" w:styleId="NumPar7">
    <w:name w:val="NumPar 7"/>
    <w:basedOn w:val="Normal"/>
    <w:next w:val="Text2"/>
    <w:rsid w:val="00517205"/>
    <w:pPr>
      <w:numPr>
        <w:ilvl w:val="6"/>
        <w:numId w:val="30"/>
      </w:numPr>
    </w:pPr>
  </w:style>
  <w:style w:type="paragraph" w:customStyle="1" w:styleId="ManualNumPar1">
    <w:name w:val="Manual NumPar 1"/>
    <w:basedOn w:val="Normal"/>
    <w:next w:val="Text1"/>
    <w:rsid w:val="00517205"/>
    <w:pPr>
      <w:ind w:left="850" w:hanging="850"/>
    </w:pPr>
  </w:style>
  <w:style w:type="paragraph" w:customStyle="1" w:styleId="ManualNumPar2">
    <w:name w:val="Manual NumPar 2"/>
    <w:basedOn w:val="Normal"/>
    <w:next w:val="Text1"/>
    <w:rsid w:val="00517205"/>
    <w:pPr>
      <w:ind w:left="850" w:hanging="850"/>
    </w:pPr>
  </w:style>
  <w:style w:type="paragraph" w:customStyle="1" w:styleId="ManualNumPar3">
    <w:name w:val="Manual NumPar 3"/>
    <w:basedOn w:val="Normal"/>
    <w:next w:val="Text1"/>
    <w:rsid w:val="00517205"/>
    <w:pPr>
      <w:ind w:left="850" w:hanging="850"/>
    </w:pPr>
  </w:style>
  <w:style w:type="paragraph" w:customStyle="1" w:styleId="ManualNumPar4">
    <w:name w:val="Manual NumPar 4"/>
    <w:basedOn w:val="Normal"/>
    <w:next w:val="Text1"/>
    <w:rsid w:val="00517205"/>
    <w:pPr>
      <w:ind w:left="850" w:hanging="850"/>
    </w:pPr>
  </w:style>
  <w:style w:type="paragraph" w:customStyle="1" w:styleId="ManualNumPar5">
    <w:name w:val="Manual NumPar 5"/>
    <w:basedOn w:val="Normal"/>
    <w:next w:val="Text2"/>
    <w:rsid w:val="00517205"/>
    <w:pPr>
      <w:ind w:left="1417" w:hanging="1417"/>
    </w:pPr>
  </w:style>
  <w:style w:type="paragraph" w:customStyle="1" w:styleId="ManualNumPar6">
    <w:name w:val="Manual NumPar 6"/>
    <w:basedOn w:val="Normal"/>
    <w:next w:val="Text2"/>
    <w:rsid w:val="00517205"/>
    <w:pPr>
      <w:ind w:left="1417" w:hanging="1417"/>
    </w:pPr>
  </w:style>
  <w:style w:type="paragraph" w:customStyle="1" w:styleId="ManualNumPar7">
    <w:name w:val="Manual NumPar 7"/>
    <w:basedOn w:val="Normal"/>
    <w:next w:val="Text2"/>
    <w:rsid w:val="00517205"/>
    <w:pPr>
      <w:ind w:left="1417" w:hanging="1417"/>
    </w:pPr>
  </w:style>
  <w:style w:type="paragraph" w:customStyle="1" w:styleId="QuotedNumPar">
    <w:name w:val="Quoted NumPar"/>
    <w:basedOn w:val="Normal"/>
    <w:rsid w:val="00517205"/>
    <w:pPr>
      <w:ind w:left="1417" w:hanging="567"/>
    </w:pPr>
  </w:style>
  <w:style w:type="paragraph" w:customStyle="1" w:styleId="ManualHeading1">
    <w:name w:val="Manual Heading 1"/>
    <w:basedOn w:val="Normal"/>
    <w:next w:val="Text1"/>
    <w:rsid w:val="00517205"/>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517205"/>
    <w:pPr>
      <w:keepNext/>
      <w:tabs>
        <w:tab w:val="left" w:pos="850"/>
      </w:tabs>
      <w:ind w:left="850" w:hanging="850"/>
      <w:outlineLvl w:val="1"/>
    </w:pPr>
    <w:rPr>
      <w:b/>
    </w:rPr>
  </w:style>
  <w:style w:type="paragraph" w:customStyle="1" w:styleId="ManualHeading3">
    <w:name w:val="Manual Heading 3"/>
    <w:basedOn w:val="Normal"/>
    <w:next w:val="Text1"/>
    <w:rsid w:val="00517205"/>
    <w:pPr>
      <w:keepNext/>
      <w:tabs>
        <w:tab w:val="left" w:pos="850"/>
      </w:tabs>
      <w:ind w:left="850" w:hanging="850"/>
      <w:outlineLvl w:val="2"/>
    </w:pPr>
    <w:rPr>
      <w:i/>
    </w:rPr>
  </w:style>
  <w:style w:type="paragraph" w:customStyle="1" w:styleId="ManualHeading4">
    <w:name w:val="Manual Heading 4"/>
    <w:basedOn w:val="Normal"/>
    <w:next w:val="Text1"/>
    <w:rsid w:val="00517205"/>
    <w:pPr>
      <w:keepNext/>
      <w:tabs>
        <w:tab w:val="left" w:pos="850"/>
      </w:tabs>
      <w:ind w:left="850" w:hanging="850"/>
      <w:outlineLvl w:val="3"/>
    </w:pPr>
  </w:style>
  <w:style w:type="paragraph" w:customStyle="1" w:styleId="ManualHeading5">
    <w:name w:val="Manual Heading 5"/>
    <w:basedOn w:val="Normal"/>
    <w:next w:val="Text2"/>
    <w:rsid w:val="00517205"/>
    <w:pPr>
      <w:keepNext/>
      <w:tabs>
        <w:tab w:val="left" w:pos="1417"/>
      </w:tabs>
      <w:ind w:left="1417" w:hanging="1417"/>
      <w:outlineLvl w:val="4"/>
    </w:pPr>
  </w:style>
  <w:style w:type="paragraph" w:customStyle="1" w:styleId="ManualHeading6">
    <w:name w:val="Manual Heading 6"/>
    <w:basedOn w:val="Normal"/>
    <w:next w:val="Text2"/>
    <w:rsid w:val="00517205"/>
    <w:pPr>
      <w:keepNext/>
      <w:tabs>
        <w:tab w:val="left" w:pos="1417"/>
      </w:tabs>
      <w:ind w:left="1417" w:hanging="1417"/>
      <w:outlineLvl w:val="5"/>
    </w:pPr>
  </w:style>
  <w:style w:type="paragraph" w:customStyle="1" w:styleId="ManualHeading7">
    <w:name w:val="Manual Heading 7"/>
    <w:basedOn w:val="Normal"/>
    <w:next w:val="Text2"/>
    <w:rsid w:val="00517205"/>
    <w:pPr>
      <w:keepNext/>
      <w:tabs>
        <w:tab w:val="left" w:pos="1417"/>
      </w:tabs>
      <w:ind w:left="1417" w:hanging="1417"/>
      <w:outlineLvl w:val="6"/>
    </w:pPr>
  </w:style>
  <w:style w:type="paragraph" w:customStyle="1" w:styleId="ChapterTitle">
    <w:name w:val="ChapterTitle"/>
    <w:basedOn w:val="Normal"/>
    <w:next w:val="Normal"/>
    <w:rsid w:val="00517205"/>
    <w:pPr>
      <w:keepNext/>
      <w:spacing w:after="360"/>
      <w:jc w:val="center"/>
    </w:pPr>
    <w:rPr>
      <w:b/>
      <w:sz w:val="32"/>
    </w:rPr>
  </w:style>
  <w:style w:type="paragraph" w:customStyle="1" w:styleId="PartTitle">
    <w:name w:val="PartTitle"/>
    <w:basedOn w:val="Normal"/>
    <w:next w:val="ChapterTitle"/>
    <w:rsid w:val="00517205"/>
    <w:pPr>
      <w:keepNext/>
      <w:pageBreakBefore/>
      <w:spacing w:after="360"/>
      <w:jc w:val="center"/>
    </w:pPr>
    <w:rPr>
      <w:b/>
      <w:sz w:val="36"/>
    </w:rPr>
  </w:style>
  <w:style w:type="paragraph" w:customStyle="1" w:styleId="SectionTitle">
    <w:name w:val="SectionTitle"/>
    <w:basedOn w:val="Normal"/>
    <w:next w:val="Heading1"/>
    <w:rsid w:val="00517205"/>
    <w:pPr>
      <w:keepNext/>
      <w:spacing w:after="360"/>
      <w:jc w:val="center"/>
    </w:pPr>
    <w:rPr>
      <w:b/>
      <w:smallCaps/>
      <w:sz w:val="28"/>
    </w:rPr>
  </w:style>
  <w:style w:type="paragraph" w:customStyle="1" w:styleId="TableTitle">
    <w:name w:val="Table Title"/>
    <w:basedOn w:val="Normal"/>
    <w:next w:val="Normal"/>
    <w:rsid w:val="00517205"/>
    <w:pPr>
      <w:jc w:val="center"/>
    </w:pPr>
    <w:rPr>
      <w:b/>
    </w:rPr>
  </w:style>
  <w:style w:type="character" w:customStyle="1" w:styleId="Marker">
    <w:name w:val="Marker"/>
    <w:basedOn w:val="DefaultParagraphFont"/>
    <w:rsid w:val="00517205"/>
    <w:rPr>
      <w:color w:val="0000FF"/>
      <w:shd w:val="clear" w:color="auto" w:fill="auto"/>
    </w:rPr>
  </w:style>
  <w:style w:type="character" w:customStyle="1" w:styleId="Marker1">
    <w:name w:val="Marker1"/>
    <w:basedOn w:val="DefaultParagraphFont"/>
    <w:rsid w:val="00517205"/>
    <w:rPr>
      <w:color w:val="008000"/>
      <w:shd w:val="clear" w:color="auto" w:fill="auto"/>
    </w:rPr>
  </w:style>
  <w:style w:type="character" w:customStyle="1" w:styleId="Marker2">
    <w:name w:val="Marker2"/>
    <w:basedOn w:val="DefaultParagraphFont"/>
    <w:rsid w:val="00517205"/>
    <w:rPr>
      <w:color w:val="FF0000"/>
      <w:shd w:val="clear" w:color="auto" w:fill="auto"/>
    </w:rPr>
  </w:style>
  <w:style w:type="paragraph" w:customStyle="1" w:styleId="Point0number">
    <w:name w:val="Point 0 (number)"/>
    <w:basedOn w:val="Normal"/>
    <w:rsid w:val="00517205"/>
    <w:pPr>
      <w:numPr>
        <w:numId w:val="32"/>
      </w:numPr>
    </w:pPr>
  </w:style>
  <w:style w:type="paragraph" w:customStyle="1" w:styleId="Point1number">
    <w:name w:val="Point 1 (number)"/>
    <w:basedOn w:val="Normal"/>
    <w:rsid w:val="00517205"/>
    <w:pPr>
      <w:numPr>
        <w:ilvl w:val="2"/>
        <w:numId w:val="32"/>
      </w:numPr>
    </w:pPr>
  </w:style>
  <w:style w:type="paragraph" w:customStyle="1" w:styleId="Point2number">
    <w:name w:val="Point 2 (number)"/>
    <w:basedOn w:val="Normal"/>
    <w:rsid w:val="00517205"/>
    <w:pPr>
      <w:numPr>
        <w:ilvl w:val="4"/>
        <w:numId w:val="32"/>
      </w:numPr>
    </w:pPr>
  </w:style>
  <w:style w:type="paragraph" w:customStyle="1" w:styleId="Point3number">
    <w:name w:val="Point 3 (number)"/>
    <w:basedOn w:val="Normal"/>
    <w:rsid w:val="00517205"/>
    <w:pPr>
      <w:numPr>
        <w:ilvl w:val="6"/>
        <w:numId w:val="32"/>
      </w:numPr>
    </w:pPr>
  </w:style>
  <w:style w:type="paragraph" w:customStyle="1" w:styleId="Point0letter">
    <w:name w:val="Point 0 (letter)"/>
    <w:basedOn w:val="Normal"/>
    <w:rsid w:val="00517205"/>
    <w:pPr>
      <w:numPr>
        <w:ilvl w:val="1"/>
        <w:numId w:val="32"/>
      </w:numPr>
    </w:pPr>
  </w:style>
  <w:style w:type="paragraph" w:customStyle="1" w:styleId="Point1letter">
    <w:name w:val="Point 1 (letter)"/>
    <w:basedOn w:val="Normal"/>
    <w:rsid w:val="00517205"/>
    <w:pPr>
      <w:numPr>
        <w:ilvl w:val="3"/>
        <w:numId w:val="32"/>
      </w:numPr>
    </w:pPr>
  </w:style>
  <w:style w:type="paragraph" w:customStyle="1" w:styleId="Point2letter">
    <w:name w:val="Point 2 (letter)"/>
    <w:basedOn w:val="Normal"/>
    <w:rsid w:val="00517205"/>
    <w:pPr>
      <w:numPr>
        <w:ilvl w:val="5"/>
        <w:numId w:val="32"/>
      </w:numPr>
    </w:pPr>
  </w:style>
  <w:style w:type="paragraph" w:customStyle="1" w:styleId="Point3letter">
    <w:name w:val="Point 3 (letter)"/>
    <w:basedOn w:val="Normal"/>
    <w:rsid w:val="00517205"/>
    <w:pPr>
      <w:numPr>
        <w:ilvl w:val="7"/>
        <w:numId w:val="32"/>
      </w:numPr>
    </w:pPr>
  </w:style>
  <w:style w:type="paragraph" w:customStyle="1" w:styleId="Point4letter">
    <w:name w:val="Point 4 (letter)"/>
    <w:basedOn w:val="Normal"/>
    <w:rsid w:val="00517205"/>
    <w:pPr>
      <w:numPr>
        <w:ilvl w:val="8"/>
        <w:numId w:val="32"/>
      </w:numPr>
    </w:pPr>
  </w:style>
  <w:style w:type="paragraph" w:customStyle="1" w:styleId="Bullet0">
    <w:name w:val="Bullet 0"/>
    <w:basedOn w:val="Normal"/>
    <w:rsid w:val="00517205"/>
    <w:pPr>
      <w:numPr>
        <w:numId w:val="33"/>
      </w:numPr>
    </w:pPr>
  </w:style>
  <w:style w:type="paragraph" w:customStyle="1" w:styleId="Bullet1">
    <w:name w:val="Bullet 1"/>
    <w:basedOn w:val="Normal"/>
    <w:rsid w:val="00517205"/>
    <w:pPr>
      <w:numPr>
        <w:numId w:val="34"/>
      </w:numPr>
    </w:pPr>
  </w:style>
  <w:style w:type="paragraph" w:customStyle="1" w:styleId="Bullet2">
    <w:name w:val="Bullet 2"/>
    <w:basedOn w:val="Normal"/>
    <w:rsid w:val="00517205"/>
    <w:pPr>
      <w:numPr>
        <w:numId w:val="35"/>
      </w:numPr>
    </w:pPr>
  </w:style>
  <w:style w:type="paragraph" w:customStyle="1" w:styleId="Bullet3">
    <w:name w:val="Bullet 3"/>
    <w:basedOn w:val="Normal"/>
    <w:rsid w:val="00517205"/>
    <w:pPr>
      <w:numPr>
        <w:numId w:val="36"/>
      </w:numPr>
    </w:pPr>
  </w:style>
  <w:style w:type="paragraph" w:customStyle="1" w:styleId="Bullet4">
    <w:name w:val="Bullet 4"/>
    <w:basedOn w:val="Normal"/>
    <w:rsid w:val="00517205"/>
    <w:pPr>
      <w:numPr>
        <w:numId w:val="37"/>
      </w:numPr>
    </w:pPr>
  </w:style>
  <w:style w:type="paragraph" w:customStyle="1" w:styleId="Langue">
    <w:name w:val="Langue"/>
    <w:basedOn w:val="Normal"/>
    <w:next w:val="Rfrenceinterne"/>
    <w:rsid w:val="00517205"/>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517205"/>
    <w:pPr>
      <w:spacing w:before="0" w:after="0"/>
      <w:jc w:val="left"/>
    </w:pPr>
    <w:rPr>
      <w:rFonts w:ascii="Arial" w:hAnsi="Arial" w:cs="Arial"/>
    </w:rPr>
  </w:style>
  <w:style w:type="paragraph" w:customStyle="1" w:styleId="Emission">
    <w:name w:val="Emission"/>
    <w:basedOn w:val="Normal"/>
    <w:next w:val="Rfrenceinstitutionnelle"/>
    <w:rsid w:val="00517205"/>
    <w:pPr>
      <w:spacing w:before="0" w:after="0"/>
      <w:ind w:left="5103"/>
      <w:jc w:val="left"/>
    </w:pPr>
  </w:style>
  <w:style w:type="paragraph" w:customStyle="1" w:styleId="Rfrenceinstitutionnelle">
    <w:name w:val="Référence institutionnelle"/>
    <w:basedOn w:val="Normal"/>
    <w:next w:val="Confidentialit"/>
    <w:rsid w:val="00517205"/>
    <w:pPr>
      <w:spacing w:before="0" w:after="240"/>
      <w:ind w:left="5103"/>
      <w:jc w:val="left"/>
    </w:pPr>
  </w:style>
  <w:style w:type="paragraph" w:customStyle="1" w:styleId="Pagedecouverture">
    <w:name w:val="Page de couverture"/>
    <w:basedOn w:val="Normal"/>
    <w:next w:val="Normal"/>
    <w:rsid w:val="00517205"/>
    <w:pPr>
      <w:spacing w:before="0" w:after="0"/>
    </w:pPr>
  </w:style>
  <w:style w:type="paragraph" w:customStyle="1" w:styleId="Declassification">
    <w:name w:val="Declassification"/>
    <w:basedOn w:val="Normal"/>
    <w:next w:val="Normal"/>
    <w:rsid w:val="00517205"/>
    <w:pPr>
      <w:spacing w:before="0" w:after="0"/>
    </w:pPr>
  </w:style>
  <w:style w:type="paragraph" w:customStyle="1" w:styleId="Disclaimer">
    <w:name w:val="Disclaimer"/>
    <w:basedOn w:val="Normal"/>
    <w:rsid w:val="00517205"/>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517205"/>
    <w:pPr>
      <w:spacing w:before="0" w:after="0" w:line="276" w:lineRule="auto"/>
      <w:ind w:left="5103"/>
      <w:jc w:val="left"/>
    </w:pPr>
    <w:rPr>
      <w:sz w:val="28"/>
    </w:rPr>
  </w:style>
  <w:style w:type="paragraph" w:customStyle="1" w:styleId="DateMarking">
    <w:name w:val="DateMarking"/>
    <w:basedOn w:val="Normal"/>
    <w:rsid w:val="00517205"/>
    <w:pPr>
      <w:spacing w:before="0" w:after="0" w:line="276" w:lineRule="auto"/>
      <w:ind w:left="5103"/>
      <w:jc w:val="left"/>
    </w:pPr>
    <w:rPr>
      <w:i/>
      <w:sz w:val="28"/>
    </w:rPr>
  </w:style>
  <w:style w:type="paragraph" w:customStyle="1" w:styleId="ReleasableTo">
    <w:name w:val="ReleasableTo"/>
    <w:basedOn w:val="Normal"/>
    <w:rsid w:val="00517205"/>
    <w:pPr>
      <w:spacing w:before="0" w:after="0" w:line="276" w:lineRule="auto"/>
      <w:ind w:left="5103"/>
      <w:jc w:val="left"/>
    </w:pPr>
    <w:rPr>
      <w:i/>
      <w:sz w:val="28"/>
    </w:rPr>
  </w:style>
  <w:style w:type="paragraph" w:customStyle="1" w:styleId="Annexetitreexpos">
    <w:name w:val="Annexe titre (exposé)"/>
    <w:basedOn w:val="Normal"/>
    <w:next w:val="Normal"/>
    <w:rsid w:val="00517205"/>
    <w:pPr>
      <w:jc w:val="center"/>
    </w:pPr>
    <w:rPr>
      <w:b/>
      <w:u w:val="single"/>
    </w:rPr>
  </w:style>
  <w:style w:type="paragraph" w:customStyle="1" w:styleId="Annexetitre">
    <w:name w:val="Annexe titre"/>
    <w:basedOn w:val="Normal"/>
    <w:next w:val="Normal"/>
    <w:rsid w:val="00517205"/>
    <w:pPr>
      <w:jc w:val="center"/>
    </w:pPr>
    <w:rPr>
      <w:b/>
      <w:u w:val="single"/>
    </w:rPr>
  </w:style>
  <w:style w:type="paragraph" w:customStyle="1" w:styleId="Annexetitrefichefinancire">
    <w:name w:val="Annexe titre (fiche financière)"/>
    <w:basedOn w:val="Normal"/>
    <w:next w:val="Normal"/>
    <w:rsid w:val="00517205"/>
    <w:pPr>
      <w:jc w:val="center"/>
    </w:pPr>
    <w:rPr>
      <w:b/>
      <w:u w:val="single"/>
    </w:rPr>
  </w:style>
  <w:style w:type="paragraph" w:customStyle="1" w:styleId="Applicationdirecte">
    <w:name w:val="Application directe"/>
    <w:basedOn w:val="Normal"/>
    <w:next w:val="Fait"/>
    <w:rsid w:val="00517205"/>
    <w:pPr>
      <w:spacing w:before="480"/>
    </w:pPr>
  </w:style>
  <w:style w:type="paragraph" w:customStyle="1" w:styleId="Avertissementtitre">
    <w:name w:val="Avertissement titre"/>
    <w:basedOn w:val="Normal"/>
    <w:next w:val="Normal"/>
    <w:rsid w:val="00517205"/>
    <w:pPr>
      <w:keepNext/>
      <w:spacing w:before="480"/>
    </w:pPr>
    <w:rPr>
      <w:u w:val="single"/>
    </w:rPr>
  </w:style>
  <w:style w:type="paragraph" w:customStyle="1" w:styleId="Confidence">
    <w:name w:val="Confidence"/>
    <w:basedOn w:val="Normal"/>
    <w:next w:val="Normal"/>
    <w:rsid w:val="00517205"/>
    <w:pPr>
      <w:spacing w:before="360"/>
      <w:jc w:val="center"/>
    </w:pPr>
  </w:style>
  <w:style w:type="paragraph" w:customStyle="1" w:styleId="Confidentialit">
    <w:name w:val="Confidentialité"/>
    <w:basedOn w:val="Normal"/>
    <w:next w:val="TypedudocumentPagedecouverture"/>
    <w:rsid w:val="00517205"/>
    <w:pPr>
      <w:spacing w:before="240" w:after="240"/>
      <w:ind w:left="5103"/>
      <w:jc w:val="left"/>
    </w:pPr>
    <w:rPr>
      <w:i/>
      <w:sz w:val="32"/>
    </w:rPr>
  </w:style>
  <w:style w:type="paragraph" w:customStyle="1" w:styleId="Considrant">
    <w:name w:val="Considérant"/>
    <w:basedOn w:val="Normal"/>
    <w:rsid w:val="00517205"/>
    <w:pPr>
      <w:numPr>
        <w:numId w:val="38"/>
      </w:numPr>
    </w:pPr>
  </w:style>
  <w:style w:type="paragraph" w:customStyle="1" w:styleId="Corrigendum">
    <w:name w:val="Corrigendum"/>
    <w:basedOn w:val="Normal"/>
    <w:next w:val="Normal"/>
    <w:rsid w:val="00517205"/>
    <w:pPr>
      <w:spacing w:before="0" w:after="240"/>
      <w:jc w:val="left"/>
    </w:pPr>
  </w:style>
  <w:style w:type="paragraph" w:customStyle="1" w:styleId="Datedadoption">
    <w:name w:val="Date d'adoption"/>
    <w:basedOn w:val="Normal"/>
    <w:next w:val="Titreobjet"/>
    <w:rsid w:val="00517205"/>
    <w:pPr>
      <w:spacing w:before="360" w:after="0"/>
      <w:jc w:val="center"/>
    </w:pPr>
    <w:rPr>
      <w:b/>
    </w:rPr>
  </w:style>
  <w:style w:type="paragraph" w:customStyle="1" w:styleId="Exposdesmotifstitre">
    <w:name w:val="Exposé des motifs titre"/>
    <w:basedOn w:val="Normal"/>
    <w:next w:val="Normal"/>
    <w:rsid w:val="00517205"/>
    <w:pPr>
      <w:jc w:val="center"/>
    </w:pPr>
    <w:rPr>
      <w:b/>
      <w:u w:val="single"/>
    </w:rPr>
  </w:style>
  <w:style w:type="paragraph" w:customStyle="1" w:styleId="Fait">
    <w:name w:val="Fait à"/>
    <w:basedOn w:val="Normal"/>
    <w:next w:val="Institutionquisigne"/>
    <w:rsid w:val="00517205"/>
    <w:pPr>
      <w:keepNext/>
      <w:spacing w:after="0"/>
    </w:pPr>
  </w:style>
  <w:style w:type="paragraph" w:customStyle="1" w:styleId="Formuledadoption">
    <w:name w:val="Formule d'adoption"/>
    <w:basedOn w:val="Normal"/>
    <w:next w:val="Titrearticle"/>
    <w:rsid w:val="00517205"/>
    <w:pPr>
      <w:keepNext/>
    </w:pPr>
  </w:style>
  <w:style w:type="paragraph" w:customStyle="1" w:styleId="Institutionquiagit">
    <w:name w:val="Institution qui agit"/>
    <w:basedOn w:val="Normal"/>
    <w:next w:val="Normal"/>
    <w:rsid w:val="00517205"/>
    <w:pPr>
      <w:keepNext/>
      <w:spacing w:before="600"/>
    </w:pPr>
  </w:style>
  <w:style w:type="paragraph" w:customStyle="1" w:styleId="Institutionquisigne">
    <w:name w:val="Institution qui signe"/>
    <w:basedOn w:val="Normal"/>
    <w:next w:val="Personnequisigne"/>
    <w:rsid w:val="00517205"/>
    <w:pPr>
      <w:keepNext/>
      <w:tabs>
        <w:tab w:val="left" w:pos="4252"/>
      </w:tabs>
      <w:spacing w:before="720" w:after="0"/>
    </w:pPr>
    <w:rPr>
      <w:i/>
    </w:rPr>
  </w:style>
  <w:style w:type="paragraph" w:customStyle="1" w:styleId="ManualConsidrant">
    <w:name w:val="Manual Considérant"/>
    <w:basedOn w:val="Normal"/>
    <w:rsid w:val="00517205"/>
    <w:pPr>
      <w:ind w:left="709" w:hanging="709"/>
    </w:pPr>
  </w:style>
  <w:style w:type="paragraph" w:customStyle="1" w:styleId="Personnequisigne">
    <w:name w:val="Personne qui signe"/>
    <w:basedOn w:val="Normal"/>
    <w:next w:val="Institutionquisigne"/>
    <w:rsid w:val="00517205"/>
    <w:pPr>
      <w:tabs>
        <w:tab w:val="left" w:pos="4252"/>
      </w:tabs>
      <w:spacing w:before="0" w:after="0"/>
      <w:jc w:val="left"/>
    </w:pPr>
    <w:rPr>
      <w:i/>
    </w:rPr>
  </w:style>
  <w:style w:type="paragraph" w:customStyle="1" w:styleId="Rfrenceinterinstitutionnelle">
    <w:name w:val="Référence interinstitutionnelle"/>
    <w:basedOn w:val="Normal"/>
    <w:next w:val="Statut"/>
    <w:rsid w:val="00517205"/>
    <w:pPr>
      <w:spacing w:before="0" w:after="0"/>
      <w:ind w:left="5103"/>
      <w:jc w:val="left"/>
    </w:pPr>
  </w:style>
  <w:style w:type="paragraph" w:customStyle="1" w:styleId="Rfrenceinterne">
    <w:name w:val="Référence interne"/>
    <w:basedOn w:val="Normal"/>
    <w:next w:val="Rfrenceinterinstitutionnelle"/>
    <w:rsid w:val="00517205"/>
    <w:pPr>
      <w:spacing w:before="0" w:after="0"/>
      <w:ind w:left="5103"/>
      <w:jc w:val="left"/>
    </w:pPr>
  </w:style>
  <w:style w:type="paragraph" w:customStyle="1" w:styleId="Statut">
    <w:name w:val="Statut"/>
    <w:basedOn w:val="Normal"/>
    <w:next w:val="Typedudocument"/>
    <w:rsid w:val="00517205"/>
    <w:pPr>
      <w:spacing w:before="360" w:after="0"/>
      <w:jc w:val="center"/>
    </w:pPr>
  </w:style>
  <w:style w:type="paragraph" w:customStyle="1" w:styleId="Titrearticle">
    <w:name w:val="Titre article"/>
    <w:basedOn w:val="Normal"/>
    <w:next w:val="Normal"/>
    <w:rsid w:val="00517205"/>
    <w:pPr>
      <w:keepNext/>
      <w:spacing w:before="360"/>
      <w:jc w:val="center"/>
    </w:pPr>
    <w:rPr>
      <w:i/>
    </w:rPr>
  </w:style>
  <w:style w:type="paragraph" w:customStyle="1" w:styleId="Titreobjet">
    <w:name w:val="Titre objet"/>
    <w:basedOn w:val="Normal"/>
    <w:next w:val="IntrtEEE"/>
    <w:rsid w:val="00517205"/>
    <w:pPr>
      <w:spacing w:before="360" w:after="360"/>
      <w:jc w:val="center"/>
    </w:pPr>
    <w:rPr>
      <w:b/>
    </w:rPr>
  </w:style>
  <w:style w:type="paragraph" w:customStyle="1" w:styleId="Typedudocument">
    <w:name w:val="Type du document"/>
    <w:basedOn w:val="Normal"/>
    <w:next w:val="Titreobjet"/>
    <w:rsid w:val="00517205"/>
    <w:pPr>
      <w:spacing w:before="360" w:after="0"/>
      <w:jc w:val="center"/>
    </w:pPr>
    <w:rPr>
      <w:b/>
    </w:rPr>
  </w:style>
  <w:style w:type="character" w:customStyle="1" w:styleId="Added">
    <w:name w:val="Added"/>
    <w:basedOn w:val="DefaultParagraphFont"/>
    <w:rsid w:val="00517205"/>
    <w:rPr>
      <w:b/>
      <w:u w:val="single"/>
      <w:shd w:val="clear" w:color="auto" w:fill="auto"/>
    </w:rPr>
  </w:style>
  <w:style w:type="character" w:customStyle="1" w:styleId="Deleted">
    <w:name w:val="Deleted"/>
    <w:basedOn w:val="DefaultParagraphFont"/>
    <w:rsid w:val="00517205"/>
    <w:rPr>
      <w:strike/>
      <w:dstrike w:val="0"/>
      <w:shd w:val="clear" w:color="auto" w:fill="auto"/>
    </w:rPr>
  </w:style>
  <w:style w:type="paragraph" w:customStyle="1" w:styleId="Address">
    <w:name w:val="Address"/>
    <w:basedOn w:val="Normal"/>
    <w:next w:val="Normal"/>
    <w:rsid w:val="00517205"/>
    <w:pPr>
      <w:keepLines/>
      <w:spacing w:line="360" w:lineRule="auto"/>
      <w:ind w:left="3402"/>
      <w:jc w:val="left"/>
    </w:pPr>
  </w:style>
  <w:style w:type="paragraph" w:customStyle="1" w:styleId="Objetexterne">
    <w:name w:val="Objet externe"/>
    <w:basedOn w:val="Normal"/>
    <w:next w:val="Normal"/>
    <w:rsid w:val="00517205"/>
    <w:rPr>
      <w:i/>
      <w:caps/>
    </w:rPr>
  </w:style>
  <w:style w:type="paragraph" w:customStyle="1" w:styleId="Supertitre">
    <w:name w:val="Supertitre"/>
    <w:basedOn w:val="Normal"/>
    <w:next w:val="Normal"/>
    <w:rsid w:val="00517205"/>
    <w:pPr>
      <w:spacing w:before="0" w:after="600"/>
      <w:jc w:val="center"/>
    </w:pPr>
    <w:rPr>
      <w:b/>
    </w:rPr>
  </w:style>
  <w:style w:type="paragraph" w:customStyle="1" w:styleId="Languesfaisantfoi">
    <w:name w:val="Langues faisant foi"/>
    <w:basedOn w:val="Normal"/>
    <w:next w:val="Normal"/>
    <w:rsid w:val="00517205"/>
    <w:pPr>
      <w:spacing w:before="360" w:after="0"/>
      <w:jc w:val="center"/>
    </w:pPr>
  </w:style>
  <w:style w:type="paragraph" w:customStyle="1" w:styleId="Rfrencecroise">
    <w:name w:val="Référence croisée"/>
    <w:basedOn w:val="Normal"/>
    <w:rsid w:val="00517205"/>
    <w:pPr>
      <w:spacing w:before="0" w:after="0"/>
      <w:jc w:val="center"/>
    </w:pPr>
  </w:style>
  <w:style w:type="paragraph" w:customStyle="1" w:styleId="Fichefinanciretitre">
    <w:name w:val="Fiche financière titre"/>
    <w:basedOn w:val="Normal"/>
    <w:next w:val="Normal"/>
    <w:rsid w:val="00517205"/>
    <w:pPr>
      <w:jc w:val="center"/>
    </w:pPr>
    <w:rPr>
      <w:b/>
      <w:u w:val="single"/>
    </w:rPr>
  </w:style>
  <w:style w:type="paragraph" w:customStyle="1" w:styleId="DatedadoptionPagedecouverture">
    <w:name w:val="Date d'adoption (Page de couverture)"/>
    <w:basedOn w:val="Datedadoption"/>
    <w:next w:val="TitreobjetPagedecouverture"/>
    <w:rsid w:val="00517205"/>
  </w:style>
  <w:style w:type="paragraph" w:customStyle="1" w:styleId="RfrenceinterinstitutionnellePagedecouverture">
    <w:name w:val="Référence interinstitutionnelle (Page de couverture)"/>
    <w:basedOn w:val="Rfrenceinterinstitutionnelle"/>
    <w:next w:val="Confidentialit"/>
    <w:rsid w:val="00517205"/>
  </w:style>
  <w:style w:type="paragraph" w:customStyle="1" w:styleId="StatutPagedecouverture">
    <w:name w:val="Statut (Page de couverture)"/>
    <w:basedOn w:val="Statut"/>
    <w:next w:val="TypedudocumentPagedecouverture"/>
    <w:rsid w:val="00517205"/>
  </w:style>
  <w:style w:type="paragraph" w:customStyle="1" w:styleId="TitreobjetPagedecouverture">
    <w:name w:val="Titre objet (Page de couverture)"/>
    <w:basedOn w:val="Titreobjet"/>
    <w:next w:val="IntrtEEEPagedecouverture"/>
    <w:rsid w:val="00517205"/>
  </w:style>
  <w:style w:type="paragraph" w:customStyle="1" w:styleId="TypedudocumentPagedecouverture">
    <w:name w:val="Type du document (Page de couverture)"/>
    <w:basedOn w:val="Typedudocument"/>
    <w:next w:val="TitreobjetPagedecouverture"/>
    <w:rsid w:val="00517205"/>
  </w:style>
  <w:style w:type="paragraph" w:customStyle="1" w:styleId="Volume">
    <w:name w:val="Volume"/>
    <w:basedOn w:val="Normal"/>
    <w:next w:val="Confidentialit"/>
    <w:rsid w:val="00517205"/>
    <w:pPr>
      <w:spacing w:before="0" w:after="240"/>
      <w:ind w:left="5103"/>
      <w:jc w:val="left"/>
    </w:pPr>
  </w:style>
  <w:style w:type="paragraph" w:customStyle="1" w:styleId="IntrtEEE">
    <w:name w:val="Intérêt EEE"/>
    <w:basedOn w:val="Languesfaisantfoi"/>
    <w:next w:val="Normal"/>
    <w:rsid w:val="00517205"/>
    <w:pPr>
      <w:spacing w:after="240"/>
    </w:pPr>
  </w:style>
  <w:style w:type="paragraph" w:customStyle="1" w:styleId="Accompagnant">
    <w:name w:val="Accompagnant"/>
    <w:basedOn w:val="Normal"/>
    <w:next w:val="Typeacteprincipal"/>
    <w:rsid w:val="00517205"/>
    <w:pPr>
      <w:spacing w:before="0" w:after="240"/>
      <w:jc w:val="center"/>
    </w:pPr>
    <w:rPr>
      <w:b/>
      <w:i/>
    </w:rPr>
  </w:style>
  <w:style w:type="paragraph" w:customStyle="1" w:styleId="Typeacteprincipal">
    <w:name w:val="Type acte principal"/>
    <w:basedOn w:val="Normal"/>
    <w:next w:val="Objetacteprincipal"/>
    <w:rsid w:val="00517205"/>
    <w:pPr>
      <w:spacing w:before="0" w:after="240"/>
      <w:jc w:val="center"/>
    </w:pPr>
    <w:rPr>
      <w:b/>
    </w:rPr>
  </w:style>
  <w:style w:type="paragraph" w:customStyle="1" w:styleId="Objetacteprincipal">
    <w:name w:val="Objet acte principal"/>
    <w:basedOn w:val="Normal"/>
    <w:next w:val="Titrearticle"/>
    <w:rsid w:val="00517205"/>
    <w:pPr>
      <w:spacing w:before="0" w:after="360"/>
      <w:jc w:val="center"/>
    </w:pPr>
    <w:rPr>
      <w:b/>
    </w:rPr>
  </w:style>
  <w:style w:type="paragraph" w:customStyle="1" w:styleId="IntrtEEEPagedecouverture">
    <w:name w:val="Intérêt EEE (Page de couverture)"/>
    <w:basedOn w:val="IntrtEEE"/>
    <w:next w:val="Rfrencecroise"/>
    <w:rsid w:val="00517205"/>
  </w:style>
  <w:style w:type="paragraph" w:customStyle="1" w:styleId="AccompagnantPagedecouverture">
    <w:name w:val="Accompagnant (Page de couverture)"/>
    <w:basedOn w:val="Accompagnant"/>
    <w:next w:val="TypeacteprincipalPagedecouverture"/>
    <w:rsid w:val="00517205"/>
  </w:style>
  <w:style w:type="paragraph" w:customStyle="1" w:styleId="TypeacteprincipalPagedecouverture">
    <w:name w:val="Type acte principal (Page de couverture)"/>
    <w:basedOn w:val="Typeacteprincipal"/>
    <w:next w:val="ObjetacteprincipalPagedecouverture"/>
    <w:rsid w:val="00517205"/>
  </w:style>
  <w:style w:type="paragraph" w:customStyle="1" w:styleId="ObjetacteprincipalPagedecouverture">
    <w:name w:val="Objet acte principal (Page de couverture)"/>
    <w:basedOn w:val="Objetacteprincipal"/>
    <w:next w:val="Rfrencecroise"/>
    <w:rsid w:val="00517205"/>
  </w:style>
  <w:style w:type="paragraph" w:customStyle="1" w:styleId="LanguesfaisantfoiPagedecouverture">
    <w:name w:val="Langues faisant foi (Page de couverture)"/>
    <w:basedOn w:val="Normal"/>
    <w:next w:val="Normal"/>
    <w:rsid w:val="00517205"/>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20</TotalTime>
  <Pages>7</Pages>
  <Words>1663</Words>
  <Characters>9785</Characters>
  <Application>Microsoft Office Word</Application>
  <DocSecurity>0</DocSecurity>
  <Lines>171</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55</cp:revision>
  <dcterms:created xsi:type="dcterms:W3CDTF">2022-08-17T10:41:00Z</dcterms:created>
  <dcterms:modified xsi:type="dcterms:W3CDTF">2022-09-21T08:21:00Z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8.0.1, Build 20220429</vt:lpwstr>
  </property>
  <property fmtid="{D5CDD505-2E9C-101B-9397-08002B2CF9AE}" pid="5" name="Created using">
    <vt:lpwstr>LW 8.0.1, Build 20220429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DQCStatus">
    <vt:lpwstr>Green (DQC version 03)</vt:lpwstr>
  </property>
  <property name="OP_sanitized" fmtid="{D5CDD505-2E9C-101B-9397-08002B2CF9AE}" pid="11">
    <vt:lpwstr>True</vt:lpwstr>
  </property>
</Properties>
</file>