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0DA93" w14:textId="21B9D066" w:rsidR="00DE18B7" w:rsidRPr="00A85E62" w:rsidRDefault="00EB0334" w:rsidP="00AB5ED8">
      <w:pPr>
        <w:pStyle w:val="Pagedecouverture"/>
        <w:rPr>
          <w:noProof/>
          <w:highlight w:val="yellow"/>
        </w:rPr>
      </w:pPr>
      <w:bookmarkStart w:id="0" w:name="LW_BM_COVERPAGE"/>
      <w:r w:rsidRPr="00EB0334">
        <w:rPr>
          <w:noProof/>
        </w:rPr>
        <w:pict w14:anchorId="2882F0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5AF47565-FE44-4FFA-B303-1DCD7991AE37" style="width:455.25pt;height:271.5pt">
            <v:imagedata r:id="rId8" o:title=""/>
          </v:shape>
        </w:pict>
      </w:r>
    </w:p>
    <w:bookmarkEnd w:id="0"/>
    <w:p w14:paraId="4E1E02D5" w14:textId="77777777" w:rsidR="00681F80" w:rsidRPr="00A85E62" w:rsidRDefault="00681F80" w:rsidP="00681F80">
      <w:pPr>
        <w:rPr>
          <w:noProof/>
          <w:highlight w:val="yellow"/>
        </w:rPr>
        <w:sectPr w:rsidR="00681F80" w:rsidRPr="00A85E62" w:rsidSect="00AB5ED8">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14:paraId="705F7F84" w14:textId="77777777" w:rsidR="00681F80" w:rsidRPr="00A85E62" w:rsidRDefault="00681F80" w:rsidP="00681F80">
      <w:pPr>
        <w:pStyle w:val="TOCHeading"/>
        <w:rPr>
          <w:noProof/>
        </w:rPr>
      </w:pPr>
      <w:r>
        <w:rPr>
          <w:noProof/>
        </w:rPr>
        <w:lastRenderedPageBreak/>
        <w:t>SATURS</w:t>
      </w:r>
    </w:p>
    <w:p w14:paraId="54AE2CDC" w14:textId="17FFAC20" w:rsidR="00CF4139" w:rsidRDefault="00681F80">
      <w:pPr>
        <w:pStyle w:val="TOC1"/>
        <w:rPr>
          <w:rFonts w:asciiTheme="minorHAnsi" w:eastAsiaTheme="minorEastAsia" w:hAnsiTheme="minorHAnsi" w:cstheme="minorBidi"/>
          <w:noProof/>
          <w:kern w:val="2"/>
          <w:szCs w:val="24"/>
          <w:lang w:val="en-IE" w:eastAsia="en-IE"/>
          <w14:ligatures w14:val="standardContextual"/>
        </w:rPr>
      </w:pPr>
      <w:r>
        <w:rPr>
          <w:noProof/>
        </w:rPr>
        <w:fldChar w:fldCharType="begin"/>
      </w:r>
      <w:r>
        <w:rPr>
          <w:noProof/>
        </w:rPr>
        <w:instrText xml:space="preserve"> TOC \o "1-3" \h \z \u </w:instrText>
      </w:r>
      <w:r>
        <w:rPr>
          <w:noProof/>
        </w:rPr>
        <w:fldChar w:fldCharType="separate"/>
      </w:r>
      <w:hyperlink w:anchor="_Toc233622374" w:history="1">
        <w:r w:rsidR="00CF4139" w:rsidRPr="00D3104C">
          <w:rPr>
            <w:rStyle w:val="Hyperlink"/>
            <w:noProof/>
          </w:rPr>
          <w:t>Ievads</w:t>
        </w:r>
        <w:r w:rsidR="00CF4139">
          <w:rPr>
            <w:noProof/>
            <w:webHidden/>
          </w:rPr>
          <w:tab/>
        </w:r>
        <w:r w:rsidR="00CF4139">
          <w:rPr>
            <w:noProof/>
            <w:webHidden/>
          </w:rPr>
          <w:fldChar w:fldCharType="begin"/>
        </w:r>
        <w:r w:rsidR="00CF4139">
          <w:rPr>
            <w:noProof/>
            <w:webHidden/>
          </w:rPr>
          <w:instrText xml:space="preserve"> PAGEREF _Toc233622374 \h </w:instrText>
        </w:r>
        <w:r w:rsidR="00CF4139">
          <w:rPr>
            <w:noProof/>
            <w:webHidden/>
          </w:rPr>
        </w:r>
        <w:r w:rsidR="00CF4139">
          <w:rPr>
            <w:noProof/>
            <w:webHidden/>
          </w:rPr>
          <w:fldChar w:fldCharType="separate"/>
        </w:r>
        <w:r w:rsidR="00CF4139">
          <w:rPr>
            <w:noProof/>
            <w:webHidden/>
          </w:rPr>
          <w:t>2</w:t>
        </w:r>
        <w:r w:rsidR="00CF4139">
          <w:rPr>
            <w:noProof/>
            <w:webHidden/>
          </w:rPr>
          <w:fldChar w:fldCharType="end"/>
        </w:r>
      </w:hyperlink>
    </w:p>
    <w:p w14:paraId="38FBE716" w14:textId="77CEDCCD" w:rsidR="00CF4139" w:rsidRDefault="00CF4139">
      <w:pPr>
        <w:pStyle w:val="TOC1"/>
        <w:rPr>
          <w:rFonts w:asciiTheme="minorHAnsi" w:eastAsiaTheme="minorEastAsia" w:hAnsiTheme="minorHAnsi" w:cstheme="minorBidi"/>
          <w:noProof/>
          <w:kern w:val="2"/>
          <w:szCs w:val="24"/>
          <w:lang w:val="en-IE" w:eastAsia="en-IE"/>
          <w14:ligatures w14:val="standardContextual"/>
        </w:rPr>
      </w:pPr>
      <w:hyperlink w:anchor="_Toc233622375" w:history="1">
        <w:r w:rsidRPr="00D3104C">
          <w:rPr>
            <w:rStyle w:val="Hyperlink"/>
            <w:noProof/>
          </w:rPr>
          <w:t>2025. gadā saņemtie pieteikumi</w:t>
        </w:r>
        <w:r>
          <w:rPr>
            <w:noProof/>
            <w:webHidden/>
          </w:rPr>
          <w:tab/>
        </w:r>
        <w:r>
          <w:rPr>
            <w:noProof/>
            <w:webHidden/>
          </w:rPr>
          <w:fldChar w:fldCharType="begin"/>
        </w:r>
        <w:r>
          <w:rPr>
            <w:noProof/>
            <w:webHidden/>
          </w:rPr>
          <w:instrText xml:space="preserve"> PAGEREF _Toc233622375 \h </w:instrText>
        </w:r>
        <w:r>
          <w:rPr>
            <w:noProof/>
            <w:webHidden/>
          </w:rPr>
        </w:r>
        <w:r>
          <w:rPr>
            <w:noProof/>
            <w:webHidden/>
          </w:rPr>
          <w:fldChar w:fldCharType="separate"/>
        </w:r>
        <w:r>
          <w:rPr>
            <w:noProof/>
            <w:webHidden/>
          </w:rPr>
          <w:t>2</w:t>
        </w:r>
        <w:r>
          <w:rPr>
            <w:noProof/>
            <w:webHidden/>
          </w:rPr>
          <w:fldChar w:fldCharType="end"/>
        </w:r>
      </w:hyperlink>
    </w:p>
    <w:p w14:paraId="32DD17CD" w14:textId="66A501C8" w:rsidR="00CF4139" w:rsidRDefault="00CF4139">
      <w:pPr>
        <w:pStyle w:val="TOC1"/>
        <w:rPr>
          <w:rFonts w:asciiTheme="minorHAnsi" w:eastAsiaTheme="minorEastAsia" w:hAnsiTheme="minorHAnsi" w:cstheme="minorBidi"/>
          <w:noProof/>
          <w:kern w:val="2"/>
          <w:szCs w:val="24"/>
          <w:lang w:val="en-IE" w:eastAsia="en-IE"/>
          <w14:ligatures w14:val="standardContextual"/>
        </w:rPr>
      </w:pPr>
      <w:hyperlink w:anchor="_Toc233622376" w:history="1">
        <w:r w:rsidRPr="00D3104C">
          <w:rPr>
            <w:rStyle w:val="Hyperlink"/>
            <w:noProof/>
          </w:rPr>
          <w:t>Finansējums</w:t>
        </w:r>
        <w:r>
          <w:rPr>
            <w:noProof/>
            <w:webHidden/>
          </w:rPr>
          <w:tab/>
        </w:r>
        <w:r>
          <w:rPr>
            <w:noProof/>
            <w:webHidden/>
          </w:rPr>
          <w:fldChar w:fldCharType="begin"/>
        </w:r>
        <w:r>
          <w:rPr>
            <w:noProof/>
            <w:webHidden/>
          </w:rPr>
          <w:instrText xml:space="preserve"> PAGEREF _Toc233622376 \h </w:instrText>
        </w:r>
        <w:r>
          <w:rPr>
            <w:noProof/>
            <w:webHidden/>
          </w:rPr>
        </w:r>
        <w:r>
          <w:rPr>
            <w:noProof/>
            <w:webHidden/>
          </w:rPr>
          <w:fldChar w:fldCharType="separate"/>
        </w:r>
        <w:r>
          <w:rPr>
            <w:noProof/>
            <w:webHidden/>
          </w:rPr>
          <w:t>6</w:t>
        </w:r>
        <w:r>
          <w:rPr>
            <w:noProof/>
            <w:webHidden/>
          </w:rPr>
          <w:fldChar w:fldCharType="end"/>
        </w:r>
      </w:hyperlink>
    </w:p>
    <w:p w14:paraId="66E6E105" w14:textId="7E52BF3A" w:rsidR="00CF4139" w:rsidRDefault="00CF4139">
      <w:pPr>
        <w:pStyle w:val="TOC1"/>
        <w:rPr>
          <w:rFonts w:asciiTheme="minorHAnsi" w:eastAsiaTheme="minorEastAsia" w:hAnsiTheme="minorHAnsi" w:cstheme="minorBidi"/>
          <w:noProof/>
          <w:kern w:val="2"/>
          <w:szCs w:val="24"/>
          <w:lang w:val="en-IE" w:eastAsia="en-IE"/>
          <w14:ligatures w14:val="standardContextual"/>
        </w:rPr>
      </w:pPr>
      <w:hyperlink w:anchor="_Toc233622377" w:history="1">
        <w:r w:rsidRPr="00D3104C">
          <w:rPr>
            <w:rStyle w:val="Hyperlink"/>
            <w:noProof/>
          </w:rPr>
          <w:t>Palīdzības pasākumu izbeigšana</w:t>
        </w:r>
        <w:r>
          <w:rPr>
            <w:noProof/>
            <w:webHidden/>
          </w:rPr>
          <w:tab/>
        </w:r>
        <w:r>
          <w:rPr>
            <w:noProof/>
            <w:webHidden/>
          </w:rPr>
          <w:fldChar w:fldCharType="begin"/>
        </w:r>
        <w:r>
          <w:rPr>
            <w:noProof/>
            <w:webHidden/>
          </w:rPr>
          <w:instrText xml:space="preserve"> PAGEREF _Toc233622377 \h </w:instrText>
        </w:r>
        <w:r>
          <w:rPr>
            <w:noProof/>
            <w:webHidden/>
          </w:rPr>
        </w:r>
        <w:r>
          <w:rPr>
            <w:noProof/>
            <w:webHidden/>
          </w:rPr>
          <w:fldChar w:fldCharType="separate"/>
        </w:r>
        <w:r>
          <w:rPr>
            <w:noProof/>
            <w:webHidden/>
          </w:rPr>
          <w:t>8</w:t>
        </w:r>
        <w:r>
          <w:rPr>
            <w:noProof/>
            <w:webHidden/>
          </w:rPr>
          <w:fldChar w:fldCharType="end"/>
        </w:r>
      </w:hyperlink>
    </w:p>
    <w:p w14:paraId="42537CF2" w14:textId="6F8D4685" w:rsidR="00CF4139" w:rsidRDefault="00CF4139">
      <w:pPr>
        <w:pStyle w:val="TOC1"/>
        <w:rPr>
          <w:rFonts w:asciiTheme="minorHAnsi" w:eastAsiaTheme="minorEastAsia" w:hAnsiTheme="minorHAnsi" w:cstheme="minorBidi"/>
          <w:noProof/>
          <w:kern w:val="2"/>
          <w:szCs w:val="24"/>
          <w:lang w:val="en-IE" w:eastAsia="en-IE"/>
          <w14:ligatures w14:val="standardContextual"/>
        </w:rPr>
      </w:pPr>
      <w:hyperlink w:anchor="_Toc233622378" w:history="1">
        <w:r w:rsidRPr="00D3104C">
          <w:rPr>
            <w:rStyle w:val="Hyperlink"/>
            <w:noProof/>
          </w:rPr>
          <w:t>Secinājumi</w:t>
        </w:r>
        <w:r>
          <w:rPr>
            <w:noProof/>
            <w:webHidden/>
          </w:rPr>
          <w:tab/>
        </w:r>
        <w:r>
          <w:rPr>
            <w:noProof/>
            <w:webHidden/>
          </w:rPr>
          <w:fldChar w:fldCharType="begin"/>
        </w:r>
        <w:r>
          <w:rPr>
            <w:noProof/>
            <w:webHidden/>
          </w:rPr>
          <w:instrText xml:space="preserve"> PAGEREF _Toc233622378 \h </w:instrText>
        </w:r>
        <w:r>
          <w:rPr>
            <w:noProof/>
            <w:webHidden/>
          </w:rPr>
        </w:r>
        <w:r>
          <w:rPr>
            <w:noProof/>
            <w:webHidden/>
          </w:rPr>
          <w:fldChar w:fldCharType="separate"/>
        </w:r>
        <w:r>
          <w:rPr>
            <w:noProof/>
            <w:webHidden/>
          </w:rPr>
          <w:t>11</w:t>
        </w:r>
        <w:r>
          <w:rPr>
            <w:noProof/>
            <w:webHidden/>
          </w:rPr>
          <w:fldChar w:fldCharType="end"/>
        </w:r>
      </w:hyperlink>
    </w:p>
    <w:p w14:paraId="6E30A411" w14:textId="17ED1A9F" w:rsidR="00681F80" w:rsidRPr="00A85E62" w:rsidRDefault="00681F80" w:rsidP="00681F80">
      <w:pPr>
        <w:pStyle w:val="TOC1"/>
        <w:jc w:val="center"/>
        <w:rPr>
          <w:b/>
          <w:noProof/>
          <w:highlight w:val="yellow"/>
        </w:rPr>
        <w:sectPr w:rsidR="00681F80" w:rsidRPr="00A85E62" w:rsidSect="00E06B92">
          <w:headerReference w:type="even" r:id="rId15"/>
          <w:headerReference w:type="default" r:id="rId16"/>
          <w:footerReference w:type="even" r:id="rId17"/>
          <w:footerReference w:type="default" r:id="rId18"/>
          <w:headerReference w:type="first" r:id="rId19"/>
          <w:footerReference w:type="first" r:id="rId20"/>
          <w:pgSz w:w="11907" w:h="16839"/>
          <w:pgMar w:top="1134" w:right="1417" w:bottom="1134" w:left="1417" w:header="709" w:footer="709" w:gutter="0"/>
          <w:cols w:space="720"/>
          <w:docGrid w:linePitch="360"/>
        </w:sectPr>
      </w:pPr>
      <w:r>
        <w:rPr>
          <w:b/>
          <w:noProof/>
        </w:rPr>
        <w:fldChar w:fldCharType="end"/>
      </w:r>
    </w:p>
    <w:p w14:paraId="5B131E81" w14:textId="77777777" w:rsidR="00681F80" w:rsidRPr="00A85E62" w:rsidRDefault="00681F80" w:rsidP="00681F80">
      <w:pPr>
        <w:pStyle w:val="Heading1"/>
        <w:rPr>
          <w:noProof/>
        </w:rPr>
      </w:pPr>
      <w:bookmarkStart w:id="1" w:name="_Toc368320069"/>
      <w:bookmarkStart w:id="2" w:name="_Ref495658716"/>
      <w:bookmarkStart w:id="3" w:name="_Toc233622374"/>
      <w:r>
        <w:rPr>
          <w:noProof/>
        </w:rPr>
        <w:lastRenderedPageBreak/>
        <w:t>Ievads</w:t>
      </w:r>
      <w:bookmarkEnd w:id="1"/>
      <w:bookmarkEnd w:id="2"/>
      <w:bookmarkEnd w:id="3"/>
    </w:p>
    <w:p w14:paraId="07861E4C" w14:textId="41B8593C" w:rsidR="001A7937" w:rsidRPr="00A85E62" w:rsidRDefault="00684764" w:rsidP="00476A0A">
      <w:pPr>
        <w:pStyle w:val="Text1"/>
        <w:ind w:left="0"/>
        <w:rPr>
          <w:noProof/>
        </w:rPr>
      </w:pPr>
      <w:r>
        <w:rPr>
          <w:noProof/>
        </w:rPr>
        <w:t>Padomes 2002. gada 11. novembra Regulas (EK) Nr. 2012/2002, ar ko izveido Eiropas Savienības Solidaritātes fondu</w:t>
      </w:r>
      <w:r>
        <w:rPr>
          <w:rStyle w:val="FootnoteReference"/>
          <w:noProof/>
        </w:rPr>
        <w:footnoteReference w:id="1"/>
      </w:r>
      <w:r>
        <w:rPr>
          <w:noProof/>
        </w:rPr>
        <w:t xml:space="preserve"> (“regula”), 12. pantā ir noteikts, ka Komisijai ir jāsniedz Eiropas Parlamentam un Padomei ziņojums par ES Solidaritātes fonda (“ESSF”) darbību iepriekšējā gadā. Šajā ziņojumā ir aprakstītas ESSF darbības 2025. gadā. Tajā ir sniegts kopsavilkums par i) saņemtajiem pieteikumiem, ii) ierosinātajiem un apstiprinātajiem finansiālajiem pabalstiem un iii) 2025. gadā izbeigtajiem palīdzības pasākumiem. </w:t>
      </w:r>
    </w:p>
    <w:p w14:paraId="50E9E6BA" w14:textId="31744D48" w:rsidR="00041DB3" w:rsidRPr="00A85E62" w:rsidRDefault="001A7937" w:rsidP="00476A0A">
      <w:pPr>
        <w:pStyle w:val="Text1"/>
        <w:ind w:left="0"/>
        <w:rPr>
          <w:noProof/>
        </w:rPr>
      </w:pPr>
      <w:r>
        <w:rPr>
          <w:noProof/>
        </w:rPr>
        <w:t xml:space="preserve">Komisija </w:t>
      </w:r>
      <w:r>
        <w:rPr>
          <w:b/>
          <w:bCs/>
          <w:noProof/>
        </w:rPr>
        <w:t>2025. gadā</w:t>
      </w:r>
      <w:r>
        <w:rPr>
          <w:noProof/>
        </w:rPr>
        <w:t xml:space="preserve"> saņēma </w:t>
      </w:r>
      <w:r>
        <w:rPr>
          <w:b/>
          <w:bCs/>
          <w:noProof/>
        </w:rPr>
        <w:t>sešus jaunus pieteikumus</w:t>
      </w:r>
      <w:r>
        <w:rPr>
          <w:noProof/>
        </w:rPr>
        <w:t xml:space="preserve"> ESSF finansiālā pabalsta saņemšanai, proti, no Kipras (dabas ugunsgrēki), Spānijas (viens pieteikums par plūdiem, viens par dabas ugunsgrēkiem), Francijas (divi pieteikumi ciklonu dēļ) un Rumānijas (plūdi). Trīs pieteikumi attiecās uz “lielām dabas katastrofām” un trīs – uz “reģionālām dabas katastrofām”. Visi seši pieteikumi tika izvērtēti un atzīti par atbalsttiesīgiem, pamatojoties uz regulā noteiktajiem kritērijiem.</w:t>
      </w:r>
    </w:p>
    <w:p w14:paraId="2B6EC426" w14:textId="0B881C2E" w:rsidR="002724B2" w:rsidRPr="00A85E62" w:rsidRDefault="007A2F7C" w:rsidP="00476A0A">
      <w:pPr>
        <w:pStyle w:val="Text1"/>
        <w:ind w:left="0"/>
        <w:rPr>
          <w:noProof/>
        </w:rPr>
      </w:pPr>
      <w:r>
        <w:rPr>
          <w:noProof/>
        </w:rPr>
        <w:t>Spānija (abos pieteikumos), Francija (abos pieteikumos) un Kipra pieprasīja avansa maksājumus. Komisija 2025. gadā piešķīra četrus avansa maksājumus (Kiprai (dabas ugunsgrēki), Spānijai (plūdi), Francijai (divi cikloni)) un kopumā izmaksāja aptuveni 131,41 miljonu EUR. Spānijas pieprasītais avansa maksājums (dabas ugunsgrēki) tiks piešķirts un izmaksāts 2026. gadā.</w:t>
      </w:r>
    </w:p>
    <w:p w14:paraId="4AAEE3F5" w14:textId="185927E6" w:rsidR="007A2F7C" w:rsidRPr="00A85E62" w:rsidRDefault="002724B2" w:rsidP="00476A0A">
      <w:pPr>
        <w:pStyle w:val="Text1"/>
        <w:ind w:left="0"/>
        <w:rPr>
          <w:bCs/>
          <w:noProof/>
        </w:rPr>
      </w:pPr>
      <w:r>
        <w:rPr>
          <w:noProof/>
        </w:rPr>
        <w:t>Īstenošanas lēmumi par sešiem 2025. gadā iesniegtajiem sekmīgajiem pieteikumiem tiks pieņemti 2026. gadā. Turklāt Komisija 2025. gadā izbeidza 18 ESSF palīdzības pasākumus.</w:t>
      </w:r>
    </w:p>
    <w:p w14:paraId="43485B4C" w14:textId="1C08D436" w:rsidR="00144F45" w:rsidRPr="00A85E62" w:rsidRDefault="00B25B2F" w:rsidP="00476A0A">
      <w:pPr>
        <w:pStyle w:val="Text1"/>
        <w:ind w:left="0"/>
        <w:rPr>
          <w:noProof/>
        </w:rPr>
      </w:pPr>
      <w:r>
        <w:rPr>
          <w:noProof/>
        </w:rPr>
        <w:t>I pielikumā ir uzskaitītas “lielas dabas katastrofas” nodarītu zaudējumu robežvērtības, kas 2025. gadā piemērojamas, lai izmantotu ESSF. II pielikumā ir sniegts pārskats par 2025. gadā saņemtajiem pieteikumiem, arī attiecīgā finanšu informācija.</w:t>
      </w:r>
    </w:p>
    <w:p w14:paraId="3065E489" w14:textId="7F646891" w:rsidR="00681F80" w:rsidRPr="00A85E62" w:rsidRDefault="00133D59" w:rsidP="003A3E6A">
      <w:pPr>
        <w:pStyle w:val="Heading1"/>
        <w:rPr>
          <w:noProof/>
        </w:rPr>
      </w:pPr>
      <w:bookmarkStart w:id="4" w:name="_Toc487119828"/>
      <w:bookmarkStart w:id="5" w:name="_Toc487123174"/>
      <w:bookmarkStart w:id="6" w:name="_Toc487119829"/>
      <w:bookmarkStart w:id="7" w:name="_Toc487123175"/>
      <w:bookmarkStart w:id="8" w:name="_Toc487119830"/>
      <w:bookmarkStart w:id="9" w:name="_Toc487123176"/>
      <w:bookmarkStart w:id="10" w:name="_Toc487119831"/>
      <w:bookmarkStart w:id="11" w:name="_Toc487123177"/>
      <w:bookmarkStart w:id="12" w:name="_Toc368320071"/>
      <w:bookmarkStart w:id="13" w:name="_Toc233622375"/>
      <w:bookmarkEnd w:id="4"/>
      <w:bookmarkEnd w:id="5"/>
      <w:bookmarkEnd w:id="6"/>
      <w:bookmarkEnd w:id="7"/>
      <w:bookmarkEnd w:id="8"/>
      <w:bookmarkEnd w:id="9"/>
      <w:bookmarkEnd w:id="10"/>
      <w:bookmarkEnd w:id="11"/>
      <w:r>
        <w:rPr>
          <w:noProof/>
        </w:rPr>
        <w:t>2025. gadā saņemtie pieteikumi</w:t>
      </w:r>
      <w:bookmarkEnd w:id="12"/>
      <w:bookmarkEnd w:id="13"/>
    </w:p>
    <w:p w14:paraId="54DC41C1" w14:textId="470599EA" w:rsidR="00AF19CC" w:rsidRDefault="001D071C" w:rsidP="00AF19CC">
      <w:pPr>
        <w:pStyle w:val="Text1"/>
        <w:ind w:left="0"/>
        <w:rPr>
          <w:noProof/>
        </w:rPr>
      </w:pPr>
      <w:r>
        <w:rPr>
          <w:noProof/>
        </w:rPr>
        <w:t>Komisija 2025. gadā saņēma sešus atbalsttiesīgus pieteikumus ESSF finansiālā pabalsta saņemšanai. Tos visus Komisija saņēma tiesību aktā noteiktajā termiņā – “ne vēlāk kā divpadsmit nedēļas no dienas, kad (..) radušies pirmie zaudējumi” (regulas 4. panta 1. punkts). Trīs pieteikumi attiecās uz “lielām dabas katastrofām” un trīs – uz “reģionālām dabas katastrofām”.</w:t>
      </w:r>
    </w:p>
    <w:p w14:paraId="5375AFA4" w14:textId="728303FE" w:rsidR="007649D3" w:rsidRPr="00A85E62" w:rsidRDefault="007649D3" w:rsidP="00AF19CC">
      <w:pPr>
        <w:pStyle w:val="Text1"/>
        <w:ind w:left="0"/>
        <w:rPr>
          <w:noProof/>
        </w:rPr>
      </w:pPr>
      <w:r>
        <w:rPr>
          <w:noProof/>
        </w:rPr>
        <w:t>Detalizētas finanšu tabulas attiecībā uz šiem pieteikumiem ir atrodamas šā ziņojuma II pielikumā.</w:t>
      </w:r>
    </w:p>
    <w:p w14:paraId="706570E8" w14:textId="77777777" w:rsidR="00D921C7" w:rsidRPr="00A85E62" w:rsidRDefault="00D921C7" w:rsidP="00AF19CC">
      <w:pPr>
        <w:pStyle w:val="Text1"/>
        <w:ind w:left="0"/>
        <w:rPr>
          <w:smallCaps/>
          <w:noProof/>
        </w:rPr>
      </w:pPr>
    </w:p>
    <w:p w14:paraId="3798421F" w14:textId="77777777" w:rsidR="00C55ACB" w:rsidRPr="00A85E62" w:rsidRDefault="004071E3" w:rsidP="00C55ACB">
      <w:pPr>
        <w:pStyle w:val="Text1"/>
        <w:ind w:left="0"/>
        <w:rPr>
          <w:rFonts w:ascii="Times New Roman Bold" w:hAnsi="Times New Roman Bold"/>
          <w:smallCaps/>
          <w:noProof/>
        </w:rPr>
      </w:pPr>
      <w:r>
        <w:rPr>
          <w:rFonts w:ascii="Times New Roman Bold" w:hAnsi="Times New Roman Bold"/>
          <w:smallCaps/>
          <w:noProof/>
        </w:rPr>
        <w:t xml:space="preserve">Spānija – </w:t>
      </w:r>
      <w:r>
        <w:rPr>
          <w:rFonts w:ascii="Times New Roman Bold" w:hAnsi="Times New Roman Bold"/>
          <w:i/>
          <w:iCs/>
          <w:smallCaps/>
          <w:noProof/>
        </w:rPr>
        <w:t>DANA</w:t>
      </w:r>
      <w:r>
        <w:rPr>
          <w:rFonts w:ascii="Times New Roman Bold" w:hAnsi="Times New Roman Bold"/>
          <w:smallCaps/>
          <w:noProof/>
        </w:rPr>
        <w:t xml:space="preserve"> plūdi Valensijā</w:t>
      </w:r>
    </w:p>
    <w:p w14:paraId="179B1934" w14:textId="25CF81AF" w:rsidR="00C55ACB" w:rsidRPr="00A85E62" w:rsidRDefault="00C55ACB" w:rsidP="00C55ACB">
      <w:pPr>
        <w:pStyle w:val="Text1"/>
        <w:ind w:left="0"/>
        <w:rPr>
          <w:rFonts w:ascii="Times New Roman Bold" w:hAnsi="Times New Roman Bold"/>
          <w:smallCaps/>
          <w:noProof/>
        </w:rPr>
      </w:pPr>
      <w:r>
        <w:rPr>
          <w:noProof/>
        </w:rPr>
        <w:t>Laikposmā no 2024. gada 28. oktobra līdz 4. novembrim visā Valensijas reģionā Spānijā plosījās vētra ar spēcīgām lietusgāzēm, izraisot pamatīgus plūdus. Tā skāra aptuveni 2600 mājokļu un vairāk nekā 500 km</w:t>
      </w:r>
      <w:r>
        <w:rPr>
          <w:noProof/>
          <w:vertAlign w:val="superscript"/>
        </w:rPr>
        <w:t>2</w:t>
      </w:r>
      <w:r>
        <w:rPr>
          <w:noProof/>
        </w:rPr>
        <w:t xml:space="preserve"> lielu platību. Tūkstošiem mājsaimniecību palika bez elektroenerģijas, dzeramā ūdens un tālruņa pakalpojumiem, un tika nodarīts būtisks kaitējums publiskajai infrastruktūrai un precēm. Tika ietekmētas vairāk nekā 170 izglītības iestādes un vairāk nekā 50 veselības aprūpes iestādes. Turklāt plūdos gāja bojā 232 cilvēki.</w:t>
      </w:r>
    </w:p>
    <w:p w14:paraId="35C58AB2" w14:textId="20E7B501" w:rsidR="00C55ACB" w:rsidRPr="00A85E62" w:rsidRDefault="00C55ACB" w:rsidP="00164930">
      <w:pPr>
        <w:pStyle w:val="Text1"/>
        <w:ind w:left="0"/>
        <w:rPr>
          <w:noProof/>
          <w:highlight w:val="yellow"/>
        </w:rPr>
      </w:pPr>
      <w:r>
        <w:rPr>
          <w:noProof/>
        </w:rPr>
        <w:t>Saskaņā ar Spānijas iestāžu aplēsēm kopējie tiešie zaudējumi ir sasnieguši 20,28 miljardus EUR. Komisija kā ticamus kopējos tiešos zaudējumus akceptēja 18,08 miljardus EUR. Šī summa pārsniedz Spānijai noteikto “lielas dabas katastrofas” robežvērtību, kas 2025. gadā bija 3,96 miljardi EUR (3 miljardi EUR 2011. gada cenās saskaņā ar regulas 2. panta 2. punktu).</w:t>
      </w:r>
    </w:p>
    <w:p w14:paraId="39038AB8" w14:textId="77777777" w:rsidR="00C55ACB" w:rsidRPr="00A85E62" w:rsidRDefault="00C55ACB" w:rsidP="00C55ACB">
      <w:pPr>
        <w:pStyle w:val="Text1"/>
        <w:ind w:left="0"/>
        <w:rPr>
          <w:noProof/>
          <w:highlight w:val="yellow"/>
        </w:rPr>
      </w:pPr>
    </w:p>
    <w:p w14:paraId="25490853" w14:textId="64CA4817" w:rsidR="00B35949" w:rsidRPr="00A85E62" w:rsidRDefault="00C55ACB" w:rsidP="00B35949">
      <w:pPr>
        <w:pStyle w:val="Text1"/>
        <w:ind w:left="0"/>
        <w:rPr>
          <w:noProof/>
        </w:rPr>
      </w:pPr>
      <w:r>
        <w:rPr>
          <w:noProof/>
        </w:rPr>
        <w:t>Spānija 2025. gada 20. janvārī iesniedza pieteikumu ESSF finansiālā pabalsta saņemšanai nolūkā finansēt ārkārtas un atjaunošanas darbus saistībā ar 2024. gada oktobra plūdiem Valensijas reģionā.</w:t>
      </w:r>
    </w:p>
    <w:p w14:paraId="4789A4BE" w14:textId="09645D27" w:rsidR="00B35949" w:rsidRPr="00A85E62" w:rsidRDefault="00B35949" w:rsidP="00B35949">
      <w:pPr>
        <w:pStyle w:val="Text1"/>
        <w:ind w:left="0"/>
        <w:rPr>
          <w:noProof/>
        </w:rPr>
      </w:pPr>
      <w:r>
        <w:rPr>
          <w:noProof/>
        </w:rPr>
        <w:t>Spānija pieprasīja avansa maksājumu saskaņā ar regulas 4.a pantu. Pamatojoties uz sākotnējo novērtējumu, Komisija secināja, ka ir izpildīti nosacījumi, pie kuriem no ESSF ir izmaksājama regulā atļautā maksimālā avansa summa. Ar Komisijas 2025. gada 20. marta Īstenošanas lēmumu C(2025) 1798 tika piešķirts avanss 100 000 000 EUR apmērā. Avanss Spānijai tika izmaksāts 2025. gada 8. aprīlī.</w:t>
      </w:r>
    </w:p>
    <w:p w14:paraId="7ED8E164" w14:textId="5194F453" w:rsidR="00C55ACB" w:rsidRPr="00A85E62" w:rsidRDefault="00C55ACB" w:rsidP="00C571F5">
      <w:pPr>
        <w:spacing w:before="120" w:after="120" w:line="240" w:lineRule="auto"/>
        <w:jc w:val="both"/>
        <w:rPr>
          <w:rFonts w:ascii="Times New Roman" w:hAnsi="Times New Roman"/>
          <w:noProof/>
          <w:color w:val="000000"/>
          <w:sz w:val="24"/>
          <w:szCs w:val="24"/>
          <w:highlight w:val="yellow"/>
        </w:rPr>
      </w:pPr>
      <w:r>
        <w:rPr>
          <w:rFonts w:ascii="Times New Roman" w:hAnsi="Times New Roman"/>
          <w:noProof/>
          <w:color w:val="000000"/>
          <w:sz w:val="24"/>
        </w:rPr>
        <w:t>Pēc Komisijas 2025. gada 3. oktobra priekšlikuma COM(2025) 855 budžeta lēmējinstitūcija apstiprināja 946 153 691 EUR maksājumu no ESSF Spānijai. Attiecīgais īstenošanas lēmums tiks pieņemts 2026. gadā.</w:t>
      </w:r>
    </w:p>
    <w:p w14:paraId="4ADC7C6C" w14:textId="77777777" w:rsidR="00C55ACB" w:rsidRPr="00A85E62" w:rsidRDefault="00C55ACB" w:rsidP="00AF19CC">
      <w:pPr>
        <w:pStyle w:val="Text1"/>
        <w:ind w:left="0"/>
        <w:rPr>
          <w:rFonts w:ascii="Times New Roman Bold" w:hAnsi="Times New Roman Bold"/>
          <w:smallCaps/>
          <w:noProof/>
          <w:highlight w:val="yellow"/>
        </w:rPr>
      </w:pPr>
    </w:p>
    <w:p w14:paraId="17305729" w14:textId="2E739F07" w:rsidR="005E3223" w:rsidRPr="00A85E62" w:rsidRDefault="004071E3" w:rsidP="005E3223">
      <w:pPr>
        <w:pStyle w:val="Text1"/>
        <w:ind w:left="0"/>
        <w:rPr>
          <w:rFonts w:ascii="Times New Roman Bold" w:hAnsi="Times New Roman Bold"/>
          <w:smallCaps/>
          <w:noProof/>
        </w:rPr>
      </w:pPr>
      <w:r>
        <w:rPr>
          <w:rFonts w:ascii="Times New Roman Bold" w:hAnsi="Times New Roman Bold"/>
          <w:smallCaps/>
          <w:noProof/>
        </w:rPr>
        <w:t>Francija – ciklons Majotā</w:t>
      </w:r>
    </w:p>
    <w:p w14:paraId="65C586E8" w14:textId="3E97BF3E" w:rsidR="005E3223" w:rsidRPr="00A85E62" w:rsidRDefault="005E3223" w:rsidP="005E3223">
      <w:pPr>
        <w:pStyle w:val="Text1"/>
        <w:ind w:left="0"/>
        <w:rPr>
          <w:rFonts w:eastAsia="Calibri"/>
          <w:noProof/>
          <w:color w:val="000000"/>
          <w:szCs w:val="24"/>
        </w:rPr>
      </w:pPr>
      <w:r>
        <w:rPr>
          <w:noProof/>
          <w:color w:val="000000"/>
        </w:rPr>
        <w:t>Ciklons Čido 2024. gada 14. decembrī skāra Majotas salu Francijā. Ciklona vēja brāzmas visā teritorijā pārsniedza 180 km stundā. Salā ciklons izraisīja arī spēcīgas lietusgāzes, un tiek lēsts, ka 12 stundu laikā kopējais nokrišņu daudzums bija no 100 līdz 150 mm. Spēcīgās lietusgāzes un stiprais vējš, kā arī bīstami 5–9 m augsti viļņi iznīcināja neskaitāmus mājokļus. Pilnībā pārstāja darboties elektrotīkls un ūdensapgādes tīkls, un tika nopietni ietekmēti vairāki transporta savienojumi starp abām Majotas salām. Sabiedriskā transporta un skolu transporta pakalpojumu sniedzēji bija spiesti uz laiku apturēt vai būtiski samazināt savu darbību. Ciklons arī izraisīja vismaz 39 nāves gadījumus.</w:t>
      </w:r>
    </w:p>
    <w:p w14:paraId="65D556C2" w14:textId="5718363A" w:rsidR="005E3223" w:rsidRPr="00A85E62" w:rsidRDefault="005E3223" w:rsidP="005E3223">
      <w:pPr>
        <w:pStyle w:val="Text1"/>
        <w:ind w:left="0"/>
        <w:rPr>
          <w:rFonts w:eastAsia="Calibri"/>
          <w:noProof/>
          <w:color w:val="000000"/>
          <w:szCs w:val="24"/>
        </w:rPr>
      </w:pPr>
      <w:r>
        <w:rPr>
          <w:noProof/>
          <w:color w:val="000000"/>
        </w:rPr>
        <w:t>Saskaņā ar Francijas iestāžu aplēsēm katastrofas radītie tiešie zaudējumi ir sasnieguši pavisam 3,8 miljardus EUR. Komisija kā ticamus kopējos tiešos zaudējumus akceptēja 3,6 miljardus EUR. Šī summa saskaņā ar regulas 2. panta 3. punkta otro teikumu pārsniedz “reģionālai dabas katastrofai” piemērojamo robežvērtību, kas Majotai 2025. gadā bija 33,47 miljoni EUR.</w:t>
      </w:r>
    </w:p>
    <w:p w14:paraId="47BFB579" w14:textId="1E8A71C6" w:rsidR="00F42F61" w:rsidRPr="00A85E62" w:rsidRDefault="00F42F61" w:rsidP="00F42F61">
      <w:pPr>
        <w:pStyle w:val="Text1"/>
        <w:ind w:left="0"/>
        <w:rPr>
          <w:noProof/>
          <w:color w:val="000000"/>
          <w:szCs w:val="24"/>
        </w:rPr>
      </w:pPr>
      <w:r>
        <w:rPr>
          <w:noProof/>
          <w:color w:val="000000"/>
        </w:rPr>
        <w:t>Francija 2025. gada 7. martā iesniedza pieteikumu ESSF finansiālā pabalsta saņemšanai nolūkā finansēt ārkārtas un atjaunošanas darbus saistībā ar 2024. gada 14. decembra ciklonu Čido Majotas salā, Francijā.</w:t>
      </w:r>
    </w:p>
    <w:p w14:paraId="6565C23D" w14:textId="7FADC921" w:rsidR="00F42F61" w:rsidRPr="00A85E62" w:rsidRDefault="00F42F61" w:rsidP="00F42F61">
      <w:pPr>
        <w:pStyle w:val="Text1"/>
        <w:ind w:left="0"/>
        <w:rPr>
          <w:noProof/>
          <w:color w:val="000000"/>
          <w:szCs w:val="24"/>
        </w:rPr>
      </w:pPr>
      <w:r>
        <w:rPr>
          <w:noProof/>
          <w:color w:val="000000"/>
        </w:rPr>
        <w:t>Francija pieprasīja avansa maksājumu saskaņā ar regulas 4.a pantu. Pamatojoties uz sākotnējo novērtējumu, Komisija secināja, ka ir izpildīti nosacījumi, pie kuriem ir izmaksājams avanss, kas atbilst 25 % no paredzamās ESSF finansiālā pabalsta summas. Ar Komisijas 2025. gada 20. maija Īstenošanas lēmumu C(2025) 3192 tika piešķirts avanss 23 782 012 EUR apmērā. Avanss Francijai tika izmaksāts 2025. gada 4. jūnijā.</w:t>
      </w:r>
    </w:p>
    <w:p w14:paraId="0D691BB6" w14:textId="38BED97D" w:rsidR="005E3223" w:rsidRPr="00A85E62" w:rsidRDefault="00D5032E" w:rsidP="00C571F5">
      <w:pPr>
        <w:spacing w:before="120" w:after="120" w:line="240" w:lineRule="auto"/>
        <w:jc w:val="both"/>
        <w:rPr>
          <w:rFonts w:ascii="Times New Roman" w:hAnsi="Times New Roman"/>
          <w:noProof/>
          <w:color w:val="000000"/>
          <w:sz w:val="24"/>
          <w:szCs w:val="24"/>
        </w:rPr>
      </w:pPr>
      <w:r>
        <w:rPr>
          <w:rFonts w:ascii="Times New Roman" w:hAnsi="Times New Roman"/>
          <w:noProof/>
          <w:color w:val="000000"/>
          <w:sz w:val="24"/>
        </w:rPr>
        <w:t>Pēc Komisijas 2025. gada 3. oktobra priekšlikuma COM(2025) 855 budžeta lēmējinstitūcija apstiprināja 89 628 050 EUR maksājumu no ESSF Francijai. Attiecīgais īstenošanas lēmums tiks pieņemts 2026. gadā.</w:t>
      </w:r>
    </w:p>
    <w:p w14:paraId="4C6B56FE" w14:textId="77777777" w:rsidR="004D3CC6" w:rsidRPr="00A85E62" w:rsidRDefault="004D3CC6" w:rsidP="009F5BF0">
      <w:pPr>
        <w:spacing w:before="120" w:after="120"/>
        <w:jc w:val="both"/>
        <w:rPr>
          <w:rFonts w:ascii="Times New Roman" w:hAnsi="Times New Roman"/>
          <w:noProof/>
          <w:color w:val="000000"/>
          <w:sz w:val="24"/>
          <w:szCs w:val="24"/>
        </w:rPr>
      </w:pPr>
    </w:p>
    <w:p w14:paraId="7B6303B9" w14:textId="0B412B0A" w:rsidR="004071E3" w:rsidRPr="00A85E62" w:rsidRDefault="004071E3" w:rsidP="00AF19CC">
      <w:pPr>
        <w:pStyle w:val="Text1"/>
        <w:ind w:left="0"/>
        <w:rPr>
          <w:rFonts w:ascii="Times New Roman Bold" w:hAnsi="Times New Roman Bold"/>
          <w:smallCaps/>
          <w:noProof/>
        </w:rPr>
      </w:pPr>
      <w:r>
        <w:rPr>
          <w:rFonts w:ascii="Times New Roman Bold" w:hAnsi="Times New Roman Bold"/>
          <w:smallCaps/>
          <w:noProof/>
        </w:rPr>
        <w:t>Francija – ciklons Reinjonā</w:t>
      </w:r>
    </w:p>
    <w:p w14:paraId="74229614" w14:textId="57943C7F" w:rsidR="004D3CC6" w:rsidRPr="00A85E62" w:rsidRDefault="004D3CC6" w:rsidP="004D3CC6">
      <w:pPr>
        <w:pStyle w:val="Text1"/>
        <w:ind w:left="0"/>
        <w:rPr>
          <w:rFonts w:eastAsia="Calibri"/>
          <w:noProof/>
          <w:color w:val="000000"/>
          <w:szCs w:val="24"/>
        </w:rPr>
      </w:pPr>
      <w:r>
        <w:rPr>
          <w:noProof/>
          <w:color w:val="000000"/>
        </w:rPr>
        <w:t xml:space="preserve">Ciklons </w:t>
      </w:r>
      <w:r>
        <w:rPr>
          <w:i/>
          <w:iCs/>
          <w:noProof/>
          <w:color w:val="000000"/>
        </w:rPr>
        <w:t>Garance</w:t>
      </w:r>
      <w:r>
        <w:rPr>
          <w:noProof/>
          <w:color w:val="000000"/>
        </w:rPr>
        <w:t xml:space="preserve"> 2025. gada 28. februārī skāra Reinjonas salu Francijā. Dažos apgabalos ciklona vēju ātrums sasniedza 215 km/h un izraisīja spēcīgas lietusgāzes un bīstamus jūras apstākļus. Ciklons būtiski ietekmēja ceļu tīklu un lielā mērā traucēja ekonomiku. Ciklons nodarīja lielu kaitējumu lauksaimniecības, īpaši cukurniedru, nozarei un no tūrisma atkarīgajiem uzņēmumiem. Lai palīdzētu skartajiem iedzīvotājiem, tika atvērti 123 izmitināšanas centri, kuros cilvēki varēja patverties. Ciklons izraisīja arī vismaz piecus nāves gadījumus.</w:t>
      </w:r>
    </w:p>
    <w:p w14:paraId="6CACDCE1" w14:textId="7EBD4E8B" w:rsidR="004D3CC6" w:rsidRPr="00A85E62" w:rsidRDefault="004D3CC6" w:rsidP="004D3CC6">
      <w:pPr>
        <w:pStyle w:val="Text1"/>
        <w:ind w:left="0"/>
        <w:rPr>
          <w:rFonts w:eastAsia="Calibri"/>
          <w:noProof/>
          <w:color w:val="000000"/>
          <w:szCs w:val="24"/>
        </w:rPr>
      </w:pPr>
      <w:r>
        <w:rPr>
          <w:noProof/>
          <w:color w:val="000000"/>
        </w:rPr>
        <w:t>Saskaņā ar Francijas iestāžu aplēsēm katastrofas radītie tiešie zaudējumi ir sasnieguši pavisam 849,45 miljonus EUR. Šī summa saskaņā ar regulas 2. panta 3. punkta otro teikumu pārsniedz “reģionālai dabas katastrofai” piemērojamo robežvērtību, kas Reinjonai 2025. gadā bija 216,68 miljoni EUR.</w:t>
      </w:r>
    </w:p>
    <w:p w14:paraId="48F0DBFC" w14:textId="62EB057F" w:rsidR="004D3CC6" w:rsidRPr="00A85E62" w:rsidRDefault="004D3CC6" w:rsidP="004D3CC6">
      <w:pPr>
        <w:pStyle w:val="Text1"/>
        <w:ind w:left="0"/>
        <w:rPr>
          <w:noProof/>
          <w:color w:val="000000"/>
          <w:szCs w:val="24"/>
        </w:rPr>
      </w:pPr>
      <w:r>
        <w:rPr>
          <w:noProof/>
          <w:color w:val="000000"/>
        </w:rPr>
        <w:t xml:space="preserve">Francija 2025. gada 23. maijā iesniedza pieteikumu ESSF finansiālā pabalsta saņemšanai nolūkā finansēt ārkārtas un atjaunošanas darbus saistībā ar 2025. gada 28. februāra ciklonu </w:t>
      </w:r>
      <w:r>
        <w:rPr>
          <w:i/>
          <w:iCs/>
          <w:noProof/>
          <w:color w:val="000000"/>
        </w:rPr>
        <w:t>Garance</w:t>
      </w:r>
      <w:r>
        <w:rPr>
          <w:noProof/>
          <w:color w:val="000000"/>
        </w:rPr>
        <w:t xml:space="preserve"> Reinjonas salā, Francijā.</w:t>
      </w:r>
    </w:p>
    <w:p w14:paraId="4D87DAC9" w14:textId="4909EE93" w:rsidR="004D3CC6" w:rsidRPr="00A85E62" w:rsidRDefault="004D3CC6" w:rsidP="004D3CC6">
      <w:pPr>
        <w:pStyle w:val="Text1"/>
        <w:ind w:left="0"/>
        <w:rPr>
          <w:noProof/>
          <w:color w:val="000000"/>
          <w:szCs w:val="24"/>
        </w:rPr>
      </w:pPr>
      <w:r>
        <w:rPr>
          <w:noProof/>
          <w:color w:val="000000"/>
        </w:rPr>
        <w:t>Francija pieprasīja avansa maksājumu saskaņā ar regulas 4.a pantu. Pamatojoties uz sākotnējo novērtējumu, Komisija secināja, ka ir izpildīti nosacījumi, pie kuriem ir izmaksājams avanss, kas atbilst 25 % no paredzamās ESSF finansiālā pabalsta summas. Ar Komisijas 2025. gada 5. augusta Īstenošanas lēmumu C(2025) 5615 tika piešķirts avanss 5 309 084 EUR apmērā. Avanss Francijai tika izmaksāts 2025. gada 26. augustā.</w:t>
      </w:r>
    </w:p>
    <w:p w14:paraId="1C414DDC" w14:textId="4B530E63" w:rsidR="004D3CC6" w:rsidRPr="00A85E62" w:rsidRDefault="004D3CC6" w:rsidP="00C571F5">
      <w:pPr>
        <w:spacing w:before="120" w:after="120" w:line="240" w:lineRule="auto"/>
        <w:jc w:val="both"/>
        <w:rPr>
          <w:rFonts w:ascii="Times New Roman" w:hAnsi="Times New Roman"/>
          <w:noProof/>
          <w:color w:val="000000"/>
          <w:sz w:val="24"/>
          <w:szCs w:val="24"/>
        </w:rPr>
      </w:pPr>
      <w:r>
        <w:rPr>
          <w:rFonts w:ascii="Times New Roman" w:hAnsi="Times New Roman"/>
          <w:noProof/>
          <w:color w:val="000000"/>
          <w:sz w:val="24"/>
        </w:rPr>
        <w:t>Pēc Komisijas 2025. gada 3. oktobra priekšlikuma COM(2025) 855 budžeta lēmējinstitūcija apstiprināja 21 236 336 EUR maksājumu no ESSF Francijai. Attiecīgais īstenošanas lēmums tiks pieņemts 2026. gadā.</w:t>
      </w:r>
    </w:p>
    <w:p w14:paraId="2437EC08" w14:textId="77777777" w:rsidR="002C18CF" w:rsidRPr="00A85E62" w:rsidRDefault="002C18CF" w:rsidP="00C571F5">
      <w:pPr>
        <w:spacing w:before="120" w:after="120"/>
        <w:jc w:val="both"/>
        <w:rPr>
          <w:rFonts w:ascii="Times New Roman Bold" w:hAnsi="Times New Roman Bold"/>
          <w:smallCaps/>
          <w:noProof/>
          <w:highlight w:val="yellow"/>
        </w:rPr>
      </w:pPr>
    </w:p>
    <w:p w14:paraId="18B3AEF3" w14:textId="404B4F8F" w:rsidR="002C18CF" w:rsidRPr="00A85E62" w:rsidRDefault="002C18CF" w:rsidP="002C18CF">
      <w:pPr>
        <w:pStyle w:val="Text1"/>
        <w:ind w:left="0"/>
        <w:rPr>
          <w:rFonts w:ascii="Times New Roman Bold" w:hAnsi="Times New Roman Bold"/>
          <w:smallCaps/>
          <w:noProof/>
        </w:rPr>
      </w:pPr>
      <w:r>
        <w:rPr>
          <w:rFonts w:ascii="Times New Roman Bold" w:hAnsi="Times New Roman Bold"/>
          <w:smallCaps/>
          <w:noProof/>
        </w:rPr>
        <w:t>Rumānija – plūdi</w:t>
      </w:r>
    </w:p>
    <w:p w14:paraId="13399941" w14:textId="65AC2067" w:rsidR="002C18CF" w:rsidRPr="00A85E62" w:rsidRDefault="002C18CF" w:rsidP="002C18CF">
      <w:pPr>
        <w:pStyle w:val="Text1"/>
        <w:ind w:left="0"/>
        <w:rPr>
          <w:noProof/>
          <w:color w:val="000000"/>
          <w:szCs w:val="24"/>
        </w:rPr>
      </w:pPr>
      <w:r>
        <w:rPr>
          <w:noProof/>
          <w:color w:val="000000"/>
        </w:rPr>
        <w:t xml:space="preserve">No 2025. gada 26. maija līdz jūnija sākumam Rumānijā vairākas dienas bija spēcīgas lietusgāzes, kas izraisīja plūdus </w:t>
      </w:r>
      <w:r>
        <w:rPr>
          <w:i/>
          <w:iCs/>
          <w:noProof/>
          <w:color w:val="000000"/>
        </w:rPr>
        <w:t>Centru</w:t>
      </w:r>
      <w:r>
        <w:rPr>
          <w:noProof/>
          <w:color w:val="000000"/>
        </w:rPr>
        <w:t xml:space="preserve">, </w:t>
      </w:r>
      <w:r>
        <w:rPr>
          <w:i/>
          <w:iCs/>
          <w:noProof/>
          <w:color w:val="000000"/>
        </w:rPr>
        <w:t>Sud Muntenia</w:t>
      </w:r>
      <w:r>
        <w:rPr>
          <w:noProof/>
          <w:color w:val="000000"/>
        </w:rPr>
        <w:t xml:space="preserve"> un </w:t>
      </w:r>
      <w:r>
        <w:rPr>
          <w:i/>
          <w:iCs/>
          <w:noProof/>
          <w:color w:val="000000"/>
        </w:rPr>
        <w:t>Nord Est</w:t>
      </w:r>
      <w:r>
        <w:rPr>
          <w:noProof/>
          <w:color w:val="000000"/>
        </w:rPr>
        <w:t xml:space="preserve"> reģionā. Lielākais kaitējums tika reģistrēts </w:t>
      </w:r>
      <w:r>
        <w:rPr>
          <w:i/>
          <w:iCs/>
          <w:noProof/>
          <w:color w:val="000000"/>
        </w:rPr>
        <w:t>Praid</w:t>
      </w:r>
      <w:r>
        <w:rPr>
          <w:noProof/>
          <w:color w:val="000000"/>
        </w:rPr>
        <w:t xml:space="preserve"> sāls raktuvēs, kur 27. maijā plūdu ūdeņi no Korundas upes daļēji izšķīdināja upes gultni, nopietni bojājot teritorijas hidrotehnisko infrastruktūru un iekļūstot sāls raktuvēs. Visas sāls raktuves tika appludinātas ar ūdeni, apdraudot sāls balstu stabilitāti un raktuvju strukturālo integritāti. Citās šo reģionu daļās krusa un spēcīgi vēji radīja plašus infrastruktūras bojājumus. Vētras arī traucēja sabiedrisko pakalpojumu darbību un atstāja tūkstošiem mājsaimniecību bez elektroenerģijas.</w:t>
      </w:r>
    </w:p>
    <w:p w14:paraId="7AF835AA" w14:textId="19F108E2" w:rsidR="00DC2D97" w:rsidRPr="00A85E62" w:rsidRDefault="002C18CF" w:rsidP="00DC2D97">
      <w:pPr>
        <w:pStyle w:val="Text1"/>
        <w:ind w:left="0"/>
        <w:rPr>
          <w:noProof/>
          <w:color w:val="000000"/>
          <w:szCs w:val="24"/>
        </w:rPr>
      </w:pPr>
      <w:r>
        <w:rPr>
          <w:noProof/>
          <w:color w:val="000000"/>
        </w:rPr>
        <w:t xml:space="preserve">Saskaņā ar Rumānijas iestāžu aplēsēm katastrofas radītie tiešie zaudējumi ir sasnieguši pavisam 573,59 miljonus EUR. Regulas 2. panta 3. punkta trešais teikums noteic – ja dabas katastrofa skar vairākus </w:t>
      </w:r>
      <w:r>
        <w:rPr>
          <w:i/>
          <w:iCs/>
          <w:noProof/>
          <w:color w:val="000000"/>
        </w:rPr>
        <w:t>NUTS</w:t>
      </w:r>
      <w:r>
        <w:rPr>
          <w:noProof/>
          <w:color w:val="000000"/>
        </w:rPr>
        <w:t xml:space="preserve"> 2. līmeņa reģionus, robežvērtība jāpiemēro šo reģionu vidējam IKP, kas svērts atbilstoši kopējo zaudējumu daļai katrā reģionā. Tiešie zaudējumi, kas izteikti procentos no </w:t>
      </w:r>
      <w:r>
        <w:rPr>
          <w:i/>
          <w:iCs/>
          <w:noProof/>
          <w:color w:val="000000"/>
        </w:rPr>
        <w:t>Centru</w:t>
      </w:r>
      <w:r>
        <w:rPr>
          <w:noProof/>
          <w:color w:val="000000"/>
        </w:rPr>
        <w:t xml:space="preserve">, </w:t>
      </w:r>
      <w:r>
        <w:rPr>
          <w:i/>
          <w:iCs/>
          <w:noProof/>
          <w:color w:val="000000"/>
        </w:rPr>
        <w:t>Sud Muntenia</w:t>
      </w:r>
      <w:r>
        <w:rPr>
          <w:noProof/>
          <w:color w:val="000000"/>
        </w:rPr>
        <w:t xml:space="preserve"> un </w:t>
      </w:r>
      <w:r>
        <w:rPr>
          <w:i/>
          <w:iCs/>
          <w:noProof/>
          <w:color w:val="000000"/>
        </w:rPr>
        <w:t>Nord Est</w:t>
      </w:r>
      <w:r>
        <w:rPr>
          <w:noProof/>
          <w:color w:val="000000"/>
        </w:rPr>
        <w:t xml:space="preserve"> reģionu kopējā svērtā reģionālā IKP, ir 1,8 %. Šī summa pārsniedz 1,5 % no </w:t>
      </w:r>
      <w:r>
        <w:rPr>
          <w:i/>
          <w:iCs/>
          <w:noProof/>
          <w:color w:val="000000"/>
        </w:rPr>
        <w:t>Centru</w:t>
      </w:r>
      <w:r>
        <w:rPr>
          <w:noProof/>
          <w:color w:val="000000"/>
        </w:rPr>
        <w:t xml:space="preserve">, </w:t>
      </w:r>
      <w:r>
        <w:rPr>
          <w:i/>
          <w:iCs/>
          <w:noProof/>
          <w:color w:val="000000"/>
        </w:rPr>
        <w:t>Sud Muntenia</w:t>
      </w:r>
      <w:r>
        <w:rPr>
          <w:noProof/>
          <w:color w:val="000000"/>
        </w:rPr>
        <w:t xml:space="preserve"> un </w:t>
      </w:r>
      <w:r>
        <w:rPr>
          <w:i/>
          <w:iCs/>
          <w:noProof/>
          <w:color w:val="000000"/>
        </w:rPr>
        <w:t>Nord Est</w:t>
      </w:r>
      <w:r>
        <w:rPr>
          <w:noProof/>
          <w:color w:val="000000"/>
        </w:rPr>
        <w:t xml:space="preserve"> reģionu kopējā svērtā reģionālā IKP.</w:t>
      </w:r>
    </w:p>
    <w:p w14:paraId="44A7B58E" w14:textId="4780C850" w:rsidR="00DC2D97" w:rsidRPr="00A85E62" w:rsidRDefault="00DC2D97" w:rsidP="009F5BF0">
      <w:pPr>
        <w:pStyle w:val="Text1"/>
        <w:ind w:left="0"/>
        <w:rPr>
          <w:noProof/>
          <w:color w:val="000000"/>
          <w:szCs w:val="24"/>
        </w:rPr>
      </w:pPr>
      <w:r>
        <w:rPr>
          <w:noProof/>
          <w:color w:val="000000"/>
        </w:rPr>
        <w:t>Rumānija 2025. gada 14. augustā iesniedza pieteikumu ESSF finansiālā pabalsta saņemšanai nolūkā finansēt ārkārtas un atjaunošanas darbus saistībā ar plūdiem, kas valsti skāra 2025. gada 27. maijā. Rumānija 2025. gada 26. septembrī un 2026. gada 24. martā iesniedza papildu skaidrojumus par ESSF pieteikumā sniegtajiem datiem un informāciju.</w:t>
      </w:r>
    </w:p>
    <w:p w14:paraId="33C06E8D" w14:textId="6A5CA0FD" w:rsidR="00DC2D97" w:rsidRPr="00A85E62" w:rsidRDefault="00DC2D97" w:rsidP="00DC2D97">
      <w:pPr>
        <w:pStyle w:val="Text1"/>
        <w:ind w:left="0"/>
        <w:rPr>
          <w:noProof/>
          <w:color w:val="000000"/>
          <w:szCs w:val="24"/>
        </w:rPr>
      </w:pPr>
      <w:r>
        <w:rPr>
          <w:noProof/>
          <w:color w:val="000000"/>
        </w:rPr>
        <w:t>Rumānija nepieprasīja avansa maksājumu.</w:t>
      </w:r>
    </w:p>
    <w:p w14:paraId="40A209FA" w14:textId="031B8E04" w:rsidR="00DC2D97" w:rsidRPr="00A85E62" w:rsidRDefault="00DC2D97" w:rsidP="00C571F5">
      <w:pPr>
        <w:spacing w:before="120" w:after="120" w:line="240" w:lineRule="auto"/>
        <w:jc w:val="both"/>
        <w:rPr>
          <w:rFonts w:ascii="Times New Roman" w:hAnsi="Times New Roman"/>
          <w:noProof/>
          <w:color w:val="000000"/>
          <w:sz w:val="24"/>
          <w:szCs w:val="24"/>
        </w:rPr>
      </w:pPr>
      <w:r>
        <w:rPr>
          <w:rFonts w:ascii="Times New Roman" w:hAnsi="Times New Roman"/>
          <w:noProof/>
          <w:color w:val="000000"/>
          <w:sz w:val="24"/>
        </w:rPr>
        <w:t>Komisija 2026. gada maijā iesniedza budžeta lēmējinstitūcijai izmantošanas priekšlikumu. Tiklīdz budžeta lēmējinstitūcija būs apstiprinājusi ierosināto ESSF palīdzību Rumānijai, 2026. gadā tiks pieņemts attiecīgs īstenošanas lēmums.</w:t>
      </w:r>
    </w:p>
    <w:p w14:paraId="4DA4C90C" w14:textId="77777777" w:rsidR="00DC2D97" w:rsidRPr="00A85E62" w:rsidRDefault="00DC2D97" w:rsidP="00C571F5">
      <w:pPr>
        <w:spacing w:before="120" w:after="120"/>
        <w:jc w:val="both"/>
        <w:rPr>
          <w:noProof/>
          <w:color w:val="000000"/>
          <w:szCs w:val="24"/>
        </w:rPr>
      </w:pPr>
    </w:p>
    <w:p w14:paraId="2420D1C5" w14:textId="77777777" w:rsidR="00DC2D97" w:rsidRPr="00A85E62" w:rsidRDefault="00DC2D97" w:rsidP="009913DA">
      <w:pPr>
        <w:pStyle w:val="Text1"/>
        <w:keepNext/>
        <w:keepLines/>
        <w:ind w:left="0"/>
        <w:rPr>
          <w:rFonts w:ascii="Times New Roman Bold" w:hAnsi="Times New Roman Bold"/>
          <w:smallCaps/>
          <w:noProof/>
        </w:rPr>
      </w:pPr>
      <w:r>
        <w:rPr>
          <w:rFonts w:ascii="Times New Roman Bold" w:hAnsi="Times New Roman Bold"/>
          <w:smallCaps/>
          <w:noProof/>
        </w:rPr>
        <w:t>Kipra – dabas ugunsgrēki</w:t>
      </w:r>
    </w:p>
    <w:p w14:paraId="18732BA8" w14:textId="286C9CB3" w:rsidR="00DC2D97" w:rsidRPr="00A85E62" w:rsidRDefault="00DC2D97" w:rsidP="00C571F5">
      <w:pPr>
        <w:pStyle w:val="Text1"/>
        <w:keepNext/>
        <w:keepLines/>
        <w:ind w:left="0"/>
        <w:rPr>
          <w:noProof/>
          <w:color w:val="000000"/>
          <w:szCs w:val="24"/>
        </w:rPr>
      </w:pPr>
      <w:r>
        <w:rPr>
          <w:noProof/>
          <w:color w:val="000000"/>
        </w:rPr>
        <w:t>Kipra 2025. gada vasarā piedzīvoja ilgstošu sausumu, ekstrēmus karstuma viļņus un spēcīgus vējus, kas jūlijā radīja attiecīgus apstākļus diviem nepieredzēta apmēra dabas ugunsgrēkiem Limasolas un Pafas reģionā. Limasolas dabas ugunsgrēku dēļ tūkstošiem iedzīvotāju bija spiesti evakuēties. Vairākām skolām un veselības aprūpes iestādēm bija jāsamazina savi pakalpojumi, un tika iznīcināti gandrīz 900 privātīpašumi. Vienlaikus Pafas dabas ugunsgrēks radīja nopietnus ekonomiskus zaudējumus lauksaimniecības nozarē un nodarīja kaitējumu videi, apdraudot lauku kopienu sociālekonomisko stabilitāti. Dabas ugunsgrēki izraisīja arī divus nāves gadījumus.</w:t>
      </w:r>
    </w:p>
    <w:p w14:paraId="3DBA8713" w14:textId="6B216287" w:rsidR="00DC2D97" w:rsidRDefault="00DC2D97" w:rsidP="00DC2D97">
      <w:pPr>
        <w:pStyle w:val="Text1"/>
        <w:ind w:left="0"/>
        <w:rPr>
          <w:noProof/>
          <w:color w:val="000000"/>
          <w:szCs w:val="24"/>
        </w:rPr>
      </w:pPr>
      <w:r>
        <w:rPr>
          <w:noProof/>
          <w:color w:val="000000"/>
        </w:rPr>
        <w:t xml:space="preserve">Saskaņā ar Kipras iestāžu aplēsēm katastrofas radītie tiešie zaudējumi ir sasnieguši pavisam 253,691 miljonus EUR. Komisija kā ticamus kopējos tiešos zaudējumus akceptēja 252,68 miljonus EUR. </w:t>
      </w:r>
      <w:r>
        <w:rPr>
          <w:noProof/>
        </w:rPr>
        <w:t>Šī summa pārsniedza saskaņā ar regulas 2. panta 2. punktu Kiprai piemērojamo “lielas dabas katastrofas” robežvērtību – 0,6 % no tās nacionālā kopienākuma –, kas 2025. gadā bija 170,046 miljoni EUR.</w:t>
      </w:r>
    </w:p>
    <w:p w14:paraId="62A073C5" w14:textId="4E13BAA8" w:rsidR="00747F5E" w:rsidRPr="00A85E62" w:rsidRDefault="00747F5E" w:rsidP="00DC2D97">
      <w:pPr>
        <w:pStyle w:val="Text1"/>
        <w:ind w:left="0"/>
        <w:rPr>
          <w:noProof/>
          <w:color w:val="000000"/>
          <w:szCs w:val="24"/>
        </w:rPr>
      </w:pPr>
      <w:r>
        <w:rPr>
          <w:noProof/>
          <w:color w:val="000000"/>
        </w:rPr>
        <w:t>Kipra 2025. gada 14. oktobrī iesniedza pieteikumu ESSF finansiālā pabalsta saņemšanai nolūkā finansēt ārkārtas un atjaunošanas darbus saistībā ar 2025. gada jūlija dabas ugunsgrēkiem.</w:t>
      </w:r>
    </w:p>
    <w:p w14:paraId="7433DBBA" w14:textId="303FD4EF" w:rsidR="00DC2D97" w:rsidRPr="00A85E62" w:rsidRDefault="00DC2D97" w:rsidP="009F5BF0">
      <w:pPr>
        <w:pStyle w:val="Text1"/>
        <w:ind w:left="0"/>
        <w:rPr>
          <w:noProof/>
          <w:color w:val="000000"/>
          <w:szCs w:val="24"/>
        </w:rPr>
      </w:pPr>
      <w:r>
        <w:rPr>
          <w:noProof/>
          <w:color w:val="000000"/>
        </w:rPr>
        <w:t>Kipra pieprasīja avansa maksājumu saskaņā ar regulas 4.a pantu. Pamatojoties uz sākotnējo novērtējumu, Komisija secināja, ka ir izpildīti nosacījumi, pie kuriem no ESSF ir izmaksājams avanss. Ar Komisijas 2025. gada 3. decembra Īstenošanas lēmumu C(2025) 8276 tika piešķirts avanss 2 317 465 EUR apmērā. Avanss Kiprai tika izmaksāts 2025. gada 29. decembrī.</w:t>
      </w:r>
    </w:p>
    <w:p w14:paraId="6E90F64C" w14:textId="224FBB71" w:rsidR="00DC2D97" w:rsidRPr="00A85E62" w:rsidRDefault="00DC2D97" w:rsidP="00C571F5">
      <w:pPr>
        <w:spacing w:before="120" w:after="120" w:line="240" w:lineRule="auto"/>
        <w:jc w:val="both"/>
        <w:rPr>
          <w:rFonts w:ascii="Times New Roman" w:hAnsi="Times New Roman"/>
          <w:noProof/>
          <w:color w:val="000000"/>
          <w:sz w:val="24"/>
          <w:szCs w:val="24"/>
        </w:rPr>
      </w:pPr>
      <w:r>
        <w:rPr>
          <w:rFonts w:ascii="Times New Roman" w:hAnsi="Times New Roman"/>
          <w:noProof/>
          <w:color w:val="000000"/>
          <w:sz w:val="24"/>
        </w:rPr>
        <w:t>Komisija 2026. gada maijā iesniedza budžeta lēmējinstitūcijai izmantošanas priekšlikumu. Tiklīdz budžeta lēmējinstitūcija būs apstiprinājusi ierosināto ESSF palīdzību Kiprai, 2026. gadā tiks pieņemts attiecīgs īstenošanas lēmums.</w:t>
      </w:r>
    </w:p>
    <w:p w14:paraId="7D98A87A" w14:textId="77777777" w:rsidR="00DC2D97" w:rsidRPr="00A85E62" w:rsidRDefault="00DC2D97" w:rsidP="009913DA">
      <w:pPr>
        <w:spacing w:before="120" w:after="120"/>
        <w:jc w:val="both"/>
        <w:rPr>
          <w:noProof/>
          <w:color w:val="000000"/>
          <w:szCs w:val="24"/>
        </w:rPr>
      </w:pPr>
    </w:p>
    <w:p w14:paraId="31B9BC01" w14:textId="7676A319" w:rsidR="00DC2D97" w:rsidRPr="00A85E62" w:rsidRDefault="00DC2D97" w:rsidP="00DC2D97">
      <w:pPr>
        <w:pStyle w:val="Text1"/>
        <w:ind w:left="0"/>
        <w:rPr>
          <w:rFonts w:ascii="Times New Roman Bold" w:hAnsi="Times New Roman Bold"/>
          <w:smallCaps/>
          <w:noProof/>
        </w:rPr>
      </w:pPr>
      <w:r>
        <w:rPr>
          <w:rFonts w:ascii="Times New Roman Bold" w:hAnsi="Times New Roman Bold"/>
          <w:smallCaps/>
          <w:noProof/>
        </w:rPr>
        <w:t>Spānija – dabas ugunsgrēki</w:t>
      </w:r>
    </w:p>
    <w:p w14:paraId="0C792D5F" w14:textId="13CF416B" w:rsidR="00DC2D97" w:rsidRPr="00A85E62" w:rsidRDefault="00DC2D97" w:rsidP="00DC2D97">
      <w:pPr>
        <w:pStyle w:val="Text1"/>
        <w:ind w:left="0"/>
        <w:rPr>
          <w:noProof/>
          <w:color w:val="000000"/>
          <w:szCs w:val="24"/>
        </w:rPr>
      </w:pPr>
      <w:r>
        <w:rPr>
          <w:noProof/>
          <w:color w:val="000000"/>
        </w:rPr>
        <w:t>Spānija 2025. gada vasarā piedzīvoja ilgstošu sausumu, ekstrēmus karstuma viļņus un trīs nopietnu dabas ugunsgrēku viļņus. 16 autonomajos apgabalos tika reģistrēti vismaz 243 dabas ugunsgrēki. Ugunsgrēki nodarīja ievērojamu kaitējumu videi, sabiedrībai un ekonomikai, iznīcinot daudzu cilvēku iztikas avotu, it īpaši lauku apvidos. Daudzi cilvēki bija jāevakuē no mājām. Dabas ugunsgrēki izraisīja arī astoņus nāves gadījumus. Šis pieteikums attiecas uz kaitējumu, ko izraisījis trešais un postošākais ugunsgrēku vilnis, kas sākās 2025. gada 8. augustā.</w:t>
      </w:r>
    </w:p>
    <w:p w14:paraId="3FA9829F" w14:textId="2D8E3A3C" w:rsidR="00DC2D97" w:rsidRDefault="00DC2D97" w:rsidP="00DC2D97">
      <w:pPr>
        <w:pStyle w:val="Text1"/>
        <w:ind w:left="0"/>
        <w:rPr>
          <w:noProof/>
          <w:color w:val="000000"/>
          <w:szCs w:val="24"/>
        </w:rPr>
      </w:pPr>
      <w:r>
        <w:rPr>
          <w:noProof/>
          <w:color w:val="000000"/>
        </w:rPr>
        <w:t xml:space="preserve">Saskaņā ar Spānijas iestāžu aplēsēm katastrofas radītie tiešie zaudējumi ir sasnieguši pavisam 4318,27 miljonus EUR. </w:t>
      </w:r>
      <w:r>
        <w:rPr>
          <w:noProof/>
        </w:rPr>
        <w:t xml:space="preserve">Šī </w:t>
      </w:r>
      <w:r>
        <w:rPr>
          <w:noProof/>
          <w:color w:val="000000"/>
        </w:rPr>
        <w:t>summa pārsniedz Spānijai noteikto “lielas dabas katastrofas” robežvērtību, kas 2025. gadā bija 3958,44 miljoni EUR</w:t>
      </w:r>
      <w:r>
        <w:rPr>
          <w:noProof/>
        </w:rPr>
        <w:t xml:space="preserve"> (3 miljardi EUR 2011. gada cenās saskaņā ar regulas 2. panta 2. punktu).</w:t>
      </w:r>
    </w:p>
    <w:p w14:paraId="7D368F15" w14:textId="445CD34F" w:rsidR="00747F5E" w:rsidRPr="00A85E62" w:rsidRDefault="00747F5E" w:rsidP="00DC2D97">
      <w:pPr>
        <w:pStyle w:val="Text1"/>
        <w:ind w:left="0"/>
        <w:rPr>
          <w:noProof/>
          <w:color w:val="000000"/>
          <w:szCs w:val="24"/>
        </w:rPr>
      </w:pPr>
      <w:r>
        <w:rPr>
          <w:noProof/>
          <w:color w:val="000000"/>
        </w:rPr>
        <w:t>Spānija 2025. gada 30. oktobrī iesniedza pieteikumu ESSF finansiālā pabalsta saņemšanai nolūkā finansēt ārkārtas un atjaunošanas darbus saistībā ar 2025. gada augusta dabas ugunsgrēkiem.</w:t>
      </w:r>
    </w:p>
    <w:p w14:paraId="21FCC547" w14:textId="1D125359" w:rsidR="00DC2D97" w:rsidRPr="00A85E62" w:rsidRDefault="00DC2D97" w:rsidP="00DC2D97">
      <w:pPr>
        <w:pStyle w:val="Text1"/>
        <w:ind w:left="0"/>
        <w:rPr>
          <w:noProof/>
          <w:color w:val="000000"/>
          <w:szCs w:val="24"/>
        </w:rPr>
      </w:pPr>
      <w:r>
        <w:rPr>
          <w:noProof/>
          <w:color w:val="000000"/>
        </w:rPr>
        <w:t>Spānija pieprasīja avansa maksājumu saskaņā ar regulas 4.a pantu. Pamatojoties uz sākotnējo novērtējumu, Komisija secināja, ka ir izpildīti nosacījumi, pie kuriem ir izmaksājams avanss, kas atbilst 25 % no paredzamās ESSF finansiālā pabalsta summas. Ar Komisijas īstenošanas lēmumu 2026. gadā būtu jāpiešķir avanss 30 137 714 EUR apmērā.</w:t>
      </w:r>
    </w:p>
    <w:p w14:paraId="6C0E01AA" w14:textId="56419B22" w:rsidR="00DC2D97" w:rsidRPr="00A85E62" w:rsidRDefault="00DC2D97" w:rsidP="009913DA">
      <w:pPr>
        <w:spacing w:before="120" w:after="120" w:line="240" w:lineRule="auto"/>
        <w:jc w:val="both"/>
        <w:rPr>
          <w:rFonts w:ascii="Times New Roman" w:hAnsi="Times New Roman"/>
          <w:noProof/>
          <w:color w:val="000000"/>
          <w:sz w:val="24"/>
          <w:szCs w:val="24"/>
        </w:rPr>
      </w:pPr>
      <w:r>
        <w:rPr>
          <w:rFonts w:ascii="Times New Roman" w:hAnsi="Times New Roman"/>
          <w:noProof/>
          <w:color w:val="000000"/>
          <w:sz w:val="24"/>
        </w:rPr>
        <w:t>Komisija 2026. gada maijā iesniedza budžeta lēmējinstitūcijai izmantošanas priekšlikumu. Tiklīdz budžeta lēmējinstitūcija būs apstiprinājusi ierosināto ESSF palīdzību Spānijai, 2026. gadā tiks pieņemts attiecīgs īstenošanas lēmums.</w:t>
      </w:r>
    </w:p>
    <w:p w14:paraId="7928F3A8" w14:textId="77777777" w:rsidR="00DC2D97" w:rsidRPr="00A85E62" w:rsidRDefault="00DC2D97" w:rsidP="00DC2D97">
      <w:pPr>
        <w:pStyle w:val="Text1"/>
        <w:ind w:left="0"/>
        <w:rPr>
          <w:noProof/>
          <w:color w:val="000000"/>
          <w:szCs w:val="24"/>
        </w:rPr>
      </w:pPr>
    </w:p>
    <w:p w14:paraId="3646AD5F" w14:textId="77777777" w:rsidR="00681F80" w:rsidRPr="00A85E62" w:rsidRDefault="00681F80" w:rsidP="000427C9">
      <w:pPr>
        <w:pStyle w:val="Heading1"/>
        <w:ind w:firstLine="142"/>
        <w:rPr>
          <w:noProof/>
        </w:rPr>
      </w:pPr>
      <w:bookmarkStart w:id="14" w:name="_Toc368320072"/>
      <w:bookmarkStart w:id="15" w:name="_Toc233622376"/>
      <w:r>
        <w:rPr>
          <w:noProof/>
        </w:rPr>
        <w:t>Finansējums</w:t>
      </w:r>
      <w:bookmarkEnd w:id="14"/>
      <w:bookmarkEnd w:id="15"/>
    </w:p>
    <w:p w14:paraId="6B255A20" w14:textId="509446D9" w:rsidR="006142B7" w:rsidRPr="00A85E62" w:rsidRDefault="006142B7" w:rsidP="006142B7">
      <w:pPr>
        <w:spacing w:before="120" w:after="120" w:line="240" w:lineRule="auto"/>
        <w:ind w:left="142"/>
        <w:jc w:val="both"/>
        <w:rPr>
          <w:rFonts w:ascii="Times New Roman" w:hAnsi="Times New Roman"/>
          <w:noProof/>
          <w:sz w:val="24"/>
          <w:szCs w:val="24"/>
        </w:rPr>
      </w:pPr>
      <w:r>
        <w:rPr>
          <w:rFonts w:ascii="Times New Roman" w:hAnsi="Times New Roman"/>
          <w:noProof/>
          <w:sz w:val="24"/>
        </w:rPr>
        <w:t>Komisijas priekšlikumos ierosinātās individuālās atbalsta summas tika aprēķinātas, izmantojot metodi, par kuru tika nolemts 2002. gadā, un tā tika piemērota visos turpmākajos gadījumos. Tā balstās uz apstiprināto kopējo tiešo katastrofas radīto zaudējumu un skartās valsts relatīvās labklājības attiecību, kā atspoguļots lielo katastrofu robežvērtībā (sk. I pielikumu).</w:t>
      </w:r>
    </w:p>
    <w:p w14:paraId="12FF6434" w14:textId="636EC8C6" w:rsidR="006142B7" w:rsidRPr="00A85E62" w:rsidRDefault="006142B7" w:rsidP="006142B7">
      <w:pPr>
        <w:spacing w:before="120" w:after="120" w:line="240" w:lineRule="auto"/>
        <w:ind w:left="142"/>
        <w:jc w:val="both"/>
        <w:rPr>
          <w:rFonts w:ascii="Times New Roman" w:hAnsi="Times New Roman"/>
          <w:noProof/>
          <w:sz w:val="24"/>
          <w:szCs w:val="24"/>
        </w:rPr>
      </w:pPr>
      <w:r>
        <w:rPr>
          <w:rFonts w:ascii="Times New Roman" w:hAnsi="Times New Roman"/>
          <w:noProof/>
          <w:sz w:val="24"/>
        </w:rPr>
        <w:t>Attiecīgi “lielu dabas katastrofu” gadījumā piemēro progresīvu divpakāpju sistēmu. Atbilstoši šai sistēmai valsts saņem zemāku atbalsta likmi – 2,5 % kopējo tiešo zaudējumu – attiecībā uz zaudējumu daļu, kas ir mazāka par robežvērtību, un lielāku atbalsta likmi – 6 % – attiecībā uz zaudējumu daļu, kas ir lielāka par robežvērtību. Abas summas saskaita. Attiecībā uz “reģionālām dabas katastrofām” un “dabas katastrofām kaimiņvalstīs” piešķir summu, kas atbilst 2,5 % kopējo tiešo zaudējumu.</w:t>
      </w:r>
    </w:p>
    <w:p w14:paraId="7AB33AD1" w14:textId="4E88A88A" w:rsidR="006142B7" w:rsidRPr="00A85E62" w:rsidRDefault="006142B7" w:rsidP="006142B7">
      <w:pPr>
        <w:spacing w:before="120" w:after="120" w:line="240" w:lineRule="auto"/>
        <w:ind w:left="142"/>
        <w:jc w:val="both"/>
        <w:rPr>
          <w:rFonts w:ascii="Times New Roman" w:hAnsi="Times New Roman"/>
          <w:noProof/>
          <w:sz w:val="24"/>
          <w:szCs w:val="24"/>
        </w:rPr>
      </w:pPr>
      <w:r>
        <w:rPr>
          <w:rFonts w:ascii="Times New Roman" w:hAnsi="Times New Roman"/>
          <w:noProof/>
          <w:sz w:val="24"/>
        </w:rPr>
        <w:t>Tiklīdz Eiropas Parlaments un Padome apstiprina ESSF izmantošanu un ES budžetā nodrošina nepieciešamās budžeta apropriācijas, Komisija pieņem īstenošanas lēmumus, ar kuriem piešķir palīdzību attiecīgajām valstīm, un pēc tam izmaksā pilnas summas. Gadījumos, kad ir piešķirts avanss, izmaksā tikai pilnā pabalsta atlikumu. Īstenošanas lēmumu pielikumos bija iekļauts vispārējs apraksts par paredzēto naudas izlietojumu, uzskaitītas iestādes, ko saņēmējvalstis izraudzījušās ESSF pabalsta īstenošanai, un nosaukta par revīziju un kontroli atbildīgā neatkarīgā iestāde.</w:t>
      </w:r>
    </w:p>
    <w:p w14:paraId="05084D8F" w14:textId="6C70BD0B" w:rsidR="007229BD" w:rsidRPr="00A85E62" w:rsidRDefault="004A5CF5" w:rsidP="007229BD">
      <w:pPr>
        <w:spacing w:before="120" w:after="120" w:line="240" w:lineRule="auto"/>
        <w:ind w:left="142"/>
        <w:jc w:val="both"/>
        <w:rPr>
          <w:rFonts w:ascii="Times New Roman" w:hAnsi="Times New Roman"/>
          <w:noProof/>
          <w:sz w:val="24"/>
          <w:szCs w:val="24"/>
        </w:rPr>
      </w:pPr>
      <w:r>
        <w:rPr>
          <w:rFonts w:ascii="Times New Roman" w:hAnsi="Times New Roman"/>
          <w:noProof/>
          <w:sz w:val="24"/>
        </w:rPr>
        <w:t>Pārskata periodā Eiropas Parlaments un Padome kā budžeta lēmējinstitūcija apstiprināja deviņus ESSF finansiālā pabalsta gadījumus, kā bija ierosinājusi Komisija. Komisija izklāstīja savus priekšlikumus par ESSF izmantošanu divās grupās.</w:t>
      </w:r>
    </w:p>
    <w:p w14:paraId="21E9EE2C" w14:textId="61F7C545" w:rsidR="004A4E28" w:rsidRPr="009913DA" w:rsidRDefault="004A4E28" w:rsidP="009913DA">
      <w:pPr>
        <w:pStyle w:val="ListParagraph"/>
        <w:numPr>
          <w:ilvl w:val="0"/>
          <w:numId w:val="18"/>
        </w:numPr>
        <w:spacing w:before="120" w:after="120" w:line="240" w:lineRule="auto"/>
        <w:ind w:left="142"/>
        <w:jc w:val="both"/>
        <w:rPr>
          <w:rFonts w:ascii="Times New Roman" w:hAnsi="Times New Roman"/>
          <w:noProof/>
          <w:sz w:val="24"/>
          <w:szCs w:val="24"/>
        </w:rPr>
      </w:pPr>
      <w:r>
        <w:rPr>
          <w:rFonts w:ascii="Times New Roman" w:hAnsi="Times New Roman"/>
          <w:noProof/>
          <w:sz w:val="24"/>
        </w:rPr>
        <w:t>Komisija 2025. gada 22. maijā pieņēma priekšlikumu</w:t>
      </w:r>
      <w:r>
        <w:rPr>
          <w:rStyle w:val="FootnoteReference"/>
          <w:rFonts w:ascii="Times New Roman" w:hAnsi="Times New Roman"/>
          <w:noProof/>
          <w:sz w:val="24"/>
          <w:szCs w:val="24"/>
        </w:rPr>
        <w:footnoteReference w:id="2"/>
      </w:r>
      <w:r>
        <w:rPr>
          <w:rFonts w:ascii="Times New Roman" w:hAnsi="Times New Roman"/>
          <w:noProof/>
          <w:sz w:val="24"/>
        </w:rPr>
        <w:t xml:space="preserve"> Eiropas Parlamenta un Padomes lēmumam par ESSF izmantošanu nolūkā sniegt palīdzību Austrijai, Bosnijai un Hercegovinai, Čehijai, Moldovai, Polijai un Slovākijai saistībā ar 2024. gada dabas katastrofām šajās valstīs. Šim priekšlikumam bija pievienots Lēmums Nr. 10/2025, kurā ierosināts no Eiropas Solidaritātes rezerves (“ESR”) rezerves pozīcijas uz ESSF darbības budžeta pozīciju pārvietot 270 077 316 EUR gan saistību, gan maksājumu apropriācijās.</w:t>
      </w:r>
    </w:p>
    <w:p w14:paraId="6130E3C0" w14:textId="63E099B4" w:rsidR="00C50B40" w:rsidRPr="00A85E62" w:rsidRDefault="006074F1" w:rsidP="009913DA">
      <w:pPr>
        <w:spacing w:before="120" w:after="120" w:line="240" w:lineRule="auto"/>
        <w:ind w:left="142"/>
        <w:jc w:val="both"/>
        <w:rPr>
          <w:rFonts w:ascii="Times New Roman" w:hAnsi="Times New Roman"/>
          <w:noProof/>
          <w:sz w:val="24"/>
          <w:szCs w:val="24"/>
        </w:rPr>
      </w:pPr>
      <w:r>
        <w:rPr>
          <w:rFonts w:ascii="Times New Roman" w:hAnsi="Times New Roman"/>
          <w:noProof/>
          <w:sz w:val="24"/>
        </w:rPr>
        <w:t>Budžeta lēmējinstitūcija priekšlikumu pieņēma 2025. gada 9. jūlijā. Tā piešķīra ESSF palīdzību 280 740 903 EUR apmērā: i) Austrijai saistībā ar plūdiem 2024. gada septembrī, ii) Polijai saistībā ar plūdiem 2024. gada septembrī, iii) Čehijai saistībā ar plūdiem 2024. gada septembrī, iv) Slovākijai saistībā ar plūdiem 2024. gada septembrī, v) Moldovai saistībā ar plūdiem 2024. gada septembrī un vi) Bosnijai un Hercegovinai saistībā ar plūdiem 2024. gada oktobrī. Pēc tam, kad tika pieņemti īstenošanas lēmumi par palīdzības piešķiršanu, 2025. gada novembrī un decembrī Austrijai tika izmaksāti 42 789 075 EUR, Polijai – 75 998 939 EUR un Čehijai – 113 979 781 EUR.</w:t>
      </w:r>
    </w:p>
    <w:p w14:paraId="743C2533" w14:textId="0984F01F" w:rsidR="00B85DAC" w:rsidRPr="00A85E62" w:rsidRDefault="00C50B40" w:rsidP="009913DA">
      <w:pPr>
        <w:spacing w:before="120" w:after="120" w:line="240" w:lineRule="auto"/>
        <w:ind w:left="142"/>
        <w:jc w:val="both"/>
        <w:rPr>
          <w:rFonts w:ascii="Times New Roman" w:hAnsi="Times New Roman"/>
          <w:noProof/>
          <w:sz w:val="24"/>
          <w:szCs w:val="24"/>
          <w:highlight w:val="yellow"/>
        </w:rPr>
      </w:pPr>
      <w:r>
        <w:rPr>
          <w:rFonts w:ascii="Times New Roman" w:hAnsi="Times New Roman"/>
          <w:noProof/>
          <w:sz w:val="24"/>
        </w:rPr>
        <w:t>Komisija izmaksās arī 2 108 187 EUR Slovākijai, tiklīdz tā no Slovākijas būs saņēmusi attiecīgos dokumentus par plānoto īstenošanas kārtību saskaņā ar regulas 5. panta 1. punktu un būs pieņemts attiecīgais īstenošanas lēmums. Komisija izmaksās arī 195 196 EUR Moldovai un 45 669 725 EUR Bosnijai un Hercegovinai, tiklīdz saskaņā ar regulas 5. panta 2. punktu būs parakstīti deleģēšanas nolīgumi ar šīm valstīm, kuras risina sarunas par pievienošanos ES.</w:t>
      </w:r>
    </w:p>
    <w:p w14:paraId="6DE98A30" w14:textId="334DA0B4" w:rsidR="007B0ACA" w:rsidRPr="00A85E62" w:rsidRDefault="007B0ACA" w:rsidP="007B0ACA">
      <w:pPr>
        <w:pStyle w:val="ListParagraph"/>
        <w:numPr>
          <w:ilvl w:val="0"/>
          <w:numId w:val="18"/>
        </w:numPr>
        <w:spacing w:before="120" w:after="120" w:line="240" w:lineRule="auto"/>
        <w:ind w:left="142"/>
        <w:jc w:val="both"/>
        <w:rPr>
          <w:rFonts w:ascii="Times New Roman" w:hAnsi="Times New Roman"/>
          <w:noProof/>
          <w:sz w:val="24"/>
          <w:szCs w:val="24"/>
        </w:rPr>
      </w:pPr>
      <w:r>
        <w:rPr>
          <w:rFonts w:ascii="Times New Roman" w:hAnsi="Times New Roman"/>
          <w:noProof/>
          <w:sz w:val="24"/>
        </w:rPr>
        <w:t>Komisija 2025. gada 3. oktobrī pieņēma priekšlikumu</w:t>
      </w:r>
      <w:r>
        <w:rPr>
          <w:rStyle w:val="FootnoteReference"/>
          <w:rFonts w:ascii="Times New Roman" w:hAnsi="Times New Roman"/>
          <w:noProof/>
          <w:sz w:val="24"/>
          <w:szCs w:val="24"/>
        </w:rPr>
        <w:footnoteReference w:id="3"/>
      </w:r>
      <w:r>
        <w:rPr>
          <w:rFonts w:ascii="Times New Roman" w:hAnsi="Times New Roman"/>
          <w:noProof/>
          <w:sz w:val="24"/>
        </w:rPr>
        <w:t xml:space="preserve"> Eiropas Parlamenta un Padomes lēmumam par ESSF izmantošanu nolūkā sniegt palīdzību Spānijai un Francijai saistībā ar 2024. un 2025. gada dabas katastrofām. Šim priekšlikumam bija pievienots Lēmums Nr. 16/2025, kurā ierosināts no ESR rezerves pozīcijas uz ESSF darbības budžeta pozīciju pārvietot 927 926 981 EUR gan saistību, gan maksājumu apropriācijās.</w:t>
      </w:r>
    </w:p>
    <w:p w14:paraId="336734EC" w14:textId="77777777" w:rsidR="007B0ACA" w:rsidRPr="00A85E62" w:rsidRDefault="007B0ACA" w:rsidP="007B0ACA">
      <w:pPr>
        <w:pStyle w:val="ListParagraph"/>
        <w:spacing w:before="120" w:after="120" w:line="240" w:lineRule="auto"/>
        <w:ind w:left="142"/>
        <w:jc w:val="both"/>
        <w:rPr>
          <w:rFonts w:ascii="Times New Roman" w:hAnsi="Times New Roman"/>
          <w:noProof/>
          <w:sz w:val="24"/>
          <w:szCs w:val="24"/>
        </w:rPr>
      </w:pPr>
    </w:p>
    <w:p w14:paraId="5E378795" w14:textId="621D1251" w:rsidR="00B825B7" w:rsidRPr="00A85E62" w:rsidRDefault="007B0ACA" w:rsidP="007B0ACA">
      <w:pPr>
        <w:pStyle w:val="ListParagraph"/>
        <w:spacing w:before="120" w:after="120" w:line="240" w:lineRule="auto"/>
        <w:ind w:left="142"/>
        <w:jc w:val="both"/>
        <w:rPr>
          <w:rFonts w:ascii="Times New Roman" w:hAnsi="Times New Roman"/>
          <w:noProof/>
          <w:sz w:val="24"/>
          <w:szCs w:val="24"/>
          <w:highlight w:val="yellow"/>
        </w:rPr>
      </w:pPr>
      <w:r>
        <w:rPr>
          <w:rFonts w:ascii="Times New Roman" w:hAnsi="Times New Roman"/>
          <w:noProof/>
          <w:sz w:val="24"/>
        </w:rPr>
        <w:t>Budžeta lēmējinstitūcija priekšlikumu pieņēma 2025. gada 13. novembrī. Tā piešķīra ESSF palīdzību 1 057 018 077 EUR apmērā: i) Spānijai saistībā ar plūdiem Valensijas reģionā 2024. gada oktobrī; ii) Francijai saistībā ar ciklonu Majotā 2024. gada decembrī un iii) Francijai saistībā ar ciklonu Reinjonā 2025. gada februārī. Paredzams, ka īstenošanas lēmumi par palīdzības piešķiršanu un izmaksāšanu tiks pieņemti 2026. gadā.</w:t>
      </w:r>
    </w:p>
    <w:p w14:paraId="599C10C1" w14:textId="77777777" w:rsidR="009C0CEE" w:rsidRPr="00A85E62" w:rsidRDefault="009C0CEE" w:rsidP="00CA0D71">
      <w:pPr>
        <w:rPr>
          <w:noProof/>
          <w:highlight w:val="yellow"/>
        </w:rPr>
      </w:pPr>
    </w:p>
    <w:p w14:paraId="0BF30FC7" w14:textId="77777777" w:rsidR="00B825B7" w:rsidRPr="00A85E62" w:rsidRDefault="00B825B7">
      <w:pPr>
        <w:spacing w:after="0" w:line="240" w:lineRule="auto"/>
        <w:rPr>
          <w:rFonts w:ascii="Times New Roman" w:eastAsia="Times New Roman" w:hAnsi="Times New Roman"/>
          <w:b/>
          <w:bCs/>
          <w:smallCaps/>
          <w:noProof/>
          <w:sz w:val="24"/>
          <w:szCs w:val="28"/>
          <w:highlight w:val="yellow"/>
        </w:rPr>
      </w:pPr>
      <w:bookmarkStart w:id="16" w:name="_Toc368320074"/>
      <w:bookmarkStart w:id="17" w:name="_Ref495658662"/>
      <w:bookmarkStart w:id="18" w:name="_Ref495658676"/>
      <w:bookmarkStart w:id="19" w:name="_Ref495658684"/>
      <w:bookmarkStart w:id="20" w:name="_Ref495658733"/>
      <w:r>
        <w:rPr>
          <w:noProof/>
        </w:rPr>
        <w:br w:type="page"/>
      </w:r>
    </w:p>
    <w:p w14:paraId="533B9102" w14:textId="3968FE5D" w:rsidR="00495D2A" w:rsidRPr="00A85E62" w:rsidRDefault="00681F80" w:rsidP="00495D2A">
      <w:pPr>
        <w:pStyle w:val="Heading1"/>
        <w:rPr>
          <w:noProof/>
        </w:rPr>
      </w:pPr>
      <w:bookmarkStart w:id="21" w:name="_Toc233622377"/>
      <w:r>
        <w:rPr>
          <w:noProof/>
        </w:rPr>
        <w:t>Palīdzības pasākumu izbeigšana</w:t>
      </w:r>
      <w:bookmarkEnd w:id="16"/>
      <w:bookmarkEnd w:id="17"/>
      <w:bookmarkEnd w:id="18"/>
      <w:bookmarkEnd w:id="19"/>
      <w:bookmarkEnd w:id="20"/>
      <w:bookmarkEnd w:id="21"/>
    </w:p>
    <w:p w14:paraId="06C5806A" w14:textId="2B2C96DE" w:rsidR="006142B7" w:rsidRPr="00A85E62" w:rsidRDefault="006142B7" w:rsidP="006142B7">
      <w:pPr>
        <w:spacing w:before="120" w:after="120" w:line="240" w:lineRule="auto"/>
        <w:jc w:val="both"/>
        <w:rPr>
          <w:rFonts w:ascii="Times New Roman" w:hAnsi="Times New Roman"/>
          <w:noProof/>
          <w:sz w:val="24"/>
          <w:szCs w:val="24"/>
        </w:rPr>
      </w:pPr>
      <w:r>
        <w:rPr>
          <w:rFonts w:ascii="Times New Roman" w:hAnsi="Times New Roman"/>
          <w:noProof/>
          <w:sz w:val="24"/>
        </w:rPr>
        <w:t>Regulas 8. panta 3. punktā noteikts, ka saņēmējvalstij 24 mēnešos no finansiālā pabalsta piešķiršanas dienas jāiesniedz ziņojums par finanšu izlietojumu (“īstenošanas ziņojums”) kopā ar paziņojumu, kurā pamato izdevumus (“paziņojums par pamatotību”).</w:t>
      </w:r>
    </w:p>
    <w:p w14:paraId="3D91837A" w14:textId="2FD8B421" w:rsidR="00EF5172" w:rsidRPr="00A85E62" w:rsidRDefault="00C45020" w:rsidP="00476A0A">
      <w:pPr>
        <w:spacing w:before="120" w:after="120" w:line="240" w:lineRule="auto"/>
        <w:jc w:val="both"/>
        <w:rPr>
          <w:rFonts w:ascii="Times New Roman" w:hAnsi="Times New Roman"/>
          <w:noProof/>
          <w:sz w:val="24"/>
          <w:szCs w:val="24"/>
        </w:rPr>
      </w:pPr>
      <w:r>
        <w:rPr>
          <w:rFonts w:ascii="Times New Roman" w:hAnsi="Times New Roman"/>
          <w:noProof/>
          <w:sz w:val="24"/>
        </w:rPr>
        <w:t>Komisija 2025. gadā izbeidza 18 ESSF palīdzības pasākumus.</w:t>
      </w:r>
    </w:p>
    <w:p w14:paraId="598F116A" w14:textId="3D0E03A5" w:rsidR="00F17508" w:rsidRPr="00A85E62" w:rsidRDefault="00F17508" w:rsidP="00F17508">
      <w:pPr>
        <w:pStyle w:val="Text1"/>
        <w:ind w:left="0"/>
        <w:rPr>
          <w:noProof/>
        </w:rPr>
      </w:pPr>
      <w:r>
        <w:rPr>
          <w:b/>
          <w:bCs/>
          <w:noProof/>
        </w:rPr>
        <w:t>Grieķija, zemestrīce Kefalonijā 2014. gadā.</w:t>
      </w:r>
      <w:r>
        <w:rPr>
          <w:noProof/>
        </w:rPr>
        <w:t xml:space="preserve"> ESSF finansiālais pabalsts bija 3 683 320 EUR. Īstenošanas ziņojumu un paziņojumu par pamatotību Grieķijas iestādes iesniedza 2017. gada aprīlī. Pamatojoties uz Grieķijas sniegto informāciju, attiecināmie izdevumi bija 3 127 724,07 EUR, kas ir par 555 595,93 EUR mazāk nekā ESSF finansiālais pabalsts. Tāpēc Komisija konstatēja, ka ir nepieciešama finanšu korekcija 555 595,93 EUR apmērā. Komisija 2024. gada 31. janvārī saņēma 555 595,93 EUR, ko bija atguvusi no Grieķijas. Komisija konstatēja, ka papildu finanšu korekcija nav vajadzīga, un 2025. gada jūnijā palīdzības pasākums tika izbeigts.</w:t>
      </w:r>
    </w:p>
    <w:p w14:paraId="729074BD" w14:textId="5DAEA349" w:rsidR="00FF2410" w:rsidRPr="00A85E62" w:rsidRDefault="00A37B07" w:rsidP="00F17508">
      <w:pPr>
        <w:pStyle w:val="Text1"/>
        <w:ind w:left="0"/>
        <w:rPr>
          <w:noProof/>
        </w:rPr>
      </w:pPr>
      <w:r>
        <w:rPr>
          <w:b/>
          <w:bCs/>
          <w:noProof/>
        </w:rPr>
        <w:t>Rumānija, plūdi 2014. gada pavasarī.</w:t>
      </w:r>
      <w:r>
        <w:rPr>
          <w:noProof/>
        </w:rPr>
        <w:t xml:space="preserve"> ESSF finansiālais pabalsts bija 4 198 175 EUR. Īstenošanas ziņojumu un paziņojumu par pamatotību Rumānijas iestādes iesniedza 2018. gada februārī. Pamatojoties uz Rumānijas sniegto informāciju, attiecināmie izdevumi bija 1 143 565,25 EUR, kas ir par 3 054 609,75 EUR mazāk nekā ESSF finansiālais pabalsts. Turklāt bija uzkrājušies procenti 3611,16 EUR apmērā. Tāpēc Komisija konstatēja, ka ir nepieciešama finanšu korekcija 3 058 220,91 EUR apmērā. Komisija 2022. gada 29. martā saņēma 3 058 220,91 EUR, ko bija atguvusi no Rumānijas. Komisija konstatēja, ka papildu finanšu korekcija nav vajadzīga, un 2025. gada janvārī palīdzības pasākums tika izbeigts.</w:t>
      </w:r>
    </w:p>
    <w:p w14:paraId="41EAAD4F" w14:textId="17C4EED7" w:rsidR="00F17508" w:rsidRPr="00A85E62" w:rsidRDefault="00F17508" w:rsidP="00DD1488">
      <w:pPr>
        <w:pStyle w:val="ListNumber"/>
        <w:numPr>
          <w:ilvl w:val="0"/>
          <w:numId w:val="0"/>
        </w:numPr>
        <w:spacing w:before="120" w:after="120"/>
        <w:rPr>
          <w:noProof/>
        </w:rPr>
      </w:pPr>
      <w:r>
        <w:rPr>
          <w:b/>
          <w:bCs/>
          <w:noProof/>
        </w:rPr>
        <w:t>Bulgārija, plūdi 2014. gadā.</w:t>
      </w:r>
      <w:r>
        <w:rPr>
          <w:noProof/>
        </w:rPr>
        <w:t xml:space="preserve"> ESSF finansiālais pabalsts bija 10 542 110 EUR. Īstenošanas ziņojumu un paziņojumu par pamatotību Bulgārijas iestādes iesniedza 2017. gada aprīlī. Pamatojoties uz Bulgārijas sniegto informāciju, attiecināmie izdevumi bija 9 008 785,21 EUR, kas ir par 1 533 324,79 EUR mazāk nekā ESSF finansiālais pabalsts. Turklāt bija uzkrājušies procenti 48 977,22 EUR apmērā. Tāpēc Komisija konstatēja, ka ir nepieciešama finanšu korekcija 1 582 302,01 EUR apmērā. Komisija 2020. gada 22. decembrī saņēma 1 582 302,01 EUR, ko bija atguvusi no Bulgārijas. Komisija konstatēja, ka papildu finanšu korekcija nav vajadzīga, un 2025. gada februārī palīdzības pasākums tika izbeigts.</w:t>
      </w:r>
    </w:p>
    <w:p w14:paraId="71293CD7" w14:textId="790B7D3A" w:rsidR="0089154F" w:rsidRPr="00A85E62" w:rsidRDefault="0089154F" w:rsidP="0089154F">
      <w:pPr>
        <w:pStyle w:val="Text1"/>
        <w:ind w:left="0"/>
        <w:rPr>
          <w:noProof/>
        </w:rPr>
      </w:pPr>
      <w:r>
        <w:rPr>
          <w:b/>
          <w:bCs/>
          <w:noProof/>
        </w:rPr>
        <w:t>Rumānija, plūdi 2014. gada vasarā.</w:t>
      </w:r>
      <w:r>
        <w:rPr>
          <w:noProof/>
        </w:rPr>
        <w:t xml:space="preserve"> ESSF finansiālais pabalsts bija 4 297 775 EUR. Īstenošanas ziņojumu un paziņojumu par pamatotību Rumānijas iestādes iesniedza 2018. gada aprīlī. Pamatojoties uz Rumānijas sniegto informāciju, attiecināmie izdevumi bija 3 048 079,20 EUR, kas ir par 1 249 695,80 EUR mazāk nekā ESSF finansiālais pabalsts. Turklāt bija uzkrājušies procenti 5242,90 EUR apmērā. Tāpēc Komisija konstatēja, ka ir nepieciešama finanšu korekcija 1 254 938,70 EUR apmērā. Komisija 2022. gada 29. martā saņēma 1 254 938,70 EUR, ko bija atguvusi no Rumānijas. Komisija konstatēja, ka papildu finanšu korekcija nav vajadzīga, un 2025. gada novembrī palīdzības pasākums tika izbeigts.</w:t>
      </w:r>
    </w:p>
    <w:p w14:paraId="25ACCC60" w14:textId="48D01314" w:rsidR="0089154F" w:rsidRPr="00A85E62" w:rsidRDefault="0089154F" w:rsidP="00DD1488">
      <w:pPr>
        <w:pStyle w:val="ListNumber"/>
        <w:numPr>
          <w:ilvl w:val="0"/>
          <w:numId w:val="0"/>
        </w:numPr>
        <w:spacing w:before="120" w:after="120"/>
        <w:rPr>
          <w:noProof/>
        </w:rPr>
      </w:pPr>
      <w:r>
        <w:rPr>
          <w:b/>
          <w:bCs/>
          <w:noProof/>
        </w:rPr>
        <w:t>Bulgārija, plūdi Mizijā 2014. gada vasarā.</w:t>
      </w:r>
      <w:r>
        <w:rPr>
          <w:noProof/>
        </w:rPr>
        <w:t xml:space="preserve"> ESSF finansiālais pabalsts bija 1 983 600 EUR. Īstenošanas ziņojumu un paziņojumu par pamatotību Bulgārijas iestādes iesniedza 2017. gada augustā. Pamatojoties uz Bulgārijas sniegto informāciju, attiecināmie izdevumi bija 1 771 594,34 EUR, kas ir par 212 005,66 EUR mazāk nekā ESSF finansiālais pabalsts. Turklāt bija uzkrājušies procenti 14,81 EUR apmērā. Tāpēc Komisija konstatēja, ka ir nepieciešama finanšu korekcija 212 020,47 EUR apmērā. Komisija 2020. gada 22. decembrī saņēma 212 020,47 EUR, ko bija atguvusi no Bulgārijas. Bulgārija 2021. gada 24. februārī informēja Komisiju, ka administratīvo procesu un tiesvedības dēļ Komisijai ir jāatgūst papildu 11 006,22 EUR. Komisija 2023. gada 26. septembrī saņēma 11 006,22 EUR, ko bija atguvusi no Bulgārijas. Komisija konstatēja, ka papildu finanšu korekcija nav vajadzīga, un 2025. gada novembrī palīdzības pasākums tika izbeigts.</w:t>
      </w:r>
    </w:p>
    <w:p w14:paraId="251C3BAE" w14:textId="76CA4628" w:rsidR="00F17508" w:rsidRPr="00A85E62" w:rsidRDefault="00874660" w:rsidP="00F17508">
      <w:pPr>
        <w:pStyle w:val="Text1"/>
        <w:ind w:left="0"/>
        <w:rPr>
          <w:noProof/>
        </w:rPr>
      </w:pPr>
      <w:r>
        <w:rPr>
          <w:b/>
          <w:bCs/>
          <w:noProof/>
        </w:rPr>
        <w:t>Itālija, zemestrīces 2016. gadā.</w:t>
      </w:r>
      <w:r>
        <w:rPr>
          <w:noProof/>
        </w:rPr>
        <w:t xml:space="preserve"> ESSF finansiālais pabalsts bija 1 196 797 579 EUR. Īstenošanas ziņojumu un paziņojumu par pamatotību Itālijas iestādes iesniedza 2019. gada decembrī. Pamatojoties uz Itālijas sniegto informāciju, attiecināmie izdevumi bija 1 473 913 724,12 EUR, kas pārsniedza ESSF pabalstu. Komisija konstatēja, ka finanšu korekcija nav vajadzīga, un 2025. gada jūnijā palīdzības pasākums tika izbeigts.</w:t>
      </w:r>
    </w:p>
    <w:p w14:paraId="0CBF16A7" w14:textId="7178CD97" w:rsidR="007615C0" w:rsidRPr="00A85E62" w:rsidRDefault="007615C0" w:rsidP="00F17508">
      <w:pPr>
        <w:pStyle w:val="Text1"/>
        <w:ind w:left="0"/>
        <w:rPr>
          <w:noProof/>
        </w:rPr>
      </w:pPr>
      <w:r>
        <w:rPr>
          <w:b/>
          <w:bCs/>
          <w:noProof/>
        </w:rPr>
        <w:t>Grieķija, zemestrīce Lesbas salā 2017. gadā.</w:t>
      </w:r>
      <w:r>
        <w:rPr>
          <w:noProof/>
        </w:rPr>
        <w:t xml:space="preserve"> ESSF finansiālais pabalsts bija 1 359 119 EUR. Īstenošanas ziņojumu un paziņojumu par pamatotību Grieķijas iestādes iesniedza 2020. gada oktobrī. Pamatojoties uz Grieķijas sniegto informāciju, attiecināmie izdevumi bija 1 182 470,22 EUR, kas ir par 176 648,78 EUR mazāk nekā ESSF finansiālais pabalsts. Tāpēc Komisija konstatēja, ka ir nepieciešama finanšu korekcija 176 648,78 EUR apmērā. Komisija 2024. gada 27. septembrī saņēma 176 648,78 EUR, ko bija atguvusi no Grieķijas. Komisija konstatēja, ka papildu finanšu korekcija nav vajadzīga, un 2025. gada jūnijā palīdzības pasākums tika izbeigts.</w:t>
      </w:r>
    </w:p>
    <w:p w14:paraId="2CFF9CAF" w14:textId="523D6825" w:rsidR="00F17508" w:rsidRPr="00A85E62" w:rsidRDefault="00F342C0" w:rsidP="00F17508">
      <w:pPr>
        <w:pStyle w:val="Text1"/>
        <w:ind w:left="0"/>
        <w:rPr>
          <w:noProof/>
        </w:rPr>
      </w:pPr>
      <w:r>
        <w:rPr>
          <w:b/>
          <w:noProof/>
        </w:rPr>
        <w:t>Latvija, plūdi 2017.</w:t>
      </w:r>
      <w:r>
        <w:rPr>
          <w:b/>
          <w:bCs/>
          <w:noProof/>
        </w:rPr>
        <w:t> gadā.</w:t>
      </w:r>
      <w:r>
        <w:rPr>
          <w:noProof/>
        </w:rPr>
        <w:t xml:space="preserve"> ESSF finansiālais pabalsts bija 17 730 519 EUR. Īstenošanas ziņojumu un paziņojumu par pamatotību Latvijas iestādes iesniedza 2020. gada decembrī. Pamatojoties uz Latvijas sniegto informāciju, attiecināmie izdevumi bija 19 291 264,19 EUR, kas pārsniedza ESSF pabalstu. Komisija konstatēja, ka finanšu korekcija nav vajadzīga, un 2025. gada janvārī palīdzības pasākums tika izbeigts.</w:t>
      </w:r>
    </w:p>
    <w:p w14:paraId="5D98675F" w14:textId="51DD989E" w:rsidR="00F17508" w:rsidRPr="00A85E62" w:rsidRDefault="00E7435E" w:rsidP="00F17508">
      <w:pPr>
        <w:pStyle w:val="Text1"/>
        <w:ind w:left="0"/>
        <w:rPr>
          <w:noProof/>
        </w:rPr>
      </w:pPr>
      <w:r>
        <w:rPr>
          <w:b/>
          <w:bCs/>
          <w:noProof/>
        </w:rPr>
        <w:t>Spānija, dabas ugunsgrēki Galisijā 2017. gadā.</w:t>
      </w:r>
      <w:r>
        <w:rPr>
          <w:noProof/>
        </w:rPr>
        <w:t xml:space="preserve"> ESSF finansiālais pabalsts bija 3 228 675 EUR. Īstenošanas ziņojumu un paziņojumu par pamatotību Spānijas iestādes iesniedza 2020. gada jūlijā. Pamatojoties uz Spānijas sniegto informāciju, attiecināmie izdevumi bija 3 885 001 EUR, kas pārsniedza ESSF pabalstu. Komisija konstatēja, ka finanšu korekcija nav vajadzīga, un 2025. gada jūnijā palīdzības pasākums tika izbeigts.</w:t>
      </w:r>
    </w:p>
    <w:p w14:paraId="65A68510" w14:textId="42740634" w:rsidR="00E7435E" w:rsidRPr="00A85E62" w:rsidRDefault="00E7435E" w:rsidP="00E7435E">
      <w:pPr>
        <w:pStyle w:val="Text1"/>
        <w:ind w:left="0"/>
        <w:rPr>
          <w:noProof/>
        </w:rPr>
      </w:pPr>
      <w:r>
        <w:rPr>
          <w:b/>
          <w:bCs/>
          <w:noProof/>
        </w:rPr>
        <w:t>Lietuva, plūdi 2017. gadā.</w:t>
      </w:r>
      <w:r>
        <w:rPr>
          <w:noProof/>
        </w:rPr>
        <w:t xml:space="preserve"> ESSF finansiālais pabalsts bija 16 918 941 EUR. Īstenošanas ziņojumu un paziņojumu par pamatotību Lietuvas iestādes iesniedza 2020. gada oktobrī. Pamatojoties uz Lietuvas sniegto informāciju, attiecināmie izdevumi bija 16 916 736,24 EUR, kas ir par 2204,76 EUR mazāk nekā ESSF finansiālais pabalsts. Tāpēc Komisija konstatēja, ka ir nepieciešama finanšu korekcija 2204,76 EUR apmērā. Komisija 2024. gada 25. septembrī saņēma 2204,76 EUR, ko bija atguvusi no Lietuvas. Komisija konstatēja, ka papildu finanšu korekcija nav vajadzīga, un 2025. gada jūnijā palīdzības pasākums tika izbeigts.</w:t>
      </w:r>
    </w:p>
    <w:p w14:paraId="7E7D47A4" w14:textId="7A5A902B" w:rsidR="00D016F4" w:rsidRPr="00A85E62" w:rsidRDefault="00D016F4" w:rsidP="00D016F4">
      <w:pPr>
        <w:pStyle w:val="Text1"/>
        <w:ind w:left="0"/>
        <w:rPr>
          <w:noProof/>
        </w:rPr>
      </w:pPr>
      <w:r>
        <w:rPr>
          <w:b/>
          <w:bCs/>
          <w:noProof/>
        </w:rPr>
        <w:t>Itālija, ekstrēmi laikapstākļi 2018. gadā.</w:t>
      </w:r>
      <w:r>
        <w:rPr>
          <w:noProof/>
        </w:rPr>
        <w:t xml:space="preserve"> ESSF finansiālais pabalsts bija 277 204 595 EUR. Īstenošanas ziņojumu un paziņojumu par pamatotību Itālijas iestādes iesniedza 2022. gada maijā. Pamatojoties uz Itālijas sniegto informāciju, attiecināmie izdevumi bija 291 657 411,82 EUR, kas pārsniedza ESSF pabalstu. Komisija konstatēja, ka finanšu korekcija nav vajadzīga, un 2025. gada septembrī palīdzības pasākums tika izbeigts.</w:t>
      </w:r>
    </w:p>
    <w:p w14:paraId="5807A5CF" w14:textId="107B0D9F" w:rsidR="009E1AED" w:rsidRPr="00A85E62" w:rsidRDefault="009E1AED" w:rsidP="009E1AED">
      <w:pPr>
        <w:pStyle w:val="Text1"/>
        <w:ind w:left="0"/>
        <w:rPr>
          <w:noProof/>
        </w:rPr>
      </w:pPr>
      <w:r>
        <w:rPr>
          <w:b/>
          <w:bCs/>
          <w:noProof/>
        </w:rPr>
        <w:t>Spānija, ekstrēmi laikapstākļi 2019. gadā.</w:t>
      </w:r>
      <w:r>
        <w:rPr>
          <w:noProof/>
        </w:rPr>
        <w:t xml:space="preserve"> ESSF finansiālais pabalsts bija 56 743 358 EUR. Īstenošanas ziņojumu un paziņojumu par pamatotību Spānijas iestādes iesniedza 2022. gada novembrī. Pamatojoties uz Spānijas sniegto informāciju, attiecināmie izdevumi bija 62 034 794,45 EUR, kas pārsniedza ESSF pabalstu. Komisija konstatēja, ka finanšu korekcija nav vajadzīga, un 2025. gada jūnijā palīdzības pasākums tika izbeigts.</w:t>
      </w:r>
    </w:p>
    <w:p w14:paraId="1DC03DBC" w14:textId="2CF93185" w:rsidR="00946FB5" w:rsidRPr="00A85E62" w:rsidRDefault="00946FB5" w:rsidP="00946FB5">
      <w:pPr>
        <w:pStyle w:val="Text1"/>
        <w:ind w:left="0"/>
        <w:rPr>
          <w:noProof/>
        </w:rPr>
      </w:pPr>
      <w:r>
        <w:rPr>
          <w:b/>
          <w:bCs/>
          <w:noProof/>
        </w:rPr>
        <w:t>Itālija, Covid-19 pandēmija 2020. gadā.</w:t>
      </w:r>
      <w:r>
        <w:rPr>
          <w:noProof/>
        </w:rPr>
        <w:t xml:space="preserve"> ESSF finansiālais pabalsts bija 76 271 930 EUR. Īstenošanas ziņojumu un paziņojumu par pamatotību Itālijas iestādes iesniedza 2023. gada jūnijā. Pamatojoties uz Itālijas sniegto informāciju, attiecināmie izdevumi bija 86 250 000 EUR, un pārkāpumi netika konstatēti. Komisija konstatēja, ka finanšu korekcija nav vajadzīga, un 2025. gada novembrī palīdzības pasākums tika izbeigts.</w:t>
      </w:r>
    </w:p>
    <w:p w14:paraId="26871ACA" w14:textId="14AF239C" w:rsidR="00946FB5" w:rsidRPr="00A85E62" w:rsidRDefault="00946FB5" w:rsidP="00946FB5">
      <w:pPr>
        <w:pStyle w:val="Text1"/>
        <w:ind w:left="0"/>
        <w:rPr>
          <w:noProof/>
        </w:rPr>
      </w:pPr>
      <w:r>
        <w:rPr>
          <w:b/>
          <w:bCs/>
          <w:noProof/>
        </w:rPr>
        <w:t>Austrija, Covid-19 pandēmija 2020. gadā.</w:t>
      </w:r>
      <w:r>
        <w:rPr>
          <w:noProof/>
        </w:rPr>
        <w:t xml:space="preserve"> ESSF finansiālais pabalsts bija 31 755 580 EUR. Īstenošanas ziņojumu un paziņojumu par pamatotību Austrijas iestādes iesniedza 2023. gada decembrī. Pamatojoties uz Austrijas sniegto informāciju, attiecināmie izdevumi bija 42 368 657,03 EUR, un pārkāpumi netika konstatēti. Komisija konstatēja, ka finanšu korekcija nav vajadzīga, un 2025. gada jūlijā palīdzības pasākums tika izbeigts.</w:t>
      </w:r>
    </w:p>
    <w:p w14:paraId="59ED6629" w14:textId="3FDC127A" w:rsidR="00B52D67" w:rsidRPr="00A85E62" w:rsidRDefault="00B52D67" w:rsidP="00B52D67">
      <w:pPr>
        <w:pStyle w:val="Text1"/>
        <w:ind w:left="0"/>
        <w:rPr>
          <w:noProof/>
        </w:rPr>
      </w:pPr>
      <w:r>
        <w:rPr>
          <w:b/>
          <w:bCs/>
          <w:noProof/>
        </w:rPr>
        <w:t>Rumānija, Covid-19 pandēmija 2020. gadā.</w:t>
      </w:r>
      <w:r>
        <w:rPr>
          <w:noProof/>
        </w:rPr>
        <w:t xml:space="preserve"> ESSF finansiālais pabalsts bija 13 926 870 EUR. Īstenošanas ziņojumu un paziņojumu par pamatotību Rumānijas iestādes iesniedza 2023. gada oktobrī. Pamatojoties uz Rumānijas sniegto informāciju, attiecināmie izdevumi bija 19 148 310,58 EUR, un pārkāpumi netika konstatēti. Komisija konstatēja, ka finanšu korekcija nav vajadzīga, un 2025. gada jūlijā palīdzības pasākums tika izbeigts.</w:t>
      </w:r>
    </w:p>
    <w:p w14:paraId="5F8BB9C4" w14:textId="4B4FD974" w:rsidR="00B83EA8" w:rsidRPr="00A85E62" w:rsidRDefault="00B83EA8" w:rsidP="00B83EA8">
      <w:pPr>
        <w:pStyle w:val="Text1"/>
        <w:ind w:left="0"/>
        <w:rPr>
          <w:noProof/>
        </w:rPr>
      </w:pPr>
      <w:r>
        <w:rPr>
          <w:b/>
          <w:bCs/>
          <w:noProof/>
        </w:rPr>
        <w:t>Horvātija, Covid-19 pandēmija 2020. gadā.</w:t>
      </w:r>
      <w:r>
        <w:rPr>
          <w:noProof/>
        </w:rPr>
        <w:t xml:space="preserve"> ESSF finansiālais pabalsts bija 7 618 270 EUR. Īstenošanas ziņojumu un paziņojumu par pamatotību Horvātijas iestādes iesniedza 2023. gada decembrī. Pamatojoties uz Horvātijas sniegto informāciju, attiecināmie izdevumi bija 7 618 270 EUR, un pārkāpumi netika konstatēti. Komisija konstatēja, ka finanšu korekcija nav vajadzīga, un 2025. gada septembrī palīdzības pasākums tika izbeigts.</w:t>
      </w:r>
    </w:p>
    <w:p w14:paraId="63F84529" w14:textId="0AD10424" w:rsidR="00B83EA8" w:rsidRPr="00A85E62" w:rsidRDefault="00B83EA8" w:rsidP="00B83EA8">
      <w:pPr>
        <w:pStyle w:val="Text1"/>
        <w:ind w:left="0"/>
        <w:rPr>
          <w:noProof/>
        </w:rPr>
      </w:pPr>
      <w:r>
        <w:rPr>
          <w:b/>
          <w:bCs/>
          <w:noProof/>
        </w:rPr>
        <w:t>Vācija, Covid-19 pandēmija 2020. gadā.</w:t>
      </w:r>
      <w:r>
        <w:rPr>
          <w:noProof/>
        </w:rPr>
        <w:t xml:space="preserve"> ESSF finansiālais pabalsts bija 29 147 795 EUR. Īstenošanas ziņojumu un paziņojumu par pamatotību Vācijas iestādes iesniedza 2023. gada decembrī. Pamatojoties uz Vācijas sniegto informāciju, attiecināmie izdevumi bija 2 079 000 000 EUR, un pārkāpumi netika konstatēti. Komisija konstatēja, ka finanšu korekcija nav vajadzīga, un 2025. gada jūlijā palīdzības pasākums tika izbeigts.</w:t>
      </w:r>
    </w:p>
    <w:p w14:paraId="1AF2CCB7" w14:textId="7390AE8E" w:rsidR="00F47C9B" w:rsidRPr="00A85E62" w:rsidRDefault="00F47C9B" w:rsidP="00F47C9B">
      <w:pPr>
        <w:pStyle w:val="Text1"/>
        <w:ind w:left="0"/>
        <w:rPr>
          <w:noProof/>
        </w:rPr>
      </w:pPr>
      <w:r>
        <w:rPr>
          <w:b/>
          <w:bCs/>
          <w:noProof/>
        </w:rPr>
        <w:t>Luksemburga, Covid-19 pandēmija 2020. gadā.</w:t>
      </w:r>
      <w:r>
        <w:rPr>
          <w:noProof/>
        </w:rPr>
        <w:t xml:space="preserve"> ESSF finansiālais pabalsts bija 2 857 025 EUR. Īstenošanas ziņojumu un paziņojumu par pamatotību Luksemburgas iestādes iesniedza 2023. gada oktobrī. Pamatojoties uz Luksemburgas sniegto informāciju, attiecināmie izdevumi bija 5 064 900 EUR, un pārkāpumi netika konstatēti. Komisija konstatēja, ka finanšu korekcija nav vajadzīga, un 2025. gada janvārī palīdzības pasākums tika izbeigts.</w:t>
      </w:r>
    </w:p>
    <w:p w14:paraId="69EDE1FE" w14:textId="65398D1A" w:rsidR="00F17508" w:rsidRPr="00A85E62" w:rsidRDefault="00F17508" w:rsidP="00F17508">
      <w:pPr>
        <w:pStyle w:val="Text1"/>
        <w:ind w:left="0"/>
        <w:rPr>
          <w:noProof/>
          <w:highlight w:val="yellow"/>
        </w:rPr>
      </w:pPr>
    </w:p>
    <w:p w14:paraId="5975F011" w14:textId="77777777" w:rsidR="00256943" w:rsidRPr="00A85E62" w:rsidRDefault="00256943">
      <w:pPr>
        <w:spacing w:after="0" w:line="240" w:lineRule="auto"/>
        <w:rPr>
          <w:rFonts w:ascii="Times New Roman" w:eastAsia="Times New Roman" w:hAnsi="Times New Roman"/>
          <w:b/>
          <w:bCs/>
          <w:smallCaps/>
          <w:noProof/>
          <w:sz w:val="24"/>
          <w:szCs w:val="28"/>
          <w:highlight w:val="yellow"/>
        </w:rPr>
      </w:pPr>
      <w:bookmarkStart w:id="22" w:name="_Toc368320075"/>
      <w:r>
        <w:rPr>
          <w:noProof/>
        </w:rPr>
        <w:br w:type="page"/>
      </w:r>
    </w:p>
    <w:p w14:paraId="49229A8E" w14:textId="237EFB28" w:rsidR="008E01EB" w:rsidRPr="00A85E62" w:rsidRDefault="00A03794" w:rsidP="005B00D8">
      <w:pPr>
        <w:pStyle w:val="Heading1"/>
        <w:rPr>
          <w:noProof/>
        </w:rPr>
      </w:pPr>
      <w:bookmarkStart w:id="23" w:name="_Toc233622378"/>
      <w:r>
        <w:rPr>
          <w:noProof/>
        </w:rPr>
        <w:t>Secinājumi</w:t>
      </w:r>
      <w:bookmarkEnd w:id="23"/>
    </w:p>
    <w:p w14:paraId="3EC95BC0" w14:textId="4DDBD229" w:rsidR="00404930" w:rsidRPr="00D01DD1" w:rsidRDefault="00C77B58" w:rsidP="00283809">
      <w:pPr>
        <w:pStyle w:val="Text1"/>
        <w:ind w:left="0"/>
        <w:rPr>
          <w:noProof/>
        </w:rPr>
      </w:pPr>
      <w:r>
        <w:rPr>
          <w:noProof/>
        </w:rPr>
        <w:t>Eiropa 2025. gadā joprojām bija visstraujāk sasilstošais kontinents, kurā vairāk nekā 95 % kontinenta temperatūras pārsniedza vidējo rādītāju, un to raksturoja vairāki ekstrēmi laikapstākļu notikumi, sākot ar plaši izplatītu sausumu pavasarī un vasarā un beidzot ar karstuma viļņiem no Vidusjūras līdz polārajam lokam, dabas ugunsgrēkiem Dienvideiropā un vētrām visā kontinentā</w:t>
      </w:r>
      <w:r>
        <w:rPr>
          <w:rStyle w:val="FootnoteReference"/>
          <w:noProof/>
        </w:rPr>
        <w:footnoteReference w:id="4"/>
      </w:r>
      <w:r>
        <w:rPr>
          <w:noProof/>
        </w:rPr>
        <w:t xml:space="preserve">. </w:t>
      </w:r>
    </w:p>
    <w:p w14:paraId="6B2D861E" w14:textId="051A4B23" w:rsidR="00C77B58" w:rsidRPr="00A85E62" w:rsidRDefault="001477E3" w:rsidP="00283809">
      <w:pPr>
        <w:pStyle w:val="Text1"/>
        <w:ind w:left="0"/>
        <w:rPr>
          <w:noProof/>
        </w:rPr>
      </w:pPr>
      <w:r>
        <w:rPr>
          <w:noProof/>
        </w:rPr>
        <w:t>Kontinentālās Eiropas austrumu daļā bija vērojami ilgstoši spēcīgu lietusgāžu periodi, kam sekoja intensīvs sausums, izraisot postošus plūdus. Līdzīgi kā iepriekšējos gados Eiropas dienvidu daļā bija ilgstošs sausums, rekordlieli karstuma viļņi un plaši dabas ugunsgrēki. Francijas tālākās teritorijas Majota un Reinjona savas ģeogrāfiskās atrašanās vietas dēļ bija sevišķi pakļautas secīgu ciklonu iedarbībai un postījumiem. Nodarītie bojājumi, to vidū vērienīgais kaitējums mājokļiem un kritiskajai infrastruktūrai, skāra tūkstošiem eiropiešu, postoši ietekmējot viņu dzīvi un iztikas līdzekļus. Šie notikumi atklāja, ka ir ārkārtīgi svarīgi visā Eiropā īstenot stingrus klimatadaptācijas un klimata pārmaiņu mazināšanas pasākumus.</w:t>
      </w:r>
    </w:p>
    <w:p w14:paraId="431099B6" w14:textId="73190D4E" w:rsidR="007649D3" w:rsidRDefault="00B825B7" w:rsidP="00283809">
      <w:pPr>
        <w:pStyle w:val="Text1"/>
        <w:ind w:left="0"/>
        <w:rPr>
          <w:noProof/>
        </w:rPr>
      </w:pPr>
      <w:r>
        <w:rPr>
          <w:noProof/>
        </w:rPr>
        <w:t xml:space="preserve">Pateicoties tam, ka no 2024. gada budžets ir palielināts, ESSF varēja sniegt lielāku palīdzību valsts atjaunošanas un atveseļošanas pasākumiem dabas katastrofu skartajās valstīs, nodrošinot pēc saskaņotas metodikas aprēķinātas un pilnībā izmaksājamas atbalsta summas. </w:t>
      </w:r>
    </w:p>
    <w:p w14:paraId="28C85598" w14:textId="2B10C0D1" w:rsidR="00283809" w:rsidRPr="00A85E62" w:rsidRDefault="00283809" w:rsidP="00283809">
      <w:pPr>
        <w:pStyle w:val="Text1"/>
        <w:ind w:left="0"/>
        <w:rPr>
          <w:noProof/>
        </w:rPr>
      </w:pPr>
      <w:r>
        <w:rPr>
          <w:noProof/>
        </w:rPr>
        <w:t>Turklāt, nodrošinot kritiskās infrastruktūras remontu un atjaunošanu un vienlaikus samazinot finansiālo slogu valstu valdībām un vietējām pašvaldībām, ESSF palīdzēja skartajiem reģioniem ātri atsākt saimniecisko un sociālo darbību.</w:t>
      </w:r>
    </w:p>
    <w:bookmarkEnd w:id="22"/>
    <w:p w14:paraId="4E133C67" w14:textId="02857A19" w:rsidR="007649D3" w:rsidRPr="005266DD" w:rsidRDefault="007649D3" w:rsidP="007649D3">
      <w:pPr>
        <w:pStyle w:val="Text1"/>
        <w:ind w:left="0"/>
        <w:rPr>
          <w:noProof/>
        </w:rPr>
      </w:pPr>
      <w:r>
        <w:rPr>
          <w:noProof/>
        </w:rPr>
        <w:t>Visbeidzot, palīdzības pieteikumu skaits un pieaugošais spiediens uz ESSF budžetu apstiprina lielo vajadzību pēc fonda atbalsta.</w:t>
      </w:r>
    </w:p>
    <w:p w14:paraId="2B5FB084" w14:textId="77777777" w:rsidR="00735E95" w:rsidRPr="00A85E62" w:rsidRDefault="00735E95" w:rsidP="00CD2F9D">
      <w:pPr>
        <w:pStyle w:val="Text1"/>
        <w:rPr>
          <w:noProof/>
        </w:rPr>
      </w:pPr>
    </w:p>
    <w:sectPr w:rsidR="00735E95" w:rsidRPr="00A85E62">
      <w:headerReference w:type="even" r:id="rId21"/>
      <w:headerReference w:type="default" r:id="rId22"/>
      <w:footerReference w:type="even" r:id="rId23"/>
      <w:footerReference w:type="default" r:id="rId24"/>
      <w:headerReference w:type="first" r:id="rId25"/>
      <w:footerReference w:type="firs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A709C" w14:textId="77777777" w:rsidR="00377EFA" w:rsidRPr="00A85E62" w:rsidRDefault="00377EFA" w:rsidP="00681F80">
      <w:pPr>
        <w:spacing w:after="0" w:line="240" w:lineRule="auto"/>
      </w:pPr>
      <w:r>
        <w:separator/>
      </w:r>
    </w:p>
  </w:endnote>
  <w:endnote w:type="continuationSeparator" w:id="0">
    <w:p w14:paraId="49F16F0E" w14:textId="77777777" w:rsidR="00377EFA" w:rsidRPr="00A85E62" w:rsidRDefault="00377EFA" w:rsidP="00681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E141" w14:textId="27F9768F" w:rsidR="00AB5ED8" w:rsidRPr="00AB5ED8" w:rsidRDefault="00AB5ED8" w:rsidP="00AB5ED8">
    <w:pPr>
      <w:pStyle w:val="FooterCoverPage"/>
      <w:rPr>
        <w:rFonts w:ascii="Arial" w:hAnsi="Arial" w:cs="Arial"/>
        <w:b/>
        <w:sz w:val="48"/>
      </w:rPr>
    </w:pPr>
    <w:r w:rsidRPr="00AB5ED8">
      <w:rPr>
        <w:rFonts w:ascii="Arial" w:hAnsi="Arial" w:cs="Arial"/>
        <w:b/>
        <w:sz w:val="48"/>
      </w:rPr>
      <w:t>LV</w:t>
    </w:r>
    <w:r w:rsidRPr="00AB5ED8">
      <w:rPr>
        <w:rFonts w:ascii="Arial" w:hAnsi="Arial" w:cs="Arial"/>
        <w:b/>
        <w:sz w:val="48"/>
      </w:rPr>
      <w:tab/>
    </w:r>
    <w:r w:rsidRPr="00AB5ED8">
      <w:rPr>
        <w:rFonts w:ascii="Arial" w:hAnsi="Arial" w:cs="Arial"/>
        <w:b/>
        <w:sz w:val="48"/>
      </w:rPr>
      <w:tab/>
    </w:r>
    <w:r w:rsidRPr="00AB5ED8">
      <w:tab/>
    </w:r>
    <w:proofErr w:type="spellStart"/>
    <w:r w:rsidRPr="00AB5ED8">
      <w:rPr>
        <w:rFonts w:ascii="Arial" w:hAnsi="Arial" w:cs="Arial"/>
        <w:b/>
        <w:sz w:val="48"/>
      </w:rPr>
      <w:t>LV</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FF60F" w14:textId="56C77070" w:rsidR="00AB5ED8" w:rsidRPr="00AB5ED8" w:rsidRDefault="00AB5ED8" w:rsidP="00AB5ED8">
    <w:pPr>
      <w:pStyle w:val="FooterCoverPage"/>
      <w:rPr>
        <w:rFonts w:ascii="Arial" w:hAnsi="Arial" w:cs="Arial"/>
        <w:b/>
        <w:sz w:val="48"/>
      </w:rPr>
    </w:pPr>
    <w:r w:rsidRPr="00AB5ED8">
      <w:rPr>
        <w:rFonts w:ascii="Arial" w:hAnsi="Arial" w:cs="Arial"/>
        <w:b/>
        <w:sz w:val="48"/>
      </w:rPr>
      <w:t>LV</w:t>
    </w:r>
    <w:r w:rsidRPr="00AB5ED8">
      <w:rPr>
        <w:rFonts w:ascii="Arial" w:hAnsi="Arial" w:cs="Arial"/>
        <w:b/>
        <w:sz w:val="48"/>
      </w:rPr>
      <w:tab/>
    </w:r>
    <w:r w:rsidRPr="00AB5ED8">
      <w:rPr>
        <w:rFonts w:ascii="Arial" w:hAnsi="Arial" w:cs="Arial"/>
        <w:b/>
        <w:sz w:val="48"/>
      </w:rPr>
      <w:tab/>
    </w:r>
    <w:r w:rsidRPr="00AB5ED8">
      <w:tab/>
    </w:r>
    <w:proofErr w:type="spellStart"/>
    <w:r w:rsidRPr="00AB5ED8">
      <w:rPr>
        <w:rFonts w:ascii="Arial" w:hAnsi="Arial" w:cs="Arial"/>
        <w:b/>
        <w:sz w:val="48"/>
      </w:rPr>
      <w:t>LV</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8AFA" w14:textId="77777777" w:rsidR="00AB5ED8" w:rsidRPr="00AB5ED8" w:rsidRDefault="00AB5ED8" w:rsidP="00AB5ED8">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746" w14:textId="77777777" w:rsidR="00D83001" w:rsidRPr="00A85E62" w:rsidRDefault="00D8300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614E" w14:textId="3D9CE966" w:rsidR="00D83001" w:rsidRPr="00A85E62" w:rsidRDefault="00D83001">
    <w:pPr>
      <w:pStyle w:val="Footer"/>
      <w:jc w:val="center"/>
    </w:pPr>
    <w:r>
      <w:fldChar w:fldCharType="begin"/>
    </w:r>
    <w:r>
      <w:instrText xml:space="preserve"> PAGE   \* MERGEFORMAT </w:instrText>
    </w:r>
    <w:r>
      <w:fldChar w:fldCharType="separate"/>
    </w:r>
    <w:r w:rsidR="00AB5ED8">
      <w:rPr>
        <w:noProof/>
      </w:rPr>
      <w:t>1</w:t>
    </w:r>
    <w:r>
      <w:fldChar w:fldCharType="end"/>
    </w:r>
  </w:p>
  <w:p w14:paraId="2F2E92BA" w14:textId="77777777" w:rsidR="00D83001" w:rsidRPr="00A85E62" w:rsidRDefault="00D83001" w:rsidP="00681F8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1F25" w14:textId="77777777" w:rsidR="00D83001" w:rsidRPr="00A85E62" w:rsidRDefault="00D83001">
    <w:pPr>
      <w:pStyle w:val="Footer"/>
      <w:jc w:val="center"/>
    </w:pPr>
    <w:r>
      <w:fldChar w:fldCharType="begin"/>
    </w:r>
    <w:r>
      <w:instrText xml:space="preserve"> PAGE   \* MERGEFORMAT </w:instrText>
    </w:r>
    <w:r>
      <w:fldChar w:fldCharType="separate"/>
    </w:r>
    <w:r>
      <w:t>1</w:t>
    </w:r>
    <w:r>
      <w:fldChar w:fldCharType="end"/>
    </w:r>
  </w:p>
  <w:p w14:paraId="3BE67328" w14:textId="77777777" w:rsidR="00D83001" w:rsidRPr="00A85E62" w:rsidRDefault="00D8300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C9C4" w14:textId="77777777" w:rsidR="009E211F" w:rsidRPr="00A85E62" w:rsidRDefault="009E211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EB0B" w14:textId="4E3210AC" w:rsidR="009E211F" w:rsidRPr="00A85E62" w:rsidRDefault="009E211F" w:rsidP="00E06B92">
    <w:pPr>
      <w:pStyle w:val="Footer"/>
      <w:jc w:val="center"/>
    </w:pPr>
    <w:r>
      <w:fldChar w:fldCharType="begin"/>
    </w:r>
    <w:r>
      <w:instrText xml:space="preserve"> PAGE   \* MERGEFORMAT </w:instrText>
    </w:r>
    <w:r>
      <w:fldChar w:fldCharType="separate"/>
    </w:r>
    <w:r w:rsidR="00AB5ED8">
      <w:rPr>
        <w:noProof/>
      </w:rPr>
      <w:t>1</w:t>
    </w:r>
    <w:r w:rsidR="00AB5ED8">
      <w:rPr>
        <w:noProof/>
      </w:rPr>
      <w:t>1</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B859C" w14:textId="77777777" w:rsidR="009E211F" w:rsidRPr="00A85E62" w:rsidRDefault="009E2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FD636" w14:textId="77777777" w:rsidR="00377EFA" w:rsidRPr="00A85E62" w:rsidRDefault="00377EFA" w:rsidP="00681F80">
      <w:pPr>
        <w:spacing w:after="0" w:line="240" w:lineRule="auto"/>
      </w:pPr>
      <w:r>
        <w:separator/>
      </w:r>
    </w:p>
  </w:footnote>
  <w:footnote w:type="continuationSeparator" w:id="0">
    <w:p w14:paraId="4E7E2826" w14:textId="77777777" w:rsidR="00377EFA" w:rsidRPr="00A85E62" w:rsidRDefault="00377EFA" w:rsidP="00681F80">
      <w:pPr>
        <w:spacing w:after="0" w:line="240" w:lineRule="auto"/>
      </w:pPr>
      <w:r>
        <w:continuationSeparator/>
      </w:r>
    </w:p>
  </w:footnote>
  <w:footnote w:id="1">
    <w:p w14:paraId="7127F2DF" w14:textId="5FF2DE3C" w:rsidR="00684764" w:rsidRPr="00A85E62" w:rsidRDefault="00684764" w:rsidP="00684764">
      <w:pPr>
        <w:pStyle w:val="FootnoteText"/>
        <w:ind w:left="0" w:hanging="11"/>
      </w:pPr>
      <w:r>
        <w:rPr>
          <w:rStyle w:val="FootnoteReference"/>
        </w:rPr>
        <w:footnoteRef/>
      </w:r>
      <w:r>
        <w:t xml:space="preserve"> Padomes Regula (EK) Nr. 2012/2002 (2002. gada 11. novembris), ar ko izveido Eiropas Savienības Solidaritātes fondu (OV L 311, 14.11.2002., 3. lpp.).</w:t>
      </w:r>
    </w:p>
  </w:footnote>
  <w:footnote w:id="2">
    <w:p w14:paraId="5710D84C" w14:textId="55A9B5B9" w:rsidR="006074F1" w:rsidRPr="00A85E62" w:rsidRDefault="006074F1" w:rsidP="006074F1">
      <w:pPr>
        <w:pStyle w:val="FootnoteText"/>
      </w:pPr>
      <w:r>
        <w:rPr>
          <w:rStyle w:val="FootnoteReference"/>
        </w:rPr>
        <w:footnoteRef/>
      </w:r>
      <w:r>
        <w:t xml:space="preserve"> C(2025) 3237, 22.5.2025.</w:t>
      </w:r>
    </w:p>
  </w:footnote>
  <w:footnote w:id="3">
    <w:p w14:paraId="794E9556" w14:textId="7A66C7A8" w:rsidR="007B0ACA" w:rsidRPr="00A85E62" w:rsidRDefault="007B0ACA" w:rsidP="007B0ACA">
      <w:pPr>
        <w:pStyle w:val="FootnoteText"/>
      </w:pPr>
      <w:r>
        <w:rPr>
          <w:rStyle w:val="FootnoteReference"/>
        </w:rPr>
        <w:footnoteRef/>
      </w:r>
      <w:r>
        <w:t xml:space="preserve"> COM(2025) 855, 3.10.2025.</w:t>
      </w:r>
    </w:p>
  </w:footnote>
  <w:footnote w:id="4">
    <w:p w14:paraId="7FDCE613" w14:textId="2306A8A7" w:rsidR="00AA5959" w:rsidRPr="00A85E62" w:rsidRDefault="00AA5959">
      <w:pPr>
        <w:pStyle w:val="FootnoteText"/>
      </w:pPr>
      <w:r>
        <w:rPr>
          <w:rStyle w:val="FootnoteReference"/>
        </w:rPr>
        <w:footnoteRef/>
      </w:r>
      <w:r>
        <w:t xml:space="preserve"> </w:t>
      </w:r>
      <w:hyperlink r:id="rId1" w:history="1">
        <w:r w:rsidRPr="0041641F">
          <w:rPr>
            <w:rStyle w:val="Hyperlink"/>
            <w:i/>
            <w:iCs/>
          </w:rPr>
          <w:t>European State of the Climate Report 2025</w:t>
        </w:r>
        <w:r>
          <w:rPr>
            <w:rStyle w:val="Hyperlink"/>
          </w:rPr>
          <w:t xml:space="preserve"> |</w:t>
        </w:r>
      </w:hyperlink>
      <w:hyperlink r:id="rId2" w:history="1">
        <w:r>
          <w:rPr>
            <w:rStyle w:val="Hyperlink"/>
          </w:rPr>
          <w:t xml:space="preserve"> </w:t>
        </w:r>
        <w:r w:rsidRPr="0041641F">
          <w:rPr>
            <w:rStyle w:val="Hyperlink"/>
            <w:i/>
            <w:iCs/>
          </w:rPr>
          <w:t>Copernicus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7EDF8" w14:textId="77777777" w:rsidR="00AB5ED8" w:rsidRPr="00AB5ED8" w:rsidRDefault="00AB5ED8" w:rsidP="00AB5ED8">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42DFB" w14:textId="77777777" w:rsidR="00AB5ED8" w:rsidRPr="00AB5ED8" w:rsidRDefault="00AB5ED8" w:rsidP="00AB5ED8">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846CA" w14:textId="77777777" w:rsidR="00AB5ED8" w:rsidRPr="00AB5ED8" w:rsidRDefault="00AB5ED8" w:rsidP="00AB5ED8">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B7136" w14:textId="77777777" w:rsidR="00D83001" w:rsidRPr="00A85E62" w:rsidRDefault="00D8300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FC480" w14:textId="77777777" w:rsidR="00D83001" w:rsidRPr="00A85E62" w:rsidRDefault="00D8300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49CBD" w14:textId="77777777" w:rsidR="00D83001" w:rsidRPr="00A85E62" w:rsidRDefault="00D8300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090ED" w14:textId="77777777" w:rsidR="009E211F" w:rsidRPr="00A85E62" w:rsidRDefault="009E211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430DC" w14:textId="77777777" w:rsidR="009E211F" w:rsidRPr="00A85E62" w:rsidRDefault="009E211F" w:rsidP="00175A30">
    <w:pPr>
      <w:pStyle w:val="Header"/>
      <w:jc w:val="right"/>
      <w:rPr>
        <w:color w:val="C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52717" w14:textId="77777777" w:rsidR="009E211F" w:rsidRPr="00A85E62" w:rsidRDefault="009E2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E273A"/>
    <w:multiLevelType w:val="multilevel"/>
    <w:tmpl w:val="0ABC33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20B7201"/>
    <w:multiLevelType w:val="multilevel"/>
    <w:tmpl w:val="7450BC36"/>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48A397D"/>
    <w:multiLevelType w:val="hybridMultilevel"/>
    <w:tmpl w:val="4104872C"/>
    <w:lvl w:ilvl="0" w:tplc="44A82D30">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1B704A39"/>
    <w:multiLevelType w:val="hybridMultilevel"/>
    <w:tmpl w:val="A9A81584"/>
    <w:lvl w:ilvl="0" w:tplc="3A983DD6">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3937C68"/>
    <w:multiLevelType w:val="hybridMultilevel"/>
    <w:tmpl w:val="6234F87A"/>
    <w:lvl w:ilvl="0" w:tplc="1809000D">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15:restartNumberingAfterBreak="0">
    <w:nsid w:val="2ABD56D8"/>
    <w:multiLevelType w:val="hybridMultilevel"/>
    <w:tmpl w:val="ED78B80C"/>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7" w15:restartNumberingAfterBreak="0">
    <w:nsid w:val="2D4569BF"/>
    <w:multiLevelType w:val="hybridMultilevel"/>
    <w:tmpl w:val="2BE20414"/>
    <w:lvl w:ilvl="0" w:tplc="18090001">
      <w:start w:val="1"/>
      <w:numFmt w:val="bullet"/>
      <w:lvlText w:val=""/>
      <w:lvlJc w:val="left"/>
      <w:pPr>
        <w:ind w:left="1571" w:hanging="360"/>
      </w:pPr>
      <w:rPr>
        <w:rFonts w:ascii="Symbol" w:hAnsi="Symbol"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759676B"/>
    <w:multiLevelType w:val="hybridMultilevel"/>
    <w:tmpl w:val="396E9A0C"/>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48B2142D"/>
    <w:multiLevelType w:val="hybridMultilevel"/>
    <w:tmpl w:val="75F6FB62"/>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1" w15:restartNumberingAfterBreak="0">
    <w:nsid w:val="4D847634"/>
    <w:multiLevelType w:val="hybridMultilevel"/>
    <w:tmpl w:val="81FAEEAC"/>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2" w15:restartNumberingAfterBreak="0">
    <w:nsid w:val="4DED33DB"/>
    <w:multiLevelType w:val="hybridMultilevel"/>
    <w:tmpl w:val="D13A5070"/>
    <w:lvl w:ilvl="0" w:tplc="18090001">
      <w:start w:val="1"/>
      <w:numFmt w:val="bullet"/>
      <w:lvlText w:val=""/>
      <w:lvlJc w:val="left"/>
      <w:pPr>
        <w:ind w:left="862" w:hanging="360"/>
      </w:pPr>
      <w:rPr>
        <w:rFonts w:ascii="Symbol" w:hAnsi="Symbol" w:hint="default"/>
      </w:rPr>
    </w:lvl>
    <w:lvl w:ilvl="1" w:tplc="18090003" w:tentative="1">
      <w:start w:val="1"/>
      <w:numFmt w:val="bullet"/>
      <w:lvlText w:val="o"/>
      <w:lvlJc w:val="left"/>
      <w:pPr>
        <w:ind w:left="1582" w:hanging="360"/>
      </w:pPr>
      <w:rPr>
        <w:rFonts w:ascii="Courier New" w:hAnsi="Courier New" w:cs="Courier New" w:hint="default"/>
      </w:rPr>
    </w:lvl>
    <w:lvl w:ilvl="2" w:tplc="18090005" w:tentative="1">
      <w:start w:val="1"/>
      <w:numFmt w:val="bullet"/>
      <w:lvlText w:val=""/>
      <w:lvlJc w:val="left"/>
      <w:pPr>
        <w:ind w:left="2302" w:hanging="360"/>
      </w:pPr>
      <w:rPr>
        <w:rFonts w:ascii="Wingdings" w:hAnsi="Wingdings" w:hint="default"/>
      </w:rPr>
    </w:lvl>
    <w:lvl w:ilvl="3" w:tplc="18090001" w:tentative="1">
      <w:start w:val="1"/>
      <w:numFmt w:val="bullet"/>
      <w:lvlText w:val=""/>
      <w:lvlJc w:val="left"/>
      <w:pPr>
        <w:ind w:left="3022" w:hanging="360"/>
      </w:pPr>
      <w:rPr>
        <w:rFonts w:ascii="Symbol" w:hAnsi="Symbol" w:hint="default"/>
      </w:rPr>
    </w:lvl>
    <w:lvl w:ilvl="4" w:tplc="18090003" w:tentative="1">
      <w:start w:val="1"/>
      <w:numFmt w:val="bullet"/>
      <w:lvlText w:val="o"/>
      <w:lvlJc w:val="left"/>
      <w:pPr>
        <w:ind w:left="3742" w:hanging="360"/>
      </w:pPr>
      <w:rPr>
        <w:rFonts w:ascii="Courier New" w:hAnsi="Courier New" w:cs="Courier New" w:hint="default"/>
      </w:rPr>
    </w:lvl>
    <w:lvl w:ilvl="5" w:tplc="18090005" w:tentative="1">
      <w:start w:val="1"/>
      <w:numFmt w:val="bullet"/>
      <w:lvlText w:val=""/>
      <w:lvlJc w:val="left"/>
      <w:pPr>
        <w:ind w:left="4462" w:hanging="360"/>
      </w:pPr>
      <w:rPr>
        <w:rFonts w:ascii="Wingdings" w:hAnsi="Wingdings" w:hint="default"/>
      </w:rPr>
    </w:lvl>
    <w:lvl w:ilvl="6" w:tplc="18090001" w:tentative="1">
      <w:start w:val="1"/>
      <w:numFmt w:val="bullet"/>
      <w:lvlText w:val=""/>
      <w:lvlJc w:val="left"/>
      <w:pPr>
        <w:ind w:left="5182" w:hanging="360"/>
      </w:pPr>
      <w:rPr>
        <w:rFonts w:ascii="Symbol" w:hAnsi="Symbol" w:hint="default"/>
      </w:rPr>
    </w:lvl>
    <w:lvl w:ilvl="7" w:tplc="18090003" w:tentative="1">
      <w:start w:val="1"/>
      <w:numFmt w:val="bullet"/>
      <w:lvlText w:val="o"/>
      <w:lvlJc w:val="left"/>
      <w:pPr>
        <w:ind w:left="5902" w:hanging="360"/>
      </w:pPr>
      <w:rPr>
        <w:rFonts w:ascii="Courier New" w:hAnsi="Courier New" w:cs="Courier New" w:hint="default"/>
      </w:rPr>
    </w:lvl>
    <w:lvl w:ilvl="8" w:tplc="18090005" w:tentative="1">
      <w:start w:val="1"/>
      <w:numFmt w:val="bullet"/>
      <w:lvlText w:val=""/>
      <w:lvlJc w:val="left"/>
      <w:pPr>
        <w:ind w:left="6622" w:hanging="360"/>
      </w:pPr>
      <w:rPr>
        <w:rFonts w:ascii="Wingdings" w:hAnsi="Wingdings" w:hint="default"/>
      </w:rPr>
    </w:lvl>
  </w:abstractNum>
  <w:abstractNum w:abstractNumId="13" w15:restartNumberingAfterBreak="0">
    <w:nsid w:val="533B4849"/>
    <w:multiLevelType w:val="hybridMultilevel"/>
    <w:tmpl w:val="C4766E66"/>
    <w:lvl w:ilvl="0" w:tplc="44A82D30">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55F13CB7"/>
    <w:multiLevelType w:val="hybridMultilevel"/>
    <w:tmpl w:val="F192EE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5C433811"/>
    <w:multiLevelType w:val="hybridMultilevel"/>
    <w:tmpl w:val="472A9FB4"/>
    <w:lvl w:ilvl="0" w:tplc="1809000B">
      <w:start w:val="1"/>
      <w:numFmt w:val="bullet"/>
      <w:lvlText w:val=""/>
      <w:lvlJc w:val="left"/>
      <w:pPr>
        <w:ind w:left="1571" w:hanging="360"/>
      </w:pPr>
      <w:rPr>
        <w:rFonts w:ascii="Wingdings" w:hAnsi="Wingdings"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6" w15:restartNumberingAfterBreak="0">
    <w:nsid w:val="5E7B688C"/>
    <w:multiLevelType w:val="hybridMultilevel"/>
    <w:tmpl w:val="1E063DF4"/>
    <w:lvl w:ilvl="0" w:tplc="0809000B">
      <w:start w:val="1"/>
      <w:numFmt w:val="bullet"/>
      <w:lvlText w:val=""/>
      <w:lvlJc w:val="left"/>
      <w:pPr>
        <w:ind w:left="1931" w:hanging="360"/>
      </w:pPr>
      <w:rPr>
        <w:rFonts w:ascii="Wingdings" w:hAnsi="Wingdings"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17" w15:restartNumberingAfterBreak="0">
    <w:nsid w:val="61181525"/>
    <w:multiLevelType w:val="hybridMultilevel"/>
    <w:tmpl w:val="C38E94E2"/>
    <w:lvl w:ilvl="0" w:tplc="1809000B">
      <w:start w:val="1"/>
      <w:numFmt w:val="bullet"/>
      <w:lvlText w:val=""/>
      <w:lvlJc w:val="left"/>
      <w:pPr>
        <w:ind w:left="1570" w:hanging="360"/>
      </w:pPr>
      <w:rPr>
        <w:rFonts w:ascii="Wingdings" w:hAnsi="Wingdings" w:hint="default"/>
      </w:rPr>
    </w:lvl>
    <w:lvl w:ilvl="1" w:tplc="18090003" w:tentative="1">
      <w:start w:val="1"/>
      <w:numFmt w:val="bullet"/>
      <w:lvlText w:val="o"/>
      <w:lvlJc w:val="left"/>
      <w:pPr>
        <w:ind w:left="2290" w:hanging="360"/>
      </w:pPr>
      <w:rPr>
        <w:rFonts w:ascii="Courier New" w:hAnsi="Courier New" w:cs="Courier New" w:hint="default"/>
      </w:rPr>
    </w:lvl>
    <w:lvl w:ilvl="2" w:tplc="18090005" w:tentative="1">
      <w:start w:val="1"/>
      <w:numFmt w:val="bullet"/>
      <w:lvlText w:val=""/>
      <w:lvlJc w:val="left"/>
      <w:pPr>
        <w:ind w:left="3010" w:hanging="360"/>
      </w:pPr>
      <w:rPr>
        <w:rFonts w:ascii="Wingdings" w:hAnsi="Wingdings" w:hint="default"/>
      </w:rPr>
    </w:lvl>
    <w:lvl w:ilvl="3" w:tplc="18090001" w:tentative="1">
      <w:start w:val="1"/>
      <w:numFmt w:val="bullet"/>
      <w:lvlText w:val=""/>
      <w:lvlJc w:val="left"/>
      <w:pPr>
        <w:ind w:left="3730" w:hanging="360"/>
      </w:pPr>
      <w:rPr>
        <w:rFonts w:ascii="Symbol" w:hAnsi="Symbol" w:hint="default"/>
      </w:rPr>
    </w:lvl>
    <w:lvl w:ilvl="4" w:tplc="18090003" w:tentative="1">
      <w:start w:val="1"/>
      <w:numFmt w:val="bullet"/>
      <w:lvlText w:val="o"/>
      <w:lvlJc w:val="left"/>
      <w:pPr>
        <w:ind w:left="4450" w:hanging="360"/>
      </w:pPr>
      <w:rPr>
        <w:rFonts w:ascii="Courier New" w:hAnsi="Courier New" w:cs="Courier New" w:hint="default"/>
      </w:rPr>
    </w:lvl>
    <w:lvl w:ilvl="5" w:tplc="18090005" w:tentative="1">
      <w:start w:val="1"/>
      <w:numFmt w:val="bullet"/>
      <w:lvlText w:val=""/>
      <w:lvlJc w:val="left"/>
      <w:pPr>
        <w:ind w:left="5170" w:hanging="360"/>
      </w:pPr>
      <w:rPr>
        <w:rFonts w:ascii="Wingdings" w:hAnsi="Wingdings" w:hint="default"/>
      </w:rPr>
    </w:lvl>
    <w:lvl w:ilvl="6" w:tplc="18090001" w:tentative="1">
      <w:start w:val="1"/>
      <w:numFmt w:val="bullet"/>
      <w:lvlText w:val=""/>
      <w:lvlJc w:val="left"/>
      <w:pPr>
        <w:ind w:left="5890" w:hanging="360"/>
      </w:pPr>
      <w:rPr>
        <w:rFonts w:ascii="Symbol" w:hAnsi="Symbol" w:hint="default"/>
      </w:rPr>
    </w:lvl>
    <w:lvl w:ilvl="7" w:tplc="18090003" w:tentative="1">
      <w:start w:val="1"/>
      <w:numFmt w:val="bullet"/>
      <w:lvlText w:val="o"/>
      <w:lvlJc w:val="left"/>
      <w:pPr>
        <w:ind w:left="6610" w:hanging="360"/>
      </w:pPr>
      <w:rPr>
        <w:rFonts w:ascii="Courier New" w:hAnsi="Courier New" w:cs="Courier New" w:hint="default"/>
      </w:rPr>
    </w:lvl>
    <w:lvl w:ilvl="8" w:tplc="18090005" w:tentative="1">
      <w:start w:val="1"/>
      <w:numFmt w:val="bullet"/>
      <w:lvlText w:val=""/>
      <w:lvlJc w:val="left"/>
      <w:pPr>
        <w:ind w:left="7330" w:hanging="360"/>
      </w:pPr>
      <w:rPr>
        <w:rFonts w:ascii="Wingdings" w:hAnsi="Wingdings" w:hint="default"/>
      </w:rPr>
    </w:lvl>
  </w:abstractNum>
  <w:abstractNum w:abstractNumId="18"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F752506"/>
    <w:multiLevelType w:val="hybridMultilevel"/>
    <w:tmpl w:val="599048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79DF268A"/>
    <w:multiLevelType w:val="hybridMultilevel"/>
    <w:tmpl w:val="5A14381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9023016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1090333">
    <w:abstractNumId w:val="8"/>
    <w:lvlOverride w:ilvl="0">
      <w:startOverride w:val="1"/>
    </w:lvlOverride>
  </w:num>
  <w:num w:numId="3" w16cid:durableId="1404402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3971732">
    <w:abstractNumId w:val="16"/>
  </w:num>
  <w:num w:numId="5" w16cid:durableId="11098614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89613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875899">
    <w:abstractNumId w:val="10"/>
  </w:num>
  <w:num w:numId="8" w16cid:durableId="355934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94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412676">
    <w:abstractNumId w:val="4"/>
  </w:num>
  <w:num w:numId="11" w16cid:durableId="413474937">
    <w:abstractNumId w:val="6"/>
  </w:num>
  <w:num w:numId="12" w16cid:durableId="791560178">
    <w:abstractNumId w:val="15"/>
  </w:num>
  <w:num w:numId="13" w16cid:durableId="1086851816">
    <w:abstractNumId w:val="17"/>
  </w:num>
  <w:num w:numId="14" w16cid:durableId="1532105465">
    <w:abstractNumId w:val="0"/>
  </w:num>
  <w:num w:numId="15" w16cid:durableId="1256790971">
    <w:abstractNumId w:val="7"/>
  </w:num>
  <w:num w:numId="16" w16cid:durableId="1045451226">
    <w:abstractNumId w:val="11"/>
  </w:num>
  <w:num w:numId="17" w16cid:durableId="1653213660">
    <w:abstractNumId w:val="9"/>
  </w:num>
  <w:num w:numId="18" w16cid:durableId="45179664">
    <w:abstractNumId w:val="12"/>
  </w:num>
  <w:num w:numId="19" w16cid:durableId="760954149">
    <w:abstractNumId w:val="3"/>
  </w:num>
  <w:num w:numId="20" w16cid:durableId="1177764857">
    <w:abstractNumId w:val="2"/>
  </w:num>
  <w:num w:numId="21" w16cid:durableId="1762021448">
    <w:abstractNumId w:val="1"/>
  </w:num>
  <w:num w:numId="22" w16cid:durableId="1092970023">
    <w:abstractNumId w:val="13"/>
  </w:num>
  <w:num w:numId="23" w16cid:durableId="1368413621">
    <w:abstractNumId w:val="19"/>
  </w:num>
  <w:num w:numId="24" w16cid:durableId="1377582024">
    <w:abstractNumId w:val="5"/>
  </w:num>
  <w:num w:numId="25" w16cid:durableId="87626587">
    <w:abstractNumId w:val="14"/>
  </w:num>
  <w:num w:numId="26" w16cid:durableId="1048728394">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hideSpellingErrors/>
  <w:hideGrammaticalErrors/>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ocStatus" w:val="Green"/>
    <w:docVar w:name="LW_CORRIGENDUM" w:val="&lt;UNUSED&gt;"/>
    <w:docVar w:name="LW_COVERPAGE_EXISTS" w:val="True"/>
    <w:docVar w:name="LW_COVERPAGE_GUID" w:val="5AF47565-FE44-4FFA-B303-1DCD7991AE37"/>
    <w:docVar w:name="LW_COVERPAGE_TYPE" w:val="1"/>
    <w:docVar w:name="LW_CROSSREFERENCE" w:val="&lt;UNUSED&gt;"/>
    <w:docVar w:name="LW_DocType" w:val="NORMAL"/>
    <w:docVar w:name="LW_EMISSION" w:val="30.6.2026"/>
    <w:docVar w:name="LW_EMISSION_ISODATE" w:val="2026-06-30"/>
    <w:docVar w:name="LW_EMISSION_LOCATION" w:val="BRX"/>
    <w:docVar w:name="LW_EMISSION_PREFIX" w:val="Brisel\u275?, "/>
    <w:docVar w:name="LW_EMISSION_SUFFIX" w:val="."/>
    <w:docVar w:name="LW_ID_DOCTYPE_NONLW" w:val="CP-006"/>
    <w:docVar w:name="LW_LANGUE" w:val="LV"/>
    <w:docVar w:name="LW_LEVEL_OF_SENSITIVITY" w:val="Standard treatment"/>
    <w:docVar w:name="LW_NOM.INST" w:val="EIROPAS KOMISIJA"/>
    <w:docVar w:name="LW_NOM.INST_JOINTDOC" w:val="&lt;EMPTY&gt;"/>
    <w:docVar w:name="LW_PART_NBR" w:val="1"/>
    <w:docVar w:name="LW_PART_NBR_TOTAL" w:val="1"/>
    <w:docVar w:name="LW_REF.INST.NEW" w:val="COM"/>
    <w:docVar w:name="LW_REF.INST.NEW_ADOPTED" w:val="final"/>
    <w:docVar w:name="LW_REF.INST.NEW_TEXT" w:val="(2026) 323"/>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OUS.TITRE.OBJ.CP" w:val="&lt;UNUSED&gt;"/>
    <w:docVar w:name="LW_SUPERTITRE" w:val="&lt;UNUSED&gt;"/>
    <w:docVar w:name="LW_TITRE.OBJ.CP" w:val="Eiropas Savien\u299?bas Solidarit\u257?tes fonda 2025. gada zi\u326?ojums"/>
    <w:docVar w:name="LW_TYPE.DOC.CP" w:val="KOMISIJAS ZI\u325?OJUMS EIROPAS PARLAMENTAM UN PADOMEI"/>
    <w:docVar w:name="LwApiVersions" w:val="LW4CoDe 1.24.5.0; LW 9.2, Build 20251112"/>
    <w:docVar w:name="Stamp" w:val="\\dossiers.dgt.cec.eu.int\dossiers\REGIO\REGIO-2026-00343\REGIO-2026-00343-00-00-EN-EDT-00.202605200808267323290.DOCX"/>
  </w:docVars>
  <w:rsids>
    <w:rsidRoot w:val="00681F80"/>
    <w:rsid w:val="0000057F"/>
    <w:rsid w:val="000006CC"/>
    <w:rsid w:val="00000FF2"/>
    <w:rsid w:val="00007D78"/>
    <w:rsid w:val="00010CA7"/>
    <w:rsid w:val="00011D8C"/>
    <w:rsid w:val="00012295"/>
    <w:rsid w:val="00012C4D"/>
    <w:rsid w:val="000150ED"/>
    <w:rsid w:val="00015867"/>
    <w:rsid w:val="00015E07"/>
    <w:rsid w:val="00016898"/>
    <w:rsid w:val="000172C7"/>
    <w:rsid w:val="00021BD2"/>
    <w:rsid w:val="00021E68"/>
    <w:rsid w:val="0002234C"/>
    <w:rsid w:val="00023136"/>
    <w:rsid w:val="00023B02"/>
    <w:rsid w:val="00027BD9"/>
    <w:rsid w:val="000303F1"/>
    <w:rsid w:val="0003148F"/>
    <w:rsid w:val="0003175D"/>
    <w:rsid w:val="00031DB6"/>
    <w:rsid w:val="0003259F"/>
    <w:rsid w:val="0003585F"/>
    <w:rsid w:val="000370D2"/>
    <w:rsid w:val="00040642"/>
    <w:rsid w:val="000409AE"/>
    <w:rsid w:val="00041DB3"/>
    <w:rsid w:val="000427C9"/>
    <w:rsid w:val="000436F5"/>
    <w:rsid w:val="0004443F"/>
    <w:rsid w:val="0004469F"/>
    <w:rsid w:val="00044F19"/>
    <w:rsid w:val="0004588A"/>
    <w:rsid w:val="00046DBC"/>
    <w:rsid w:val="00050192"/>
    <w:rsid w:val="000504EA"/>
    <w:rsid w:val="0005269F"/>
    <w:rsid w:val="0005364C"/>
    <w:rsid w:val="00055BBC"/>
    <w:rsid w:val="00055FB3"/>
    <w:rsid w:val="0005611B"/>
    <w:rsid w:val="00056E3D"/>
    <w:rsid w:val="00060877"/>
    <w:rsid w:val="000623BC"/>
    <w:rsid w:val="0006326F"/>
    <w:rsid w:val="00063288"/>
    <w:rsid w:val="0006737C"/>
    <w:rsid w:val="000674F4"/>
    <w:rsid w:val="000675E3"/>
    <w:rsid w:val="00072F6A"/>
    <w:rsid w:val="0007503B"/>
    <w:rsid w:val="00076AFE"/>
    <w:rsid w:val="00076DA6"/>
    <w:rsid w:val="00077DCB"/>
    <w:rsid w:val="00082004"/>
    <w:rsid w:val="00082315"/>
    <w:rsid w:val="00084B91"/>
    <w:rsid w:val="0008755A"/>
    <w:rsid w:val="0009000C"/>
    <w:rsid w:val="00095D21"/>
    <w:rsid w:val="000968B2"/>
    <w:rsid w:val="000976B7"/>
    <w:rsid w:val="000A291E"/>
    <w:rsid w:val="000A2B8C"/>
    <w:rsid w:val="000B0C79"/>
    <w:rsid w:val="000B1A0D"/>
    <w:rsid w:val="000B1D56"/>
    <w:rsid w:val="000B3F62"/>
    <w:rsid w:val="000B5B2D"/>
    <w:rsid w:val="000B5B4D"/>
    <w:rsid w:val="000B6EDB"/>
    <w:rsid w:val="000B7AE4"/>
    <w:rsid w:val="000B7DF7"/>
    <w:rsid w:val="000C0F80"/>
    <w:rsid w:val="000C28AA"/>
    <w:rsid w:val="000C2BE1"/>
    <w:rsid w:val="000C2F8C"/>
    <w:rsid w:val="000C316A"/>
    <w:rsid w:val="000C3F05"/>
    <w:rsid w:val="000C40D8"/>
    <w:rsid w:val="000C47DF"/>
    <w:rsid w:val="000C4A28"/>
    <w:rsid w:val="000C4E8D"/>
    <w:rsid w:val="000C5CBB"/>
    <w:rsid w:val="000C6141"/>
    <w:rsid w:val="000C6253"/>
    <w:rsid w:val="000C6A60"/>
    <w:rsid w:val="000D1D47"/>
    <w:rsid w:val="000D2391"/>
    <w:rsid w:val="000D28A1"/>
    <w:rsid w:val="000D57F9"/>
    <w:rsid w:val="000D61DA"/>
    <w:rsid w:val="000E1752"/>
    <w:rsid w:val="000E2839"/>
    <w:rsid w:val="000E32FC"/>
    <w:rsid w:val="000E3A4F"/>
    <w:rsid w:val="000E3DD1"/>
    <w:rsid w:val="000E499F"/>
    <w:rsid w:val="000E5247"/>
    <w:rsid w:val="000E59B5"/>
    <w:rsid w:val="000E61B8"/>
    <w:rsid w:val="000F11D5"/>
    <w:rsid w:val="000F6608"/>
    <w:rsid w:val="000F772C"/>
    <w:rsid w:val="0010236F"/>
    <w:rsid w:val="00102F81"/>
    <w:rsid w:val="0010468B"/>
    <w:rsid w:val="0010492F"/>
    <w:rsid w:val="0010570A"/>
    <w:rsid w:val="0010574C"/>
    <w:rsid w:val="001079A0"/>
    <w:rsid w:val="00107B99"/>
    <w:rsid w:val="0011198B"/>
    <w:rsid w:val="0011226B"/>
    <w:rsid w:val="00113278"/>
    <w:rsid w:val="00113E31"/>
    <w:rsid w:val="00114F08"/>
    <w:rsid w:val="001176F2"/>
    <w:rsid w:val="001177D2"/>
    <w:rsid w:val="00120C1B"/>
    <w:rsid w:val="00120E1B"/>
    <w:rsid w:val="00122029"/>
    <w:rsid w:val="001226CC"/>
    <w:rsid w:val="00122BCD"/>
    <w:rsid w:val="00123C65"/>
    <w:rsid w:val="001243B2"/>
    <w:rsid w:val="001263E5"/>
    <w:rsid w:val="00126DAF"/>
    <w:rsid w:val="001270E6"/>
    <w:rsid w:val="00127365"/>
    <w:rsid w:val="00127415"/>
    <w:rsid w:val="001279E0"/>
    <w:rsid w:val="00131493"/>
    <w:rsid w:val="0013187B"/>
    <w:rsid w:val="0013333F"/>
    <w:rsid w:val="0013335E"/>
    <w:rsid w:val="00133BCC"/>
    <w:rsid w:val="00133D59"/>
    <w:rsid w:val="00134891"/>
    <w:rsid w:val="00134986"/>
    <w:rsid w:val="0013519B"/>
    <w:rsid w:val="00135608"/>
    <w:rsid w:val="00137578"/>
    <w:rsid w:val="0013780E"/>
    <w:rsid w:val="00141B12"/>
    <w:rsid w:val="00142A3E"/>
    <w:rsid w:val="00143213"/>
    <w:rsid w:val="00144DA1"/>
    <w:rsid w:val="00144E83"/>
    <w:rsid w:val="00144F45"/>
    <w:rsid w:val="00145516"/>
    <w:rsid w:val="00145E9B"/>
    <w:rsid w:val="001477E3"/>
    <w:rsid w:val="00150889"/>
    <w:rsid w:val="00151EF9"/>
    <w:rsid w:val="00152690"/>
    <w:rsid w:val="001537C7"/>
    <w:rsid w:val="00155827"/>
    <w:rsid w:val="00157BB9"/>
    <w:rsid w:val="00160C54"/>
    <w:rsid w:val="00161514"/>
    <w:rsid w:val="00162A11"/>
    <w:rsid w:val="00164930"/>
    <w:rsid w:val="00166776"/>
    <w:rsid w:val="00166C0B"/>
    <w:rsid w:val="00166EC5"/>
    <w:rsid w:val="00167400"/>
    <w:rsid w:val="00171A6D"/>
    <w:rsid w:val="00175485"/>
    <w:rsid w:val="00175A30"/>
    <w:rsid w:val="001778E0"/>
    <w:rsid w:val="0018036F"/>
    <w:rsid w:val="00180551"/>
    <w:rsid w:val="00180B0A"/>
    <w:rsid w:val="001817B6"/>
    <w:rsid w:val="00183050"/>
    <w:rsid w:val="00184329"/>
    <w:rsid w:val="00184440"/>
    <w:rsid w:val="0018501D"/>
    <w:rsid w:val="00185B07"/>
    <w:rsid w:val="001874BA"/>
    <w:rsid w:val="001875E4"/>
    <w:rsid w:val="00191BA8"/>
    <w:rsid w:val="00192778"/>
    <w:rsid w:val="00192AD4"/>
    <w:rsid w:val="00192BC0"/>
    <w:rsid w:val="001936CF"/>
    <w:rsid w:val="00195560"/>
    <w:rsid w:val="001956A6"/>
    <w:rsid w:val="001958ED"/>
    <w:rsid w:val="001966DB"/>
    <w:rsid w:val="001A055F"/>
    <w:rsid w:val="001A08A6"/>
    <w:rsid w:val="001A0D0E"/>
    <w:rsid w:val="001A187F"/>
    <w:rsid w:val="001A4282"/>
    <w:rsid w:val="001A6850"/>
    <w:rsid w:val="001A6968"/>
    <w:rsid w:val="001A7937"/>
    <w:rsid w:val="001B0316"/>
    <w:rsid w:val="001B0D8B"/>
    <w:rsid w:val="001B1B3B"/>
    <w:rsid w:val="001B2EB9"/>
    <w:rsid w:val="001B328B"/>
    <w:rsid w:val="001B3430"/>
    <w:rsid w:val="001B46F0"/>
    <w:rsid w:val="001B4B36"/>
    <w:rsid w:val="001B7A0C"/>
    <w:rsid w:val="001C2677"/>
    <w:rsid w:val="001C2A1A"/>
    <w:rsid w:val="001C4367"/>
    <w:rsid w:val="001C520C"/>
    <w:rsid w:val="001C7FAD"/>
    <w:rsid w:val="001D071C"/>
    <w:rsid w:val="001D14DA"/>
    <w:rsid w:val="001D3F18"/>
    <w:rsid w:val="001D4DCA"/>
    <w:rsid w:val="001D5162"/>
    <w:rsid w:val="001D5915"/>
    <w:rsid w:val="001D7CD1"/>
    <w:rsid w:val="001E04FE"/>
    <w:rsid w:val="001E0612"/>
    <w:rsid w:val="001E18CD"/>
    <w:rsid w:val="001E1E8D"/>
    <w:rsid w:val="001E245B"/>
    <w:rsid w:val="001E2E0B"/>
    <w:rsid w:val="001E368F"/>
    <w:rsid w:val="001E42E3"/>
    <w:rsid w:val="001E50FE"/>
    <w:rsid w:val="001E63B2"/>
    <w:rsid w:val="001E668D"/>
    <w:rsid w:val="001E725D"/>
    <w:rsid w:val="001F12CC"/>
    <w:rsid w:val="001F12D0"/>
    <w:rsid w:val="001F27D5"/>
    <w:rsid w:val="001F2848"/>
    <w:rsid w:val="001F3D60"/>
    <w:rsid w:val="002013BC"/>
    <w:rsid w:val="00201499"/>
    <w:rsid w:val="00202642"/>
    <w:rsid w:val="0020453E"/>
    <w:rsid w:val="00206189"/>
    <w:rsid w:val="002071DE"/>
    <w:rsid w:val="0020752C"/>
    <w:rsid w:val="00207855"/>
    <w:rsid w:val="00210EDE"/>
    <w:rsid w:val="002115B9"/>
    <w:rsid w:val="00211C44"/>
    <w:rsid w:val="00214F70"/>
    <w:rsid w:val="002153F4"/>
    <w:rsid w:val="00221398"/>
    <w:rsid w:val="00221F61"/>
    <w:rsid w:val="00222D77"/>
    <w:rsid w:val="0022310A"/>
    <w:rsid w:val="00223C3D"/>
    <w:rsid w:val="00224236"/>
    <w:rsid w:val="0022426D"/>
    <w:rsid w:val="00225A6F"/>
    <w:rsid w:val="002271A6"/>
    <w:rsid w:val="00231FEA"/>
    <w:rsid w:val="00232AF4"/>
    <w:rsid w:val="00235609"/>
    <w:rsid w:val="0023629C"/>
    <w:rsid w:val="002369B5"/>
    <w:rsid w:val="00236E54"/>
    <w:rsid w:val="00237767"/>
    <w:rsid w:val="0024027D"/>
    <w:rsid w:val="002432D5"/>
    <w:rsid w:val="002445C9"/>
    <w:rsid w:val="002447FF"/>
    <w:rsid w:val="002473F3"/>
    <w:rsid w:val="00247B35"/>
    <w:rsid w:val="00250488"/>
    <w:rsid w:val="00250CDC"/>
    <w:rsid w:val="00251109"/>
    <w:rsid w:val="002519E4"/>
    <w:rsid w:val="002549CB"/>
    <w:rsid w:val="00255C96"/>
    <w:rsid w:val="0025656D"/>
    <w:rsid w:val="002568AE"/>
    <w:rsid w:val="00256943"/>
    <w:rsid w:val="00260344"/>
    <w:rsid w:val="002603A2"/>
    <w:rsid w:val="0026056E"/>
    <w:rsid w:val="002651CE"/>
    <w:rsid w:val="002651FC"/>
    <w:rsid w:val="002657D2"/>
    <w:rsid w:val="00265D6E"/>
    <w:rsid w:val="0027083D"/>
    <w:rsid w:val="002724B2"/>
    <w:rsid w:val="00272F7A"/>
    <w:rsid w:val="00274129"/>
    <w:rsid w:val="00275745"/>
    <w:rsid w:val="00276B58"/>
    <w:rsid w:val="00276F17"/>
    <w:rsid w:val="00277123"/>
    <w:rsid w:val="00277803"/>
    <w:rsid w:val="00277D7B"/>
    <w:rsid w:val="002829AE"/>
    <w:rsid w:val="00283809"/>
    <w:rsid w:val="00283DA8"/>
    <w:rsid w:val="002850F6"/>
    <w:rsid w:val="002865D8"/>
    <w:rsid w:val="00286BEB"/>
    <w:rsid w:val="00286FF0"/>
    <w:rsid w:val="002913D6"/>
    <w:rsid w:val="0029315F"/>
    <w:rsid w:val="00295A08"/>
    <w:rsid w:val="00295F17"/>
    <w:rsid w:val="0029615B"/>
    <w:rsid w:val="00296BC8"/>
    <w:rsid w:val="002A0F43"/>
    <w:rsid w:val="002A3E39"/>
    <w:rsid w:val="002A71BA"/>
    <w:rsid w:val="002B0B2E"/>
    <w:rsid w:val="002B12A2"/>
    <w:rsid w:val="002B2CFB"/>
    <w:rsid w:val="002B416C"/>
    <w:rsid w:val="002B4973"/>
    <w:rsid w:val="002B4F32"/>
    <w:rsid w:val="002B53A9"/>
    <w:rsid w:val="002B5784"/>
    <w:rsid w:val="002B5B0F"/>
    <w:rsid w:val="002B6C3E"/>
    <w:rsid w:val="002B6DE4"/>
    <w:rsid w:val="002B793E"/>
    <w:rsid w:val="002C18CF"/>
    <w:rsid w:val="002C1EA8"/>
    <w:rsid w:val="002C2012"/>
    <w:rsid w:val="002C2A6A"/>
    <w:rsid w:val="002C3793"/>
    <w:rsid w:val="002C3B30"/>
    <w:rsid w:val="002C47F7"/>
    <w:rsid w:val="002C6FBD"/>
    <w:rsid w:val="002D1156"/>
    <w:rsid w:val="002D1DC8"/>
    <w:rsid w:val="002D2568"/>
    <w:rsid w:val="002D2E57"/>
    <w:rsid w:val="002D2E81"/>
    <w:rsid w:val="002D3E52"/>
    <w:rsid w:val="002D42B5"/>
    <w:rsid w:val="002D5B07"/>
    <w:rsid w:val="002E0926"/>
    <w:rsid w:val="002E19C1"/>
    <w:rsid w:val="002E238A"/>
    <w:rsid w:val="002E2653"/>
    <w:rsid w:val="002E2C74"/>
    <w:rsid w:val="002E5202"/>
    <w:rsid w:val="002E5A98"/>
    <w:rsid w:val="002E5D9D"/>
    <w:rsid w:val="002F0D6B"/>
    <w:rsid w:val="002F165D"/>
    <w:rsid w:val="002F23F3"/>
    <w:rsid w:val="002F4DDF"/>
    <w:rsid w:val="002F5FE3"/>
    <w:rsid w:val="00301E4B"/>
    <w:rsid w:val="00302957"/>
    <w:rsid w:val="00310559"/>
    <w:rsid w:val="003114A8"/>
    <w:rsid w:val="00311B08"/>
    <w:rsid w:val="00311F90"/>
    <w:rsid w:val="0031259D"/>
    <w:rsid w:val="00314652"/>
    <w:rsid w:val="00314C71"/>
    <w:rsid w:val="003217C7"/>
    <w:rsid w:val="00322404"/>
    <w:rsid w:val="00322B15"/>
    <w:rsid w:val="00324548"/>
    <w:rsid w:val="00325155"/>
    <w:rsid w:val="00330617"/>
    <w:rsid w:val="0033169F"/>
    <w:rsid w:val="00331703"/>
    <w:rsid w:val="0033232F"/>
    <w:rsid w:val="0033240C"/>
    <w:rsid w:val="00332735"/>
    <w:rsid w:val="00334AE3"/>
    <w:rsid w:val="003369D2"/>
    <w:rsid w:val="00341491"/>
    <w:rsid w:val="0034279D"/>
    <w:rsid w:val="00342DE4"/>
    <w:rsid w:val="003432E5"/>
    <w:rsid w:val="003437A5"/>
    <w:rsid w:val="00343E27"/>
    <w:rsid w:val="003460AC"/>
    <w:rsid w:val="0034735F"/>
    <w:rsid w:val="00351A36"/>
    <w:rsid w:val="00351D5A"/>
    <w:rsid w:val="0035202C"/>
    <w:rsid w:val="00352EB0"/>
    <w:rsid w:val="00353D4C"/>
    <w:rsid w:val="003559FC"/>
    <w:rsid w:val="0036044A"/>
    <w:rsid w:val="00362A23"/>
    <w:rsid w:val="003630D9"/>
    <w:rsid w:val="00363D96"/>
    <w:rsid w:val="003645BA"/>
    <w:rsid w:val="003652E1"/>
    <w:rsid w:val="00370000"/>
    <w:rsid w:val="00371085"/>
    <w:rsid w:val="00371F2D"/>
    <w:rsid w:val="003754A9"/>
    <w:rsid w:val="0037588F"/>
    <w:rsid w:val="00375BE5"/>
    <w:rsid w:val="0037765F"/>
    <w:rsid w:val="00377A44"/>
    <w:rsid w:val="00377EFA"/>
    <w:rsid w:val="0038034B"/>
    <w:rsid w:val="00383895"/>
    <w:rsid w:val="003839EB"/>
    <w:rsid w:val="00384174"/>
    <w:rsid w:val="003849B5"/>
    <w:rsid w:val="00384A3F"/>
    <w:rsid w:val="00385798"/>
    <w:rsid w:val="0038622C"/>
    <w:rsid w:val="00387493"/>
    <w:rsid w:val="003901B5"/>
    <w:rsid w:val="00390B07"/>
    <w:rsid w:val="00390B6F"/>
    <w:rsid w:val="00390B83"/>
    <w:rsid w:val="00391337"/>
    <w:rsid w:val="00392F19"/>
    <w:rsid w:val="0039487E"/>
    <w:rsid w:val="00394FF4"/>
    <w:rsid w:val="00396C2E"/>
    <w:rsid w:val="00397AEA"/>
    <w:rsid w:val="003A070F"/>
    <w:rsid w:val="003A0B4F"/>
    <w:rsid w:val="003A1088"/>
    <w:rsid w:val="003A11DD"/>
    <w:rsid w:val="003A1B79"/>
    <w:rsid w:val="003A3E6A"/>
    <w:rsid w:val="003A5407"/>
    <w:rsid w:val="003A6145"/>
    <w:rsid w:val="003B0302"/>
    <w:rsid w:val="003B50C1"/>
    <w:rsid w:val="003B653B"/>
    <w:rsid w:val="003B673F"/>
    <w:rsid w:val="003C0FD1"/>
    <w:rsid w:val="003C1792"/>
    <w:rsid w:val="003C1D14"/>
    <w:rsid w:val="003C2AAC"/>
    <w:rsid w:val="003C5BA8"/>
    <w:rsid w:val="003C5E80"/>
    <w:rsid w:val="003C62FA"/>
    <w:rsid w:val="003C6B53"/>
    <w:rsid w:val="003C79D7"/>
    <w:rsid w:val="003D0F2F"/>
    <w:rsid w:val="003D10F6"/>
    <w:rsid w:val="003D162D"/>
    <w:rsid w:val="003D2221"/>
    <w:rsid w:val="003D2270"/>
    <w:rsid w:val="003D381B"/>
    <w:rsid w:val="003D3CB9"/>
    <w:rsid w:val="003D452A"/>
    <w:rsid w:val="003D4A5A"/>
    <w:rsid w:val="003D4E90"/>
    <w:rsid w:val="003D58AF"/>
    <w:rsid w:val="003E08E3"/>
    <w:rsid w:val="003E0E6D"/>
    <w:rsid w:val="003E2D97"/>
    <w:rsid w:val="003E2EEB"/>
    <w:rsid w:val="003E40AB"/>
    <w:rsid w:val="003E4BB8"/>
    <w:rsid w:val="003E4F33"/>
    <w:rsid w:val="003E64BE"/>
    <w:rsid w:val="003F0FBB"/>
    <w:rsid w:val="003F20BF"/>
    <w:rsid w:val="003F2168"/>
    <w:rsid w:val="003F2C63"/>
    <w:rsid w:val="003F3754"/>
    <w:rsid w:val="003F545F"/>
    <w:rsid w:val="003F6300"/>
    <w:rsid w:val="003F65D2"/>
    <w:rsid w:val="003F6602"/>
    <w:rsid w:val="003F6ABD"/>
    <w:rsid w:val="003F6B55"/>
    <w:rsid w:val="003F7C09"/>
    <w:rsid w:val="00401B87"/>
    <w:rsid w:val="004020B1"/>
    <w:rsid w:val="00403035"/>
    <w:rsid w:val="00403E7D"/>
    <w:rsid w:val="00404930"/>
    <w:rsid w:val="0040668E"/>
    <w:rsid w:val="00406FCA"/>
    <w:rsid w:val="004071E3"/>
    <w:rsid w:val="00407E39"/>
    <w:rsid w:val="00411662"/>
    <w:rsid w:val="00411C78"/>
    <w:rsid w:val="0041214C"/>
    <w:rsid w:val="0041266F"/>
    <w:rsid w:val="00413F48"/>
    <w:rsid w:val="00415991"/>
    <w:rsid w:val="00415BB1"/>
    <w:rsid w:val="0041641F"/>
    <w:rsid w:val="00420FD1"/>
    <w:rsid w:val="004216D1"/>
    <w:rsid w:val="004223AA"/>
    <w:rsid w:val="004229D6"/>
    <w:rsid w:val="00424ED8"/>
    <w:rsid w:val="00426058"/>
    <w:rsid w:val="004304E9"/>
    <w:rsid w:val="0043333C"/>
    <w:rsid w:val="00433DE6"/>
    <w:rsid w:val="00435A00"/>
    <w:rsid w:val="00435DE6"/>
    <w:rsid w:val="00436566"/>
    <w:rsid w:val="0043670A"/>
    <w:rsid w:val="00437668"/>
    <w:rsid w:val="00437D08"/>
    <w:rsid w:val="004403D1"/>
    <w:rsid w:val="0044073C"/>
    <w:rsid w:val="00440BF4"/>
    <w:rsid w:val="00441968"/>
    <w:rsid w:val="0044212F"/>
    <w:rsid w:val="0044235B"/>
    <w:rsid w:val="00442598"/>
    <w:rsid w:val="00443359"/>
    <w:rsid w:val="00445762"/>
    <w:rsid w:val="004505E6"/>
    <w:rsid w:val="0045315D"/>
    <w:rsid w:val="00454071"/>
    <w:rsid w:val="00454D74"/>
    <w:rsid w:val="00455BA3"/>
    <w:rsid w:val="00463588"/>
    <w:rsid w:val="00464F46"/>
    <w:rsid w:val="00466725"/>
    <w:rsid w:val="004677F1"/>
    <w:rsid w:val="004679AC"/>
    <w:rsid w:val="004717F5"/>
    <w:rsid w:val="004719C8"/>
    <w:rsid w:val="00472D5A"/>
    <w:rsid w:val="00475889"/>
    <w:rsid w:val="00475A2B"/>
    <w:rsid w:val="00475B4C"/>
    <w:rsid w:val="004766C1"/>
    <w:rsid w:val="00476A0A"/>
    <w:rsid w:val="00477626"/>
    <w:rsid w:val="00483103"/>
    <w:rsid w:val="004859B5"/>
    <w:rsid w:val="004859D2"/>
    <w:rsid w:val="0048601C"/>
    <w:rsid w:val="004908B8"/>
    <w:rsid w:val="00491989"/>
    <w:rsid w:val="00491D6D"/>
    <w:rsid w:val="00492527"/>
    <w:rsid w:val="00495C09"/>
    <w:rsid w:val="00495D2A"/>
    <w:rsid w:val="00496560"/>
    <w:rsid w:val="004A1D9E"/>
    <w:rsid w:val="004A47EA"/>
    <w:rsid w:val="004A4E28"/>
    <w:rsid w:val="004A5290"/>
    <w:rsid w:val="004A5C64"/>
    <w:rsid w:val="004A5CF5"/>
    <w:rsid w:val="004A67E3"/>
    <w:rsid w:val="004B34DB"/>
    <w:rsid w:val="004B3BFB"/>
    <w:rsid w:val="004B4D87"/>
    <w:rsid w:val="004B7129"/>
    <w:rsid w:val="004B7C4D"/>
    <w:rsid w:val="004C0243"/>
    <w:rsid w:val="004C1617"/>
    <w:rsid w:val="004C37F4"/>
    <w:rsid w:val="004C39F9"/>
    <w:rsid w:val="004C5A60"/>
    <w:rsid w:val="004C63AA"/>
    <w:rsid w:val="004C66B5"/>
    <w:rsid w:val="004D0AEF"/>
    <w:rsid w:val="004D0B38"/>
    <w:rsid w:val="004D2033"/>
    <w:rsid w:val="004D3CC6"/>
    <w:rsid w:val="004D41B4"/>
    <w:rsid w:val="004D43E0"/>
    <w:rsid w:val="004D7544"/>
    <w:rsid w:val="004E0FEF"/>
    <w:rsid w:val="004E1C0D"/>
    <w:rsid w:val="004E226E"/>
    <w:rsid w:val="004E22C0"/>
    <w:rsid w:val="004E4187"/>
    <w:rsid w:val="004E4F7E"/>
    <w:rsid w:val="004E524D"/>
    <w:rsid w:val="004E529D"/>
    <w:rsid w:val="004E7E3C"/>
    <w:rsid w:val="004F11BE"/>
    <w:rsid w:val="004F31E6"/>
    <w:rsid w:val="004F34CE"/>
    <w:rsid w:val="004F5AB0"/>
    <w:rsid w:val="004F6C8D"/>
    <w:rsid w:val="004F7A39"/>
    <w:rsid w:val="004F7B4B"/>
    <w:rsid w:val="00501AB5"/>
    <w:rsid w:val="0050213F"/>
    <w:rsid w:val="005034C5"/>
    <w:rsid w:val="00504FA2"/>
    <w:rsid w:val="005070F5"/>
    <w:rsid w:val="0051007D"/>
    <w:rsid w:val="0051260E"/>
    <w:rsid w:val="0051477A"/>
    <w:rsid w:val="005156FC"/>
    <w:rsid w:val="00520342"/>
    <w:rsid w:val="005203BE"/>
    <w:rsid w:val="00520F2D"/>
    <w:rsid w:val="005240A8"/>
    <w:rsid w:val="005241FD"/>
    <w:rsid w:val="005248AD"/>
    <w:rsid w:val="005249B6"/>
    <w:rsid w:val="00525EEF"/>
    <w:rsid w:val="005266DD"/>
    <w:rsid w:val="0053018A"/>
    <w:rsid w:val="005318F0"/>
    <w:rsid w:val="005321BA"/>
    <w:rsid w:val="00532B5A"/>
    <w:rsid w:val="00532F8A"/>
    <w:rsid w:val="005355DD"/>
    <w:rsid w:val="00535F5E"/>
    <w:rsid w:val="00535FF9"/>
    <w:rsid w:val="0053669E"/>
    <w:rsid w:val="00536FDE"/>
    <w:rsid w:val="00537227"/>
    <w:rsid w:val="00537631"/>
    <w:rsid w:val="00540283"/>
    <w:rsid w:val="00541806"/>
    <w:rsid w:val="005447CE"/>
    <w:rsid w:val="005449AD"/>
    <w:rsid w:val="00544FAF"/>
    <w:rsid w:val="00546340"/>
    <w:rsid w:val="00547958"/>
    <w:rsid w:val="00547D05"/>
    <w:rsid w:val="0055078D"/>
    <w:rsid w:val="00551B2C"/>
    <w:rsid w:val="00551C73"/>
    <w:rsid w:val="0055254A"/>
    <w:rsid w:val="0055289B"/>
    <w:rsid w:val="005543D3"/>
    <w:rsid w:val="00555515"/>
    <w:rsid w:val="005568EC"/>
    <w:rsid w:val="00556D78"/>
    <w:rsid w:val="00556FD0"/>
    <w:rsid w:val="00557B6A"/>
    <w:rsid w:val="00557EC0"/>
    <w:rsid w:val="00560892"/>
    <w:rsid w:val="00560C8E"/>
    <w:rsid w:val="00560D6C"/>
    <w:rsid w:val="00562B96"/>
    <w:rsid w:val="00562CD4"/>
    <w:rsid w:val="0056340C"/>
    <w:rsid w:val="00563C48"/>
    <w:rsid w:val="00563CAD"/>
    <w:rsid w:val="00564D4A"/>
    <w:rsid w:val="005655E5"/>
    <w:rsid w:val="005672D4"/>
    <w:rsid w:val="00567E03"/>
    <w:rsid w:val="0057405D"/>
    <w:rsid w:val="005740FF"/>
    <w:rsid w:val="005743A4"/>
    <w:rsid w:val="00574D22"/>
    <w:rsid w:val="00575033"/>
    <w:rsid w:val="00576BF8"/>
    <w:rsid w:val="00576DF6"/>
    <w:rsid w:val="00576FBA"/>
    <w:rsid w:val="00577D96"/>
    <w:rsid w:val="00580180"/>
    <w:rsid w:val="005805A7"/>
    <w:rsid w:val="0058105E"/>
    <w:rsid w:val="00581E88"/>
    <w:rsid w:val="00582357"/>
    <w:rsid w:val="00583370"/>
    <w:rsid w:val="00584037"/>
    <w:rsid w:val="00584229"/>
    <w:rsid w:val="005854F9"/>
    <w:rsid w:val="00585B65"/>
    <w:rsid w:val="005909EC"/>
    <w:rsid w:val="005912F3"/>
    <w:rsid w:val="00591955"/>
    <w:rsid w:val="005923B2"/>
    <w:rsid w:val="0059284D"/>
    <w:rsid w:val="00592C4E"/>
    <w:rsid w:val="00595535"/>
    <w:rsid w:val="005958F3"/>
    <w:rsid w:val="00595AF8"/>
    <w:rsid w:val="00595C46"/>
    <w:rsid w:val="00596EEF"/>
    <w:rsid w:val="00597F58"/>
    <w:rsid w:val="005A0301"/>
    <w:rsid w:val="005A0582"/>
    <w:rsid w:val="005A09C7"/>
    <w:rsid w:val="005A1EBE"/>
    <w:rsid w:val="005A205D"/>
    <w:rsid w:val="005A45BE"/>
    <w:rsid w:val="005A5A85"/>
    <w:rsid w:val="005A695D"/>
    <w:rsid w:val="005B00D8"/>
    <w:rsid w:val="005B0AC2"/>
    <w:rsid w:val="005B2DD5"/>
    <w:rsid w:val="005B664B"/>
    <w:rsid w:val="005B7485"/>
    <w:rsid w:val="005C131A"/>
    <w:rsid w:val="005C2B80"/>
    <w:rsid w:val="005C6D03"/>
    <w:rsid w:val="005D02EC"/>
    <w:rsid w:val="005D0E58"/>
    <w:rsid w:val="005D24A2"/>
    <w:rsid w:val="005D2C27"/>
    <w:rsid w:val="005D356A"/>
    <w:rsid w:val="005D46DE"/>
    <w:rsid w:val="005D5392"/>
    <w:rsid w:val="005E0C6D"/>
    <w:rsid w:val="005E1E51"/>
    <w:rsid w:val="005E3223"/>
    <w:rsid w:val="005E36B7"/>
    <w:rsid w:val="005E571E"/>
    <w:rsid w:val="005E7A88"/>
    <w:rsid w:val="005E7BA1"/>
    <w:rsid w:val="005F0AAA"/>
    <w:rsid w:val="005F107C"/>
    <w:rsid w:val="005F118A"/>
    <w:rsid w:val="005F18E1"/>
    <w:rsid w:val="005F4C36"/>
    <w:rsid w:val="005F7B96"/>
    <w:rsid w:val="00601723"/>
    <w:rsid w:val="00601B10"/>
    <w:rsid w:val="006023ED"/>
    <w:rsid w:val="00604027"/>
    <w:rsid w:val="0060584D"/>
    <w:rsid w:val="0060598B"/>
    <w:rsid w:val="00605B86"/>
    <w:rsid w:val="006074F1"/>
    <w:rsid w:val="00607E9F"/>
    <w:rsid w:val="00610129"/>
    <w:rsid w:val="00612459"/>
    <w:rsid w:val="006142B7"/>
    <w:rsid w:val="006148AA"/>
    <w:rsid w:val="00616959"/>
    <w:rsid w:val="00616A1E"/>
    <w:rsid w:val="00616D26"/>
    <w:rsid w:val="006178CF"/>
    <w:rsid w:val="006200A6"/>
    <w:rsid w:val="0062062C"/>
    <w:rsid w:val="006213CD"/>
    <w:rsid w:val="006230AA"/>
    <w:rsid w:val="00623792"/>
    <w:rsid w:val="00624A0C"/>
    <w:rsid w:val="006251FA"/>
    <w:rsid w:val="006259C8"/>
    <w:rsid w:val="00626079"/>
    <w:rsid w:val="00626D69"/>
    <w:rsid w:val="006272B2"/>
    <w:rsid w:val="00631AF8"/>
    <w:rsid w:val="00633921"/>
    <w:rsid w:val="00633D49"/>
    <w:rsid w:val="00633DF1"/>
    <w:rsid w:val="00634659"/>
    <w:rsid w:val="00635E74"/>
    <w:rsid w:val="00636D4A"/>
    <w:rsid w:val="00636DA1"/>
    <w:rsid w:val="00641FD0"/>
    <w:rsid w:val="00642B20"/>
    <w:rsid w:val="00643D01"/>
    <w:rsid w:val="006473F1"/>
    <w:rsid w:val="006479C6"/>
    <w:rsid w:val="006501BA"/>
    <w:rsid w:val="006511F9"/>
    <w:rsid w:val="00652007"/>
    <w:rsid w:val="00652689"/>
    <w:rsid w:val="00652DAF"/>
    <w:rsid w:val="006540BA"/>
    <w:rsid w:val="00654E6F"/>
    <w:rsid w:val="006553B9"/>
    <w:rsid w:val="006553BB"/>
    <w:rsid w:val="006559AE"/>
    <w:rsid w:val="00657E68"/>
    <w:rsid w:val="00657FD3"/>
    <w:rsid w:val="006609D9"/>
    <w:rsid w:val="00660E8C"/>
    <w:rsid w:val="00661173"/>
    <w:rsid w:val="006618DB"/>
    <w:rsid w:val="00662E46"/>
    <w:rsid w:val="0066357D"/>
    <w:rsid w:val="00664A5D"/>
    <w:rsid w:val="00665952"/>
    <w:rsid w:val="00667C42"/>
    <w:rsid w:val="006726F5"/>
    <w:rsid w:val="00673DE6"/>
    <w:rsid w:val="00676E27"/>
    <w:rsid w:val="0067746F"/>
    <w:rsid w:val="006807B6"/>
    <w:rsid w:val="00681F80"/>
    <w:rsid w:val="00683867"/>
    <w:rsid w:val="0068397D"/>
    <w:rsid w:val="00684764"/>
    <w:rsid w:val="006859B0"/>
    <w:rsid w:val="006875EE"/>
    <w:rsid w:val="006903C2"/>
    <w:rsid w:val="006946DC"/>
    <w:rsid w:val="006949C0"/>
    <w:rsid w:val="00694B71"/>
    <w:rsid w:val="00696961"/>
    <w:rsid w:val="00696F01"/>
    <w:rsid w:val="006971B1"/>
    <w:rsid w:val="00697479"/>
    <w:rsid w:val="00697649"/>
    <w:rsid w:val="006A08C3"/>
    <w:rsid w:val="006A1D36"/>
    <w:rsid w:val="006A20FF"/>
    <w:rsid w:val="006A3FF3"/>
    <w:rsid w:val="006A4068"/>
    <w:rsid w:val="006A4718"/>
    <w:rsid w:val="006A4C8B"/>
    <w:rsid w:val="006A4D25"/>
    <w:rsid w:val="006B20CF"/>
    <w:rsid w:val="006B2FEE"/>
    <w:rsid w:val="006B3ED5"/>
    <w:rsid w:val="006B3F49"/>
    <w:rsid w:val="006B5659"/>
    <w:rsid w:val="006B631F"/>
    <w:rsid w:val="006B685E"/>
    <w:rsid w:val="006B7868"/>
    <w:rsid w:val="006B7BB4"/>
    <w:rsid w:val="006B7FDA"/>
    <w:rsid w:val="006C04F2"/>
    <w:rsid w:val="006C0A49"/>
    <w:rsid w:val="006C1F37"/>
    <w:rsid w:val="006C22D4"/>
    <w:rsid w:val="006C2919"/>
    <w:rsid w:val="006C402B"/>
    <w:rsid w:val="006D0164"/>
    <w:rsid w:val="006D230B"/>
    <w:rsid w:val="006D2643"/>
    <w:rsid w:val="006D2CC7"/>
    <w:rsid w:val="006D2FF3"/>
    <w:rsid w:val="006D37A6"/>
    <w:rsid w:val="006D47AD"/>
    <w:rsid w:val="006D66F0"/>
    <w:rsid w:val="006D6D6D"/>
    <w:rsid w:val="006D79D5"/>
    <w:rsid w:val="006E0A8D"/>
    <w:rsid w:val="006E0E53"/>
    <w:rsid w:val="006E2976"/>
    <w:rsid w:val="006E3174"/>
    <w:rsid w:val="006E66DB"/>
    <w:rsid w:val="006E6F25"/>
    <w:rsid w:val="006E74E4"/>
    <w:rsid w:val="006F1912"/>
    <w:rsid w:val="006F1E4E"/>
    <w:rsid w:val="006F3209"/>
    <w:rsid w:val="006F40EE"/>
    <w:rsid w:val="006F49F0"/>
    <w:rsid w:val="006F5250"/>
    <w:rsid w:val="006F5EA8"/>
    <w:rsid w:val="006F60CB"/>
    <w:rsid w:val="006F6979"/>
    <w:rsid w:val="006F6A63"/>
    <w:rsid w:val="006F75BE"/>
    <w:rsid w:val="007008F8"/>
    <w:rsid w:val="0070110E"/>
    <w:rsid w:val="00701B04"/>
    <w:rsid w:val="007031BE"/>
    <w:rsid w:val="0070394E"/>
    <w:rsid w:val="00704074"/>
    <w:rsid w:val="0070551B"/>
    <w:rsid w:val="00705BBC"/>
    <w:rsid w:val="007064C5"/>
    <w:rsid w:val="007079E8"/>
    <w:rsid w:val="00710EE2"/>
    <w:rsid w:val="007116AC"/>
    <w:rsid w:val="00713432"/>
    <w:rsid w:val="00713611"/>
    <w:rsid w:val="00713E82"/>
    <w:rsid w:val="00713EE0"/>
    <w:rsid w:val="007156F2"/>
    <w:rsid w:val="007165A3"/>
    <w:rsid w:val="00717D29"/>
    <w:rsid w:val="007203CD"/>
    <w:rsid w:val="00720AA6"/>
    <w:rsid w:val="00720FA5"/>
    <w:rsid w:val="007229BD"/>
    <w:rsid w:val="00726FBF"/>
    <w:rsid w:val="0072785C"/>
    <w:rsid w:val="007307E1"/>
    <w:rsid w:val="0073083B"/>
    <w:rsid w:val="007329BC"/>
    <w:rsid w:val="007335F5"/>
    <w:rsid w:val="007336FC"/>
    <w:rsid w:val="00734710"/>
    <w:rsid w:val="00735E95"/>
    <w:rsid w:val="0074201F"/>
    <w:rsid w:val="0074280D"/>
    <w:rsid w:val="00746A9F"/>
    <w:rsid w:val="00747999"/>
    <w:rsid w:val="00747BE0"/>
    <w:rsid w:val="00747F5E"/>
    <w:rsid w:val="00750ABD"/>
    <w:rsid w:val="00750FA0"/>
    <w:rsid w:val="00752584"/>
    <w:rsid w:val="007527DD"/>
    <w:rsid w:val="00752975"/>
    <w:rsid w:val="00752B9C"/>
    <w:rsid w:val="0075355C"/>
    <w:rsid w:val="00754101"/>
    <w:rsid w:val="00755BF7"/>
    <w:rsid w:val="007561ED"/>
    <w:rsid w:val="007566AA"/>
    <w:rsid w:val="00756823"/>
    <w:rsid w:val="00756C63"/>
    <w:rsid w:val="00757CF3"/>
    <w:rsid w:val="007615C0"/>
    <w:rsid w:val="00761A55"/>
    <w:rsid w:val="00762147"/>
    <w:rsid w:val="00764408"/>
    <w:rsid w:val="007649D3"/>
    <w:rsid w:val="00764D56"/>
    <w:rsid w:val="00765AA1"/>
    <w:rsid w:val="00765BDF"/>
    <w:rsid w:val="007661CC"/>
    <w:rsid w:val="007665F9"/>
    <w:rsid w:val="00766BD6"/>
    <w:rsid w:val="00767CBD"/>
    <w:rsid w:val="00771386"/>
    <w:rsid w:val="00771E2C"/>
    <w:rsid w:val="00772822"/>
    <w:rsid w:val="00772A97"/>
    <w:rsid w:val="00772B20"/>
    <w:rsid w:val="00772DD1"/>
    <w:rsid w:val="007733B2"/>
    <w:rsid w:val="00775A29"/>
    <w:rsid w:val="007760F4"/>
    <w:rsid w:val="00776FCA"/>
    <w:rsid w:val="007807A8"/>
    <w:rsid w:val="00780EDD"/>
    <w:rsid w:val="007824C0"/>
    <w:rsid w:val="00783306"/>
    <w:rsid w:val="00784CBC"/>
    <w:rsid w:val="00786483"/>
    <w:rsid w:val="00790272"/>
    <w:rsid w:val="007904D9"/>
    <w:rsid w:val="00793F09"/>
    <w:rsid w:val="00794862"/>
    <w:rsid w:val="00795F59"/>
    <w:rsid w:val="0079641D"/>
    <w:rsid w:val="007A0078"/>
    <w:rsid w:val="007A03EF"/>
    <w:rsid w:val="007A1BB6"/>
    <w:rsid w:val="007A1E94"/>
    <w:rsid w:val="007A239A"/>
    <w:rsid w:val="007A2607"/>
    <w:rsid w:val="007A2F7C"/>
    <w:rsid w:val="007A3A68"/>
    <w:rsid w:val="007A3B85"/>
    <w:rsid w:val="007A442D"/>
    <w:rsid w:val="007A5DCD"/>
    <w:rsid w:val="007B0ACA"/>
    <w:rsid w:val="007B1112"/>
    <w:rsid w:val="007B197A"/>
    <w:rsid w:val="007B27AA"/>
    <w:rsid w:val="007B4569"/>
    <w:rsid w:val="007B528B"/>
    <w:rsid w:val="007B5CE1"/>
    <w:rsid w:val="007B78F7"/>
    <w:rsid w:val="007B7C9F"/>
    <w:rsid w:val="007C1BB3"/>
    <w:rsid w:val="007C21EC"/>
    <w:rsid w:val="007C2E52"/>
    <w:rsid w:val="007C4193"/>
    <w:rsid w:val="007C52F3"/>
    <w:rsid w:val="007C60AA"/>
    <w:rsid w:val="007C6CF7"/>
    <w:rsid w:val="007D0826"/>
    <w:rsid w:val="007D097F"/>
    <w:rsid w:val="007D09C9"/>
    <w:rsid w:val="007D0B9E"/>
    <w:rsid w:val="007D2EB0"/>
    <w:rsid w:val="007D40F1"/>
    <w:rsid w:val="007D4285"/>
    <w:rsid w:val="007D5A05"/>
    <w:rsid w:val="007D794D"/>
    <w:rsid w:val="007E0ED9"/>
    <w:rsid w:val="007E1706"/>
    <w:rsid w:val="007E18AA"/>
    <w:rsid w:val="007E2C83"/>
    <w:rsid w:val="007E3384"/>
    <w:rsid w:val="007E465A"/>
    <w:rsid w:val="007E6149"/>
    <w:rsid w:val="007E6435"/>
    <w:rsid w:val="007E6AA1"/>
    <w:rsid w:val="007E7156"/>
    <w:rsid w:val="007E7A59"/>
    <w:rsid w:val="007F19B8"/>
    <w:rsid w:val="007F2D4B"/>
    <w:rsid w:val="007F35DF"/>
    <w:rsid w:val="007F39E7"/>
    <w:rsid w:val="007F54D4"/>
    <w:rsid w:val="007F62E5"/>
    <w:rsid w:val="007F64DC"/>
    <w:rsid w:val="00801AC8"/>
    <w:rsid w:val="00801F46"/>
    <w:rsid w:val="008040A5"/>
    <w:rsid w:val="0080566E"/>
    <w:rsid w:val="00805A3B"/>
    <w:rsid w:val="00810F23"/>
    <w:rsid w:val="008131ED"/>
    <w:rsid w:val="008150FA"/>
    <w:rsid w:val="00817E76"/>
    <w:rsid w:val="00820C10"/>
    <w:rsid w:val="00821587"/>
    <w:rsid w:val="00823B38"/>
    <w:rsid w:val="00824877"/>
    <w:rsid w:val="00824E12"/>
    <w:rsid w:val="0082516A"/>
    <w:rsid w:val="00825E79"/>
    <w:rsid w:val="00827408"/>
    <w:rsid w:val="008306F5"/>
    <w:rsid w:val="00831080"/>
    <w:rsid w:val="008339D6"/>
    <w:rsid w:val="00833FA1"/>
    <w:rsid w:val="00834C6A"/>
    <w:rsid w:val="00835707"/>
    <w:rsid w:val="008359AB"/>
    <w:rsid w:val="008375E5"/>
    <w:rsid w:val="008401A3"/>
    <w:rsid w:val="0084090B"/>
    <w:rsid w:val="008414B6"/>
    <w:rsid w:val="0084202B"/>
    <w:rsid w:val="00842432"/>
    <w:rsid w:val="00843375"/>
    <w:rsid w:val="0084425D"/>
    <w:rsid w:val="008452FF"/>
    <w:rsid w:val="00845A5E"/>
    <w:rsid w:val="008471FD"/>
    <w:rsid w:val="008473B2"/>
    <w:rsid w:val="00847C1A"/>
    <w:rsid w:val="0085116B"/>
    <w:rsid w:val="00851981"/>
    <w:rsid w:val="00851C59"/>
    <w:rsid w:val="00852C3A"/>
    <w:rsid w:val="0085628F"/>
    <w:rsid w:val="00856433"/>
    <w:rsid w:val="008572EB"/>
    <w:rsid w:val="0085758D"/>
    <w:rsid w:val="00857B1F"/>
    <w:rsid w:val="00861DAE"/>
    <w:rsid w:val="00864047"/>
    <w:rsid w:val="008710B2"/>
    <w:rsid w:val="0087176F"/>
    <w:rsid w:val="00871C48"/>
    <w:rsid w:val="008725E7"/>
    <w:rsid w:val="008740F9"/>
    <w:rsid w:val="00874660"/>
    <w:rsid w:val="00874BAB"/>
    <w:rsid w:val="0087624E"/>
    <w:rsid w:val="00877D55"/>
    <w:rsid w:val="00881C98"/>
    <w:rsid w:val="00884585"/>
    <w:rsid w:val="00884593"/>
    <w:rsid w:val="00884710"/>
    <w:rsid w:val="00885866"/>
    <w:rsid w:val="00885E06"/>
    <w:rsid w:val="00887290"/>
    <w:rsid w:val="00887713"/>
    <w:rsid w:val="00887FFE"/>
    <w:rsid w:val="00890C67"/>
    <w:rsid w:val="00891299"/>
    <w:rsid w:val="0089154F"/>
    <w:rsid w:val="00892D09"/>
    <w:rsid w:val="00894B4C"/>
    <w:rsid w:val="00895433"/>
    <w:rsid w:val="008955F5"/>
    <w:rsid w:val="008976CA"/>
    <w:rsid w:val="008A09D6"/>
    <w:rsid w:val="008A1D76"/>
    <w:rsid w:val="008A2C4A"/>
    <w:rsid w:val="008A3A37"/>
    <w:rsid w:val="008A6458"/>
    <w:rsid w:val="008B0DAC"/>
    <w:rsid w:val="008B5E60"/>
    <w:rsid w:val="008C042C"/>
    <w:rsid w:val="008C0928"/>
    <w:rsid w:val="008C0B89"/>
    <w:rsid w:val="008C1177"/>
    <w:rsid w:val="008C3197"/>
    <w:rsid w:val="008C358E"/>
    <w:rsid w:val="008C47B7"/>
    <w:rsid w:val="008C6AC3"/>
    <w:rsid w:val="008C7772"/>
    <w:rsid w:val="008C7B65"/>
    <w:rsid w:val="008C7FCE"/>
    <w:rsid w:val="008D2976"/>
    <w:rsid w:val="008D2A03"/>
    <w:rsid w:val="008D2BC4"/>
    <w:rsid w:val="008D4684"/>
    <w:rsid w:val="008D5ADC"/>
    <w:rsid w:val="008D638B"/>
    <w:rsid w:val="008E01EB"/>
    <w:rsid w:val="008E092B"/>
    <w:rsid w:val="008E16C7"/>
    <w:rsid w:val="008E1707"/>
    <w:rsid w:val="008E1CB0"/>
    <w:rsid w:val="008E2C3B"/>
    <w:rsid w:val="008E3AD8"/>
    <w:rsid w:val="008E7345"/>
    <w:rsid w:val="008F18FF"/>
    <w:rsid w:val="008F26B2"/>
    <w:rsid w:val="008F33B6"/>
    <w:rsid w:val="008F483A"/>
    <w:rsid w:val="008F51FD"/>
    <w:rsid w:val="008F6B88"/>
    <w:rsid w:val="008F7089"/>
    <w:rsid w:val="008F76F3"/>
    <w:rsid w:val="008F77B6"/>
    <w:rsid w:val="008F78FD"/>
    <w:rsid w:val="00900CB8"/>
    <w:rsid w:val="00904085"/>
    <w:rsid w:val="009046AB"/>
    <w:rsid w:val="00906174"/>
    <w:rsid w:val="0090677B"/>
    <w:rsid w:val="00907707"/>
    <w:rsid w:val="00911C8E"/>
    <w:rsid w:val="0091227B"/>
    <w:rsid w:val="00912656"/>
    <w:rsid w:val="009136F1"/>
    <w:rsid w:val="009144E4"/>
    <w:rsid w:val="00916EB2"/>
    <w:rsid w:val="00917890"/>
    <w:rsid w:val="00917AEF"/>
    <w:rsid w:val="00920096"/>
    <w:rsid w:val="00920224"/>
    <w:rsid w:val="00921F3A"/>
    <w:rsid w:val="009239ED"/>
    <w:rsid w:val="00923CAC"/>
    <w:rsid w:val="00923FF9"/>
    <w:rsid w:val="00924C12"/>
    <w:rsid w:val="00924D94"/>
    <w:rsid w:val="00925047"/>
    <w:rsid w:val="00925A52"/>
    <w:rsid w:val="009260CF"/>
    <w:rsid w:val="00926C6E"/>
    <w:rsid w:val="00926EC3"/>
    <w:rsid w:val="00930086"/>
    <w:rsid w:val="009301B8"/>
    <w:rsid w:val="00930AB1"/>
    <w:rsid w:val="009319D3"/>
    <w:rsid w:val="009340D5"/>
    <w:rsid w:val="009359C2"/>
    <w:rsid w:val="00935A83"/>
    <w:rsid w:val="00942A72"/>
    <w:rsid w:val="00942BC8"/>
    <w:rsid w:val="009430F2"/>
    <w:rsid w:val="009434FC"/>
    <w:rsid w:val="00944136"/>
    <w:rsid w:val="00945BD0"/>
    <w:rsid w:val="00946FB5"/>
    <w:rsid w:val="00947CFA"/>
    <w:rsid w:val="0095047E"/>
    <w:rsid w:val="0095079E"/>
    <w:rsid w:val="009509DD"/>
    <w:rsid w:val="00950CBC"/>
    <w:rsid w:val="00951047"/>
    <w:rsid w:val="009519EB"/>
    <w:rsid w:val="00951EED"/>
    <w:rsid w:val="009524CC"/>
    <w:rsid w:val="00952FEF"/>
    <w:rsid w:val="0095455C"/>
    <w:rsid w:val="009557CC"/>
    <w:rsid w:val="00955D0A"/>
    <w:rsid w:val="00957776"/>
    <w:rsid w:val="00960695"/>
    <w:rsid w:val="009608D5"/>
    <w:rsid w:val="009611AA"/>
    <w:rsid w:val="009622DB"/>
    <w:rsid w:val="0096439C"/>
    <w:rsid w:val="00964B73"/>
    <w:rsid w:val="00964F27"/>
    <w:rsid w:val="0096541E"/>
    <w:rsid w:val="009655FA"/>
    <w:rsid w:val="00965754"/>
    <w:rsid w:val="00965909"/>
    <w:rsid w:val="00965FB1"/>
    <w:rsid w:val="0096792C"/>
    <w:rsid w:val="00967AC3"/>
    <w:rsid w:val="00967CCB"/>
    <w:rsid w:val="009714BF"/>
    <w:rsid w:val="00972AA4"/>
    <w:rsid w:val="00972FAE"/>
    <w:rsid w:val="0097446E"/>
    <w:rsid w:val="009751B3"/>
    <w:rsid w:val="009757D4"/>
    <w:rsid w:val="00975810"/>
    <w:rsid w:val="00975AC9"/>
    <w:rsid w:val="00975E8C"/>
    <w:rsid w:val="00976153"/>
    <w:rsid w:val="009809AA"/>
    <w:rsid w:val="00982636"/>
    <w:rsid w:val="00982D54"/>
    <w:rsid w:val="00984A92"/>
    <w:rsid w:val="009861F5"/>
    <w:rsid w:val="00986409"/>
    <w:rsid w:val="00987001"/>
    <w:rsid w:val="009870E4"/>
    <w:rsid w:val="0098741B"/>
    <w:rsid w:val="009879D1"/>
    <w:rsid w:val="00987BD4"/>
    <w:rsid w:val="009913DA"/>
    <w:rsid w:val="00991F41"/>
    <w:rsid w:val="00992A57"/>
    <w:rsid w:val="0099570C"/>
    <w:rsid w:val="00995B1F"/>
    <w:rsid w:val="00997079"/>
    <w:rsid w:val="009A014B"/>
    <w:rsid w:val="009A1218"/>
    <w:rsid w:val="009A1525"/>
    <w:rsid w:val="009A1C27"/>
    <w:rsid w:val="009A31A4"/>
    <w:rsid w:val="009A4E00"/>
    <w:rsid w:val="009A722F"/>
    <w:rsid w:val="009A7E42"/>
    <w:rsid w:val="009A7F72"/>
    <w:rsid w:val="009B0A53"/>
    <w:rsid w:val="009B13A1"/>
    <w:rsid w:val="009B21FB"/>
    <w:rsid w:val="009B2AA9"/>
    <w:rsid w:val="009B2FA1"/>
    <w:rsid w:val="009B3961"/>
    <w:rsid w:val="009B3AA0"/>
    <w:rsid w:val="009B4CB9"/>
    <w:rsid w:val="009B5FBC"/>
    <w:rsid w:val="009B61A3"/>
    <w:rsid w:val="009B720B"/>
    <w:rsid w:val="009C025A"/>
    <w:rsid w:val="009C02BC"/>
    <w:rsid w:val="009C038B"/>
    <w:rsid w:val="009C0CEE"/>
    <w:rsid w:val="009C24D5"/>
    <w:rsid w:val="009C301F"/>
    <w:rsid w:val="009C35F5"/>
    <w:rsid w:val="009C48B4"/>
    <w:rsid w:val="009C550F"/>
    <w:rsid w:val="009C63A6"/>
    <w:rsid w:val="009C7219"/>
    <w:rsid w:val="009D3A06"/>
    <w:rsid w:val="009D4434"/>
    <w:rsid w:val="009D45F5"/>
    <w:rsid w:val="009D4A21"/>
    <w:rsid w:val="009D4FE1"/>
    <w:rsid w:val="009D548F"/>
    <w:rsid w:val="009D66FC"/>
    <w:rsid w:val="009E1AED"/>
    <w:rsid w:val="009E211F"/>
    <w:rsid w:val="009E412D"/>
    <w:rsid w:val="009E438F"/>
    <w:rsid w:val="009E4C07"/>
    <w:rsid w:val="009E5441"/>
    <w:rsid w:val="009E5455"/>
    <w:rsid w:val="009E5CE5"/>
    <w:rsid w:val="009E7654"/>
    <w:rsid w:val="009E765A"/>
    <w:rsid w:val="009F021E"/>
    <w:rsid w:val="009F090E"/>
    <w:rsid w:val="009F1674"/>
    <w:rsid w:val="009F5BF0"/>
    <w:rsid w:val="009F6804"/>
    <w:rsid w:val="00A005BD"/>
    <w:rsid w:val="00A01036"/>
    <w:rsid w:val="00A01B0D"/>
    <w:rsid w:val="00A03794"/>
    <w:rsid w:val="00A03F8D"/>
    <w:rsid w:val="00A0535C"/>
    <w:rsid w:val="00A056B9"/>
    <w:rsid w:val="00A06CC5"/>
    <w:rsid w:val="00A119D0"/>
    <w:rsid w:val="00A14CA7"/>
    <w:rsid w:val="00A14DC1"/>
    <w:rsid w:val="00A15C46"/>
    <w:rsid w:val="00A16E3E"/>
    <w:rsid w:val="00A226D4"/>
    <w:rsid w:val="00A22BBE"/>
    <w:rsid w:val="00A30965"/>
    <w:rsid w:val="00A30FE9"/>
    <w:rsid w:val="00A3169A"/>
    <w:rsid w:val="00A3190A"/>
    <w:rsid w:val="00A31CEC"/>
    <w:rsid w:val="00A31EDB"/>
    <w:rsid w:val="00A32214"/>
    <w:rsid w:val="00A328E5"/>
    <w:rsid w:val="00A32D14"/>
    <w:rsid w:val="00A352B8"/>
    <w:rsid w:val="00A35D9B"/>
    <w:rsid w:val="00A37B07"/>
    <w:rsid w:val="00A37F62"/>
    <w:rsid w:val="00A40DB0"/>
    <w:rsid w:val="00A42534"/>
    <w:rsid w:val="00A44294"/>
    <w:rsid w:val="00A45538"/>
    <w:rsid w:val="00A46487"/>
    <w:rsid w:val="00A4695D"/>
    <w:rsid w:val="00A47688"/>
    <w:rsid w:val="00A50077"/>
    <w:rsid w:val="00A53DDC"/>
    <w:rsid w:val="00A54C34"/>
    <w:rsid w:val="00A55F71"/>
    <w:rsid w:val="00A56217"/>
    <w:rsid w:val="00A56F0B"/>
    <w:rsid w:val="00A57BAD"/>
    <w:rsid w:val="00A57C6B"/>
    <w:rsid w:val="00A57F3F"/>
    <w:rsid w:val="00A603F5"/>
    <w:rsid w:val="00A6121D"/>
    <w:rsid w:val="00A65054"/>
    <w:rsid w:val="00A66D5A"/>
    <w:rsid w:val="00A6700A"/>
    <w:rsid w:val="00A67061"/>
    <w:rsid w:val="00A679EE"/>
    <w:rsid w:val="00A71512"/>
    <w:rsid w:val="00A71664"/>
    <w:rsid w:val="00A728EA"/>
    <w:rsid w:val="00A750A2"/>
    <w:rsid w:val="00A76515"/>
    <w:rsid w:val="00A80844"/>
    <w:rsid w:val="00A80AFE"/>
    <w:rsid w:val="00A822B5"/>
    <w:rsid w:val="00A85E62"/>
    <w:rsid w:val="00A8647E"/>
    <w:rsid w:val="00A86C70"/>
    <w:rsid w:val="00A87514"/>
    <w:rsid w:val="00A902BE"/>
    <w:rsid w:val="00A90887"/>
    <w:rsid w:val="00A91751"/>
    <w:rsid w:val="00A94792"/>
    <w:rsid w:val="00AA005A"/>
    <w:rsid w:val="00AA0442"/>
    <w:rsid w:val="00AA0B1C"/>
    <w:rsid w:val="00AA1745"/>
    <w:rsid w:val="00AA4627"/>
    <w:rsid w:val="00AA4A66"/>
    <w:rsid w:val="00AA5299"/>
    <w:rsid w:val="00AA5457"/>
    <w:rsid w:val="00AA5959"/>
    <w:rsid w:val="00AB0F53"/>
    <w:rsid w:val="00AB1109"/>
    <w:rsid w:val="00AB26E4"/>
    <w:rsid w:val="00AB2883"/>
    <w:rsid w:val="00AB4350"/>
    <w:rsid w:val="00AB50CE"/>
    <w:rsid w:val="00AB5ED8"/>
    <w:rsid w:val="00AB6837"/>
    <w:rsid w:val="00AB6988"/>
    <w:rsid w:val="00AC05A6"/>
    <w:rsid w:val="00AC3551"/>
    <w:rsid w:val="00AC4E81"/>
    <w:rsid w:val="00AC5539"/>
    <w:rsid w:val="00AC6B24"/>
    <w:rsid w:val="00AD43F1"/>
    <w:rsid w:val="00AD51CE"/>
    <w:rsid w:val="00AD63E7"/>
    <w:rsid w:val="00AE1615"/>
    <w:rsid w:val="00AE2A13"/>
    <w:rsid w:val="00AE2D43"/>
    <w:rsid w:val="00AE56C7"/>
    <w:rsid w:val="00AE7233"/>
    <w:rsid w:val="00AE7B84"/>
    <w:rsid w:val="00AF0EFB"/>
    <w:rsid w:val="00AF1776"/>
    <w:rsid w:val="00AF19CC"/>
    <w:rsid w:val="00AF1A4D"/>
    <w:rsid w:val="00AF1E0A"/>
    <w:rsid w:val="00AF204C"/>
    <w:rsid w:val="00AF3977"/>
    <w:rsid w:val="00AF4636"/>
    <w:rsid w:val="00AF4EEC"/>
    <w:rsid w:val="00B0123F"/>
    <w:rsid w:val="00B02001"/>
    <w:rsid w:val="00B021C1"/>
    <w:rsid w:val="00B03DCB"/>
    <w:rsid w:val="00B1128E"/>
    <w:rsid w:val="00B11541"/>
    <w:rsid w:val="00B11660"/>
    <w:rsid w:val="00B12B01"/>
    <w:rsid w:val="00B13693"/>
    <w:rsid w:val="00B13BA9"/>
    <w:rsid w:val="00B157D4"/>
    <w:rsid w:val="00B205CF"/>
    <w:rsid w:val="00B23B63"/>
    <w:rsid w:val="00B24C4A"/>
    <w:rsid w:val="00B25B2F"/>
    <w:rsid w:val="00B25E55"/>
    <w:rsid w:val="00B264EA"/>
    <w:rsid w:val="00B26F16"/>
    <w:rsid w:val="00B30D64"/>
    <w:rsid w:val="00B31BE0"/>
    <w:rsid w:val="00B325C7"/>
    <w:rsid w:val="00B33407"/>
    <w:rsid w:val="00B35227"/>
    <w:rsid w:val="00B35949"/>
    <w:rsid w:val="00B35DC6"/>
    <w:rsid w:val="00B367A1"/>
    <w:rsid w:val="00B40162"/>
    <w:rsid w:val="00B4060B"/>
    <w:rsid w:val="00B407F6"/>
    <w:rsid w:val="00B41031"/>
    <w:rsid w:val="00B42058"/>
    <w:rsid w:val="00B42C6A"/>
    <w:rsid w:val="00B45720"/>
    <w:rsid w:val="00B459CD"/>
    <w:rsid w:val="00B46008"/>
    <w:rsid w:val="00B4721E"/>
    <w:rsid w:val="00B47BCB"/>
    <w:rsid w:val="00B50D0C"/>
    <w:rsid w:val="00B50FF1"/>
    <w:rsid w:val="00B523FB"/>
    <w:rsid w:val="00B526A4"/>
    <w:rsid w:val="00B52D67"/>
    <w:rsid w:val="00B5782F"/>
    <w:rsid w:val="00B579E2"/>
    <w:rsid w:val="00B60094"/>
    <w:rsid w:val="00B60D06"/>
    <w:rsid w:val="00B615D0"/>
    <w:rsid w:val="00B61BB0"/>
    <w:rsid w:val="00B6229F"/>
    <w:rsid w:val="00B66E71"/>
    <w:rsid w:val="00B7060F"/>
    <w:rsid w:val="00B71795"/>
    <w:rsid w:val="00B71E77"/>
    <w:rsid w:val="00B74736"/>
    <w:rsid w:val="00B74826"/>
    <w:rsid w:val="00B74FC1"/>
    <w:rsid w:val="00B75C11"/>
    <w:rsid w:val="00B75CA0"/>
    <w:rsid w:val="00B76A1A"/>
    <w:rsid w:val="00B771DA"/>
    <w:rsid w:val="00B772CB"/>
    <w:rsid w:val="00B77B91"/>
    <w:rsid w:val="00B825B7"/>
    <w:rsid w:val="00B83EA8"/>
    <w:rsid w:val="00B84664"/>
    <w:rsid w:val="00B84675"/>
    <w:rsid w:val="00B85DAC"/>
    <w:rsid w:val="00B95F9A"/>
    <w:rsid w:val="00B963F6"/>
    <w:rsid w:val="00B9672D"/>
    <w:rsid w:val="00BA029B"/>
    <w:rsid w:val="00BA0C86"/>
    <w:rsid w:val="00BA1E46"/>
    <w:rsid w:val="00BA1EC4"/>
    <w:rsid w:val="00BA2837"/>
    <w:rsid w:val="00BA3887"/>
    <w:rsid w:val="00BA4AED"/>
    <w:rsid w:val="00BA4EAE"/>
    <w:rsid w:val="00BA610E"/>
    <w:rsid w:val="00BA63E5"/>
    <w:rsid w:val="00BB0CA1"/>
    <w:rsid w:val="00BB0CEF"/>
    <w:rsid w:val="00BB0E46"/>
    <w:rsid w:val="00BB2347"/>
    <w:rsid w:val="00BB362F"/>
    <w:rsid w:val="00BB36B4"/>
    <w:rsid w:val="00BB3CDD"/>
    <w:rsid w:val="00BB4A13"/>
    <w:rsid w:val="00BB526B"/>
    <w:rsid w:val="00BB607F"/>
    <w:rsid w:val="00BB62A7"/>
    <w:rsid w:val="00BB67D9"/>
    <w:rsid w:val="00BB72BE"/>
    <w:rsid w:val="00BC10B7"/>
    <w:rsid w:val="00BC1F13"/>
    <w:rsid w:val="00BC3C47"/>
    <w:rsid w:val="00BC3E7C"/>
    <w:rsid w:val="00BC4494"/>
    <w:rsid w:val="00BC53C3"/>
    <w:rsid w:val="00BC565E"/>
    <w:rsid w:val="00BC70CD"/>
    <w:rsid w:val="00BD150E"/>
    <w:rsid w:val="00BD3AC0"/>
    <w:rsid w:val="00BD578E"/>
    <w:rsid w:val="00BD6649"/>
    <w:rsid w:val="00BE0C46"/>
    <w:rsid w:val="00BE1863"/>
    <w:rsid w:val="00BE21BF"/>
    <w:rsid w:val="00BE3E08"/>
    <w:rsid w:val="00BE645D"/>
    <w:rsid w:val="00BE659D"/>
    <w:rsid w:val="00BE65A2"/>
    <w:rsid w:val="00BE65A5"/>
    <w:rsid w:val="00BE7192"/>
    <w:rsid w:val="00BE7A65"/>
    <w:rsid w:val="00BF2156"/>
    <w:rsid w:val="00BF633D"/>
    <w:rsid w:val="00C009DD"/>
    <w:rsid w:val="00C01753"/>
    <w:rsid w:val="00C02B50"/>
    <w:rsid w:val="00C0563A"/>
    <w:rsid w:val="00C1024E"/>
    <w:rsid w:val="00C1035A"/>
    <w:rsid w:val="00C1107C"/>
    <w:rsid w:val="00C12BDA"/>
    <w:rsid w:val="00C13172"/>
    <w:rsid w:val="00C142DD"/>
    <w:rsid w:val="00C1522A"/>
    <w:rsid w:val="00C1573D"/>
    <w:rsid w:val="00C15C9B"/>
    <w:rsid w:val="00C1735C"/>
    <w:rsid w:val="00C20099"/>
    <w:rsid w:val="00C22774"/>
    <w:rsid w:val="00C22893"/>
    <w:rsid w:val="00C228F7"/>
    <w:rsid w:val="00C22DC8"/>
    <w:rsid w:val="00C2350E"/>
    <w:rsid w:val="00C2355F"/>
    <w:rsid w:val="00C23F9D"/>
    <w:rsid w:val="00C25FAD"/>
    <w:rsid w:val="00C270F3"/>
    <w:rsid w:val="00C300BA"/>
    <w:rsid w:val="00C30586"/>
    <w:rsid w:val="00C30837"/>
    <w:rsid w:val="00C31B10"/>
    <w:rsid w:val="00C324A6"/>
    <w:rsid w:val="00C33055"/>
    <w:rsid w:val="00C33D87"/>
    <w:rsid w:val="00C33F99"/>
    <w:rsid w:val="00C35289"/>
    <w:rsid w:val="00C445BB"/>
    <w:rsid w:val="00C445FB"/>
    <w:rsid w:val="00C449D7"/>
    <w:rsid w:val="00C44DF8"/>
    <w:rsid w:val="00C45020"/>
    <w:rsid w:val="00C46209"/>
    <w:rsid w:val="00C5000B"/>
    <w:rsid w:val="00C50B40"/>
    <w:rsid w:val="00C518F1"/>
    <w:rsid w:val="00C51CFA"/>
    <w:rsid w:val="00C557F2"/>
    <w:rsid w:val="00C55ACB"/>
    <w:rsid w:val="00C5669B"/>
    <w:rsid w:val="00C566A6"/>
    <w:rsid w:val="00C569B2"/>
    <w:rsid w:val="00C571F5"/>
    <w:rsid w:val="00C60811"/>
    <w:rsid w:val="00C6127D"/>
    <w:rsid w:val="00C61492"/>
    <w:rsid w:val="00C622F8"/>
    <w:rsid w:val="00C64C7A"/>
    <w:rsid w:val="00C650A5"/>
    <w:rsid w:val="00C65CFE"/>
    <w:rsid w:val="00C66016"/>
    <w:rsid w:val="00C661FF"/>
    <w:rsid w:val="00C670C3"/>
    <w:rsid w:val="00C67327"/>
    <w:rsid w:val="00C67F45"/>
    <w:rsid w:val="00C75256"/>
    <w:rsid w:val="00C75B58"/>
    <w:rsid w:val="00C76856"/>
    <w:rsid w:val="00C77A75"/>
    <w:rsid w:val="00C77B58"/>
    <w:rsid w:val="00C808BF"/>
    <w:rsid w:val="00C80F50"/>
    <w:rsid w:val="00C81061"/>
    <w:rsid w:val="00C81537"/>
    <w:rsid w:val="00C817D9"/>
    <w:rsid w:val="00C819F1"/>
    <w:rsid w:val="00C8214F"/>
    <w:rsid w:val="00C829C4"/>
    <w:rsid w:val="00C86173"/>
    <w:rsid w:val="00C92369"/>
    <w:rsid w:val="00C92634"/>
    <w:rsid w:val="00C93C39"/>
    <w:rsid w:val="00C94DF7"/>
    <w:rsid w:val="00CA0D71"/>
    <w:rsid w:val="00CA1DC0"/>
    <w:rsid w:val="00CA1F22"/>
    <w:rsid w:val="00CA265B"/>
    <w:rsid w:val="00CA2CCF"/>
    <w:rsid w:val="00CA2D12"/>
    <w:rsid w:val="00CA3732"/>
    <w:rsid w:val="00CA4E0B"/>
    <w:rsid w:val="00CA6405"/>
    <w:rsid w:val="00CA69FB"/>
    <w:rsid w:val="00CA7065"/>
    <w:rsid w:val="00CA7969"/>
    <w:rsid w:val="00CB150E"/>
    <w:rsid w:val="00CB22D7"/>
    <w:rsid w:val="00CB2743"/>
    <w:rsid w:val="00CB2FFF"/>
    <w:rsid w:val="00CB3322"/>
    <w:rsid w:val="00CB34C5"/>
    <w:rsid w:val="00CB3515"/>
    <w:rsid w:val="00CB3F32"/>
    <w:rsid w:val="00CB6493"/>
    <w:rsid w:val="00CB7068"/>
    <w:rsid w:val="00CB783E"/>
    <w:rsid w:val="00CB7C66"/>
    <w:rsid w:val="00CB7F4C"/>
    <w:rsid w:val="00CC083B"/>
    <w:rsid w:val="00CC345D"/>
    <w:rsid w:val="00CC40D5"/>
    <w:rsid w:val="00CC5690"/>
    <w:rsid w:val="00CD007A"/>
    <w:rsid w:val="00CD19AD"/>
    <w:rsid w:val="00CD1CA0"/>
    <w:rsid w:val="00CD25CF"/>
    <w:rsid w:val="00CD2F6B"/>
    <w:rsid w:val="00CD2F9D"/>
    <w:rsid w:val="00CD41D1"/>
    <w:rsid w:val="00CD6644"/>
    <w:rsid w:val="00CE0528"/>
    <w:rsid w:val="00CE063D"/>
    <w:rsid w:val="00CE151C"/>
    <w:rsid w:val="00CE3774"/>
    <w:rsid w:val="00CE42D6"/>
    <w:rsid w:val="00CE689F"/>
    <w:rsid w:val="00CE6FE4"/>
    <w:rsid w:val="00CF1B9D"/>
    <w:rsid w:val="00CF21FE"/>
    <w:rsid w:val="00CF4139"/>
    <w:rsid w:val="00CF474C"/>
    <w:rsid w:val="00CF60AD"/>
    <w:rsid w:val="00CF6126"/>
    <w:rsid w:val="00CF7E82"/>
    <w:rsid w:val="00D016F4"/>
    <w:rsid w:val="00D01CDC"/>
    <w:rsid w:val="00D01DD1"/>
    <w:rsid w:val="00D030EC"/>
    <w:rsid w:val="00D04686"/>
    <w:rsid w:val="00D047A5"/>
    <w:rsid w:val="00D055E8"/>
    <w:rsid w:val="00D0745A"/>
    <w:rsid w:val="00D07532"/>
    <w:rsid w:val="00D10B55"/>
    <w:rsid w:val="00D115CF"/>
    <w:rsid w:val="00D12264"/>
    <w:rsid w:val="00D1280A"/>
    <w:rsid w:val="00D13097"/>
    <w:rsid w:val="00D13220"/>
    <w:rsid w:val="00D14BE3"/>
    <w:rsid w:val="00D14EEF"/>
    <w:rsid w:val="00D152F9"/>
    <w:rsid w:val="00D20874"/>
    <w:rsid w:val="00D217B0"/>
    <w:rsid w:val="00D22898"/>
    <w:rsid w:val="00D23184"/>
    <w:rsid w:val="00D23B07"/>
    <w:rsid w:val="00D25AC9"/>
    <w:rsid w:val="00D262E9"/>
    <w:rsid w:val="00D26F8B"/>
    <w:rsid w:val="00D27B70"/>
    <w:rsid w:val="00D3203D"/>
    <w:rsid w:val="00D32C4B"/>
    <w:rsid w:val="00D337F0"/>
    <w:rsid w:val="00D346A5"/>
    <w:rsid w:val="00D3602F"/>
    <w:rsid w:val="00D43255"/>
    <w:rsid w:val="00D43824"/>
    <w:rsid w:val="00D444F7"/>
    <w:rsid w:val="00D44A05"/>
    <w:rsid w:val="00D463BD"/>
    <w:rsid w:val="00D46DFB"/>
    <w:rsid w:val="00D5032E"/>
    <w:rsid w:val="00D50516"/>
    <w:rsid w:val="00D50753"/>
    <w:rsid w:val="00D52AEB"/>
    <w:rsid w:val="00D5306B"/>
    <w:rsid w:val="00D539E8"/>
    <w:rsid w:val="00D554BF"/>
    <w:rsid w:val="00D56E10"/>
    <w:rsid w:val="00D57933"/>
    <w:rsid w:val="00D60B48"/>
    <w:rsid w:val="00D6667A"/>
    <w:rsid w:val="00D67639"/>
    <w:rsid w:val="00D72DE9"/>
    <w:rsid w:val="00D753F7"/>
    <w:rsid w:val="00D75717"/>
    <w:rsid w:val="00D75D16"/>
    <w:rsid w:val="00D8032D"/>
    <w:rsid w:val="00D80A8B"/>
    <w:rsid w:val="00D8238F"/>
    <w:rsid w:val="00D83001"/>
    <w:rsid w:val="00D8579D"/>
    <w:rsid w:val="00D921C7"/>
    <w:rsid w:val="00D922B0"/>
    <w:rsid w:val="00D922B6"/>
    <w:rsid w:val="00D92DD9"/>
    <w:rsid w:val="00D93E27"/>
    <w:rsid w:val="00D94641"/>
    <w:rsid w:val="00D956D3"/>
    <w:rsid w:val="00D96E00"/>
    <w:rsid w:val="00DA0BF2"/>
    <w:rsid w:val="00DA0D91"/>
    <w:rsid w:val="00DA1022"/>
    <w:rsid w:val="00DA1DD7"/>
    <w:rsid w:val="00DA1F4D"/>
    <w:rsid w:val="00DA24EE"/>
    <w:rsid w:val="00DA2FCF"/>
    <w:rsid w:val="00DA588B"/>
    <w:rsid w:val="00DA7F27"/>
    <w:rsid w:val="00DB0329"/>
    <w:rsid w:val="00DB246F"/>
    <w:rsid w:val="00DB30D8"/>
    <w:rsid w:val="00DB5844"/>
    <w:rsid w:val="00DB59A4"/>
    <w:rsid w:val="00DB5A25"/>
    <w:rsid w:val="00DB6C6B"/>
    <w:rsid w:val="00DC2C44"/>
    <w:rsid w:val="00DC2D97"/>
    <w:rsid w:val="00DC44CA"/>
    <w:rsid w:val="00DC47FA"/>
    <w:rsid w:val="00DC4802"/>
    <w:rsid w:val="00DC593F"/>
    <w:rsid w:val="00DC6506"/>
    <w:rsid w:val="00DC6EC3"/>
    <w:rsid w:val="00DD046B"/>
    <w:rsid w:val="00DD109D"/>
    <w:rsid w:val="00DD1488"/>
    <w:rsid w:val="00DD25A3"/>
    <w:rsid w:val="00DD2C29"/>
    <w:rsid w:val="00DD778E"/>
    <w:rsid w:val="00DE18B7"/>
    <w:rsid w:val="00DE22DA"/>
    <w:rsid w:val="00DE2FAA"/>
    <w:rsid w:val="00DE3307"/>
    <w:rsid w:val="00DE47A8"/>
    <w:rsid w:val="00DE5E6A"/>
    <w:rsid w:val="00DE5F0B"/>
    <w:rsid w:val="00DE78D9"/>
    <w:rsid w:val="00DF2A72"/>
    <w:rsid w:val="00DF3C79"/>
    <w:rsid w:val="00DF3F4E"/>
    <w:rsid w:val="00DF40AD"/>
    <w:rsid w:val="00DF445D"/>
    <w:rsid w:val="00DF4C5C"/>
    <w:rsid w:val="00DF4C9F"/>
    <w:rsid w:val="00DF5CB4"/>
    <w:rsid w:val="00DF616E"/>
    <w:rsid w:val="00DF648A"/>
    <w:rsid w:val="00DF772B"/>
    <w:rsid w:val="00DF7BA1"/>
    <w:rsid w:val="00E007D7"/>
    <w:rsid w:val="00E012A1"/>
    <w:rsid w:val="00E01538"/>
    <w:rsid w:val="00E01713"/>
    <w:rsid w:val="00E01CD2"/>
    <w:rsid w:val="00E027E0"/>
    <w:rsid w:val="00E0356F"/>
    <w:rsid w:val="00E06B92"/>
    <w:rsid w:val="00E07A28"/>
    <w:rsid w:val="00E07E61"/>
    <w:rsid w:val="00E10A81"/>
    <w:rsid w:val="00E10B14"/>
    <w:rsid w:val="00E12980"/>
    <w:rsid w:val="00E12AC4"/>
    <w:rsid w:val="00E16BE0"/>
    <w:rsid w:val="00E21870"/>
    <w:rsid w:val="00E21DE0"/>
    <w:rsid w:val="00E220CC"/>
    <w:rsid w:val="00E2225A"/>
    <w:rsid w:val="00E22850"/>
    <w:rsid w:val="00E22ACD"/>
    <w:rsid w:val="00E22E86"/>
    <w:rsid w:val="00E23464"/>
    <w:rsid w:val="00E23AAF"/>
    <w:rsid w:val="00E24553"/>
    <w:rsid w:val="00E24D9A"/>
    <w:rsid w:val="00E26039"/>
    <w:rsid w:val="00E264E3"/>
    <w:rsid w:val="00E269BF"/>
    <w:rsid w:val="00E30A76"/>
    <w:rsid w:val="00E31028"/>
    <w:rsid w:val="00E320A5"/>
    <w:rsid w:val="00E32868"/>
    <w:rsid w:val="00E336E1"/>
    <w:rsid w:val="00E34E50"/>
    <w:rsid w:val="00E37A1B"/>
    <w:rsid w:val="00E40C63"/>
    <w:rsid w:val="00E41296"/>
    <w:rsid w:val="00E43711"/>
    <w:rsid w:val="00E4384E"/>
    <w:rsid w:val="00E43C7D"/>
    <w:rsid w:val="00E45AD5"/>
    <w:rsid w:val="00E473DE"/>
    <w:rsid w:val="00E47548"/>
    <w:rsid w:val="00E47BE3"/>
    <w:rsid w:val="00E47F7B"/>
    <w:rsid w:val="00E51794"/>
    <w:rsid w:val="00E523E0"/>
    <w:rsid w:val="00E52536"/>
    <w:rsid w:val="00E5287E"/>
    <w:rsid w:val="00E5487F"/>
    <w:rsid w:val="00E54A3D"/>
    <w:rsid w:val="00E54D91"/>
    <w:rsid w:val="00E573BE"/>
    <w:rsid w:val="00E61345"/>
    <w:rsid w:val="00E61F3F"/>
    <w:rsid w:val="00E632D7"/>
    <w:rsid w:val="00E63337"/>
    <w:rsid w:val="00E63B11"/>
    <w:rsid w:val="00E63FB1"/>
    <w:rsid w:val="00E654BE"/>
    <w:rsid w:val="00E6559C"/>
    <w:rsid w:val="00E65AAF"/>
    <w:rsid w:val="00E669AE"/>
    <w:rsid w:val="00E670B8"/>
    <w:rsid w:val="00E67D87"/>
    <w:rsid w:val="00E719EB"/>
    <w:rsid w:val="00E72429"/>
    <w:rsid w:val="00E730A9"/>
    <w:rsid w:val="00E730D2"/>
    <w:rsid w:val="00E739EA"/>
    <w:rsid w:val="00E7435E"/>
    <w:rsid w:val="00E7556F"/>
    <w:rsid w:val="00E75BC3"/>
    <w:rsid w:val="00E76E7A"/>
    <w:rsid w:val="00E827F4"/>
    <w:rsid w:val="00E8298D"/>
    <w:rsid w:val="00E848A0"/>
    <w:rsid w:val="00E84B5F"/>
    <w:rsid w:val="00E85462"/>
    <w:rsid w:val="00E856AE"/>
    <w:rsid w:val="00E86F50"/>
    <w:rsid w:val="00E86FF2"/>
    <w:rsid w:val="00E87C67"/>
    <w:rsid w:val="00E90D56"/>
    <w:rsid w:val="00E93BF4"/>
    <w:rsid w:val="00E97F70"/>
    <w:rsid w:val="00EA1A91"/>
    <w:rsid w:val="00EA4F04"/>
    <w:rsid w:val="00EA5099"/>
    <w:rsid w:val="00EA55A1"/>
    <w:rsid w:val="00EA5EBB"/>
    <w:rsid w:val="00EA62C7"/>
    <w:rsid w:val="00EA684A"/>
    <w:rsid w:val="00EA6B8C"/>
    <w:rsid w:val="00EA70F7"/>
    <w:rsid w:val="00EB0334"/>
    <w:rsid w:val="00EB0C4A"/>
    <w:rsid w:val="00EB1275"/>
    <w:rsid w:val="00EB354E"/>
    <w:rsid w:val="00EB39A2"/>
    <w:rsid w:val="00EB7458"/>
    <w:rsid w:val="00EB7A2B"/>
    <w:rsid w:val="00EC6504"/>
    <w:rsid w:val="00EC7514"/>
    <w:rsid w:val="00ED03BB"/>
    <w:rsid w:val="00ED073E"/>
    <w:rsid w:val="00ED135A"/>
    <w:rsid w:val="00ED4BD8"/>
    <w:rsid w:val="00ED5DE2"/>
    <w:rsid w:val="00EE2FC0"/>
    <w:rsid w:val="00EE34AF"/>
    <w:rsid w:val="00EE3CDE"/>
    <w:rsid w:val="00EE3E30"/>
    <w:rsid w:val="00EE4427"/>
    <w:rsid w:val="00EE4779"/>
    <w:rsid w:val="00EE54E5"/>
    <w:rsid w:val="00EE5668"/>
    <w:rsid w:val="00EE6274"/>
    <w:rsid w:val="00EE6AFD"/>
    <w:rsid w:val="00EE6D71"/>
    <w:rsid w:val="00EF0B0E"/>
    <w:rsid w:val="00EF2F6C"/>
    <w:rsid w:val="00EF5172"/>
    <w:rsid w:val="00EF6C54"/>
    <w:rsid w:val="00F0343F"/>
    <w:rsid w:val="00F03A80"/>
    <w:rsid w:val="00F04940"/>
    <w:rsid w:val="00F065D1"/>
    <w:rsid w:val="00F07CB8"/>
    <w:rsid w:val="00F10117"/>
    <w:rsid w:val="00F1086F"/>
    <w:rsid w:val="00F13B89"/>
    <w:rsid w:val="00F160A4"/>
    <w:rsid w:val="00F1683C"/>
    <w:rsid w:val="00F17508"/>
    <w:rsid w:val="00F179E6"/>
    <w:rsid w:val="00F22BEB"/>
    <w:rsid w:val="00F260D4"/>
    <w:rsid w:val="00F33077"/>
    <w:rsid w:val="00F3366D"/>
    <w:rsid w:val="00F342C0"/>
    <w:rsid w:val="00F34AF8"/>
    <w:rsid w:val="00F35265"/>
    <w:rsid w:val="00F3591B"/>
    <w:rsid w:val="00F3688C"/>
    <w:rsid w:val="00F37142"/>
    <w:rsid w:val="00F37E5D"/>
    <w:rsid w:val="00F4063D"/>
    <w:rsid w:val="00F41DA6"/>
    <w:rsid w:val="00F42F61"/>
    <w:rsid w:val="00F433E8"/>
    <w:rsid w:val="00F459F9"/>
    <w:rsid w:val="00F468A0"/>
    <w:rsid w:val="00F4699C"/>
    <w:rsid w:val="00F47268"/>
    <w:rsid w:val="00F47C9B"/>
    <w:rsid w:val="00F47DA4"/>
    <w:rsid w:val="00F511DE"/>
    <w:rsid w:val="00F5127D"/>
    <w:rsid w:val="00F5237F"/>
    <w:rsid w:val="00F52E0D"/>
    <w:rsid w:val="00F60D95"/>
    <w:rsid w:val="00F61679"/>
    <w:rsid w:val="00F61BBB"/>
    <w:rsid w:val="00F63A25"/>
    <w:rsid w:val="00F64786"/>
    <w:rsid w:val="00F64C51"/>
    <w:rsid w:val="00F65A14"/>
    <w:rsid w:val="00F6605D"/>
    <w:rsid w:val="00F6694B"/>
    <w:rsid w:val="00F66A97"/>
    <w:rsid w:val="00F670D7"/>
    <w:rsid w:val="00F67900"/>
    <w:rsid w:val="00F70D3D"/>
    <w:rsid w:val="00F71DD4"/>
    <w:rsid w:val="00F71DD5"/>
    <w:rsid w:val="00F72D30"/>
    <w:rsid w:val="00F72DC6"/>
    <w:rsid w:val="00F732D4"/>
    <w:rsid w:val="00F74060"/>
    <w:rsid w:val="00F7495E"/>
    <w:rsid w:val="00F74A42"/>
    <w:rsid w:val="00F761D5"/>
    <w:rsid w:val="00F76849"/>
    <w:rsid w:val="00F76FC2"/>
    <w:rsid w:val="00F80A60"/>
    <w:rsid w:val="00F82B70"/>
    <w:rsid w:val="00F8326B"/>
    <w:rsid w:val="00F83AC1"/>
    <w:rsid w:val="00F83F7E"/>
    <w:rsid w:val="00F84AD3"/>
    <w:rsid w:val="00F854CF"/>
    <w:rsid w:val="00F866E7"/>
    <w:rsid w:val="00F878D9"/>
    <w:rsid w:val="00F91EDA"/>
    <w:rsid w:val="00F9222B"/>
    <w:rsid w:val="00F92E55"/>
    <w:rsid w:val="00F9412D"/>
    <w:rsid w:val="00F954F3"/>
    <w:rsid w:val="00F95C89"/>
    <w:rsid w:val="00F97C62"/>
    <w:rsid w:val="00FA098D"/>
    <w:rsid w:val="00FA0B2C"/>
    <w:rsid w:val="00FA0BE4"/>
    <w:rsid w:val="00FA2CBD"/>
    <w:rsid w:val="00FA3086"/>
    <w:rsid w:val="00FA737B"/>
    <w:rsid w:val="00FA7635"/>
    <w:rsid w:val="00FA7A31"/>
    <w:rsid w:val="00FB0FFE"/>
    <w:rsid w:val="00FB1655"/>
    <w:rsid w:val="00FB19A1"/>
    <w:rsid w:val="00FB4152"/>
    <w:rsid w:val="00FB43E1"/>
    <w:rsid w:val="00FB4CD3"/>
    <w:rsid w:val="00FB5966"/>
    <w:rsid w:val="00FB65D9"/>
    <w:rsid w:val="00FB6763"/>
    <w:rsid w:val="00FB6DB7"/>
    <w:rsid w:val="00FB7F2D"/>
    <w:rsid w:val="00FC0CCD"/>
    <w:rsid w:val="00FC13F0"/>
    <w:rsid w:val="00FC2D00"/>
    <w:rsid w:val="00FC4480"/>
    <w:rsid w:val="00FC5634"/>
    <w:rsid w:val="00FC6275"/>
    <w:rsid w:val="00FC64B1"/>
    <w:rsid w:val="00FC6AC2"/>
    <w:rsid w:val="00FC7EC8"/>
    <w:rsid w:val="00FD0532"/>
    <w:rsid w:val="00FD246E"/>
    <w:rsid w:val="00FD3671"/>
    <w:rsid w:val="00FD3D2D"/>
    <w:rsid w:val="00FD431D"/>
    <w:rsid w:val="00FD49B2"/>
    <w:rsid w:val="00FD54BE"/>
    <w:rsid w:val="00FD6A62"/>
    <w:rsid w:val="00FE0A6A"/>
    <w:rsid w:val="00FE1C80"/>
    <w:rsid w:val="00FE4EB8"/>
    <w:rsid w:val="00FE5558"/>
    <w:rsid w:val="00FE5639"/>
    <w:rsid w:val="00FE6409"/>
    <w:rsid w:val="00FF2410"/>
    <w:rsid w:val="00FF48CF"/>
    <w:rsid w:val="00FF5C3A"/>
    <w:rsid w:val="00FF71ED"/>
    <w:rsid w:val="00FF7F3B"/>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6051AB8"/>
  <w15:docId w15:val="{3C0ACA21-0EC2-4E27-8149-494C92EB2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bidi="ar-SA"/>
    </w:rPr>
  </w:style>
  <w:style w:type="paragraph" w:styleId="Heading1">
    <w:name w:val="heading 1"/>
    <w:basedOn w:val="Normal"/>
    <w:next w:val="Text1"/>
    <w:link w:val="Heading1Char"/>
    <w:uiPriority w:val="9"/>
    <w:qFormat/>
    <w:rsid w:val="00681F80"/>
    <w:pPr>
      <w:keepNext/>
      <w:spacing w:before="360" w:after="120" w:line="240" w:lineRule="auto"/>
      <w:jc w:val="both"/>
      <w:outlineLvl w:val="0"/>
    </w:pPr>
    <w:rPr>
      <w:rFonts w:ascii="Times New Roman" w:eastAsia="Times New Roman" w:hAnsi="Times New Roman"/>
      <w:b/>
      <w:bCs/>
      <w:smallCaps/>
      <w:sz w:val="24"/>
      <w:szCs w:val="28"/>
      <w:lang w:eastAsia="en-GB"/>
    </w:rPr>
  </w:style>
  <w:style w:type="paragraph" w:styleId="Heading2">
    <w:name w:val="heading 2"/>
    <w:basedOn w:val="Normal"/>
    <w:next w:val="Text1"/>
    <w:link w:val="Heading2Char"/>
    <w:uiPriority w:val="9"/>
    <w:unhideWhenUsed/>
    <w:qFormat/>
    <w:rsid w:val="00681F80"/>
    <w:pPr>
      <w:keepNext/>
      <w:spacing w:before="120" w:after="120" w:line="240" w:lineRule="auto"/>
      <w:jc w:val="both"/>
      <w:outlineLvl w:val="1"/>
    </w:pPr>
    <w:rPr>
      <w:rFonts w:ascii="Times New Roman" w:eastAsia="Times New Roman" w:hAnsi="Times New Roman"/>
      <w:b/>
      <w:bCs/>
      <w:sz w:val="24"/>
      <w:szCs w:val="26"/>
      <w:lang w:eastAsia="en-GB"/>
    </w:rPr>
  </w:style>
  <w:style w:type="paragraph" w:styleId="Heading3">
    <w:name w:val="heading 3"/>
    <w:basedOn w:val="Normal"/>
    <w:next w:val="Text1"/>
    <w:link w:val="Heading3Char"/>
    <w:uiPriority w:val="9"/>
    <w:semiHidden/>
    <w:unhideWhenUsed/>
    <w:qFormat/>
    <w:rsid w:val="00681F80"/>
    <w:pPr>
      <w:keepNext/>
      <w:spacing w:before="120" w:after="120" w:line="240" w:lineRule="auto"/>
      <w:jc w:val="both"/>
      <w:outlineLvl w:val="2"/>
    </w:pPr>
    <w:rPr>
      <w:rFonts w:ascii="Times New Roman" w:eastAsia="Times New Roman" w:hAnsi="Times New Roman"/>
      <w:bCs/>
      <w:i/>
      <w:sz w:val="24"/>
      <w:lang w:eastAsia="en-GB"/>
    </w:rPr>
  </w:style>
  <w:style w:type="paragraph" w:styleId="Heading4">
    <w:name w:val="heading 4"/>
    <w:basedOn w:val="Normal"/>
    <w:next w:val="Text1"/>
    <w:link w:val="Heading4Char"/>
    <w:uiPriority w:val="9"/>
    <w:semiHidden/>
    <w:unhideWhenUsed/>
    <w:qFormat/>
    <w:rsid w:val="00681F80"/>
    <w:pPr>
      <w:keepNext/>
      <w:spacing w:before="120" w:after="120" w:line="240" w:lineRule="auto"/>
      <w:jc w:val="both"/>
      <w:outlineLvl w:val="3"/>
    </w:pPr>
    <w:rPr>
      <w:rFonts w:ascii="Times New Roman" w:eastAsia="Times New Roman" w:hAnsi="Times New Roman"/>
      <w:bCs/>
      <w:iCs/>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81F80"/>
    <w:rPr>
      <w:rFonts w:ascii="Times New Roman" w:eastAsia="Times New Roman" w:hAnsi="Times New Roman"/>
      <w:b/>
      <w:bCs/>
      <w:smallCaps/>
      <w:sz w:val="24"/>
      <w:szCs w:val="28"/>
      <w:lang w:bidi="ar-SA"/>
    </w:rPr>
  </w:style>
  <w:style w:type="character" w:customStyle="1" w:styleId="Heading2Char">
    <w:name w:val="Heading 2 Char"/>
    <w:link w:val="Heading2"/>
    <w:uiPriority w:val="9"/>
    <w:rsid w:val="00681F80"/>
    <w:rPr>
      <w:rFonts w:ascii="Times New Roman" w:eastAsia="Times New Roman" w:hAnsi="Times New Roman"/>
      <w:b/>
      <w:bCs/>
      <w:sz w:val="24"/>
      <w:szCs w:val="26"/>
      <w:lang w:bidi="ar-SA"/>
    </w:rPr>
  </w:style>
  <w:style w:type="character" w:customStyle="1" w:styleId="Heading3Char">
    <w:name w:val="Heading 3 Char"/>
    <w:link w:val="Heading3"/>
    <w:uiPriority w:val="9"/>
    <w:semiHidden/>
    <w:rsid w:val="00681F80"/>
    <w:rPr>
      <w:rFonts w:ascii="Times New Roman" w:eastAsia="Times New Roman" w:hAnsi="Times New Roman"/>
      <w:bCs/>
      <w:i/>
      <w:sz w:val="24"/>
      <w:szCs w:val="22"/>
      <w:lang w:bidi="ar-SA"/>
    </w:rPr>
  </w:style>
  <w:style w:type="character" w:customStyle="1" w:styleId="Heading4Char">
    <w:name w:val="Heading 4 Char"/>
    <w:link w:val="Heading4"/>
    <w:uiPriority w:val="9"/>
    <w:semiHidden/>
    <w:rsid w:val="00681F80"/>
    <w:rPr>
      <w:rFonts w:ascii="Times New Roman" w:eastAsia="Times New Roman" w:hAnsi="Times New Roman"/>
      <w:bCs/>
      <w:iCs/>
      <w:sz w:val="24"/>
      <w:szCs w:val="22"/>
      <w:lang w:bidi="ar-SA"/>
    </w:rPr>
  </w:style>
  <w:style w:type="character" w:styleId="Hyperlink">
    <w:name w:val="Hyperlink"/>
    <w:uiPriority w:val="99"/>
    <w:rsid w:val="00681F80"/>
    <w:rPr>
      <w:color w:val="0000FF"/>
      <w:u w:val="single"/>
      <w:shd w:val="clear" w:color="auto" w:fill="auto"/>
    </w:rPr>
  </w:style>
  <w:style w:type="paragraph" w:styleId="Footer">
    <w:name w:val="footer"/>
    <w:basedOn w:val="Normal"/>
    <w:link w:val="FooterChar"/>
    <w:uiPriority w:val="99"/>
    <w:unhideWhenUsed/>
    <w:rsid w:val="00D8238F"/>
    <w:pPr>
      <w:tabs>
        <w:tab w:val="center" w:pos="4535"/>
        <w:tab w:val="right" w:pos="9071"/>
        <w:tab w:val="right" w:pos="9921"/>
      </w:tabs>
      <w:spacing w:before="360" w:after="0" w:line="240" w:lineRule="auto"/>
      <w:ind w:left="-850" w:right="-850"/>
    </w:pPr>
    <w:rPr>
      <w:rFonts w:ascii="Times New Roman" w:hAnsi="Times New Roman"/>
      <w:sz w:val="24"/>
    </w:rPr>
  </w:style>
  <w:style w:type="character" w:customStyle="1" w:styleId="FooterChar">
    <w:name w:val="Footer Char"/>
    <w:link w:val="Footer"/>
    <w:uiPriority w:val="99"/>
    <w:rsid w:val="00D8238F"/>
    <w:rPr>
      <w:rFonts w:ascii="Times New Roman" w:hAnsi="Times New Roman"/>
      <w:sz w:val="24"/>
      <w:szCs w:val="22"/>
      <w:lang w:eastAsia="en-US" w:bidi="ar-SA"/>
    </w:rPr>
  </w:style>
  <w:style w:type="paragraph" w:styleId="FootnoteText">
    <w:name w:val="footnote text"/>
    <w:basedOn w:val="Normal"/>
    <w:unhideWhenUsed/>
    <w:qFormat/>
    <w:rsid w:val="00681F80"/>
    <w:pPr>
      <w:spacing w:after="0" w:line="240" w:lineRule="auto"/>
      <w:ind w:left="720" w:hanging="720"/>
      <w:jc w:val="both"/>
    </w:pPr>
    <w:rPr>
      <w:rFonts w:ascii="Times New Roman" w:eastAsia="Times New Roman" w:hAnsi="Times New Roman"/>
      <w:sz w:val="20"/>
      <w:szCs w:val="20"/>
      <w:lang w:eastAsia="en-GB"/>
    </w:rPr>
  </w:style>
  <w:style w:type="character" w:customStyle="1" w:styleId="FootnoteTextChar">
    <w:name w:val="Footnote Text Char"/>
    <w:aliases w:val="Footnote Text Char1 Char,Footnote Text Char Char Char,Footnote Text Char3 Char Char Char,Footnote Text Char2 Char Char Char Char,Footnote Text Char1 Char Char Char Char Char,Footnote Text Char Char Char Char Char Char Char,fn Char"/>
    <w:uiPriority w:val="99"/>
    <w:rsid w:val="00681F80"/>
    <w:rPr>
      <w:rFonts w:ascii="Times New Roman" w:eastAsia="Times New Roman" w:hAnsi="Times New Roman"/>
    </w:rPr>
  </w:style>
  <w:style w:type="paragraph" w:styleId="TOCHeading">
    <w:name w:val="TOC Heading"/>
    <w:basedOn w:val="Normal"/>
    <w:next w:val="Normal"/>
    <w:link w:val="TOCHeadingChar"/>
    <w:uiPriority w:val="39"/>
    <w:semiHidden/>
    <w:unhideWhenUsed/>
    <w:qFormat/>
    <w:rsid w:val="00681F80"/>
    <w:pPr>
      <w:spacing w:before="120" w:after="240" w:line="240" w:lineRule="auto"/>
      <w:jc w:val="center"/>
    </w:pPr>
    <w:rPr>
      <w:rFonts w:ascii="Times New Roman" w:eastAsia="Times New Roman" w:hAnsi="Times New Roman"/>
      <w:b/>
      <w:sz w:val="28"/>
      <w:lang w:eastAsia="en-GB"/>
    </w:rPr>
  </w:style>
  <w:style w:type="paragraph" w:styleId="TOC1">
    <w:name w:val="toc 1"/>
    <w:basedOn w:val="Normal"/>
    <w:next w:val="Normal"/>
    <w:uiPriority w:val="39"/>
    <w:unhideWhenUsed/>
    <w:rsid w:val="00681F80"/>
    <w:pPr>
      <w:tabs>
        <w:tab w:val="right" w:leader="dot" w:pos="9071"/>
      </w:tabs>
      <w:spacing w:before="60" w:after="120" w:line="240" w:lineRule="auto"/>
      <w:ind w:left="850" w:hanging="850"/>
    </w:pPr>
    <w:rPr>
      <w:rFonts w:ascii="Times New Roman" w:eastAsia="Times New Roman" w:hAnsi="Times New Roman"/>
      <w:sz w:val="24"/>
      <w:lang w:eastAsia="en-GB"/>
    </w:rPr>
  </w:style>
  <w:style w:type="character" w:styleId="FootnoteReference">
    <w:name w:val="footnote reference"/>
    <w:aliases w:val="Footnote,Footnote symbol,EN Footnote Reference,-E Fußnotenzeichen, BVI fnr,Footnote number,Footnote Reference Number,Footnote reference number,Times 10 Point,Exposant 3 Point,Footnote Reference Superscript, Exposant 3 Point,note TESI"/>
    <w:link w:val="BVIfnrCarCarCarCarCharCharCharChar"/>
    <w:unhideWhenUsed/>
    <w:rsid w:val="00681F80"/>
    <w:rPr>
      <w:shd w:val="clear" w:color="auto" w:fill="auto"/>
      <w:vertAlign w:val="superscript"/>
    </w:rPr>
  </w:style>
  <w:style w:type="paragraph" w:customStyle="1" w:styleId="Text1">
    <w:name w:val="Text 1"/>
    <w:basedOn w:val="Normal"/>
    <w:link w:val="Text1Char"/>
    <w:rsid w:val="00681F80"/>
    <w:pPr>
      <w:spacing w:before="120" w:after="120" w:line="240" w:lineRule="auto"/>
      <w:ind w:left="850"/>
      <w:jc w:val="both"/>
    </w:pPr>
    <w:rPr>
      <w:rFonts w:ascii="Times New Roman" w:eastAsia="Times New Roman" w:hAnsi="Times New Roman"/>
      <w:sz w:val="24"/>
      <w:lang w:eastAsia="en-GB"/>
    </w:rPr>
  </w:style>
  <w:style w:type="paragraph" w:customStyle="1" w:styleId="Text2">
    <w:name w:val="Text 2"/>
    <w:basedOn w:val="Normal"/>
    <w:rsid w:val="00681F80"/>
    <w:pPr>
      <w:spacing w:before="120" w:after="120" w:line="240" w:lineRule="auto"/>
      <w:ind w:left="1417"/>
      <w:jc w:val="both"/>
    </w:pPr>
    <w:rPr>
      <w:rFonts w:ascii="Times New Roman" w:eastAsia="Times New Roman" w:hAnsi="Times New Roman"/>
      <w:sz w:val="24"/>
      <w:lang w:eastAsia="en-GB"/>
    </w:rPr>
  </w:style>
  <w:style w:type="paragraph" w:customStyle="1" w:styleId="Tiret1">
    <w:name w:val="Tiret 1"/>
    <w:basedOn w:val="Normal"/>
    <w:rsid w:val="00681F80"/>
    <w:pPr>
      <w:numPr>
        <w:numId w:val="2"/>
      </w:numPr>
      <w:spacing w:before="120" w:after="120" w:line="240" w:lineRule="auto"/>
      <w:jc w:val="both"/>
    </w:pPr>
    <w:rPr>
      <w:rFonts w:ascii="Times New Roman" w:eastAsia="Times New Roman" w:hAnsi="Times New Roman"/>
      <w:sz w:val="24"/>
      <w:lang w:eastAsia="en-GB"/>
    </w:rPr>
  </w:style>
  <w:style w:type="paragraph" w:customStyle="1" w:styleId="Point0number">
    <w:name w:val="Point 0 (number)"/>
    <w:basedOn w:val="Normal"/>
    <w:uiPriority w:val="99"/>
    <w:rsid w:val="00681F80"/>
    <w:pPr>
      <w:numPr>
        <w:numId w:val="3"/>
      </w:numPr>
      <w:spacing w:before="120" w:after="120" w:line="240" w:lineRule="auto"/>
      <w:jc w:val="both"/>
    </w:pPr>
    <w:rPr>
      <w:rFonts w:ascii="Times New Roman" w:eastAsia="Times New Roman" w:hAnsi="Times New Roman"/>
      <w:sz w:val="24"/>
      <w:lang w:eastAsia="en-GB"/>
    </w:rPr>
  </w:style>
  <w:style w:type="paragraph" w:customStyle="1" w:styleId="Point1number">
    <w:name w:val="Point 1 (number)"/>
    <w:basedOn w:val="Normal"/>
    <w:uiPriority w:val="99"/>
    <w:rsid w:val="00681F80"/>
    <w:pPr>
      <w:numPr>
        <w:ilvl w:val="2"/>
        <w:numId w:val="3"/>
      </w:numPr>
      <w:spacing w:before="120" w:after="120" w:line="240" w:lineRule="auto"/>
      <w:jc w:val="both"/>
    </w:pPr>
    <w:rPr>
      <w:rFonts w:ascii="Times New Roman" w:eastAsia="Times New Roman" w:hAnsi="Times New Roman"/>
      <w:sz w:val="24"/>
      <w:lang w:eastAsia="en-GB"/>
    </w:rPr>
  </w:style>
  <w:style w:type="paragraph" w:customStyle="1" w:styleId="Point2number">
    <w:name w:val="Point 2 (number)"/>
    <w:basedOn w:val="Normal"/>
    <w:uiPriority w:val="99"/>
    <w:rsid w:val="00681F80"/>
    <w:pPr>
      <w:numPr>
        <w:ilvl w:val="4"/>
        <w:numId w:val="3"/>
      </w:numPr>
      <w:spacing w:before="120" w:after="120" w:line="240" w:lineRule="auto"/>
      <w:jc w:val="both"/>
    </w:pPr>
    <w:rPr>
      <w:rFonts w:ascii="Times New Roman" w:eastAsia="Times New Roman" w:hAnsi="Times New Roman"/>
      <w:sz w:val="24"/>
      <w:lang w:eastAsia="en-GB"/>
    </w:rPr>
  </w:style>
  <w:style w:type="paragraph" w:customStyle="1" w:styleId="Point3number">
    <w:name w:val="Point 3 (number)"/>
    <w:basedOn w:val="Normal"/>
    <w:uiPriority w:val="99"/>
    <w:rsid w:val="00681F80"/>
    <w:pPr>
      <w:numPr>
        <w:ilvl w:val="6"/>
        <w:numId w:val="3"/>
      </w:numPr>
      <w:spacing w:before="120" w:after="120" w:line="240" w:lineRule="auto"/>
      <w:jc w:val="both"/>
    </w:pPr>
    <w:rPr>
      <w:rFonts w:ascii="Times New Roman" w:eastAsia="Times New Roman" w:hAnsi="Times New Roman"/>
      <w:sz w:val="24"/>
      <w:lang w:eastAsia="en-GB"/>
    </w:rPr>
  </w:style>
  <w:style w:type="paragraph" w:customStyle="1" w:styleId="Point0letter">
    <w:name w:val="Point 0 (letter)"/>
    <w:basedOn w:val="Normal"/>
    <w:uiPriority w:val="99"/>
    <w:rsid w:val="00681F80"/>
    <w:pPr>
      <w:numPr>
        <w:ilvl w:val="1"/>
        <w:numId w:val="3"/>
      </w:numPr>
      <w:spacing w:before="120" w:after="120" w:line="240" w:lineRule="auto"/>
      <w:jc w:val="both"/>
    </w:pPr>
    <w:rPr>
      <w:rFonts w:ascii="Times New Roman" w:eastAsia="Times New Roman" w:hAnsi="Times New Roman"/>
      <w:sz w:val="24"/>
      <w:lang w:eastAsia="en-GB"/>
    </w:rPr>
  </w:style>
  <w:style w:type="paragraph" w:customStyle="1" w:styleId="Point1letter">
    <w:name w:val="Point 1 (letter)"/>
    <w:basedOn w:val="Normal"/>
    <w:uiPriority w:val="99"/>
    <w:rsid w:val="00681F80"/>
    <w:pPr>
      <w:numPr>
        <w:ilvl w:val="3"/>
        <w:numId w:val="3"/>
      </w:numPr>
      <w:spacing w:before="120" w:after="120" w:line="240" w:lineRule="auto"/>
      <w:jc w:val="both"/>
    </w:pPr>
    <w:rPr>
      <w:rFonts w:ascii="Times New Roman" w:eastAsia="Times New Roman" w:hAnsi="Times New Roman"/>
      <w:sz w:val="24"/>
      <w:lang w:eastAsia="en-GB"/>
    </w:rPr>
  </w:style>
  <w:style w:type="paragraph" w:customStyle="1" w:styleId="Point2letter">
    <w:name w:val="Point 2 (letter)"/>
    <w:basedOn w:val="Normal"/>
    <w:uiPriority w:val="99"/>
    <w:rsid w:val="00681F80"/>
    <w:pPr>
      <w:numPr>
        <w:ilvl w:val="5"/>
        <w:numId w:val="3"/>
      </w:numPr>
      <w:spacing w:before="120" w:after="120" w:line="240" w:lineRule="auto"/>
      <w:jc w:val="both"/>
    </w:pPr>
    <w:rPr>
      <w:rFonts w:ascii="Times New Roman" w:eastAsia="Times New Roman" w:hAnsi="Times New Roman"/>
      <w:sz w:val="24"/>
      <w:lang w:eastAsia="en-GB"/>
    </w:rPr>
  </w:style>
  <w:style w:type="paragraph" w:customStyle="1" w:styleId="Point3letter">
    <w:name w:val="Point 3 (letter)"/>
    <w:basedOn w:val="Normal"/>
    <w:uiPriority w:val="99"/>
    <w:rsid w:val="00681F80"/>
    <w:pPr>
      <w:numPr>
        <w:ilvl w:val="7"/>
        <w:numId w:val="3"/>
      </w:numPr>
      <w:spacing w:before="120" w:after="120" w:line="240" w:lineRule="auto"/>
      <w:jc w:val="both"/>
    </w:pPr>
    <w:rPr>
      <w:rFonts w:ascii="Times New Roman" w:eastAsia="Times New Roman" w:hAnsi="Times New Roman"/>
      <w:sz w:val="24"/>
      <w:lang w:eastAsia="en-GB"/>
    </w:rPr>
  </w:style>
  <w:style w:type="paragraph" w:customStyle="1" w:styleId="Point4letter">
    <w:name w:val="Point 4 (letter)"/>
    <w:basedOn w:val="Normal"/>
    <w:uiPriority w:val="99"/>
    <w:rsid w:val="00681F80"/>
    <w:pPr>
      <w:numPr>
        <w:ilvl w:val="8"/>
        <w:numId w:val="3"/>
      </w:numPr>
      <w:spacing w:before="120" w:after="120" w:line="240" w:lineRule="auto"/>
      <w:jc w:val="both"/>
    </w:pPr>
    <w:rPr>
      <w:rFonts w:ascii="Times New Roman" w:eastAsia="Times New Roman" w:hAnsi="Times New Roman"/>
      <w:sz w:val="24"/>
      <w:lang w:eastAsia="en-GB"/>
    </w:rPr>
  </w:style>
  <w:style w:type="paragraph" w:customStyle="1" w:styleId="Titreobjet">
    <w:name w:val="Titre objet"/>
    <w:basedOn w:val="Normal"/>
    <w:next w:val="Normal"/>
    <w:rsid w:val="00681F80"/>
    <w:pPr>
      <w:spacing w:before="360" w:after="360" w:line="240" w:lineRule="auto"/>
      <w:jc w:val="center"/>
    </w:pPr>
    <w:rPr>
      <w:rFonts w:ascii="Times New Roman" w:eastAsia="Times New Roman" w:hAnsi="Times New Roman"/>
      <w:b/>
      <w:sz w:val="24"/>
      <w:lang w:eastAsia="en-GB"/>
    </w:rPr>
  </w:style>
  <w:style w:type="paragraph" w:customStyle="1" w:styleId="Typedudocument">
    <w:name w:val="Type du document"/>
    <w:basedOn w:val="Normal"/>
    <w:next w:val="Titreobjet"/>
    <w:rsid w:val="00681F80"/>
    <w:pPr>
      <w:spacing w:before="360" w:after="0" w:line="240" w:lineRule="auto"/>
      <w:jc w:val="center"/>
    </w:pPr>
    <w:rPr>
      <w:rFonts w:ascii="Times New Roman" w:eastAsia="Times New Roman" w:hAnsi="Times New Roman"/>
      <w:b/>
      <w:sz w:val="24"/>
      <w:lang w:eastAsia="en-GB"/>
    </w:rPr>
  </w:style>
  <w:style w:type="character" w:customStyle="1" w:styleId="Marker">
    <w:name w:val="Marker"/>
    <w:rsid w:val="00681F80"/>
    <w:rPr>
      <w:color w:val="0000FF"/>
      <w:shd w:val="clear" w:color="auto" w:fill="auto"/>
    </w:rPr>
  </w:style>
  <w:style w:type="paragraph" w:customStyle="1" w:styleId="Pagedecouverture">
    <w:name w:val="Page de couverture"/>
    <w:basedOn w:val="Normal"/>
    <w:next w:val="Normal"/>
    <w:rsid w:val="00681F80"/>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D8238F"/>
    <w:pPr>
      <w:tabs>
        <w:tab w:val="center" w:pos="4535"/>
        <w:tab w:val="right" w:pos="9071"/>
      </w:tabs>
      <w:spacing w:after="120" w:line="240" w:lineRule="auto"/>
      <w:jc w:val="both"/>
    </w:pPr>
    <w:rPr>
      <w:rFonts w:ascii="Times New Roman" w:hAnsi="Times New Roman"/>
      <w:sz w:val="24"/>
    </w:rPr>
  </w:style>
  <w:style w:type="character" w:customStyle="1" w:styleId="HeaderChar">
    <w:name w:val="Header Char"/>
    <w:link w:val="Header"/>
    <w:uiPriority w:val="99"/>
    <w:rsid w:val="00D8238F"/>
    <w:rPr>
      <w:rFonts w:ascii="Times New Roman" w:hAnsi="Times New Roman"/>
      <w:sz w:val="24"/>
      <w:szCs w:val="22"/>
      <w:lang w:eastAsia="en-US" w:bidi="ar-SA"/>
    </w:rPr>
  </w:style>
  <w:style w:type="paragraph" w:customStyle="1" w:styleId="FooterCoverPage">
    <w:name w:val="Footer Cover Page"/>
    <w:basedOn w:val="Normal"/>
    <w:link w:val="FooterCoverPageChar"/>
    <w:rsid w:val="00681F80"/>
    <w:pPr>
      <w:tabs>
        <w:tab w:val="center" w:pos="4535"/>
        <w:tab w:val="right" w:pos="9071"/>
        <w:tab w:val="right" w:pos="9921"/>
      </w:tabs>
      <w:spacing w:before="360" w:after="0" w:line="240" w:lineRule="auto"/>
      <w:ind w:left="-850" w:right="-850"/>
    </w:pPr>
    <w:rPr>
      <w:rFonts w:ascii="Times New Roman" w:hAnsi="Times New Roman"/>
      <w:sz w:val="24"/>
    </w:rPr>
  </w:style>
  <w:style w:type="character" w:customStyle="1" w:styleId="FooterCoverPageChar">
    <w:name w:val="Footer Cover Page Char"/>
    <w:link w:val="FooterCoverPage"/>
    <w:rsid w:val="00681F80"/>
    <w:rPr>
      <w:rFonts w:ascii="Times New Roman" w:hAnsi="Times New Roman"/>
      <w:sz w:val="24"/>
      <w:szCs w:val="22"/>
      <w:lang w:eastAsia="en-US" w:bidi="ar-SA"/>
    </w:rPr>
  </w:style>
  <w:style w:type="paragraph" w:customStyle="1" w:styleId="HeaderCoverPage">
    <w:name w:val="Header Cover Page"/>
    <w:basedOn w:val="Normal"/>
    <w:link w:val="HeaderCoverPageChar"/>
    <w:rsid w:val="00681F80"/>
    <w:pPr>
      <w:tabs>
        <w:tab w:val="center" w:pos="4535"/>
        <w:tab w:val="right" w:pos="9071"/>
      </w:tabs>
      <w:spacing w:after="120" w:line="240" w:lineRule="auto"/>
      <w:jc w:val="both"/>
    </w:pPr>
    <w:rPr>
      <w:rFonts w:ascii="Times New Roman" w:hAnsi="Times New Roman"/>
      <w:sz w:val="24"/>
    </w:rPr>
  </w:style>
  <w:style w:type="character" w:customStyle="1" w:styleId="HeaderCoverPageChar">
    <w:name w:val="Header Cover Page Char"/>
    <w:link w:val="HeaderCoverPage"/>
    <w:rsid w:val="00681F80"/>
    <w:rPr>
      <w:rFonts w:ascii="Times New Roman" w:hAnsi="Times New Roman"/>
      <w:sz w:val="24"/>
      <w:szCs w:val="22"/>
      <w:lang w:eastAsia="en-US" w:bidi="ar-SA"/>
    </w:rPr>
  </w:style>
  <w:style w:type="paragraph" w:styleId="BalloonText">
    <w:name w:val="Balloon Text"/>
    <w:basedOn w:val="Normal"/>
    <w:link w:val="BalloonTextChar"/>
    <w:uiPriority w:val="99"/>
    <w:semiHidden/>
    <w:unhideWhenUsed/>
    <w:rsid w:val="00E07A2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07A28"/>
    <w:rPr>
      <w:rFonts w:ascii="Tahoma" w:hAnsi="Tahoma" w:cs="Tahoma"/>
      <w:sz w:val="16"/>
      <w:szCs w:val="16"/>
      <w:lang w:eastAsia="en-US"/>
    </w:rPr>
  </w:style>
  <w:style w:type="character" w:customStyle="1" w:styleId="Text1Char">
    <w:name w:val="Text 1 Char"/>
    <w:link w:val="Text1"/>
    <w:rsid w:val="007824C0"/>
    <w:rPr>
      <w:rFonts w:ascii="Times New Roman" w:eastAsia="Times New Roman" w:hAnsi="Times New Roman"/>
      <w:sz w:val="24"/>
      <w:szCs w:val="22"/>
    </w:rPr>
  </w:style>
  <w:style w:type="paragraph" w:styleId="Revision">
    <w:name w:val="Revision"/>
    <w:hidden/>
    <w:uiPriority w:val="99"/>
    <w:semiHidden/>
    <w:rsid w:val="00A14DC1"/>
    <w:rPr>
      <w:sz w:val="22"/>
      <w:szCs w:val="22"/>
      <w:lang w:eastAsia="en-US" w:bidi="ar-SA"/>
    </w:rPr>
  </w:style>
  <w:style w:type="character" w:styleId="CommentReference">
    <w:name w:val="annotation reference"/>
    <w:uiPriority w:val="99"/>
    <w:semiHidden/>
    <w:unhideWhenUsed/>
    <w:rsid w:val="0095455C"/>
    <w:rPr>
      <w:sz w:val="16"/>
      <w:szCs w:val="16"/>
    </w:rPr>
  </w:style>
  <w:style w:type="paragraph" w:styleId="CommentText">
    <w:name w:val="annotation text"/>
    <w:basedOn w:val="Normal"/>
    <w:link w:val="CommentTextChar"/>
    <w:uiPriority w:val="99"/>
    <w:unhideWhenUsed/>
    <w:rsid w:val="0095455C"/>
    <w:rPr>
      <w:sz w:val="20"/>
      <w:szCs w:val="20"/>
    </w:rPr>
  </w:style>
  <w:style w:type="character" w:customStyle="1" w:styleId="CommentTextChar">
    <w:name w:val="Comment Text Char"/>
    <w:link w:val="CommentText"/>
    <w:uiPriority w:val="99"/>
    <w:rsid w:val="0095455C"/>
    <w:rPr>
      <w:lang w:eastAsia="en-US"/>
    </w:rPr>
  </w:style>
  <w:style w:type="paragraph" w:styleId="CommentSubject">
    <w:name w:val="annotation subject"/>
    <w:basedOn w:val="CommentText"/>
    <w:next w:val="CommentText"/>
    <w:link w:val="CommentSubjectChar"/>
    <w:uiPriority w:val="99"/>
    <w:semiHidden/>
    <w:unhideWhenUsed/>
    <w:rsid w:val="0095455C"/>
    <w:rPr>
      <w:b/>
      <w:bCs/>
    </w:rPr>
  </w:style>
  <w:style w:type="character" w:customStyle="1" w:styleId="CommentSubjectChar">
    <w:name w:val="Comment Subject Char"/>
    <w:link w:val="CommentSubject"/>
    <w:uiPriority w:val="99"/>
    <w:semiHidden/>
    <w:rsid w:val="0095455C"/>
    <w:rPr>
      <w:b/>
      <w:bCs/>
      <w:lang w:eastAsia="en-US"/>
    </w:rPr>
  </w:style>
  <w:style w:type="paragraph" w:styleId="Caption">
    <w:name w:val="caption"/>
    <w:basedOn w:val="Normal"/>
    <w:next w:val="Normal"/>
    <w:uiPriority w:val="35"/>
    <w:unhideWhenUsed/>
    <w:qFormat/>
    <w:rsid w:val="001F12CC"/>
    <w:rPr>
      <w:b/>
      <w:bCs/>
      <w:sz w:val="20"/>
      <w:szCs w:val="20"/>
    </w:rPr>
  </w:style>
  <w:style w:type="paragraph" w:customStyle="1" w:styleId="Declassification">
    <w:name w:val="Declassification"/>
    <w:basedOn w:val="Normal"/>
    <w:next w:val="Normal"/>
    <w:rsid w:val="00D8238F"/>
    <w:pPr>
      <w:spacing w:after="0" w:line="240" w:lineRule="auto"/>
      <w:jc w:val="both"/>
    </w:pPr>
    <w:rPr>
      <w:rFonts w:ascii="Times New Roman" w:eastAsiaTheme="minorHAnsi" w:hAnsi="Times New Roman"/>
      <w:sz w:val="24"/>
    </w:rPr>
  </w:style>
  <w:style w:type="paragraph" w:customStyle="1" w:styleId="HeaderLandscape">
    <w:name w:val="HeaderLandscape"/>
    <w:basedOn w:val="Normal"/>
    <w:rsid w:val="00D8238F"/>
    <w:pPr>
      <w:tabs>
        <w:tab w:val="center" w:pos="7285"/>
        <w:tab w:val="right" w:pos="14003"/>
      </w:tabs>
      <w:spacing w:after="120" w:line="240" w:lineRule="auto"/>
      <w:jc w:val="both"/>
    </w:pPr>
    <w:rPr>
      <w:rFonts w:ascii="Times New Roman" w:eastAsiaTheme="minorHAnsi" w:hAnsi="Times New Roman"/>
      <w:sz w:val="24"/>
    </w:rPr>
  </w:style>
  <w:style w:type="paragraph" w:customStyle="1" w:styleId="HeaderSensitivity">
    <w:name w:val="Header Sensitivity"/>
    <w:basedOn w:val="Normal"/>
    <w:rsid w:val="00D8238F"/>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b/>
      <w:sz w:val="32"/>
    </w:rPr>
  </w:style>
  <w:style w:type="paragraph" w:customStyle="1" w:styleId="FooterLandscape">
    <w:name w:val="FooterLandscape"/>
    <w:basedOn w:val="Normal"/>
    <w:rsid w:val="00D8238F"/>
    <w:pPr>
      <w:tabs>
        <w:tab w:val="center" w:pos="7285"/>
        <w:tab w:val="center" w:pos="10913"/>
        <w:tab w:val="right" w:pos="15137"/>
      </w:tabs>
      <w:spacing w:before="360" w:after="0" w:line="240" w:lineRule="auto"/>
      <w:ind w:left="-567" w:right="-567"/>
    </w:pPr>
    <w:rPr>
      <w:rFonts w:ascii="Times New Roman" w:eastAsiaTheme="minorHAnsi" w:hAnsi="Times New Roman"/>
      <w:sz w:val="24"/>
    </w:rPr>
  </w:style>
  <w:style w:type="paragraph" w:customStyle="1" w:styleId="FooterSensitivity">
    <w:name w:val="Footer Sensitivity"/>
    <w:basedOn w:val="Normal"/>
    <w:rsid w:val="00D8238F"/>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b/>
      <w:sz w:val="32"/>
    </w:rPr>
  </w:style>
  <w:style w:type="paragraph" w:styleId="ListParagraph">
    <w:name w:val="List Paragraph"/>
    <w:aliases w:val="Fiche List Paragraph,Task Body,Viñetas (Inicio Parrafo),3 Txt tabla,Zerrenda-paragrafoa,Lista multicolor - Énfasis 11,Paragrafo elenco,1st level - Bullet List Paragraph,Lettre d'introduction,Normal bullet 2,Bullet list,Listenabsatz1,Nad,L"/>
    <w:basedOn w:val="Normal"/>
    <w:link w:val="ListParagraphChar"/>
    <w:uiPriority w:val="34"/>
    <w:qFormat/>
    <w:rsid w:val="00437D08"/>
    <w:pPr>
      <w:ind w:left="720"/>
      <w:contextualSpacing/>
    </w:pPr>
  </w:style>
  <w:style w:type="paragraph" w:customStyle="1" w:styleId="HeaderSensitivityRight">
    <w:name w:val="Header Sensitivity Right"/>
    <w:basedOn w:val="Normal"/>
    <w:link w:val="HeaderSensitivityRightChar"/>
    <w:rsid w:val="00E12AC4"/>
    <w:pPr>
      <w:spacing w:after="120" w:line="240" w:lineRule="auto"/>
      <w:jc w:val="right"/>
    </w:pPr>
    <w:rPr>
      <w:rFonts w:ascii="Times New Roman" w:hAnsi="Times New Roman"/>
      <w:sz w:val="28"/>
    </w:rPr>
  </w:style>
  <w:style w:type="character" w:customStyle="1" w:styleId="TOCHeadingChar">
    <w:name w:val="TOC Heading Char"/>
    <w:basedOn w:val="DefaultParagraphFont"/>
    <w:link w:val="TOCHeading"/>
    <w:uiPriority w:val="39"/>
    <w:semiHidden/>
    <w:rsid w:val="009E211F"/>
    <w:rPr>
      <w:rFonts w:ascii="Times New Roman" w:eastAsia="Times New Roman" w:hAnsi="Times New Roman"/>
      <w:b/>
      <w:sz w:val="28"/>
      <w:szCs w:val="22"/>
      <w:lang w:bidi="ar-SA"/>
    </w:rPr>
  </w:style>
  <w:style w:type="character" w:customStyle="1" w:styleId="HeaderSensitivityRightChar">
    <w:name w:val="Header Sensitivity Right Char"/>
    <w:basedOn w:val="TOCHeadingChar"/>
    <w:link w:val="HeaderSensitivityRight"/>
    <w:rsid w:val="009E211F"/>
    <w:rPr>
      <w:rFonts w:ascii="Times New Roman" w:eastAsia="Times New Roman" w:hAnsi="Times New Roman"/>
      <w:b w:val="0"/>
      <w:sz w:val="28"/>
      <w:szCs w:val="22"/>
      <w:lang w:eastAsia="en-US" w:bidi="ar-SA"/>
    </w:rPr>
  </w:style>
  <w:style w:type="character" w:customStyle="1" w:styleId="UnresolvedMention1">
    <w:name w:val="Unresolved Mention1"/>
    <w:basedOn w:val="DefaultParagraphFont"/>
    <w:uiPriority w:val="99"/>
    <w:semiHidden/>
    <w:unhideWhenUsed/>
    <w:rsid w:val="001E42E3"/>
    <w:rPr>
      <w:color w:val="605E5C"/>
      <w:shd w:val="clear" w:color="auto" w:fill="E1DFDD"/>
    </w:rPr>
  </w:style>
  <w:style w:type="character" w:styleId="FollowedHyperlink">
    <w:name w:val="FollowedHyperlink"/>
    <w:basedOn w:val="DefaultParagraphFont"/>
    <w:uiPriority w:val="99"/>
    <w:semiHidden/>
    <w:unhideWhenUsed/>
    <w:rsid w:val="00CE6FE4"/>
    <w:rPr>
      <w:color w:val="800080" w:themeColor="followedHyperlink"/>
      <w:u w:val="single"/>
    </w:rPr>
  </w:style>
  <w:style w:type="character" w:customStyle="1" w:styleId="ListParagraphChar">
    <w:name w:val="List Paragraph Char"/>
    <w:aliases w:val="Fiche List Paragraph Char,Task Body Char,Viñetas (Inicio Parrafo) Char,3 Txt tabla Char,Zerrenda-paragrafoa Char,Lista multicolor - Énfasis 11 Char,Paragrafo elenco Char,1st level - Bullet List Paragraph Char,Normal bullet 2 Char"/>
    <w:link w:val="ListParagraph"/>
    <w:uiPriority w:val="34"/>
    <w:qFormat/>
    <w:locked/>
    <w:rsid w:val="003F2168"/>
    <w:rPr>
      <w:sz w:val="22"/>
      <w:szCs w:val="22"/>
      <w:lang w:eastAsia="en-US" w:bidi="ar-SA"/>
    </w:rPr>
  </w:style>
  <w:style w:type="character" w:styleId="Emphasis">
    <w:name w:val="Emphasis"/>
    <w:basedOn w:val="DefaultParagraphFont"/>
    <w:uiPriority w:val="20"/>
    <w:qFormat/>
    <w:rsid w:val="00895433"/>
    <w:rPr>
      <w:i/>
      <w:iCs/>
    </w:rPr>
  </w:style>
  <w:style w:type="character" w:customStyle="1" w:styleId="UnresolvedMention2">
    <w:name w:val="Unresolved Mention2"/>
    <w:basedOn w:val="DefaultParagraphFont"/>
    <w:uiPriority w:val="99"/>
    <w:semiHidden/>
    <w:unhideWhenUsed/>
    <w:rsid w:val="007008F8"/>
    <w:rPr>
      <w:color w:val="605E5C"/>
      <w:shd w:val="clear" w:color="auto" w:fill="E1DFDD"/>
    </w:rPr>
  </w:style>
  <w:style w:type="character" w:customStyle="1" w:styleId="markedcontent">
    <w:name w:val="markedcontent"/>
    <w:basedOn w:val="DefaultParagraphFont"/>
    <w:rsid w:val="007008F8"/>
  </w:style>
  <w:style w:type="paragraph" w:customStyle="1" w:styleId="BVIfnrCarCarCarCarCharCharCharChar">
    <w:name w:val="BVI fnr Car Car Car Car Char Char Char Char"/>
    <w:basedOn w:val="Normal"/>
    <w:link w:val="FootnoteReference"/>
    <w:uiPriority w:val="99"/>
    <w:rsid w:val="00C75B58"/>
    <w:pPr>
      <w:spacing w:after="160" w:line="240" w:lineRule="exact"/>
    </w:pPr>
    <w:rPr>
      <w:sz w:val="20"/>
      <w:szCs w:val="20"/>
      <w:vertAlign w:val="superscript"/>
      <w:lang w:eastAsia="en-GB" w:bidi="hi-IN"/>
    </w:rPr>
  </w:style>
  <w:style w:type="paragraph" w:styleId="ListNumber">
    <w:name w:val="List Number"/>
    <w:basedOn w:val="Normal"/>
    <w:uiPriority w:val="1"/>
    <w:rsid w:val="00DD1488"/>
    <w:pPr>
      <w:numPr>
        <w:numId w:val="21"/>
      </w:numPr>
      <w:spacing w:after="240" w:line="240" w:lineRule="auto"/>
      <w:jc w:val="both"/>
    </w:pPr>
    <w:rPr>
      <w:rFonts w:ascii="Times New Roman" w:eastAsia="Times New Roman" w:hAnsi="Times New Roman"/>
      <w:sz w:val="24"/>
      <w:szCs w:val="20"/>
      <w:lang w:eastAsia="en-IE"/>
    </w:rPr>
  </w:style>
  <w:style w:type="paragraph" w:customStyle="1" w:styleId="ListNumberLevel2">
    <w:name w:val="List Number (Level 2)"/>
    <w:basedOn w:val="Normal"/>
    <w:uiPriority w:val="1"/>
    <w:rsid w:val="00DD1488"/>
    <w:pPr>
      <w:numPr>
        <w:ilvl w:val="1"/>
        <w:numId w:val="21"/>
      </w:numPr>
      <w:spacing w:after="240" w:line="240" w:lineRule="auto"/>
      <w:jc w:val="both"/>
    </w:pPr>
    <w:rPr>
      <w:rFonts w:ascii="Times New Roman" w:eastAsia="Times New Roman" w:hAnsi="Times New Roman"/>
      <w:sz w:val="24"/>
      <w:szCs w:val="20"/>
      <w:lang w:eastAsia="en-IE"/>
    </w:rPr>
  </w:style>
  <w:style w:type="paragraph" w:customStyle="1" w:styleId="ListNumberLevel3">
    <w:name w:val="List Number (Level 3)"/>
    <w:basedOn w:val="Normal"/>
    <w:uiPriority w:val="1"/>
    <w:semiHidden/>
    <w:unhideWhenUsed/>
    <w:rsid w:val="00DD1488"/>
    <w:pPr>
      <w:numPr>
        <w:ilvl w:val="2"/>
        <w:numId w:val="21"/>
      </w:numPr>
      <w:spacing w:after="240" w:line="240" w:lineRule="auto"/>
      <w:jc w:val="both"/>
    </w:pPr>
    <w:rPr>
      <w:rFonts w:ascii="Times New Roman" w:eastAsia="Times New Roman" w:hAnsi="Times New Roman"/>
      <w:sz w:val="24"/>
      <w:szCs w:val="20"/>
      <w:lang w:eastAsia="en-IE"/>
    </w:rPr>
  </w:style>
  <w:style w:type="paragraph" w:customStyle="1" w:styleId="ListNumberLevel4">
    <w:name w:val="List Number (Level 4)"/>
    <w:basedOn w:val="Normal"/>
    <w:uiPriority w:val="1"/>
    <w:semiHidden/>
    <w:unhideWhenUsed/>
    <w:rsid w:val="00DD1488"/>
    <w:pPr>
      <w:numPr>
        <w:ilvl w:val="3"/>
        <w:numId w:val="21"/>
      </w:numPr>
      <w:spacing w:after="240" w:line="240" w:lineRule="auto"/>
      <w:jc w:val="both"/>
    </w:pPr>
    <w:rPr>
      <w:rFonts w:ascii="Times New Roman" w:eastAsia="Times New Roman" w:hAnsi="Times New Roman"/>
      <w:sz w:val="24"/>
      <w:szCs w:val="20"/>
      <w:lang w:eastAsia="en-IE"/>
    </w:rPr>
  </w:style>
  <w:style w:type="paragraph" w:styleId="TOC2">
    <w:name w:val="toc 2"/>
    <w:basedOn w:val="Normal"/>
    <w:next w:val="Normal"/>
    <w:autoRedefine/>
    <w:uiPriority w:val="39"/>
    <w:unhideWhenUsed/>
    <w:rsid w:val="00750FA0"/>
    <w:pPr>
      <w:spacing w:after="100"/>
      <w:ind w:left="220"/>
    </w:pPr>
  </w:style>
  <w:style w:type="paragraph" w:customStyle="1" w:styleId="Languesfaisantfoi">
    <w:name w:val="Langues faisant foi"/>
    <w:basedOn w:val="Normal"/>
    <w:next w:val="Normal"/>
    <w:rsid w:val="00F03A80"/>
    <w:pPr>
      <w:spacing w:before="360" w:after="240" w:line="240" w:lineRule="auto"/>
      <w:jc w:val="center"/>
    </w:pPr>
    <w:rPr>
      <w:rFonts w:ascii="Times New Roman" w:eastAsiaTheme="minorHAnsi" w:hAnsi="Times New Roman"/>
      <w:sz w:val="24"/>
    </w:rPr>
  </w:style>
  <w:style w:type="paragraph" w:customStyle="1" w:styleId="LanguesfaisantfoiPagedecouverture">
    <w:name w:val="Langues faisant foi (Page de couverture)"/>
    <w:basedOn w:val="Normal"/>
    <w:next w:val="Normal"/>
    <w:rsid w:val="00F03A80"/>
    <w:pPr>
      <w:spacing w:before="360" w:after="240" w:line="240" w:lineRule="auto"/>
      <w:jc w:val="center"/>
    </w:pPr>
    <w:rPr>
      <w:rFonts w:ascii="Times New Roman" w:eastAsiaTheme="minorHAnsi" w:hAnsi="Times New Roman"/>
      <w:sz w:val="24"/>
    </w:rPr>
  </w:style>
  <w:style w:type="paragraph" w:customStyle="1" w:styleId="IntrtEEE">
    <w:name w:val="Intérêt EEE"/>
    <w:basedOn w:val="Languesfaisantfoi"/>
    <w:next w:val="Normal"/>
    <w:rsid w:val="00F03A80"/>
    <w:pPr>
      <w:spacing w:after="0"/>
    </w:pPr>
  </w:style>
  <w:style w:type="paragraph" w:customStyle="1" w:styleId="IntrtEEEPagedecouverture">
    <w:name w:val="Intérêt EEE (Page de couverture)"/>
    <w:basedOn w:val="IntrtEEE"/>
    <w:next w:val="Normal"/>
    <w:rsid w:val="00F03A80"/>
  </w:style>
  <w:style w:type="paragraph" w:customStyle="1" w:styleId="Disclaimer">
    <w:name w:val="Disclaimer"/>
    <w:basedOn w:val="Normal"/>
    <w:rsid w:val="00E12AC4"/>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line="240" w:lineRule="auto"/>
      <w:jc w:val="both"/>
    </w:pPr>
    <w:rPr>
      <w:rFonts w:ascii="Times New Roman" w:eastAsiaTheme="minorHAnsi" w:hAnsi="Times New Roman"/>
      <w:sz w:val="24"/>
    </w:rPr>
  </w:style>
  <w:style w:type="paragraph" w:customStyle="1" w:styleId="SecurityMarking">
    <w:name w:val="SecurityMarking"/>
    <w:basedOn w:val="Normal"/>
    <w:rsid w:val="00E12AC4"/>
    <w:pPr>
      <w:spacing w:after="0"/>
      <w:ind w:left="5103"/>
    </w:pPr>
    <w:rPr>
      <w:rFonts w:ascii="Times New Roman" w:eastAsiaTheme="minorHAnsi" w:hAnsi="Times New Roman"/>
      <w:sz w:val="28"/>
    </w:rPr>
  </w:style>
  <w:style w:type="paragraph" w:customStyle="1" w:styleId="DateMarking">
    <w:name w:val="DateMarking"/>
    <w:basedOn w:val="Normal"/>
    <w:rsid w:val="00E12AC4"/>
    <w:pPr>
      <w:spacing w:after="0"/>
      <w:ind w:left="5103"/>
    </w:pPr>
    <w:rPr>
      <w:rFonts w:ascii="Times New Roman" w:eastAsiaTheme="minorHAnsi" w:hAnsi="Times New Roman"/>
      <w:i/>
      <w:sz w:val="28"/>
    </w:rPr>
  </w:style>
  <w:style w:type="paragraph" w:customStyle="1" w:styleId="ReleasableTo">
    <w:name w:val="ReleasableTo"/>
    <w:basedOn w:val="Normal"/>
    <w:rsid w:val="00E12AC4"/>
    <w:pPr>
      <w:spacing w:after="0"/>
      <w:ind w:left="5103"/>
    </w:pPr>
    <w:rPr>
      <w:rFonts w:ascii="Times New Roman" w:eastAsiaTheme="minorHAnsi" w:hAnsi="Times New Roman"/>
      <w: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882">
      <w:bodyDiv w:val="1"/>
      <w:marLeft w:val="0"/>
      <w:marRight w:val="0"/>
      <w:marTop w:val="0"/>
      <w:marBottom w:val="0"/>
      <w:divBdr>
        <w:top w:val="none" w:sz="0" w:space="0" w:color="auto"/>
        <w:left w:val="none" w:sz="0" w:space="0" w:color="auto"/>
        <w:bottom w:val="none" w:sz="0" w:space="0" w:color="auto"/>
        <w:right w:val="none" w:sz="0" w:space="0" w:color="auto"/>
      </w:divBdr>
    </w:div>
    <w:div w:id="66001166">
      <w:bodyDiv w:val="1"/>
      <w:marLeft w:val="0"/>
      <w:marRight w:val="0"/>
      <w:marTop w:val="0"/>
      <w:marBottom w:val="0"/>
      <w:divBdr>
        <w:top w:val="none" w:sz="0" w:space="0" w:color="auto"/>
        <w:left w:val="none" w:sz="0" w:space="0" w:color="auto"/>
        <w:bottom w:val="none" w:sz="0" w:space="0" w:color="auto"/>
        <w:right w:val="none" w:sz="0" w:space="0" w:color="auto"/>
      </w:divBdr>
    </w:div>
    <w:div w:id="86773957">
      <w:bodyDiv w:val="1"/>
      <w:marLeft w:val="0"/>
      <w:marRight w:val="0"/>
      <w:marTop w:val="0"/>
      <w:marBottom w:val="0"/>
      <w:divBdr>
        <w:top w:val="none" w:sz="0" w:space="0" w:color="auto"/>
        <w:left w:val="none" w:sz="0" w:space="0" w:color="auto"/>
        <w:bottom w:val="none" w:sz="0" w:space="0" w:color="auto"/>
        <w:right w:val="none" w:sz="0" w:space="0" w:color="auto"/>
      </w:divBdr>
    </w:div>
    <w:div w:id="143474734">
      <w:bodyDiv w:val="1"/>
      <w:marLeft w:val="0"/>
      <w:marRight w:val="0"/>
      <w:marTop w:val="0"/>
      <w:marBottom w:val="0"/>
      <w:divBdr>
        <w:top w:val="none" w:sz="0" w:space="0" w:color="auto"/>
        <w:left w:val="none" w:sz="0" w:space="0" w:color="auto"/>
        <w:bottom w:val="none" w:sz="0" w:space="0" w:color="auto"/>
        <w:right w:val="none" w:sz="0" w:space="0" w:color="auto"/>
      </w:divBdr>
    </w:div>
    <w:div w:id="181670005">
      <w:bodyDiv w:val="1"/>
      <w:marLeft w:val="0"/>
      <w:marRight w:val="0"/>
      <w:marTop w:val="0"/>
      <w:marBottom w:val="0"/>
      <w:divBdr>
        <w:top w:val="none" w:sz="0" w:space="0" w:color="auto"/>
        <w:left w:val="none" w:sz="0" w:space="0" w:color="auto"/>
        <w:bottom w:val="none" w:sz="0" w:space="0" w:color="auto"/>
        <w:right w:val="none" w:sz="0" w:space="0" w:color="auto"/>
      </w:divBdr>
    </w:div>
    <w:div w:id="232089916">
      <w:bodyDiv w:val="1"/>
      <w:marLeft w:val="0"/>
      <w:marRight w:val="0"/>
      <w:marTop w:val="0"/>
      <w:marBottom w:val="0"/>
      <w:divBdr>
        <w:top w:val="none" w:sz="0" w:space="0" w:color="auto"/>
        <w:left w:val="none" w:sz="0" w:space="0" w:color="auto"/>
        <w:bottom w:val="none" w:sz="0" w:space="0" w:color="auto"/>
        <w:right w:val="none" w:sz="0" w:space="0" w:color="auto"/>
      </w:divBdr>
    </w:div>
    <w:div w:id="256406119">
      <w:bodyDiv w:val="1"/>
      <w:marLeft w:val="0"/>
      <w:marRight w:val="0"/>
      <w:marTop w:val="0"/>
      <w:marBottom w:val="0"/>
      <w:divBdr>
        <w:top w:val="none" w:sz="0" w:space="0" w:color="auto"/>
        <w:left w:val="none" w:sz="0" w:space="0" w:color="auto"/>
        <w:bottom w:val="none" w:sz="0" w:space="0" w:color="auto"/>
        <w:right w:val="none" w:sz="0" w:space="0" w:color="auto"/>
      </w:divBdr>
    </w:div>
    <w:div w:id="294064249">
      <w:bodyDiv w:val="1"/>
      <w:marLeft w:val="0"/>
      <w:marRight w:val="0"/>
      <w:marTop w:val="0"/>
      <w:marBottom w:val="0"/>
      <w:divBdr>
        <w:top w:val="none" w:sz="0" w:space="0" w:color="auto"/>
        <w:left w:val="none" w:sz="0" w:space="0" w:color="auto"/>
        <w:bottom w:val="none" w:sz="0" w:space="0" w:color="auto"/>
        <w:right w:val="none" w:sz="0" w:space="0" w:color="auto"/>
      </w:divBdr>
    </w:div>
    <w:div w:id="337541204">
      <w:bodyDiv w:val="1"/>
      <w:marLeft w:val="0"/>
      <w:marRight w:val="0"/>
      <w:marTop w:val="0"/>
      <w:marBottom w:val="0"/>
      <w:divBdr>
        <w:top w:val="none" w:sz="0" w:space="0" w:color="auto"/>
        <w:left w:val="none" w:sz="0" w:space="0" w:color="auto"/>
        <w:bottom w:val="none" w:sz="0" w:space="0" w:color="auto"/>
        <w:right w:val="none" w:sz="0" w:space="0" w:color="auto"/>
      </w:divBdr>
    </w:div>
    <w:div w:id="435977251">
      <w:bodyDiv w:val="1"/>
      <w:marLeft w:val="0"/>
      <w:marRight w:val="0"/>
      <w:marTop w:val="0"/>
      <w:marBottom w:val="0"/>
      <w:divBdr>
        <w:top w:val="none" w:sz="0" w:space="0" w:color="auto"/>
        <w:left w:val="none" w:sz="0" w:space="0" w:color="auto"/>
        <w:bottom w:val="none" w:sz="0" w:space="0" w:color="auto"/>
        <w:right w:val="none" w:sz="0" w:space="0" w:color="auto"/>
      </w:divBdr>
    </w:div>
    <w:div w:id="520315409">
      <w:bodyDiv w:val="1"/>
      <w:marLeft w:val="0"/>
      <w:marRight w:val="0"/>
      <w:marTop w:val="0"/>
      <w:marBottom w:val="0"/>
      <w:divBdr>
        <w:top w:val="none" w:sz="0" w:space="0" w:color="auto"/>
        <w:left w:val="none" w:sz="0" w:space="0" w:color="auto"/>
        <w:bottom w:val="none" w:sz="0" w:space="0" w:color="auto"/>
        <w:right w:val="none" w:sz="0" w:space="0" w:color="auto"/>
      </w:divBdr>
    </w:div>
    <w:div w:id="541674914">
      <w:bodyDiv w:val="1"/>
      <w:marLeft w:val="0"/>
      <w:marRight w:val="0"/>
      <w:marTop w:val="0"/>
      <w:marBottom w:val="0"/>
      <w:divBdr>
        <w:top w:val="none" w:sz="0" w:space="0" w:color="auto"/>
        <w:left w:val="none" w:sz="0" w:space="0" w:color="auto"/>
        <w:bottom w:val="none" w:sz="0" w:space="0" w:color="auto"/>
        <w:right w:val="none" w:sz="0" w:space="0" w:color="auto"/>
      </w:divBdr>
    </w:div>
    <w:div w:id="620651269">
      <w:bodyDiv w:val="1"/>
      <w:marLeft w:val="0"/>
      <w:marRight w:val="0"/>
      <w:marTop w:val="0"/>
      <w:marBottom w:val="0"/>
      <w:divBdr>
        <w:top w:val="none" w:sz="0" w:space="0" w:color="auto"/>
        <w:left w:val="none" w:sz="0" w:space="0" w:color="auto"/>
        <w:bottom w:val="none" w:sz="0" w:space="0" w:color="auto"/>
        <w:right w:val="none" w:sz="0" w:space="0" w:color="auto"/>
      </w:divBdr>
    </w:div>
    <w:div w:id="724913176">
      <w:bodyDiv w:val="1"/>
      <w:marLeft w:val="0"/>
      <w:marRight w:val="0"/>
      <w:marTop w:val="0"/>
      <w:marBottom w:val="0"/>
      <w:divBdr>
        <w:top w:val="none" w:sz="0" w:space="0" w:color="auto"/>
        <w:left w:val="none" w:sz="0" w:space="0" w:color="auto"/>
        <w:bottom w:val="none" w:sz="0" w:space="0" w:color="auto"/>
        <w:right w:val="none" w:sz="0" w:space="0" w:color="auto"/>
      </w:divBdr>
    </w:div>
    <w:div w:id="749423502">
      <w:bodyDiv w:val="1"/>
      <w:marLeft w:val="0"/>
      <w:marRight w:val="0"/>
      <w:marTop w:val="0"/>
      <w:marBottom w:val="0"/>
      <w:divBdr>
        <w:top w:val="none" w:sz="0" w:space="0" w:color="auto"/>
        <w:left w:val="none" w:sz="0" w:space="0" w:color="auto"/>
        <w:bottom w:val="none" w:sz="0" w:space="0" w:color="auto"/>
        <w:right w:val="none" w:sz="0" w:space="0" w:color="auto"/>
      </w:divBdr>
    </w:div>
    <w:div w:id="755590820">
      <w:bodyDiv w:val="1"/>
      <w:marLeft w:val="0"/>
      <w:marRight w:val="0"/>
      <w:marTop w:val="0"/>
      <w:marBottom w:val="0"/>
      <w:divBdr>
        <w:top w:val="none" w:sz="0" w:space="0" w:color="auto"/>
        <w:left w:val="none" w:sz="0" w:space="0" w:color="auto"/>
        <w:bottom w:val="none" w:sz="0" w:space="0" w:color="auto"/>
        <w:right w:val="none" w:sz="0" w:space="0" w:color="auto"/>
      </w:divBdr>
    </w:div>
    <w:div w:id="826557313">
      <w:bodyDiv w:val="1"/>
      <w:marLeft w:val="0"/>
      <w:marRight w:val="0"/>
      <w:marTop w:val="0"/>
      <w:marBottom w:val="0"/>
      <w:divBdr>
        <w:top w:val="none" w:sz="0" w:space="0" w:color="auto"/>
        <w:left w:val="none" w:sz="0" w:space="0" w:color="auto"/>
        <w:bottom w:val="none" w:sz="0" w:space="0" w:color="auto"/>
        <w:right w:val="none" w:sz="0" w:space="0" w:color="auto"/>
      </w:divBdr>
    </w:div>
    <w:div w:id="941571023">
      <w:bodyDiv w:val="1"/>
      <w:marLeft w:val="0"/>
      <w:marRight w:val="0"/>
      <w:marTop w:val="0"/>
      <w:marBottom w:val="0"/>
      <w:divBdr>
        <w:top w:val="none" w:sz="0" w:space="0" w:color="auto"/>
        <w:left w:val="none" w:sz="0" w:space="0" w:color="auto"/>
        <w:bottom w:val="none" w:sz="0" w:space="0" w:color="auto"/>
        <w:right w:val="none" w:sz="0" w:space="0" w:color="auto"/>
      </w:divBdr>
    </w:div>
    <w:div w:id="952521226">
      <w:bodyDiv w:val="1"/>
      <w:marLeft w:val="0"/>
      <w:marRight w:val="0"/>
      <w:marTop w:val="0"/>
      <w:marBottom w:val="0"/>
      <w:divBdr>
        <w:top w:val="none" w:sz="0" w:space="0" w:color="auto"/>
        <w:left w:val="none" w:sz="0" w:space="0" w:color="auto"/>
        <w:bottom w:val="none" w:sz="0" w:space="0" w:color="auto"/>
        <w:right w:val="none" w:sz="0" w:space="0" w:color="auto"/>
      </w:divBdr>
    </w:div>
    <w:div w:id="1010521649">
      <w:bodyDiv w:val="1"/>
      <w:marLeft w:val="0"/>
      <w:marRight w:val="0"/>
      <w:marTop w:val="0"/>
      <w:marBottom w:val="0"/>
      <w:divBdr>
        <w:top w:val="none" w:sz="0" w:space="0" w:color="auto"/>
        <w:left w:val="none" w:sz="0" w:space="0" w:color="auto"/>
        <w:bottom w:val="none" w:sz="0" w:space="0" w:color="auto"/>
        <w:right w:val="none" w:sz="0" w:space="0" w:color="auto"/>
      </w:divBdr>
    </w:div>
    <w:div w:id="1070274651">
      <w:bodyDiv w:val="1"/>
      <w:marLeft w:val="0"/>
      <w:marRight w:val="0"/>
      <w:marTop w:val="0"/>
      <w:marBottom w:val="0"/>
      <w:divBdr>
        <w:top w:val="none" w:sz="0" w:space="0" w:color="auto"/>
        <w:left w:val="none" w:sz="0" w:space="0" w:color="auto"/>
        <w:bottom w:val="none" w:sz="0" w:space="0" w:color="auto"/>
        <w:right w:val="none" w:sz="0" w:space="0" w:color="auto"/>
      </w:divBdr>
    </w:div>
    <w:div w:id="1136604502">
      <w:bodyDiv w:val="1"/>
      <w:marLeft w:val="0"/>
      <w:marRight w:val="0"/>
      <w:marTop w:val="0"/>
      <w:marBottom w:val="0"/>
      <w:divBdr>
        <w:top w:val="none" w:sz="0" w:space="0" w:color="auto"/>
        <w:left w:val="none" w:sz="0" w:space="0" w:color="auto"/>
        <w:bottom w:val="none" w:sz="0" w:space="0" w:color="auto"/>
        <w:right w:val="none" w:sz="0" w:space="0" w:color="auto"/>
      </w:divBdr>
    </w:div>
    <w:div w:id="1167794266">
      <w:bodyDiv w:val="1"/>
      <w:marLeft w:val="0"/>
      <w:marRight w:val="0"/>
      <w:marTop w:val="0"/>
      <w:marBottom w:val="0"/>
      <w:divBdr>
        <w:top w:val="none" w:sz="0" w:space="0" w:color="auto"/>
        <w:left w:val="none" w:sz="0" w:space="0" w:color="auto"/>
        <w:bottom w:val="none" w:sz="0" w:space="0" w:color="auto"/>
        <w:right w:val="none" w:sz="0" w:space="0" w:color="auto"/>
      </w:divBdr>
    </w:div>
    <w:div w:id="1230115657">
      <w:bodyDiv w:val="1"/>
      <w:marLeft w:val="0"/>
      <w:marRight w:val="0"/>
      <w:marTop w:val="0"/>
      <w:marBottom w:val="0"/>
      <w:divBdr>
        <w:top w:val="none" w:sz="0" w:space="0" w:color="auto"/>
        <w:left w:val="none" w:sz="0" w:space="0" w:color="auto"/>
        <w:bottom w:val="none" w:sz="0" w:space="0" w:color="auto"/>
        <w:right w:val="none" w:sz="0" w:space="0" w:color="auto"/>
      </w:divBdr>
    </w:div>
    <w:div w:id="1232890069">
      <w:bodyDiv w:val="1"/>
      <w:marLeft w:val="0"/>
      <w:marRight w:val="0"/>
      <w:marTop w:val="0"/>
      <w:marBottom w:val="0"/>
      <w:divBdr>
        <w:top w:val="none" w:sz="0" w:space="0" w:color="auto"/>
        <w:left w:val="none" w:sz="0" w:space="0" w:color="auto"/>
        <w:bottom w:val="none" w:sz="0" w:space="0" w:color="auto"/>
        <w:right w:val="none" w:sz="0" w:space="0" w:color="auto"/>
      </w:divBdr>
    </w:div>
    <w:div w:id="1247761911">
      <w:bodyDiv w:val="1"/>
      <w:marLeft w:val="0"/>
      <w:marRight w:val="0"/>
      <w:marTop w:val="0"/>
      <w:marBottom w:val="0"/>
      <w:divBdr>
        <w:top w:val="none" w:sz="0" w:space="0" w:color="auto"/>
        <w:left w:val="none" w:sz="0" w:space="0" w:color="auto"/>
        <w:bottom w:val="none" w:sz="0" w:space="0" w:color="auto"/>
        <w:right w:val="none" w:sz="0" w:space="0" w:color="auto"/>
      </w:divBdr>
    </w:div>
    <w:div w:id="1295134185">
      <w:bodyDiv w:val="1"/>
      <w:marLeft w:val="0"/>
      <w:marRight w:val="0"/>
      <w:marTop w:val="0"/>
      <w:marBottom w:val="0"/>
      <w:divBdr>
        <w:top w:val="none" w:sz="0" w:space="0" w:color="auto"/>
        <w:left w:val="none" w:sz="0" w:space="0" w:color="auto"/>
        <w:bottom w:val="none" w:sz="0" w:space="0" w:color="auto"/>
        <w:right w:val="none" w:sz="0" w:space="0" w:color="auto"/>
      </w:divBdr>
    </w:div>
    <w:div w:id="1311834560">
      <w:bodyDiv w:val="1"/>
      <w:marLeft w:val="0"/>
      <w:marRight w:val="0"/>
      <w:marTop w:val="0"/>
      <w:marBottom w:val="0"/>
      <w:divBdr>
        <w:top w:val="none" w:sz="0" w:space="0" w:color="auto"/>
        <w:left w:val="none" w:sz="0" w:space="0" w:color="auto"/>
        <w:bottom w:val="none" w:sz="0" w:space="0" w:color="auto"/>
        <w:right w:val="none" w:sz="0" w:space="0" w:color="auto"/>
      </w:divBdr>
    </w:div>
    <w:div w:id="1313213871">
      <w:bodyDiv w:val="1"/>
      <w:marLeft w:val="0"/>
      <w:marRight w:val="0"/>
      <w:marTop w:val="0"/>
      <w:marBottom w:val="0"/>
      <w:divBdr>
        <w:top w:val="none" w:sz="0" w:space="0" w:color="auto"/>
        <w:left w:val="none" w:sz="0" w:space="0" w:color="auto"/>
        <w:bottom w:val="none" w:sz="0" w:space="0" w:color="auto"/>
        <w:right w:val="none" w:sz="0" w:space="0" w:color="auto"/>
      </w:divBdr>
    </w:div>
    <w:div w:id="1314069530">
      <w:bodyDiv w:val="1"/>
      <w:marLeft w:val="0"/>
      <w:marRight w:val="0"/>
      <w:marTop w:val="0"/>
      <w:marBottom w:val="0"/>
      <w:divBdr>
        <w:top w:val="none" w:sz="0" w:space="0" w:color="auto"/>
        <w:left w:val="none" w:sz="0" w:space="0" w:color="auto"/>
        <w:bottom w:val="none" w:sz="0" w:space="0" w:color="auto"/>
        <w:right w:val="none" w:sz="0" w:space="0" w:color="auto"/>
      </w:divBdr>
    </w:div>
    <w:div w:id="1367294371">
      <w:bodyDiv w:val="1"/>
      <w:marLeft w:val="0"/>
      <w:marRight w:val="0"/>
      <w:marTop w:val="0"/>
      <w:marBottom w:val="0"/>
      <w:divBdr>
        <w:top w:val="none" w:sz="0" w:space="0" w:color="auto"/>
        <w:left w:val="none" w:sz="0" w:space="0" w:color="auto"/>
        <w:bottom w:val="none" w:sz="0" w:space="0" w:color="auto"/>
        <w:right w:val="none" w:sz="0" w:space="0" w:color="auto"/>
      </w:divBdr>
    </w:div>
    <w:div w:id="1376929530">
      <w:bodyDiv w:val="1"/>
      <w:marLeft w:val="0"/>
      <w:marRight w:val="0"/>
      <w:marTop w:val="0"/>
      <w:marBottom w:val="0"/>
      <w:divBdr>
        <w:top w:val="none" w:sz="0" w:space="0" w:color="auto"/>
        <w:left w:val="none" w:sz="0" w:space="0" w:color="auto"/>
        <w:bottom w:val="none" w:sz="0" w:space="0" w:color="auto"/>
        <w:right w:val="none" w:sz="0" w:space="0" w:color="auto"/>
      </w:divBdr>
    </w:div>
    <w:div w:id="1425877642">
      <w:bodyDiv w:val="1"/>
      <w:marLeft w:val="0"/>
      <w:marRight w:val="0"/>
      <w:marTop w:val="0"/>
      <w:marBottom w:val="0"/>
      <w:divBdr>
        <w:top w:val="none" w:sz="0" w:space="0" w:color="auto"/>
        <w:left w:val="none" w:sz="0" w:space="0" w:color="auto"/>
        <w:bottom w:val="none" w:sz="0" w:space="0" w:color="auto"/>
        <w:right w:val="none" w:sz="0" w:space="0" w:color="auto"/>
      </w:divBdr>
    </w:div>
    <w:div w:id="1431973228">
      <w:bodyDiv w:val="1"/>
      <w:marLeft w:val="0"/>
      <w:marRight w:val="0"/>
      <w:marTop w:val="0"/>
      <w:marBottom w:val="0"/>
      <w:divBdr>
        <w:top w:val="none" w:sz="0" w:space="0" w:color="auto"/>
        <w:left w:val="none" w:sz="0" w:space="0" w:color="auto"/>
        <w:bottom w:val="none" w:sz="0" w:space="0" w:color="auto"/>
        <w:right w:val="none" w:sz="0" w:space="0" w:color="auto"/>
      </w:divBdr>
    </w:div>
    <w:div w:id="1446339798">
      <w:bodyDiv w:val="1"/>
      <w:marLeft w:val="0"/>
      <w:marRight w:val="0"/>
      <w:marTop w:val="0"/>
      <w:marBottom w:val="0"/>
      <w:divBdr>
        <w:top w:val="none" w:sz="0" w:space="0" w:color="auto"/>
        <w:left w:val="none" w:sz="0" w:space="0" w:color="auto"/>
        <w:bottom w:val="none" w:sz="0" w:space="0" w:color="auto"/>
        <w:right w:val="none" w:sz="0" w:space="0" w:color="auto"/>
      </w:divBdr>
    </w:div>
    <w:div w:id="1482037709">
      <w:bodyDiv w:val="1"/>
      <w:marLeft w:val="0"/>
      <w:marRight w:val="0"/>
      <w:marTop w:val="0"/>
      <w:marBottom w:val="0"/>
      <w:divBdr>
        <w:top w:val="none" w:sz="0" w:space="0" w:color="auto"/>
        <w:left w:val="none" w:sz="0" w:space="0" w:color="auto"/>
        <w:bottom w:val="none" w:sz="0" w:space="0" w:color="auto"/>
        <w:right w:val="none" w:sz="0" w:space="0" w:color="auto"/>
      </w:divBdr>
    </w:div>
    <w:div w:id="1515148594">
      <w:bodyDiv w:val="1"/>
      <w:marLeft w:val="0"/>
      <w:marRight w:val="0"/>
      <w:marTop w:val="0"/>
      <w:marBottom w:val="0"/>
      <w:divBdr>
        <w:top w:val="none" w:sz="0" w:space="0" w:color="auto"/>
        <w:left w:val="none" w:sz="0" w:space="0" w:color="auto"/>
        <w:bottom w:val="none" w:sz="0" w:space="0" w:color="auto"/>
        <w:right w:val="none" w:sz="0" w:space="0" w:color="auto"/>
      </w:divBdr>
    </w:div>
    <w:div w:id="1597860000">
      <w:bodyDiv w:val="1"/>
      <w:marLeft w:val="0"/>
      <w:marRight w:val="0"/>
      <w:marTop w:val="0"/>
      <w:marBottom w:val="0"/>
      <w:divBdr>
        <w:top w:val="none" w:sz="0" w:space="0" w:color="auto"/>
        <w:left w:val="none" w:sz="0" w:space="0" w:color="auto"/>
        <w:bottom w:val="none" w:sz="0" w:space="0" w:color="auto"/>
        <w:right w:val="none" w:sz="0" w:space="0" w:color="auto"/>
      </w:divBdr>
    </w:div>
    <w:div w:id="1704478298">
      <w:bodyDiv w:val="1"/>
      <w:marLeft w:val="0"/>
      <w:marRight w:val="0"/>
      <w:marTop w:val="0"/>
      <w:marBottom w:val="0"/>
      <w:divBdr>
        <w:top w:val="none" w:sz="0" w:space="0" w:color="auto"/>
        <w:left w:val="none" w:sz="0" w:space="0" w:color="auto"/>
        <w:bottom w:val="none" w:sz="0" w:space="0" w:color="auto"/>
        <w:right w:val="none" w:sz="0" w:space="0" w:color="auto"/>
      </w:divBdr>
    </w:div>
    <w:div w:id="1710957712">
      <w:bodyDiv w:val="1"/>
      <w:marLeft w:val="0"/>
      <w:marRight w:val="0"/>
      <w:marTop w:val="0"/>
      <w:marBottom w:val="0"/>
      <w:divBdr>
        <w:top w:val="none" w:sz="0" w:space="0" w:color="auto"/>
        <w:left w:val="none" w:sz="0" w:space="0" w:color="auto"/>
        <w:bottom w:val="none" w:sz="0" w:space="0" w:color="auto"/>
        <w:right w:val="none" w:sz="0" w:space="0" w:color="auto"/>
      </w:divBdr>
    </w:div>
    <w:div w:id="1733649060">
      <w:bodyDiv w:val="1"/>
      <w:marLeft w:val="0"/>
      <w:marRight w:val="0"/>
      <w:marTop w:val="0"/>
      <w:marBottom w:val="0"/>
      <w:divBdr>
        <w:top w:val="none" w:sz="0" w:space="0" w:color="auto"/>
        <w:left w:val="none" w:sz="0" w:space="0" w:color="auto"/>
        <w:bottom w:val="none" w:sz="0" w:space="0" w:color="auto"/>
        <w:right w:val="none" w:sz="0" w:space="0" w:color="auto"/>
      </w:divBdr>
    </w:div>
    <w:div w:id="1781757892">
      <w:bodyDiv w:val="1"/>
      <w:marLeft w:val="0"/>
      <w:marRight w:val="0"/>
      <w:marTop w:val="0"/>
      <w:marBottom w:val="0"/>
      <w:divBdr>
        <w:top w:val="none" w:sz="0" w:space="0" w:color="auto"/>
        <w:left w:val="none" w:sz="0" w:space="0" w:color="auto"/>
        <w:bottom w:val="none" w:sz="0" w:space="0" w:color="auto"/>
        <w:right w:val="none" w:sz="0" w:space="0" w:color="auto"/>
      </w:divBdr>
    </w:div>
    <w:div w:id="1793553575">
      <w:bodyDiv w:val="1"/>
      <w:marLeft w:val="0"/>
      <w:marRight w:val="0"/>
      <w:marTop w:val="0"/>
      <w:marBottom w:val="0"/>
      <w:divBdr>
        <w:top w:val="none" w:sz="0" w:space="0" w:color="auto"/>
        <w:left w:val="none" w:sz="0" w:space="0" w:color="auto"/>
        <w:bottom w:val="none" w:sz="0" w:space="0" w:color="auto"/>
        <w:right w:val="none" w:sz="0" w:space="0" w:color="auto"/>
      </w:divBdr>
    </w:div>
    <w:div w:id="1852838694">
      <w:bodyDiv w:val="1"/>
      <w:marLeft w:val="0"/>
      <w:marRight w:val="0"/>
      <w:marTop w:val="0"/>
      <w:marBottom w:val="0"/>
      <w:divBdr>
        <w:top w:val="none" w:sz="0" w:space="0" w:color="auto"/>
        <w:left w:val="none" w:sz="0" w:space="0" w:color="auto"/>
        <w:bottom w:val="none" w:sz="0" w:space="0" w:color="auto"/>
        <w:right w:val="none" w:sz="0" w:space="0" w:color="auto"/>
      </w:divBdr>
    </w:div>
    <w:div w:id="1883250871">
      <w:bodyDiv w:val="1"/>
      <w:marLeft w:val="0"/>
      <w:marRight w:val="0"/>
      <w:marTop w:val="0"/>
      <w:marBottom w:val="0"/>
      <w:divBdr>
        <w:top w:val="none" w:sz="0" w:space="0" w:color="auto"/>
        <w:left w:val="none" w:sz="0" w:space="0" w:color="auto"/>
        <w:bottom w:val="none" w:sz="0" w:space="0" w:color="auto"/>
        <w:right w:val="none" w:sz="0" w:space="0" w:color="auto"/>
      </w:divBdr>
    </w:div>
    <w:div w:id="1911695532">
      <w:bodyDiv w:val="1"/>
      <w:marLeft w:val="0"/>
      <w:marRight w:val="0"/>
      <w:marTop w:val="0"/>
      <w:marBottom w:val="0"/>
      <w:divBdr>
        <w:top w:val="none" w:sz="0" w:space="0" w:color="auto"/>
        <w:left w:val="none" w:sz="0" w:space="0" w:color="auto"/>
        <w:bottom w:val="none" w:sz="0" w:space="0" w:color="auto"/>
        <w:right w:val="none" w:sz="0" w:space="0" w:color="auto"/>
      </w:divBdr>
    </w:div>
    <w:div w:id="1933390141">
      <w:bodyDiv w:val="1"/>
      <w:marLeft w:val="0"/>
      <w:marRight w:val="0"/>
      <w:marTop w:val="0"/>
      <w:marBottom w:val="0"/>
      <w:divBdr>
        <w:top w:val="none" w:sz="0" w:space="0" w:color="auto"/>
        <w:left w:val="none" w:sz="0" w:space="0" w:color="auto"/>
        <w:bottom w:val="none" w:sz="0" w:space="0" w:color="auto"/>
        <w:right w:val="none" w:sz="0" w:space="0" w:color="auto"/>
      </w:divBdr>
    </w:div>
    <w:div w:id="1977837948">
      <w:bodyDiv w:val="1"/>
      <w:marLeft w:val="0"/>
      <w:marRight w:val="0"/>
      <w:marTop w:val="0"/>
      <w:marBottom w:val="0"/>
      <w:divBdr>
        <w:top w:val="none" w:sz="0" w:space="0" w:color="auto"/>
        <w:left w:val="none" w:sz="0" w:space="0" w:color="auto"/>
        <w:bottom w:val="none" w:sz="0" w:space="0" w:color="auto"/>
        <w:right w:val="none" w:sz="0" w:space="0" w:color="auto"/>
      </w:divBdr>
    </w:div>
    <w:div w:id="1987736421">
      <w:bodyDiv w:val="1"/>
      <w:marLeft w:val="0"/>
      <w:marRight w:val="0"/>
      <w:marTop w:val="0"/>
      <w:marBottom w:val="0"/>
      <w:divBdr>
        <w:top w:val="none" w:sz="0" w:space="0" w:color="auto"/>
        <w:left w:val="none" w:sz="0" w:space="0" w:color="auto"/>
        <w:bottom w:val="none" w:sz="0" w:space="0" w:color="auto"/>
        <w:right w:val="none" w:sz="0" w:space="0" w:color="auto"/>
      </w:divBdr>
    </w:div>
    <w:div w:id="2064283968">
      <w:bodyDiv w:val="1"/>
      <w:marLeft w:val="0"/>
      <w:marRight w:val="0"/>
      <w:marTop w:val="0"/>
      <w:marBottom w:val="0"/>
      <w:divBdr>
        <w:top w:val="none" w:sz="0" w:space="0" w:color="auto"/>
        <w:left w:val="none" w:sz="0" w:space="0" w:color="auto"/>
        <w:bottom w:val="none" w:sz="0" w:space="0" w:color="auto"/>
        <w:right w:val="none" w:sz="0" w:space="0" w:color="auto"/>
      </w:divBdr>
    </w:div>
    <w:div w:id="2090882449">
      <w:bodyDiv w:val="1"/>
      <w:marLeft w:val="0"/>
      <w:marRight w:val="0"/>
      <w:marTop w:val="0"/>
      <w:marBottom w:val="0"/>
      <w:divBdr>
        <w:top w:val="none" w:sz="0" w:space="0" w:color="auto"/>
        <w:left w:val="none" w:sz="0" w:space="0" w:color="auto"/>
        <w:bottom w:val="none" w:sz="0" w:space="0" w:color="auto"/>
        <w:right w:val="none" w:sz="0" w:space="0" w:color="auto"/>
      </w:divBdr>
    </w:div>
    <w:div w:id="2119375948">
      <w:bodyDiv w:val="1"/>
      <w:marLeft w:val="0"/>
      <w:marRight w:val="0"/>
      <w:marTop w:val="0"/>
      <w:marBottom w:val="0"/>
      <w:divBdr>
        <w:top w:val="none" w:sz="0" w:space="0" w:color="auto"/>
        <w:left w:val="none" w:sz="0" w:space="0" w:color="auto"/>
        <w:bottom w:val="none" w:sz="0" w:space="0" w:color="auto"/>
        <w:right w:val="none" w:sz="0" w:space="0" w:color="auto"/>
      </w:divBdr>
    </w:div>
    <w:div w:id="212699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limate.copernicus.eu/esotc/2025" TargetMode="External"/><Relationship Id="rId1" Type="http://schemas.openxmlformats.org/officeDocument/2006/relationships/hyperlink" Target="https://climate.copernicus.eu/esotc/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6A32A-500D-4FF2-BB9F-582E37C4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12</Pages>
  <Words>3938</Words>
  <Characters>25289</Characters>
  <Application>Microsoft Office Word</Application>
  <DocSecurity>0</DocSecurity>
  <Lines>395</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29125</CharactersWithSpaces>
  <SharedDoc>false</SharedDoc>
  <HLinks>
    <vt:vector size="30" baseType="variant">
      <vt:variant>
        <vt:i4>1376304</vt:i4>
      </vt:variant>
      <vt:variant>
        <vt:i4>26</vt:i4>
      </vt:variant>
      <vt:variant>
        <vt:i4>0</vt:i4>
      </vt:variant>
      <vt:variant>
        <vt:i4>5</vt:i4>
      </vt:variant>
      <vt:variant>
        <vt:lpwstr/>
      </vt:variant>
      <vt:variant>
        <vt:lpwstr>_Toc487123181</vt:lpwstr>
      </vt:variant>
      <vt:variant>
        <vt:i4>1376304</vt:i4>
      </vt:variant>
      <vt:variant>
        <vt:i4>20</vt:i4>
      </vt:variant>
      <vt:variant>
        <vt:i4>0</vt:i4>
      </vt:variant>
      <vt:variant>
        <vt:i4>5</vt:i4>
      </vt:variant>
      <vt:variant>
        <vt:lpwstr/>
      </vt:variant>
      <vt:variant>
        <vt:lpwstr>_Toc487123180</vt:lpwstr>
      </vt:variant>
      <vt:variant>
        <vt:i4>1703984</vt:i4>
      </vt:variant>
      <vt:variant>
        <vt:i4>14</vt:i4>
      </vt:variant>
      <vt:variant>
        <vt:i4>0</vt:i4>
      </vt:variant>
      <vt:variant>
        <vt:i4>5</vt:i4>
      </vt:variant>
      <vt:variant>
        <vt:lpwstr/>
      </vt:variant>
      <vt:variant>
        <vt:lpwstr>_Toc487123179</vt:lpwstr>
      </vt:variant>
      <vt:variant>
        <vt:i4>1703984</vt:i4>
      </vt:variant>
      <vt:variant>
        <vt:i4>8</vt:i4>
      </vt:variant>
      <vt:variant>
        <vt:i4>0</vt:i4>
      </vt:variant>
      <vt:variant>
        <vt:i4>5</vt:i4>
      </vt:variant>
      <vt:variant>
        <vt:lpwstr/>
      </vt:variant>
      <vt:variant>
        <vt:lpwstr>_Toc487123178</vt:lpwstr>
      </vt:variant>
      <vt:variant>
        <vt:i4>1703984</vt:i4>
      </vt:variant>
      <vt:variant>
        <vt:i4>2</vt:i4>
      </vt:variant>
      <vt:variant>
        <vt:i4>0</vt:i4>
      </vt:variant>
      <vt:variant>
        <vt:i4>5</vt:i4>
      </vt:variant>
      <vt:variant>
        <vt:lpwstr/>
      </vt:variant>
      <vt:variant>
        <vt:lpwstr>_Toc487123173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19</cp:revision>
  <dcterms:created xsi:type="dcterms:W3CDTF">2026-06-15T09:46:00Z</dcterms:created>
  <dcterms:modified xsi:type="dcterms:W3CDTF">2026-06-30T07:47:00Z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2026-06-01T08:38:32Z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c61407f0-a390-4ec8-a4ab-8e2797850c36</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y fmtid="{D5CDD505-2E9C-101B-9397-08002B2CF9AE}" pid="10" name="Level of sensitivity">
    <vt:lpwstr>Standard treatment</vt:lpwstr>
  </property>
  <property fmtid="{D5CDD505-2E9C-101B-9397-08002B2CF9AE}" pid="11" name="Last edited using">
    <vt:lpwstr>LW 9.2, Build 20250828</vt:lpwstr>
  </property>
  <property fmtid="{D5CDD505-2E9C-101B-9397-08002B2CF9AE}" pid="12" name="DocStatus">
    <vt:lpwstr>Green</vt:lpwstr>
  </property>
  <property fmtid="{D5CDD505-2E9C-101B-9397-08002B2CF9AE}" pid="13" name="Part">
    <vt:lpwstr>1</vt:lpwstr>
  </property>
  <property fmtid="{D5CDD505-2E9C-101B-9397-08002B2CF9AE}" pid="14" name="Total parts">
    <vt:lpwstr>1</vt:lpwstr>
  </property>
  <property fmtid="{D5CDD505-2E9C-101B-9397-08002B2CF9AE}" pid="15" name="CPTemplateID">
    <vt:lpwstr>CP-006</vt:lpwstr>
  </property>
  <property name="OP_sanitized" fmtid="{D5CDD505-2E9C-101B-9397-08002B2CF9AE}" pid="16">
    <vt:lpwstr>True</vt:lpwstr>
  </property>
</Properties>
</file>