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A99A9A36-CF8F-44CF-A444-679771EA3DBC" style="width:455.25pt;height:369.75pt">
            <v:imagedata r:id="rId9" o:title=""/>
          </v:shape>
        </w:pict>
      </w:r>
    </w:p>
    <w:p>
      <w:pPr>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EXPUNERE DE MOTIVE</w:t>
      </w:r>
    </w:p>
    <w:p>
      <w:pPr>
        <w:pStyle w:val="ManualHeading1"/>
        <w:rPr>
          <w:noProof/>
        </w:rPr>
      </w:pPr>
      <w:r>
        <w:rPr>
          <w:noProof/>
        </w:rPr>
        <w:t>1.</w:t>
      </w:r>
      <w:r>
        <w:rPr>
          <w:noProof/>
        </w:rPr>
        <w:tab/>
        <w:t>CONTEXT</w:t>
      </w:r>
    </w:p>
    <w:p>
      <w:pPr>
        <w:pStyle w:val="ManualHeading2"/>
        <w:rPr>
          <w:rFonts w:eastAsia="Arial Unicode MS"/>
          <w:noProof/>
        </w:rPr>
      </w:pPr>
      <w:r>
        <w:rPr>
          <w:noProof/>
          <w:color w:val="000000"/>
          <w:u w:color="000000"/>
          <w:bdr w:val="nil"/>
        </w:rPr>
        <w:t>•</w:t>
      </w:r>
      <w:r>
        <w:rPr>
          <w:noProof/>
        </w:rPr>
        <w:tab/>
        <w:t>Temeiurile și obiectivele propunerii</w:t>
      </w:r>
    </w:p>
    <w:p>
      <w:pPr>
        <w:pBdr>
          <w:top w:val="nil"/>
          <w:left w:val="nil"/>
          <w:bottom w:val="nil"/>
          <w:right w:val="nil"/>
          <w:between w:val="nil"/>
          <w:bar w:val="nil"/>
        </w:pBdr>
        <w:spacing w:before="0" w:after="240"/>
        <w:rPr>
          <w:rFonts w:eastAsia="Arial Unicode MS"/>
          <w:noProof/>
        </w:rPr>
      </w:pPr>
      <w:r>
        <w:rPr>
          <w:noProof/>
        </w:rPr>
        <w:t>Propunerea se referă la un proiect de decizie a Consiliului privind a doua tranșă a contribuțiilor financiare la cel de al 11-lea Fond european de dezvoltare (FED) care trebuie plătite de părțile la FED în 2021.</w:t>
      </w:r>
    </w:p>
    <w:p>
      <w:pPr>
        <w:pBdr>
          <w:top w:val="nil"/>
          <w:left w:val="nil"/>
          <w:bottom w:val="nil"/>
          <w:right w:val="nil"/>
          <w:between w:val="nil"/>
          <w:bar w:val="nil"/>
        </w:pBdr>
        <w:spacing w:before="0" w:after="240"/>
        <w:rPr>
          <w:rFonts w:eastAsia="Arial Unicode MS"/>
          <w:noProof/>
        </w:rPr>
      </w:pPr>
      <w:r>
        <w:rPr>
          <w:noProof/>
        </w:rPr>
        <w:t xml:space="preserve">Cel de al 11-lea FED și alte fonduri FED care sunt încă deschise (și anume, cel de al optulea, al nouălea și al 10-lea FED) sunt gestionate în temeiul următorului set de norme: </w:t>
      </w:r>
    </w:p>
    <w:p>
      <w:pPr>
        <w:pBdr>
          <w:top w:val="nil"/>
          <w:left w:val="nil"/>
          <w:bottom w:val="nil"/>
          <w:right w:val="nil"/>
          <w:between w:val="nil"/>
          <w:bar w:val="nil"/>
        </w:pBdr>
        <w:spacing w:before="0" w:after="240"/>
        <w:rPr>
          <w:rFonts w:eastAsia="Arial Unicode MS"/>
          <w:noProof/>
        </w:rPr>
      </w:pPr>
      <w:r>
        <w:rPr>
          <w:noProof/>
        </w:rPr>
        <w:t>actualul Acord de parteneriat între membrii grupului statelor din Africa, zona Caraibilor și Pacific (ACP), pe de o parte, și Comunitatea Europeană și statele membre ale acesteia, pe de altă parte (denumit în continuare „Acordul de parteneriat ACP-UE”), astfel cum a fost modificat ultima dată</w:t>
      </w:r>
      <w:r>
        <w:rPr>
          <w:rStyle w:val="FootnoteReference"/>
          <w:rFonts w:eastAsia="Arial Unicode MS"/>
          <w:noProof/>
        </w:rPr>
        <w:footnoteReference w:id="1"/>
      </w:r>
      <w:r>
        <w:rPr>
          <w:noProof/>
        </w:rPr>
        <w:t>;</w:t>
      </w:r>
    </w:p>
    <w:p>
      <w:pPr>
        <w:pBdr>
          <w:top w:val="nil"/>
          <w:left w:val="nil"/>
          <w:bottom w:val="nil"/>
          <w:right w:val="nil"/>
          <w:between w:val="nil"/>
          <w:bar w:val="nil"/>
        </w:pBdr>
        <w:spacing w:before="0" w:after="240"/>
        <w:rPr>
          <w:rFonts w:eastAsia="Arial Unicode MS"/>
          <w:noProof/>
        </w:rPr>
      </w:pPr>
      <w:r>
        <w:rPr>
          <w:noProof/>
        </w:rPr>
        <w:t>Decizia nr. 2/2020 a Comitetului ambasadorilor ACP-UE</w:t>
      </w:r>
      <w:r>
        <w:rPr>
          <w:rStyle w:val="FootnoteReference"/>
          <w:rFonts w:eastAsia="Arial Unicode MS"/>
          <w:noProof/>
        </w:rPr>
        <w:footnoteReference w:id="2"/>
      </w:r>
      <w:r>
        <w:rPr>
          <w:noProof/>
        </w:rPr>
        <w:t xml:space="preserve"> din 4 decembrie 2020 de modificare a Deciziei nr. 3/2019 a Comitetului ambasadorilor ACP-UE</w:t>
      </w:r>
      <w:r>
        <w:rPr>
          <w:rStyle w:val="FootnoteReference"/>
          <w:rFonts w:eastAsia="Arial Unicode MS"/>
          <w:noProof/>
        </w:rPr>
        <w:footnoteReference w:id="3"/>
      </w:r>
      <w:r>
        <w:rPr>
          <w:noProof/>
        </w:rPr>
        <w:t xml:space="preserve"> privind adoptarea unor măsuri tranzitorii în temeiul articolului 95 alineatul (4) din Acordul de parteneriat ACP­UE pentru a prelungi din nou aplicarea dispozițiilor Acordului de parteneriat ACP-UE până la 30 noiembrie 2021 sau până la data intrării în vigoare a unui nou acord ACP-UE („noul acord”) ori până la aplicarea cu titlu provizoriu a noului acord între Uniune și statele ACP, oricare dintre aceste date survine mai întâi;</w:t>
      </w:r>
    </w:p>
    <w:p>
      <w:pPr>
        <w:pBdr>
          <w:top w:val="nil"/>
          <w:left w:val="nil"/>
          <w:bottom w:val="nil"/>
          <w:right w:val="nil"/>
          <w:between w:val="nil"/>
          <w:bar w:val="nil"/>
        </w:pBdr>
        <w:spacing w:before="0" w:after="240"/>
        <w:rPr>
          <w:rFonts w:eastAsia="Arial Unicode MS"/>
          <w:noProof/>
        </w:rPr>
      </w:pPr>
      <w:r>
        <w:rPr>
          <w:noProof/>
        </w:rPr>
        <w:t>Decizia (UE) 2020/2233 a Consiliului privind angajarea fondurilor provenite din restituiri în cadrul Facilității de investiții ACP din operațiunile finanțate în cadrul celui de al 9-lea, al 10­lea și al 11-lea Fond european de dezvoltare</w:t>
      </w:r>
      <w:r>
        <w:rPr>
          <w:rStyle w:val="FootnoteReference"/>
          <w:rFonts w:eastAsia="Arial Unicode MS"/>
          <w:noProof/>
        </w:rPr>
        <w:footnoteReference w:id="4"/>
      </w:r>
      <w:r>
        <w:rPr>
          <w:noProof/>
        </w:rPr>
        <w:t>;</w:t>
      </w:r>
    </w:p>
    <w:p>
      <w:pPr>
        <w:pBdr>
          <w:top w:val="nil"/>
          <w:left w:val="nil"/>
          <w:bottom w:val="nil"/>
          <w:right w:val="nil"/>
          <w:between w:val="nil"/>
          <w:bar w:val="nil"/>
        </w:pBdr>
        <w:spacing w:before="0" w:after="240"/>
        <w:rPr>
          <w:rFonts w:eastAsia="Arial Unicode MS"/>
          <w:noProof/>
        </w:rPr>
      </w:pPr>
      <w:r>
        <w:rPr>
          <w:noProof/>
        </w:rPr>
        <w:t>Acordul intern dintre reprezentanții guvernelor statelor membre ale Uniunii Europene, reuniți în cadrul Consiliului, privind finanțarea ajutoarelor Uniunii Europene în baza cadrului financiar multianual pentru perioada 2014-2020, în conformitate cu Acordul de parteneriat ACP-UE, și privind alocarea de asistență financiară pentru țările și teritoriile de peste mări cărora li se aplică partea a patra din Tratatul privind funcționarea Uniunii Europene</w:t>
      </w:r>
      <w:r>
        <w:rPr>
          <w:rStyle w:val="FootnoteReference"/>
          <w:rFonts w:eastAsia="Arial Unicode MS"/>
          <w:noProof/>
        </w:rPr>
        <w:footnoteReference w:id="5"/>
      </w:r>
      <w:r>
        <w:rPr>
          <w:noProof/>
        </w:rPr>
        <w:t xml:space="preserve"> („Acordul intern privind cel de al 11-lea FED”);</w:t>
      </w:r>
    </w:p>
    <w:p>
      <w:pPr>
        <w:pBdr>
          <w:top w:val="nil"/>
          <w:left w:val="nil"/>
          <w:bottom w:val="nil"/>
          <w:right w:val="nil"/>
          <w:between w:val="nil"/>
          <w:bar w:val="nil"/>
        </w:pBdr>
        <w:spacing w:before="0" w:after="240"/>
        <w:rPr>
          <w:rFonts w:eastAsia="Arial Unicode MS"/>
          <w:noProof/>
        </w:rPr>
      </w:pPr>
      <w:r>
        <w:rPr>
          <w:noProof/>
        </w:rPr>
        <w:t>Regulamentul (UE) 2018/1877 al Consiliului privind regulamentul financiar aplicabil celui de al 11-lea Fond european de dezvoltare</w:t>
      </w:r>
      <w:r>
        <w:rPr>
          <w:rStyle w:val="FootnoteReference"/>
          <w:rFonts w:eastAsia="Arial Unicode MS"/>
          <w:noProof/>
        </w:rPr>
        <w:footnoteReference w:id="6"/>
      </w:r>
      <w:r>
        <w:rPr>
          <w:noProof/>
        </w:rPr>
        <w:t xml:space="preserve"> („Regulamentul financiar aplicabil celui de al 11-lea FED”).</w:t>
      </w:r>
    </w:p>
    <w:p>
      <w:pPr>
        <w:pBdr>
          <w:top w:val="nil"/>
          <w:left w:val="nil"/>
          <w:bottom w:val="nil"/>
          <w:right w:val="nil"/>
          <w:between w:val="nil"/>
          <w:bar w:val="nil"/>
        </w:pBdr>
        <w:spacing w:before="0" w:after="240"/>
        <w:rPr>
          <w:rFonts w:eastAsia="Arial Unicode MS"/>
          <w:noProof/>
        </w:rPr>
      </w:pPr>
      <w:r>
        <w:rPr>
          <w:noProof/>
        </w:rPr>
        <w:t xml:space="preserve">Documentele menționate mai sus conțin angajamentele multianuale asumate de părțile la FED pentru a sprijini financiar trezoreria FED. Regulamentul financiar aplicabil celui de al 11-lea FED prevede că părțile la FED furnizează cu regularitate contribuții la trezoreria FED, conform unor angajamente financiare prestabilite. Aceste contribuții regulate sunt efectuate în </w:t>
      </w:r>
      <w:r>
        <w:rPr>
          <w:noProof/>
        </w:rPr>
        <w:lastRenderedPageBreak/>
        <w:t xml:space="preserve">baza unor decizii tehnice ale Consiliului, care reflectă execuția angajamentelor financiare decise anterior. </w:t>
      </w:r>
    </w:p>
    <w:p>
      <w:pPr>
        <w:spacing w:before="0" w:after="240"/>
        <w:rPr>
          <w:rFonts w:eastAsia="Arial Unicode MS"/>
          <w:noProof/>
        </w:rPr>
      </w:pPr>
      <w:r>
        <w:rPr>
          <w:noProof/>
        </w:rPr>
        <w:t>Prin urmare, unele rubrici din expunerea de motive nu sunt aplicabile cererilor de contribuții regulate precum prezenta cerere.</w:t>
      </w:r>
    </w:p>
    <w:p>
      <w:pPr>
        <w:pStyle w:val="ManualHeading1"/>
        <w:rPr>
          <w:noProof/>
        </w:rPr>
      </w:pPr>
      <w:r>
        <w:rPr>
          <w:noProof/>
        </w:rPr>
        <w:t>2.</w:t>
      </w:r>
      <w:r>
        <w:rPr>
          <w:noProof/>
        </w:rPr>
        <w:tab/>
        <w:t>TEMEI JURIDIC, SUBSIDIARITATE ȘI PROPORȚIONALITATE</w:t>
      </w:r>
    </w:p>
    <w:p>
      <w:pPr>
        <w:pStyle w:val="ManualHeading2"/>
        <w:rPr>
          <w:rFonts w:eastAsia="Arial Unicode MS"/>
          <w:noProof/>
          <w:u w:color="000000"/>
          <w:bdr w:val="nil"/>
        </w:rPr>
      </w:pPr>
      <w:r>
        <w:rPr>
          <w:noProof/>
          <w:u w:color="000000"/>
          <w:bdr w:val="nil"/>
        </w:rPr>
        <w:t>•</w:t>
      </w:r>
      <w:r>
        <w:rPr>
          <w:noProof/>
        </w:rPr>
        <w:tab/>
      </w:r>
      <w:r>
        <w:rPr>
          <w:noProof/>
          <w:u w:color="000000"/>
          <w:bdr w:val="nil"/>
        </w:rPr>
        <w:t>Temei juridic</w:t>
      </w:r>
    </w:p>
    <w:p>
      <w:pPr>
        <w:pBdr>
          <w:top w:val="nil"/>
          <w:left w:val="nil"/>
          <w:bottom w:val="nil"/>
          <w:right w:val="nil"/>
          <w:between w:val="nil"/>
          <w:bar w:val="nil"/>
        </w:pBdr>
        <w:spacing w:before="0" w:after="240"/>
        <w:rPr>
          <w:rFonts w:eastAsia="Arial Unicode MS"/>
          <w:noProof/>
        </w:rPr>
      </w:pPr>
      <w:r>
        <w:rPr>
          <w:noProof/>
        </w:rPr>
        <w:t>În conformitate cu articolul 19 alineatul (3) din Regulamentul financiar aplicabil celui de al 11-lea FED, Consiliul trebuie să hotărască cu privire la prezenta propunere în termen de cel mult 21 de zile calendaristice de la prezentarea propunerii de către Comisia Europeană, acționând în numele Uniunii Europene.</w:t>
      </w:r>
    </w:p>
    <w:p>
      <w:pPr>
        <w:pBdr>
          <w:top w:val="nil"/>
          <w:left w:val="nil"/>
          <w:bottom w:val="nil"/>
          <w:right w:val="nil"/>
          <w:between w:val="nil"/>
          <w:bar w:val="nil"/>
        </w:pBdr>
        <w:spacing w:before="0" w:after="240"/>
        <w:rPr>
          <w:noProof/>
        </w:rPr>
        <w:sectPr>
          <w:footerReference w:type="default" r:id="rId16"/>
          <w:footerReference w:type="first" r:id="rId17"/>
          <w:pgSz w:w="11907" w:h="16839"/>
          <w:pgMar w:top="1134" w:right="1417" w:bottom="1134" w:left="1417" w:header="709" w:footer="709" w:gutter="0"/>
          <w:cols w:space="708"/>
          <w:docGrid w:linePitch="360"/>
        </w:sectPr>
      </w:pPr>
    </w:p>
    <w:p>
      <w:pPr>
        <w:pStyle w:val="Rfrenceinterinstitutionnelle"/>
        <w:rPr>
          <w:noProof/>
        </w:rPr>
      </w:pPr>
      <w:r>
        <w:rPr>
          <w:noProof/>
        </w:rPr>
        <w:t>2021/0132 (NLE)</w:t>
      </w:r>
    </w:p>
    <w:p>
      <w:pPr>
        <w:pStyle w:val="Statut"/>
        <w:rPr>
          <w:noProof/>
        </w:rPr>
      </w:pPr>
      <w:r>
        <w:rPr>
          <w:noProof/>
        </w:rPr>
        <w:t>Propunere de</w:t>
      </w:r>
    </w:p>
    <w:p>
      <w:pPr>
        <w:pStyle w:val="Typedudocument"/>
        <w:rPr>
          <w:noProof/>
        </w:rPr>
      </w:pPr>
      <w:r>
        <w:rPr>
          <w:noProof/>
        </w:rPr>
        <w:t>DECIZIE A CONSILIULUI</w:t>
      </w:r>
    </w:p>
    <w:p>
      <w:pPr>
        <w:pStyle w:val="Titreobjet"/>
        <w:rPr>
          <w:noProof/>
        </w:rPr>
      </w:pPr>
      <w:r>
        <w:rPr>
          <w:noProof/>
        </w:rPr>
        <w:t xml:space="preserve">privind contribuțiile financiare care trebuie plătite de părțile la Fondul european de dezvoltare pentru finanțarea acestui fond, inclusiv a doua tranșă pentru exercițiul 2021  </w:t>
      </w:r>
      <w:r>
        <w:rPr>
          <w:noProof/>
        </w:rPr>
        <w:br/>
      </w:r>
    </w:p>
    <w:p>
      <w:pPr>
        <w:pStyle w:val="Institutionquiagit"/>
        <w:rPr>
          <w:noProof/>
        </w:rPr>
      </w:pPr>
      <w:r>
        <w:rPr>
          <w:noProof/>
        </w:rPr>
        <w:t>CONSILIUL UNIUNII EUROPENE,</w:t>
      </w:r>
    </w:p>
    <w:p>
      <w:pPr>
        <w:rPr>
          <w:noProof/>
        </w:rPr>
      </w:pPr>
      <w:r>
        <w:rPr>
          <w:noProof/>
        </w:rPr>
        <w:t xml:space="preserve">având în vedere Tratatul privind funcționarea Uniunii Europene, </w:t>
      </w:r>
    </w:p>
    <w:p>
      <w:pPr>
        <w:rPr>
          <w:noProof/>
        </w:rPr>
      </w:pPr>
      <w:r>
        <w:rPr>
          <w:noProof/>
        </w:rPr>
        <w:t>având în vedere Acordul intern dintre reprezentanții guvernelor statelor membre ale Uniunii Europene, reuniți în cadrul Consiliului, privind finanțarea ajutoarelor Uniunii Europene în baza cadrului financiar multianual pentru perioada 2014-2020, în conformitate cu Acordul de parteneriat ACP-UE, și privind alocarea de asistență financiară pentru țările și teritoriile de peste mări cărora li se aplică partea a patra din Tratatul privind funcționarea Uniunii Europene</w:t>
      </w:r>
      <w:r>
        <w:rPr>
          <w:rStyle w:val="FootnoteReference"/>
          <w:noProof/>
        </w:rPr>
        <w:footnoteReference w:id="7"/>
      </w:r>
      <w:r>
        <w:rPr>
          <w:noProof/>
        </w:rPr>
        <w:t>, în special articolul 7 alineatul (2) coroborat cu articolul 14 alineatul (3),</w:t>
      </w:r>
    </w:p>
    <w:p>
      <w:pPr>
        <w:rPr>
          <w:noProof/>
        </w:rPr>
      </w:pPr>
      <w:r>
        <w:rPr>
          <w:noProof/>
        </w:rPr>
        <w:t>având în vedere Regulamentul (UE) 2018/1877 al Consiliului din 26 noiembrie 2018 privind regulamentul financiar aplicabil celui de al 11-lea Fond european de dezvoltare și de abrogare a Regulamentului (UE) 2015/323</w:t>
      </w:r>
      <w:r>
        <w:rPr>
          <w:rStyle w:val="FootnoteReference"/>
          <w:noProof/>
        </w:rPr>
        <w:footnoteReference w:id="8"/>
      </w:r>
      <w:r>
        <w:rPr>
          <w:noProof/>
        </w:rPr>
        <w:t xml:space="preserve"> (FED) (denumit în continuare „Regulamentul financiar aplicabil celui de al 11-lea FED”), în special articolul 19 alineatul (3),</w:t>
      </w:r>
    </w:p>
    <w:p>
      <w:pPr>
        <w:rPr>
          <w:noProof/>
        </w:rPr>
      </w:pPr>
      <w:r>
        <w:rPr>
          <w:noProof/>
        </w:rPr>
        <w:t>având în vedere propunerea Comisiei Europene,</w:t>
      </w:r>
    </w:p>
    <w:p>
      <w:pPr>
        <w:rPr>
          <w:noProof/>
        </w:rPr>
      </w:pPr>
      <w:r>
        <w:rPr>
          <w:noProof/>
        </w:rPr>
        <w:t>întrucât:</w:t>
      </w:r>
    </w:p>
    <w:p>
      <w:pPr>
        <w:pStyle w:val="ManualConsidrant"/>
        <w:rPr>
          <w:noProof/>
        </w:rPr>
      </w:pPr>
      <w:r>
        <w:t>(1)</w:t>
      </w:r>
      <w:r>
        <w:tab/>
      </w:r>
      <w:r>
        <w:rPr>
          <w:noProof/>
        </w:rPr>
        <w:t>În conformitate cu procedura prevăzută la articolele 19-22 din Regulamentul (UE) 2018/1877 al Consiliului</w:t>
      </w:r>
      <w:r>
        <w:rPr>
          <w:rStyle w:val="FootnoteReference"/>
          <w:noProof/>
        </w:rPr>
        <w:footnoteReference w:id="9"/>
      </w:r>
      <w:r>
        <w:rPr>
          <w:noProof/>
        </w:rPr>
        <w:t>, Comisia Europeană trebuie să prezinte, până la 15 iunie 2021, o propunere în care să precizeze valoarea celei de a doua tranșe a contribuției pentru exercițiul 2021 și valoarea anuală revizuită a contribuției pentru exercițiul 2021, în cazurile în care valoarea nu corespunde nevoilor reale.</w:t>
      </w:r>
    </w:p>
    <w:p>
      <w:pPr>
        <w:pStyle w:val="ManualConsidrant"/>
        <w:rPr>
          <w:noProof/>
        </w:rPr>
      </w:pPr>
      <w:r>
        <w:t>(2)</w:t>
      </w:r>
      <w:r>
        <w:tab/>
      </w:r>
      <w:r>
        <w:rPr>
          <w:noProof/>
        </w:rPr>
        <w:t>În conformitate cu articolul 46 din Regulamentul (UE) 2018/1877, la 6 aprilie 2021, Banca Europeană de Investiții („BEI”) a transmis Comisiei estimările sale actualizate ale angajamentelor și plăților din cadrul instrumentelor pe care le gestionează.</w:t>
      </w:r>
    </w:p>
    <w:p>
      <w:pPr>
        <w:pStyle w:val="ManualConsidrant"/>
        <w:rPr>
          <w:noProof/>
        </w:rPr>
      </w:pPr>
      <w:r>
        <w:t>(3)</w:t>
      </w:r>
      <w:r>
        <w:tab/>
      </w:r>
      <w:r>
        <w:rPr>
          <w:noProof/>
        </w:rPr>
        <w:t>În temeiul articolului 20 alineatul (1) din Regulamentul (UE) 2018/1877, cererile de contribuții trebuie să utilizeze mai întâi sumele stabilite în Fondurile europene de dezvoltare („FED</w:t>
      </w:r>
      <w:r>
        <w:rPr>
          <w:rFonts w:ascii="Cambria Math" w:hAnsi="Cambria Math" w:cs="Cambria Math"/>
          <w:noProof/>
        </w:rPr>
        <w:t>‐</w:t>
      </w:r>
      <w:r>
        <w:rPr>
          <w:noProof/>
        </w:rPr>
        <w:t>urile”) anterioare. Prin urmare, ar trebui să se lanseze o cerere de fonduri în temeiul Regulamentului (UE) 2018/1877 pentru BEI și Comisie.</w:t>
      </w:r>
    </w:p>
    <w:p>
      <w:pPr>
        <w:pStyle w:val="ManualConsidrant"/>
        <w:rPr>
          <w:noProof/>
        </w:rPr>
      </w:pPr>
      <w:r>
        <w:t>(4)</w:t>
      </w:r>
      <w:r>
        <w:tab/>
      </w:r>
      <w:r>
        <w:rPr>
          <w:noProof/>
        </w:rPr>
        <w:t>În temeiul articolului 152 din Acordul privind retragerea Regatului Unit al Marii Britanii și Irlandei de Nord din Uniunea Europeană și din Comunitatea Europeană a Energiei Atomice („Acordul de retragere”), Regatul Unit al Marii Britanii și Irlandei de Nord („Regatul Unit”) rămâne parte la FED până la închiderea celui de al 11-lea FED și a tuturor FED-urilor anterioare neînchise. Cu toate acestea, în temeiul articolului 153 din Acordul de retragere, cota care îi revine Regatului Unit din fondurile dezangajate din proiectele din cadrul celui de al 11-lea FED, dacă fondurile respective au fost dezangajate după data de 31 decembrie 2020, sau din cadrul FED­urilor anterioare nu se reutilizează.</w:t>
      </w:r>
    </w:p>
    <w:p>
      <w:pPr>
        <w:pStyle w:val="ManualConsidrant"/>
        <w:rPr>
          <w:noProof/>
        </w:rPr>
      </w:pPr>
      <w:r>
        <w:t>(5)</w:t>
      </w:r>
      <w:r>
        <w:tab/>
      </w:r>
      <w:r>
        <w:rPr>
          <w:noProof/>
        </w:rPr>
        <w:t>Decizia (UE) 2020/1708 a Consiliului</w:t>
      </w:r>
      <w:r>
        <w:rPr>
          <w:rStyle w:val="FootnoteReference"/>
          <w:noProof/>
        </w:rPr>
        <w:footnoteReference w:id="10"/>
      </w:r>
      <w:r>
        <w:rPr>
          <w:noProof/>
        </w:rPr>
        <w:t xml:space="preserve"> stabilește cuantumul anual al contribuțiilor la FED ale statelor membre pentru exercițiul 2021 la 3 700 000 000 EUR pentru Comisia Europeană și la 300 000 000 EUR pentru Banca Europeană de Investiții.</w:t>
      </w:r>
    </w:p>
    <w:p>
      <w:pPr>
        <w:pStyle w:val="ManualConsidrant"/>
        <w:rPr>
          <w:noProof/>
        </w:rPr>
      </w:pPr>
      <w:r>
        <w:t>(6)</w:t>
      </w:r>
      <w:r>
        <w:tab/>
      </w:r>
      <w:r>
        <w:rPr>
          <w:noProof/>
        </w:rPr>
        <w:t xml:space="preserve">Pentru a permite aplicarea promptă a măsurilor prevăzute de prezenta decizie, aceasta ar trebui să intre în vigoare la data publicării în </w:t>
      </w:r>
      <w:r>
        <w:rPr>
          <w:i/>
          <w:iCs/>
          <w:noProof/>
        </w:rPr>
        <w:t>Jurnalul Oficial al Uniunii Europene</w:t>
      </w:r>
      <w:r>
        <w:rPr>
          <w:noProof/>
        </w:rPr>
        <w:t>,</w:t>
      </w:r>
    </w:p>
    <w:p>
      <w:pPr>
        <w:pStyle w:val="Formuledadoption"/>
        <w:rPr>
          <w:noProof/>
        </w:rPr>
      </w:pPr>
      <w:r>
        <w:rPr>
          <w:noProof/>
        </w:rPr>
        <w:t xml:space="preserve">ADOPTĂ PREZENTA DECIZIE: </w:t>
      </w:r>
    </w:p>
    <w:p>
      <w:pPr>
        <w:pStyle w:val="Titrearticle"/>
        <w:rPr>
          <w:noProof/>
        </w:rPr>
      </w:pPr>
      <w:r>
        <w:rPr>
          <w:noProof/>
        </w:rPr>
        <w:t>Articolul 1</w:t>
      </w:r>
    </w:p>
    <w:p>
      <w:pPr>
        <w:rPr>
          <w:noProof/>
        </w:rPr>
      </w:pPr>
      <w:r>
        <w:rPr>
          <w:noProof/>
        </w:rPr>
        <w:t>Contribuțiile individuale la Fondul european de dezvoltare trebuie plătite de părțile la Fondul european de dezvoltare Comisiei Europene și Băncii Europene de Investiții ca a doua tranșă pentru exercițiul 2021 în conformitate cu anexa la prezenta decizie.</w:t>
      </w:r>
    </w:p>
    <w:p>
      <w:pPr>
        <w:pStyle w:val="Titrearticle"/>
        <w:rPr>
          <w:noProof/>
        </w:rPr>
      </w:pPr>
      <w:r>
        <w:rPr>
          <w:noProof/>
        </w:rPr>
        <w:t>Articolul 2</w:t>
      </w:r>
    </w:p>
    <w:p>
      <w:pPr>
        <w:keepLines/>
        <w:rPr>
          <w:noProof/>
        </w:rPr>
      </w:pPr>
      <w:r>
        <w:rPr>
          <w:noProof/>
        </w:rPr>
        <w:t xml:space="preserve">Prezenta decizie intră în vigoare la data publicării în </w:t>
      </w:r>
      <w:r>
        <w:rPr>
          <w:i/>
          <w:iCs/>
          <w:noProof/>
        </w:rPr>
        <w:t>Jurnalul Oficial al Uniunii Europene</w:t>
      </w:r>
      <w:r>
        <w:rPr>
          <w:noProof/>
        </w:rPr>
        <w:t>.</w:t>
      </w:r>
    </w:p>
    <w:p>
      <w:pPr>
        <w:pStyle w:val="Fait"/>
        <w:rPr>
          <w:noProof/>
        </w:rPr>
      </w:pPr>
      <w:r>
        <w:t>Adoptată la Bruxelles,</w:t>
      </w:r>
    </w:p>
    <w:p>
      <w:pPr>
        <w:pStyle w:val="Institutionquisigne"/>
        <w:rPr>
          <w:noProof/>
        </w:rPr>
      </w:pPr>
      <w:r>
        <w:rPr>
          <w:noProof/>
        </w:rPr>
        <w:tab/>
        <w:t>Pentru Consiliu,</w:t>
      </w:r>
    </w:p>
    <w:p>
      <w:pPr>
        <w:pStyle w:val="Personnequisigne"/>
        <w:rPr>
          <w:noProof/>
        </w:rPr>
      </w:pPr>
      <w:r>
        <w:rPr>
          <w:noProof/>
        </w:rPr>
        <w:tab/>
        <w:t>Președintele</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rPr>
        <w:rFonts w:ascii="Arial" w:hAnsi="Arial" w:cs="Arial"/>
        <w:b/>
        <w:sz w:val="48"/>
      </w:rPr>
      <w:tab/>
    </w:r>
    <w:r>
      <w:tab/>
    </w:r>
    <w:r>
      <w:rPr>
        <w:rFonts w:ascii="Arial" w:hAnsi="Arial" w:cs="Arial"/>
        <w:b/>
        <w:sz w:val="48"/>
      </w:rPr>
      <w:t>RO</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RO</w:t>
    </w:r>
    <w:r>
      <w:rPr>
        <w:rFonts w:ascii="Arial" w:hAnsi="Arial" w:cs="Arial"/>
        <w:b/>
        <w:sz w:val="48"/>
      </w:rPr>
      <w:tab/>
    </w:r>
    <w:r>
      <w:fldChar w:fldCharType="begin"/>
    </w:r>
    <w:r>
      <w:instrText xml:space="preserve"> PAGE  \* MERGEFORMAT </w:instrText>
    </w:r>
    <w:r>
      <w:fldChar w:fldCharType="separate"/>
    </w:r>
    <w:r>
      <w:rPr>
        <w:noProof/>
      </w:rPr>
      <w:t>4</w:t>
    </w:r>
    <w:r>
      <w:fldChar w:fldCharType="end"/>
    </w:r>
    <w:r>
      <w:tab/>
    </w:r>
    <w:r>
      <w:tab/>
    </w:r>
    <w:r>
      <w:rPr>
        <w:rFonts w:ascii="Arial" w:hAnsi="Arial" w:cs="Arial"/>
        <w:b/>
        <w:sz w:val="48"/>
      </w:rPr>
      <w:t>RO</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t>JO L 317, 15.12.2000, p. 3.</w:t>
      </w:r>
    </w:p>
  </w:footnote>
  <w:footnote w:id="2">
    <w:p>
      <w:pPr>
        <w:pStyle w:val="FootnoteText"/>
      </w:pPr>
      <w:r>
        <w:rPr>
          <w:rStyle w:val="FootnoteReference"/>
        </w:rPr>
        <w:footnoteRef/>
      </w:r>
      <w:r>
        <w:tab/>
        <w:t>JO L 420, 14.12.2020, p. 32.</w:t>
      </w:r>
    </w:p>
  </w:footnote>
  <w:footnote w:id="3">
    <w:p>
      <w:pPr>
        <w:pStyle w:val="FootnoteText"/>
      </w:pPr>
      <w:r>
        <w:rPr>
          <w:rStyle w:val="FootnoteReference"/>
        </w:rPr>
        <w:footnoteRef/>
      </w:r>
      <w:r>
        <w:tab/>
        <w:t>JO L 1, 3.1.2020, p. 3.</w:t>
      </w:r>
    </w:p>
  </w:footnote>
  <w:footnote w:id="4">
    <w:p>
      <w:pPr>
        <w:pStyle w:val="FootnoteText"/>
      </w:pPr>
      <w:r>
        <w:rPr>
          <w:rStyle w:val="FootnoteReference"/>
        </w:rPr>
        <w:footnoteRef/>
      </w:r>
      <w:r>
        <w:tab/>
        <w:t>JO L 438, 28.12.2020, p. 188-191.</w:t>
      </w:r>
    </w:p>
  </w:footnote>
  <w:footnote w:id="5">
    <w:p>
      <w:pPr>
        <w:pStyle w:val="FootnoteText"/>
      </w:pPr>
      <w:r>
        <w:rPr>
          <w:rStyle w:val="FootnoteReference"/>
        </w:rPr>
        <w:footnoteRef/>
      </w:r>
      <w:r>
        <w:tab/>
        <w:t>JO L 210, 6.8.2013, p. 1.</w:t>
      </w:r>
    </w:p>
  </w:footnote>
  <w:footnote w:id="6">
    <w:p>
      <w:pPr>
        <w:pStyle w:val="FootnoteText"/>
      </w:pPr>
      <w:r>
        <w:rPr>
          <w:rStyle w:val="FootnoteReference"/>
        </w:rPr>
        <w:footnoteRef/>
      </w:r>
      <w:r>
        <w:tab/>
        <w:t>JO L 307, 3.12.2018, p. 1-21.</w:t>
      </w:r>
    </w:p>
  </w:footnote>
  <w:footnote w:id="7">
    <w:p>
      <w:pPr>
        <w:pStyle w:val="FootnoteText"/>
      </w:pPr>
      <w:r>
        <w:rPr>
          <w:rStyle w:val="FootnoteReference"/>
        </w:rPr>
        <w:footnoteRef/>
      </w:r>
      <w:r>
        <w:tab/>
        <w:t>JO L 210, 6.8.2013, p. 1.</w:t>
      </w:r>
    </w:p>
  </w:footnote>
  <w:footnote w:id="8">
    <w:p>
      <w:pPr>
        <w:pStyle w:val="FootnoteText"/>
      </w:pPr>
      <w:r>
        <w:rPr>
          <w:rStyle w:val="FootnoteReference"/>
        </w:rPr>
        <w:footnoteRef/>
      </w:r>
      <w:r>
        <w:tab/>
        <w:t>JO L 58, 3.3.2015, p. 17-38.</w:t>
      </w:r>
    </w:p>
  </w:footnote>
  <w:footnote w:id="9">
    <w:p>
      <w:pPr>
        <w:pStyle w:val="FootnoteText"/>
      </w:pPr>
      <w:r>
        <w:rPr>
          <w:rStyle w:val="FootnoteReference"/>
        </w:rPr>
        <w:footnoteRef/>
      </w:r>
      <w:r>
        <w:tab/>
        <w:t>Regulamentul (UE) 2018/1877 al Consiliului din 26 noiembrie 2018 privind regulamentul financiar aplicabil celui de al 11-lea Fond european de dezvoltare și de abrogare a Regulamentului (UE) 2015/323 (JO L 307, 3.12.2018, p. 7).</w:t>
      </w:r>
    </w:p>
  </w:footnote>
  <w:footnote w:id="10">
    <w:p>
      <w:pPr>
        <w:pStyle w:val="FootnoteText"/>
      </w:pPr>
      <w:r>
        <w:rPr>
          <w:rStyle w:val="FootnoteReference"/>
        </w:rPr>
        <w:footnoteRef/>
      </w:r>
      <w:r>
        <w:tab/>
        <w:t>Decizia (UE) 2020/1708 a Consiliului din 13 noiembrie 2020 privind contribuțiile financiare care trebuie plătite de statele membre pentru finanțarea Fondului european de dezvoltare, inclusiv plafonul pentru exercițiul 2022, suma anuală pentru exercițiul 2021, prima tranșă pentru exercițiul 2021 și previziunile cu caracter indicativ și neobligatoriu privind sumele anuale preconizate aferente contribuțiilor pentru exercițiile 2023 și 2024 (JO L 385, 13.11.2020, p. 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E1A24A8"/>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F9AAA6E2"/>
    <w:lvl w:ilvl="0">
      <w:start w:val="1"/>
      <w:numFmt w:val="decimal"/>
      <w:pStyle w:val="ListNumber3"/>
      <w:lvlText w:val="%1."/>
      <w:lvlJc w:val="left"/>
      <w:pPr>
        <w:tabs>
          <w:tab w:val="num" w:pos="926"/>
        </w:tabs>
        <w:ind w:left="926" w:hanging="360"/>
      </w:pPr>
    </w:lvl>
  </w:abstractNum>
  <w:abstractNum w:abstractNumId="2">
    <w:nsid w:val="FFFFFF7F"/>
    <w:multiLevelType w:val="singleLevel"/>
    <w:tmpl w:val="49128976"/>
    <w:lvl w:ilvl="0">
      <w:start w:val="1"/>
      <w:numFmt w:val="decimal"/>
      <w:pStyle w:val="ListNumber2"/>
      <w:lvlText w:val="%1."/>
      <w:lvlJc w:val="left"/>
      <w:pPr>
        <w:tabs>
          <w:tab w:val="num" w:pos="643"/>
        </w:tabs>
        <w:ind w:left="643" w:hanging="360"/>
      </w:pPr>
    </w:lvl>
  </w:abstractNum>
  <w:abstractNum w:abstractNumId="3">
    <w:nsid w:val="FFFFFF81"/>
    <w:multiLevelType w:val="singleLevel"/>
    <w:tmpl w:val="6CDE20B4"/>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084223D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18304BB8"/>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72047322"/>
    <w:lvl w:ilvl="0">
      <w:start w:val="1"/>
      <w:numFmt w:val="decimal"/>
      <w:pStyle w:val="ListNumber"/>
      <w:lvlText w:val="%1."/>
      <w:lvlJc w:val="left"/>
      <w:pPr>
        <w:tabs>
          <w:tab w:val="num" w:pos="360"/>
        </w:tabs>
        <w:ind w:left="360" w:hanging="360"/>
      </w:pPr>
    </w:lvl>
  </w:abstractNum>
  <w:abstractNum w:abstractNumId="7">
    <w:nsid w:val="FFFFFF89"/>
    <w:multiLevelType w:val="singleLevel"/>
    <w:tmpl w:val="F7D2B7D8"/>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2"/>
    <w:lvlOverride w:ilvl="0">
      <w:startOverride w:val="1"/>
    </w:lvlOverride>
  </w:num>
  <w:num w:numId="6">
    <w:abstractNumId w:val="6"/>
  </w:num>
  <w:num w:numId="7">
    <w:abstractNumId w:val="2"/>
  </w:num>
  <w:num w:numId="8">
    <w:abstractNumId w:val="1"/>
  </w:num>
  <w:num w:numId="9">
    <w:abstractNumId w:val="0"/>
  </w:num>
  <w:num w:numId="10">
    <w:abstractNumId w:val="19"/>
  </w:num>
  <w:num w:numId="11">
    <w:abstractNumId w:val="12"/>
  </w:num>
  <w:num w:numId="12">
    <w:abstractNumId w:val="21"/>
  </w:num>
  <w:num w:numId="13">
    <w:abstractNumId w:val="11"/>
  </w:num>
  <w:num w:numId="14">
    <w:abstractNumId w:val="13"/>
  </w:num>
  <w:num w:numId="15">
    <w:abstractNumId w:val="9"/>
  </w:num>
  <w:num w:numId="16">
    <w:abstractNumId w:val="20"/>
  </w:num>
  <w:num w:numId="17">
    <w:abstractNumId w:val="8"/>
  </w:num>
  <w:num w:numId="18">
    <w:abstractNumId w:val="15"/>
  </w:num>
  <w:num w:numId="19">
    <w:abstractNumId w:val="17"/>
  </w:num>
  <w:num w:numId="20">
    <w:abstractNumId w:val="18"/>
  </w:num>
  <w:num w:numId="21">
    <w:abstractNumId w:val="10"/>
  </w:num>
  <w:num w:numId="22">
    <w:abstractNumId w:val="16"/>
  </w:num>
  <w:num w:numId="23">
    <w:abstractNumId w:val="22"/>
  </w:num>
  <w:num w:numId="24">
    <w:abstractNumId w:val="19"/>
  </w:num>
  <w:num w:numId="25">
    <w:abstractNumId w:val="12"/>
  </w:num>
  <w:num w:numId="26">
    <w:abstractNumId w:val="21"/>
  </w:num>
  <w:num w:numId="27">
    <w:abstractNumId w:val="11"/>
  </w:num>
  <w:num w:numId="28">
    <w:abstractNumId w:val="13"/>
  </w:num>
  <w:num w:numId="29">
    <w:abstractNumId w:val="14"/>
  </w:num>
  <w:num w:numId="30">
    <w:abstractNumId w:val="9"/>
  </w:num>
  <w:num w:numId="31">
    <w:abstractNumId w:val="20"/>
  </w:num>
  <w:num w:numId="32">
    <w:abstractNumId w:val="8"/>
  </w:num>
  <w:num w:numId="33">
    <w:abstractNumId w:val="15"/>
  </w:num>
  <w:num w:numId="34">
    <w:abstractNumId w:val="17"/>
  </w:num>
  <w:num w:numId="35">
    <w:abstractNumId w:val="18"/>
  </w:num>
  <w:num w:numId="36">
    <w:abstractNumId w:val="10"/>
  </w:num>
  <w:num w:numId="37">
    <w:abstractNumId w:val="16"/>
  </w:num>
  <w:num w:numId="38">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ttachedTemplate r:id="rId1"/>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5-26 08:51:22"/>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1"/>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A99A9A36-CF8F-44CF-A444-679771EA3DBC"/>
    <w:docVar w:name="LW_COVERPAGE_TYPE" w:val="1"/>
    <w:docVar w:name="LW_CROSSREFERENCE" w:val="&lt;UNUSED&gt;"/>
    <w:docVar w:name="LW_DocType" w:val="COM"/>
    <w:docVar w:name="LW_EMISSION" w:val="2.6.2021"/>
    <w:docVar w:name="LW_EMISSION_ISODATE" w:val="2021-06-02"/>
    <w:docVar w:name="LW_EMISSION_LOCATION" w:val="BRX"/>
    <w:docVar w:name="LW_EMISSION_PREFIX" w:val="Bruxelles, "/>
    <w:docVar w:name="LW_EMISSION_SUFFIX" w:val=" "/>
    <w:docVar w:name="LW_ID_DOCMODEL" w:val="SJ-019"/>
    <w:docVar w:name="LW_ID_DOCSIGNATURE" w:val="SJ-019"/>
    <w:docVar w:name="LW_ID_DOCSTRUCTURE" w:val="COM/PL/ORG"/>
    <w:docVar w:name="LW_ID_DOCTYPE" w:val="SJ-019"/>
    <w:docVar w:name="LW_ID_EXP.MOTIFS.NEW" w:val="EM_PL_"/>
    <w:docVar w:name="LW_ID_STATUT" w:val="SJ-019"/>
    <w:docVar w:name="LW_INTERETEEE.CP" w:val="&lt;UNUSED&gt;"/>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NLE"/>
    <w:docVar w:name="LW_REF.II.NEW.CP_NUMBER" w:val="0132"/>
    <w:docVar w:name="LW_REF.II.NEW.CP_YEAR" w:val="2021"/>
    <w:docVar w:name="LW_REF.INST.NEW" w:val="COM"/>
    <w:docVar w:name="LW_REF.INST.NEW_ADOPTED" w:val="final"/>
    <w:docVar w:name="LW_REF.INST.NEW_TEXT" w:val="(2021) 27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nere de"/>
    <w:docVar w:name="LW_SUPERTITRE" w:val="&lt;UNUSED&gt;"/>
    <w:docVar w:name="LW_TITRE.OBJ.CP" w:val="privind contribu\u539?iile financiare care trebuie pl\u259?tite de p\u259?r\u539?ile la Fondul european de dezvoltare pentru finan\u539?area acestui fond, inclusiv a doua tran\u537?\u259? pentru exerci\u539?iul 2021  _x000b_"/>
    <w:docVar w:name="LW_TYPE.DOC.CP" w:val="DECIZIE A CONSILIULUI"/>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ro-RO"/>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ro-RO"/>
    </w:rPr>
  </w:style>
  <w:style w:type="character" w:styleId="EndnoteReference">
    <w:name w:val="endnote reference"/>
    <w:basedOn w:val="DefaultParagraphFont"/>
    <w:uiPriority w:val="99"/>
    <w:semiHidden/>
    <w:unhideWhenUsed/>
    <w:rPr>
      <w:vertAlign w:val="superscript"/>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ro-RO"/>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ro-RO"/>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ro-RO"/>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ro-RO"/>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ro-RO"/>
    </w:rPr>
  </w:style>
  <w:style w:type="character" w:styleId="EndnoteReference">
    <w:name w:val="endnote reference"/>
    <w:basedOn w:val="DefaultParagraphFont"/>
    <w:uiPriority w:val="99"/>
    <w:semiHidden/>
    <w:unhideWhenUsed/>
    <w:rPr>
      <w:vertAlign w:val="superscript"/>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ro-RO"/>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ro-RO"/>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ro-RO"/>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ro-RO"/>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C1968D0F-80D6-49D8-9777-8EFC9D1B1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2</TotalTime>
  <Pages>5</Pages>
  <Words>1038</Words>
  <Characters>6074</Characters>
  <Application>Microsoft Office Word</Application>
  <DocSecurity>0</DocSecurity>
  <Lines>104</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36</cp:revision>
  <dcterms:created xsi:type="dcterms:W3CDTF">2021-05-21T08:10:00Z</dcterms:created>
  <dcterms:modified xsi:type="dcterms:W3CDTF">2021-05-26T06:51:00Z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7.0.8.0</vt:lpwstr>
  </property>
  <property fmtid="{D5CDD505-2E9C-101B-9397-08002B2CF9AE}" pid="4" name="Last edited using">
    <vt:lpwstr>LW 7.0.1, Build 20190916</vt:lpwstr>
  </property>
  <property fmtid="{D5CDD505-2E9C-101B-9397-08002B2CF9AE}" pid="5" name="Created using">
    <vt:lpwstr>LW 7.0, Build 20190717</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SJ-019</vt:lpwstr>
  </property>
  <property fmtid="{D5CDD505-2E9C-101B-9397-08002B2CF9AE}" pid="10" name="DQCStatus">
    <vt:lpwstr>Green (DQC version 03)</vt:lpwstr>
  </property>
  <property name="OP_sanitized" fmtid="{D5CDD505-2E9C-101B-9397-08002B2CF9AE}" pid="11">
    <vt:lpwstr>True</vt:lpwstr>
  </property>
</Properties>
</file>