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bookmarkStart w:id="0" w:name="LW_BM_COVERPAGE"/>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5" type="#_x0000_t75" alt="1FE70CC6-8D3A-4E79-A899-0B0DF380B909" style="width:450.8pt;height:348.1pt">
            <v:imagedata r:id="rId9" o:title=""/>
          </v:shape>
        </w:pict>
      </w:r>
    </w:p>
    <w:bookmarkEnd w:id="0"/>
    <w:p>
      <w:pPr>
        <w:rPr>
          <w:noProof/>
        </w:rPr>
        <w:sectPr>
          <w:headerReference w:type="even" r:id="rId10"/>
          <w:headerReference w:type="default" r:id="rId11"/>
          <w:footerReference w:type="even" r:id="rId12"/>
          <w:footerReference w:type="default" r:id="rId13"/>
          <w:headerReference w:type="first" r:id="rId14"/>
          <w:footerReference w:type="first" r:id="rId15"/>
          <w:pgSz w:w="11906" w:h="16838"/>
          <w:pgMar w:top="1134" w:right="1417" w:bottom="1134" w:left="1417" w:header="709" w:footer="709" w:gutter="0"/>
          <w:pgNumType w:start="0"/>
          <w:cols w:space="720"/>
          <w:docGrid w:linePitch="360"/>
        </w:sectPr>
      </w:pPr>
    </w:p>
    <w:p>
      <w:pPr>
        <w:pStyle w:val="Typedudocument"/>
        <w:rPr>
          <w:noProof/>
        </w:rPr>
      </w:pPr>
      <w:bookmarkStart w:id="1" w:name="_GoBack"/>
      <w:bookmarkEnd w:id="1"/>
      <w:r>
        <w:rPr>
          <w:noProof/>
        </w:rPr>
        <w:lastRenderedPageBreak/>
        <w:t>MEDDELANDE FRÅN KOMMISSIONEN TILL EUROPAPARLAMENTET, EUROPEISKA RÅDET, RÅDET, EUROPEISKA CENTRALBANKEN, EUROPEISKA EKONOMISKA OCH SOCIALA KOMMITTÉN, REGIONKOMMITTÉN OCH EUROPEISKA INVESTERINGSBANKEN</w:t>
      </w:r>
    </w:p>
    <w:p>
      <w:pPr>
        <w:pStyle w:val="Titreobjet"/>
        <w:rPr>
          <w:noProof/>
        </w:rPr>
      </w:pPr>
      <w:r>
        <w:rPr>
          <w:noProof/>
        </w:rPr>
        <w:t>Lägesrapport om förberedelserna för beredskapsåtgärder inför Förenade kungarikets utträde ur Europeiska unionen</w:t>
      </w:r>
    </w:p>
    <w:p>
      <w:pPr>
        <w:pStyle w:val="Heading1"/>
        <w:numPr>
          <w:ilvl w:val="0"/>
          <w:numId w:val="5"/>
        </w:numPr>
        <w:spacing w:before="360" w:after="240"/>
        <w:ind w:left="425" w:hanging="357"/>
        <w:rPr>
          <w:rFonts w:cs="Times New Roman"/>
          <w:noProof/>
          <w:szCs w:val="24"/>
        </w:rPr>
      </w:pPr>
      <w:r>
        <w:rPr>
          <w:b/>
          <w:smallCaps/>
          <w:noProof/>
          <w:color w:val="000000"/>
          <w:u w:color="000000"/>
          <w:bdr w:val="nil"/>
        </w:rPr>
        <w:t>Inledning</w:t>
      </w:r>
    </w:p>
    <w:p>
      <w:pPr>
        <w:spacing w:after="240" w:line="240" w:lineRule="auto"/>
        <w:jc w:val="both"/>
        <w:rPr>
          <w:rFonts w:ascii="Times New Roman" w:eastAsia="Arial Unicode MS" w:hAnsi="Times New Roman" w:cs="Arial Unicode MS"/>
          <w:noProof/>
          <w:color w:val="000000"/>
          <w:sz w:val="24"/>
          <w:szCs w:val="24"/>
          <w:u w:color="000000"/>
          <w:bdr w:val="nil"/>
        </w:rPr>
      </w:pPr>
      <w:r>
        <w:rPr>
          <w:rFonts w:ascii="Times New Roman" w:hAnsi="Times New Roman"/>
          <w:noProof/>
          <w:color w:val="000000"/>
          <w:sz w:val="24"/>
          <w:u w:color="000000"/>
          <w:bdr w:val="nil"/>
        </w:rPr>
        <w:t>Förenade kungariket har beslutat att lämna Europeiska unionen och har åberopat förfarandet i artikel 50 i fördraget om Europeiska unionen (EU-fördraget). På begäran av Förenade kungariket enades Europeiska rådet (artikel 50) den 11 april 2019</w:t>
      </w:r>
      <w:r>
        <w:rPr>
          <w:rStyle w:val="FootnoteReference"/>
          <w:rFonts w:ascii="Times New Roman" w:hAnsi="Times New Roman"/>
          <w:noProof/>
          <w:sz w:val="24"/>
        </w:rPr>
        <w:footnoteReference w:id="2"/>
      </w:r>
      <w:r>
        <w:rPr>
          <w:rFonts w:ascii="Times New Roman" w:hAnsi="Times New Roman"/>
          <w:noProof/>
          <w:color w:val="000000"/>
          <w:sz w:val="24"/>
          <w:u w:color="000000"/>
          <w:bdr w:val="nil"/>
        </w:rPr>
        <w:t xml:space="preserve"> om att ytterligare förlänga</w:t>
      </w:r>
      <w:r>
        <w:rPr>
          <w:rStyle w:val="FootnoteReference"/>
          <w:rFonts w:ascii="Times New Roman" w:hAnsi="Times New Roman"/>
          <w:noProof/>
          <w:color w:val="000000"/>
          <w:sz w:val="24"/>
          <w:u w:color="000000"/>
          <w:bdr w:val="nil"/>
        </w:rPr>
        <w:footnoteReference w:id="3"/>
      </w:r>
      <w:r>
        <w:rPr>
          <w:rFonts w:ascii="Times New Roman" w:hAnsi="Times New Roman"/>
          <w:noProof/>
          <w:color w:val="000000"/>
          <w:sz w:val="24"/>
          <w:u w:color="000000"/>
          <w:bdr w:val="nil"/>
        </w:rPr>
        <w:t xml:space="preserve"> den tidsfrist som föreskrivs i artikel 50.3 i EU-fördraget till och med den 31 oktober 2019</w:t>
      </w:r>
      <w:r>
        <w:rPr>
          <w:rStyle w:val="FootnoteReference"/>
          <w:rFonts w:ascii="Times New Roman" w:hAnsi="Times New Roman"/>
          <w:noProof/>
          <w:color w:val="000000"/>
          <w:sz w:val="24"/>
          <w:u w:color="000000"/>
          <w:bdr w:val="nil"/>
        </w:rPr>
        <w:footnoteReference w:id="4"/>
      </w:r>
      <w:r>
        <w:rPr>
          <w:rFonts w:ascii="Times New Roman" w:hAnsi="Times New Roman"/>
          <w:noProof/>
          <w:color w:val="000000"/>
          <w:sz w:val="24"/>
          <w:u w:color="000000"/>
          <w:bdr w:val="nil"/>
        </w:rPr>
        <w:t>. Om Förenade kungariket ratificerar utträdesavtalet</w:t>
      </w:r>
      <w:r>
        <w:rPr>
          <w:rStyle w:val="FootnoteReference"/>
          <w:rFonts w:ascii="Times New Roman" w:hAnsi="Times New Roman"/>
          <w:noProof/>
          <w:color w:val="000000"/>
          <w:sz w:val="24"/>
          <w:u w:color="000000"/>
          <w:bdr w:val="nil"/>
        </w:rPr>
        <w:footnoteReference w:id="5"/>
      </w:r>
      <w:r>
        <w:rPr>
          <w:rFonts w:ascii="Times New Roman" w:hAnsi="Times New Roman"/>
          <w:noProof/>
          <w:color w:val="000000"/>
          <w:sz w:val="24"/>
          <w:u w:color="000000"/>
          <w:bdr w:val="nil"/>
        </w:rPr>
        <w:t xml:space="preserve"> i något skede före den 31 oktober 2019 kommer utträdet att ske den första dagen i månaden efter det att ratificeringsförfarandet har slutförts. Kommissionen anser fortfarande att det bästa alternativet vore om Förenade kungariket lämnar unionen under ordnade former på grundval av utträdesavtalet.</w:t>
      </w:r>
    </w:p>
    <w:p>
      <w:pPr>
        <w:spacing w:after="240" w:line="240" w:lineRule="auto"/>
        <w:jc w:val="both"/>
        <w:rPr>
          <w:rFonts w:ascii="Times New Roman" w:eastAsia="Arial Unicode MS" w:hAnsi="Times New Roman" w:cs="Arial Unicode MS"/>
          <w:noProof/>
          <w:color w:val="000000"/>
          <w:sz w:val="24"/>
          <w:szCs w:val="24"/>
          <w:u w:color="000000"/>
          <w:bdr w:val="nil"/>
        </w:rPr>
      </w:pPr>
      <w:r>
        <w:rPr>
          <w:rFonts w:ascii="Times New Roman" w:hAnsi="Times New Roman"/>
          <w:noProof/>
          <w:color w:val="000000"/>
          <w:sz w:val="24"/>
          <w:u w:color="000000"/>
          <w:bdr w:val="nil"/>
        </w:rPr>
        <w:t xml:space="preserve">Om inte Förenade kungariket ratificerar utträdesavtalet senast den 31 oktober 2019, eller begär en tredje förlängning som Europeiska rådet (artikel 50) enhälligt accepterar, löper tidsfristen enligt artikel 50.3 i EU-fördraget ut den dagen. Förenade kungariket blir då ett tredjeland från och med den 1 november 2019 utan något avtal som säkerställer ett ordnat utträde. Mot bakgrund av den fortsatta osäkerheten när det gäller Förenade kungarikets ratificering och den allmänna inrikespolitiska situationen i Förenade kungariket, och i linje med den strategi som Europeiska rådet (artikel 50) har framhållit under hela processen, måste alla aktörer fortsätta att förbereda sig för alla möjliga utfall, inklusive ett utträde utan avtal. </w:t>
      </w:r>
    </w:p>
    <w:p>
      <w:pPr>
        <w:spacing w:after="240" w:line="240" w:lineRule="auto"/>
        <w:jc w:val="both"/>
        <w:rPr>
          <w:rFonts w:ascii="Times New Roman" w:eastAsia="Arial Unicode MS" w:hAnsi="Times New Roman" w:cs="Arial Unicode MS"/>
          <w:noProof/>
          <w:color w:val="000000"/>
          <w:sz w:val="24"/>
          <w:szCs w:val="24"/>
          <w:u w:color="000000"/>
          <w:bdr w:val="nil"/>
        </w:rPr>
      </w:pPr>
      <w:r>
        <w:rPr>
          <w:rFonts w:ascii="Times New Roman" w:hAnsi="Times New Roman"/>
          <w:noProof/>
          <w:color w:val="000000"/>
          <w:sz w:val="24"/>
          <w:u w:color="000000"/>
          <w:bdr w:val="nil"/>
        </w:rPr>
        <w:t>Europeiska rådet (artikel 50) har beslutat att se över situationen vid sitt möte den 20–21 juni 2019. Som underlag för denna översyn och som en uppföljning av de fyra tidigare meddelandena om brexitförberedelser och beredskapsåtgärder</w:t>
      </w:r>
      <w:r>
        <w:rPr>
          <w:rStyle w:val="FootnoteReference"/>
          <w:rFonts w:ascii="Times New Roman" w:hAnsi="Times New Roman"/>
          <w:noProof/>
          <w:color w:val="000000"/>
          <w:sz w:val="24"/>
          <w:u w:color="000000"/>
          <w:bdr w:val="nil"/>
        </w:rPr>
        <w:footnoteReference w:id="6"/>
      </w:r>
      <w:r>
        <w:rPr>
          <w:rFonts w:ascii="Times New Roman" w:hAnsi="Times New Roman"/>
          <w:noProof/>
          <w:color w:val="000000"/>
          <w:sz w:val="24"/>
          <w:u w:color="000000"/>
          <w:bdr w:val="nil"/>
        </w:rPr>
        <w:t xml:space="preserve"> går kommissionen i detta meddelande igenom förberedelserna och de beredskapsåtgärder som Europeiska unionen och de 27 EU-medlemsstaterna har infört, effekterna av den förlängda tidsfristen och det återstående förberedelsearbete som behöver göras. Kommissionen uppmanar medlemsstaterna och berörda aktörer att använda den förlängda tidsfristen till att kontrollera att alla nödvändiga förberedelser och beredskapsåtgärder finns på plats.</w:t>
      </w:r>
    </w:p>
    <w:p>
      <w:pPr>
        <w:spacing w:after="240" w:line="240" w:lineRule="auto"/>
        <w:jc w:val="both"/>
        <w:rPr>
          <w:rFonts w:ascii="Times New Roman" w:eastAsia="Arial Unicode MS" w:hAnsi="Times New Roman" w:cs="Arial Unicode MS"/>
          <w:noProof/>
          <w:color w:val="000000"/>
          <w:sz w:val="24"/>
          <w:szCs w:val="24"/>
          <w:u w:color="000000"/>
          <w:bdr w:val="nil"/>
        </w:rPr>
      </w:pPr>
      <w:r>
        <w:rPr>
          <w:rFonts w:ascii="Times New Roman" w:hAnsi="Times New Roman"/>
          <w:noProof/>
          <w:color w:val="000000"/>
          <w:sz w:val="24"/>
          <w:u w:color="000000"/>
          <w:bdr w:val="nil"/>
        </w:rPr>
        <w:t>Som kommissionen konsekvent har betonat kan beredskapsåtgärder endast mildra de allvarligaste störningarna vid ett utträde utan avtal. Även om kommissionen inte spekulerar kring de ekonomiska konsekvenserna av olika scenarier, är det uppenbart att Förenade kungarikets utträde utan avtal skulle få allvarliga negativa ekonomiska konsekvenser och att denna inverkan skulle bli proportionellt mycket större i Förenade kungariket än i de övriga 27 EU-medlemsstaterna</w:t>
      </w:r>
      <w:r>
        <w:rPr>
          <w:rStyle w:val="FootnoteReference"/>
          <w:rFonts w:ascii="Times New Roman" w:hAnsi="Times New Roman"/>
          <w:noProof/>
          <w:color w:val="000000"/>
          <w:sz w:val="24"/>
          <w:u w:color="000000"/>
          <w:bdr w:val="nil"/>
        </w:rPr>
        <w:footnoteReference w:id="7"/>
      </w:r>
      <w:r>
        <w:rPr>
          <w:rFonts w:ascii="Times New Roman" w:hAnsi="Times New Roman"/>
          <w:noProof/>
          <w:color w:val="000000"/>
          <w:sz w:val="24"/>
          <w:u w:color="000000"/>
          <w:bdr w:val="nil"/>
        </w:rPr>
        <w:t>. Om medlemsstater och berörda parter förbereder sig är det troligt att det minskar deras individuella exponering för de negativa effekterna av ett utträde utan avtal. Hög beredskap inom alla ekonomiska sektorer kommer också att mildra de negativa effekterna.</w:t>
      </w:r>
    </w:p>
    <w:p>
      <w:pPr>
        <w:spacing w:after="240" w:line="240" w:lineRule="auto"/>
        <w:jc w:val="both"/>
        <w:rPr>
          <w:rFonts w:ascii="Times New Roman" w:eastAsia="Arial Unicode MS" w:hAnsi="Times New Roman" w:cs="Arial Unicode MS"/>
          <w:noProof/>
          <w:color w:val="000000"/>
          <w:sz w:val="24"/>
          <w:szCs w:val="24"/>
          <w:u w:color="000000"/>
          <w:bdr w:val="nil"/>
        </w:rPr>
      </w:pPr>
      <w:r>
        <w:rPr>
          <w:rFonts w:ascii="Times New Roman" w:hAnsi="Times New Roman"/>
          <w:noProof/>
          <w:color w:val="000000"/>
          <w:sz w:val="24"/>
          <w:u w:color="000000"/>
          <w:bdr w:val="nil"/>
        </w:rPr>
        <w:t>Som det framgår av det fjärde meddelandet om brexitförberedelser den 10 april 2019</w:t>
      </w:r>
      <w:r>
        <w:rPr>
          <w:rStyle w:val="FootnoteReference"/>
          <w:rFonts w:ascii="Times New Roman" w:hAnsi="Times New Roman"/>
          <w:noProof/>
          <w:color w:val="000000"/>
          <w:sz w:val="24"/>
          <w:u w:color="000000"/>
          <w:bdr w:val="nil"/>
        </w:rPr>
        <w:footnoteReference w:id="8"/>
      </w:r>
      <w:r>
        <w:rPr>
          <w:rFonts w:ascii="Times New Roman" w:hAnsi="Times New Roman"/>
          <w:noProof/>
          <w:color w:val="000000"/>
          <w:sz w:val="24"/>
          <w:u w:color="000000"/>
          <w:bdr w:val="nil"/>
        </w:rPr>
        <w:t xml:space="preserve"> är kommissionen beredd att föreslå ekonomiska stödåtgärder för att mildra effekterna på de områden och i de sektorer som drabbas mest, inom ramen för tillgängliga medel och eventuella justeringar i EU-budgetens utgifter och inkomster som kan följa av ett oordnat utträde. När det gäller mer omedelbart stöd till drabbade parter erbjuder EU:s regler om statligt stöd flexibla lösningar för nationella åtgärder.</w:t>
      </w:r>
    </w:p>
    <w:p>
      <w:pPr>
        <w:pStyle w:val="Heading1"/>
        <w:numPr>
          <w:ilvl w:val="0"/>
          <w:numId w:val="5"/>
        </w:numPr>
        <w:spacing w:before="360" w:after="240"/>
        <w:ind w:left="425" w:hanging="357"/>
        <w:rPr>
          <w:rFonts w:eastAsia="Arial Unicode MS" w:cs="Arial Unicode MS"/>
          <w:b/>
          <w:bCs/>
          <w:smallCaps/>
          <w:noProof/>
          <w:color w:val="000000"/>
          <w:szCs w:val="24"/>
          <w:u w:color="000000"/>
          <w:bdr w:val="nil"/>
        </w:rPr>
      </w:pPr>
      <w:r>
        <w:rPr>
          <w:b/>
          <w:smallCaps/>
          <w:noProof/>
          <w:color w:val="000000"/>
          <w:u w:color="000000"/>
          <w:bdr w:val="nil"/>
        </w:rPr>
        <w:t xml:space="preserve">EU:s förberedelser och beredskapsåtgärder är ändamålsenliga </w:t>
      </w:r>
    </w:p>
    <w:p>
      <w:pPr>
        <w:spacing w:after="240" w:line="240" w:lineRule="auto"/>
        <w:jc w:val="both"/>
        <w:rPr>
          <w:rFonts w:ascii="Times New Roman" w:eastAsia="Arial Unicode MS" w:hAnsi="Times New Roman" w:cs="Arial Unicode MS"/>
          <w:noProof/>
          <w:color w:val="000000"/>
          <w:sz w:val="24"/>
          <w:szCs w:val="24"/>
          <w:u w:color="000000"/>
          <w:bdr w:val="nil"/>
        </w:rPr>
      </w:pPr>
      <w:r>
        <w:rPr>
          <w:rFonts w:ascii="Times New Roman" w:hAnsi="Times New Roman"/>
          <w:noProof/>
          <w:color w:val="000000"/>
          <w:sz w:val="24"/>
          <w:u w:color="000000"/>
          <w:bdr w:val="nil"/>
        </w:rPr>
        <w:t>Europeiska unionen var redan förberedd för Förenade kungarikets utträde inför det ursprungliga utträdesdatumet (den 30 mars 2019). Det omfattande arbete som alla EU-institutioner och EU-organ och de 27 medlemsstaterna genomförde inför det datumet kvarstår.</w:t>
      </w:r>
    </w:p>
    <w:p>
      <w:pPr>
        <w:spacing w:after="240" w:line="240" w:lineRule="auto"/>
        <w:jc w:val="both"/>
        <w:rPr>
          <w:rFonts w:ascii="Times New Roman" w:eastAsia="Arial Unicode MS" w:hAnsi="Times New Roman" w:cs="Arial Unicode MS"/>
          <w:noProof/>
          <w:color w:val="000000"/>
          <w:sz w:val="24"/>
          <w:szCs w:val="24"/>
          <w:u w:color="000000"/>
          <w:bdr w:val="nil"/>
        </w:rPr>
      </w:pPr>
      <w:r>
        <w:rPr>
          <w:rFonts w:ascii="Times New Roman" w:hAnsi="Times New Roman"/>
          <w:noProof/>
          <w:color w:val="000000"/>
          <w:sz w:val="24"/>
          <w:u w:color="000000"/>
          <w:bdr w:val="nil"/>
        </w:rPr>
        <w:t xml:space="preserve">Åtgärderna på EU-nivå sammanfattas i det fjärde meddelandet om brexitförberedelser av den 10 april 2019. Kommissionen har lagt fram 19 lagstiftningsförslag för att förbereda Förenade kungarikets utträde. Europaparlamentet och rådet har antagit 18 av dessa och en politisk överenskommelse har nåtts om den återstående, som rör EU:s budget för 2019 och förväntas bli formellt antagen i juni 2019. Dessa rättsakter förtecknas i bilaga 1 och omfattar allt från transport till samordning av de sociala trygghetssystemen, Erasmus + och vilka viseringsregler som gäller för brittiska medborgare. Kommissionen har också antagit 63 icke-lagstiftningsakter på ett antal politikområden. </w:t>
      </w:r>
    </w:p>
    <w:p>
      <w:pPr>
        <w:spacing w:after="240" w:line="240" w:lineRule="auto"/>
        <w:jc w:val="both"/>
        <w:rPr>
          <w:rFonts w:ascii="Times New Roman" w:eastAsia="Arial Unicode MS" w:hAnsi="Times New Roman" w:cs="Arial Unicode MS"/>
          <w:noProof/>
          <w:color w:val="000000"/>
          <w:sz w:val="24"/>
          <w:szCs w:val="24"/>
          <w:u w:color="000000"/>
          <w:bdr w:val="nil"/>
        </w:rPr>
      </w:pPr>
      <w:r>
        <w:rPr>
          <w:rFonts w:ascii="Times New Roman" w:hAnsi="Times New Roman"/>
          <w:noProof/>
          <w:color w:val="000000"/>
          <w:sz w:val="24"/>
          <w:u w:color="000000"/>
          <w:bdr w:val="nil"/>
        </w:rPr>
        <w:t xml:space="preserve">Kommissionen har granskat alla åtgärder på EU-nivå för att bedöma om de fortfarande är ändamålsenliga efter förlängningen av tidsfristen enligt artikel 50.3 i EU-fördraget. Grundat på denna granskning anser kommissionen att dessa lagstiftnings- och icke-lagstiftningsakter fortfarande uppfyller de avsedda målen. De behöver därför inte ändras i sak. Kommissionen planerar inga nya åtgärder före det nya utträdesdatumet. </w:t>
      </w:r>
    </w:p>
    <w:p>
      <w:pPr>
        <w:spacing w:after="240" w:line="240" w:lineRule="auto"/>
        <w:jc w:val="both"/>
        <w:rPr>
          <w:rFonts w:ascii="Times New Roman" w:eastAsia="Arial Unicode MS" w:hAnsi="Times New Roman" w:cs="Arial Unicode MS"/>
          <w:noProof/>
          <w:color w:val="000000"/>
          <w:sz w:val="24"/>
          <w:szCs w:val="24"/>
          <w:u w:color="000000"/>
          <w:bdr w:val="nil"/>
        </w:rPr>
      </w:pPr>
      <w:r>
        <w:rPr>
          <w:rFonts w:ascii="Times New Roman" w:hAnsi="Times New Roman"/>
          <w:noProof/>
          <w:color w:val="000000"/>
          <w:sz w:val="24"/>
          <w:u w:color="000000"/>
          <w:bdr w:val="nil"/>
        </w:rPr>
        <w:t>I de allra flesta fall anpassas tidpunkten för tillämpning och varaktighet för var och en av dessa akter automatiskt till det nya utträdesdatumet och det finns inget behov av att ändra texten. I somliga fall fastställs i själva akten ett datum för när den ska upphöra att gälla. Kommissionen kommer att undersöka om dessa rättsakter behöver en teknisk justering för att ta hänsyn till den nya tidsplanen innan de löper ut.</w:t>
      </w:r>
    </w:p>
    <w:p>
      <w:pPr>
        <w:spacing w:after="240" w:line="240" w:lineRule="auto"/>
        <w:jc w:val="both"/>
        <w:rPr>
          <w:rFonts w:ascii="Times New Roman" w:eastAsia="Arial Unicode MS" w:hAnsi="Times New Roman" w:cs="Arial Unicode MS"/>
          <w:noProof/>
          <w:color w:val="000000"/>
          <w:sz w:val="24"/>
          <w:szCs w:val="24"/>
          <w:u w:color="000000"/>
          <w:bdr w:val="nil"/>
        </w:rPr>
      </w:pPr>
      <w:r>
        <w:rPr>
          <w:rFonts w:ascii="Times New Roman" w:hAnsi="Times New Roman"/>
          <w:noProof/>
          <w:color w:val="000000"/>
          <w:sz w:val="24"/>
          <w:u w:color="000000"/>
          <w:bdr w:val="nil"/>
        </w:rPr>
        <w:t>Dessutom antog</w:t>
      </w:r>
      <w:r>
        <w:rPr>
          <w:rStyle w:val="FootnoteReference"/>
          <w:rFonts w:ascii="Times New Roman" w:hAnsi="Times New Roman"/>
          <w:noProof/>
          <w:color w:val="000000"/>
          <w:sz w:val="24"/>
          <w:u w:color="000000"/>
          <w:bdr w:val="nil"/>
        </w:rPr>
        <w:footnoteReference w:id="9"/>
      </w:r>
      <w:r>
        <w:rPr>
          <w:rFonts w:ascii="Times New Roman" w:hAnsi="Times New Roman"/>
          <w:noProof/>
          <w:color w:val="000000"/>
          <w:sz w:val="24"/>
          <w:u w:color="000000"/>
          <w:bdr w:val="nil"/>
        </w:rPr>
        <w:t xml:space="preserve"> kommissionen 16 icke-lagstiftningsakter om oförutsedda händelser</w:t>
      </w:r>
      <w:r>
        <w:rPr>
          <w:rStyle w:val="FootnoteReference"/>
          <w:rFonts w:ascii="Times New Roman" w:hAnsi="Times New Roman"/>
          <w:noProof/>
          <w:color w:val="000000"/>
          <w:sz w:val="24"/>
          <w:u w:color="000000"/>
          <w:bdr w:val="nil"/>
        </w:rPr>
        <w:footnoteReference w:id="10"/>
      </w:r>
      <w:r>
        <w:rPr>
          <w:rFonts w:ascii="Times New Roman" w:hAnsi="Times New Roman"/>
          <w:noProof/>
          <w:color w:val="000000"/>
          <w:sz w:val="24"/>
          <w:u w:color="000000"/>
          <w:bdr w:val="nil"/>
        </w:rPr>
        <w:t xml:space="preserve"> inom ramen för EU:s sanitära och fytosanitära lagstiftning med anledning av det tidigare utträdesdatumet den 12 april 2019, på grundval av den försäkran som lämnats av Förenade kungariket. Dessa åtgärder är nu obsoleta på grund av den förlängda fristen, men om Förenade kungariket fortfarande lämnar nödvändiga garantier kommer åtgärderna dock att antas på nytt för tillämpning från och med den 1 november 2019.</w:t>
      </w:r>
    </w:p>
    <w:p>
      <w:pPr>
        <w:spacing w:after="240" w:line="240" w:lineRule="auto"/>
        <w:jc w:val="both"/>
        <w:rPr>
          <w:rFonts w:ascii="Times New Roman" w:eastAsia="Arial Unicode MS" w:hAnsi="Times New Roman" w:cs="Arial Unicode MS"/>
          <w:noProof/>
          <w:color w:val="000000"/>
          <w:sz w:val="24"/>
          <w:szCs w:val="24"/>
          <w:u w:color="000000"/>
          <w:bdr w:val="nil"/>
        </w:rPr>
      </w:pPr>
      <w:r>
        <w:rPr>
          <w:rFonts w:ascii="Times New Roman" w:hAnsi="Times New Roman"/>
          <w:noProof/>
          <w:color w:val="000000"/>
          <w:sz w:val="24"/>
          <w:u w:color="000000"/>
          <w:bdr w:val="nil"/>
        </w:rPr>
        <w:t>De 93 meddelanden som kommissionen har offentliggjort</w:t>
      </w:r>
      <w:r>
        <w:rPr>
          <w:rStyle w:val="FootnoteReference"/>
          <w:rFonts w:ascii="Times New Roman" w:hAnsi="Times New Roman"/>
          <w:noProof/>
          <w:color w:val="000000"/>
          <w:sz w:val="24"/>
          <w:u w:color="000000"/>
          <w:bdr w:val="nil"/>
        </w:rPr>
        <w:footnoteReference w:id="11"/>
      </w:r>
      <w:r>
        <w:rPr>
          <w:rFonts w:ascii="Times New Roman" w:hAnsi="Times New Roman"/>
          <w:noProof/>
          <w:color w:val="000000"/>
          <w:sz w:val="24"/>
          <w:u w:color="000000"/>
          <w:bdr w:val="nil"/>
        </w:rPr>
        <w:t xml:space="preserve"> ger även fortsättningsvis vägledning till berörda parter och myndigheter inom ett stort antal områden som påverkas av utträdet. Utträdesdagen har visserligen ändrats men den rättsliga analysen om konsekvenserna av Förenade kungarikets utträde påverkas inte. </w:t>
      </w:r>
    </w:p>
    <w:p>
      <w:pPr>
        <w:spacing w:after="240" w:line="240" w:lineRule="auto"/>
        <w:jc w:val="both"/>
        <w:rPr>
          <w:rFonts w:ascii="Times New Roman" w:eastAsia="Arial Unicode MS" w:hAnsi="Times New Roman" w:cs="Arial Unicode MS"/>
          <w:noProof/>
          <w:color w:val="000000"/>
          <w:sz w:val="24"/>
          <w:szCs w:val="24"/>
          <w:u w:color="000000"/>
          <w:bdr w:val="nil"/>
        </w:rPr>
      </w:pPr>
      <w:r>
        <w:rPr>
          <w:rFonts w:ascii="Times New Roman" w:hAnsi="Times New Roman"/>
          <w:noProof/>
          <w:color w:val="000000"/>
          <w:sz w:val="24"/>
          <w:u w:color="000000"/>
          <w:bdr w:val="nil"/>
        </w:rPr>
        <w:t>Vidare fortsätter de tekniska diskussionerna och utbytena mellan kommissionen och de 27 EU-medlemsstaterna samt branschföreträdare och det civila samhället om allmänna förberedelse- och beredskapsfrågor och om sektorsspecifika, rättsliga och administrativa frågor. Dessa diskussioner har förts under hela processen och har gjort det möjligt att klargöra ett stort antal frågor.</w:t>
      </w:r>
    </w:p>
    <w:p>
      <w:pPr>
        <w:pStyle w:val="Heading1"/>
        <w:tabs>
          <w:tab w:val="left" w:pos="426"/>
        </w:tabs>
        <w:spacing w:before="0" w:after="240" w:line="240" w:lineRule="auto"/>
        <w:ind w:left="425" w:hanging="425"/>
        <w:rPr>
          <w:rFonts w:eastAsia="Arial Unicode MS" w:cs="Arial Unicode MS"/>
          <w:b/>
          <w:bCs/>
          <w:smallCaps/>
          <w:noProof/>
          <w:color w:val="000000"/>
          <w:szCs w:val="24"/>
          <w:u w:color="000000"/>
          <w:bdr w:val="nil"/>
        </w:rPr>
      </w:pPr>
      <w:r>
        <w:rPr>
          <w:b/>
          <w:smallCaps/>
          <w:noProof/>
          <w:color w:val="000000"/>
          <w:u w:color="000000"/>
          <w:bdr w:val="nil"/>
        </w:rPr>
        <w:t xml:space="preserve">3. </w:t>
      </w:r>
      <w:r>
        <w:rPr>
          <w:noProof/>
        </w:rPr>
        <w:tab/>
      </w:r>
      <w:r>
        <w:rPr>
          <w:b/>
          <w:smallCaps/>
          <w:noProof/>
          <w:color w:val="000000"/>
          <w:u w:color="000000"/>
          <w:bdr w:val="nil"/>
        </w:rPr>
        <w:t xml:space="preserve">Pågående förberedelser inom vissa områden </w:t>
      </w:r>
    </w:p>
    <w:p>
      <w:pPr>
        <w:spacing w:line="240" w:lineRule="auto"/>
        <w:jc w:val="both"/>
        <w:rPr>
          <w:rFonts w:ascii="Times New Roman" w:eastAsia="Arial Unicode MS" w:hAnsi="Times New Roman" w:cs="Arial Unicode MS"/>
          <w:noProof/>
          <w:color w:val="000000"/>
          <w:sz w:val="24"/>
          <w:szCs w:val="24"/>
          <w:u w:color="000000"/>
          <w:bdr w:val="nil"/>
        </w:rPr>
      </w:pPr>
      <w:r>
        <w:rPr>
          <w:rFonts w:ascii="Times New Roman" w:hAnsi="Times New Roman"/>
          <w:noProof/>
          <w:color w:val="000000"/>
          <w:sz w:val="24"/>
          <w:u w:color="000000"/>
          <w:bdr w:val="nil"/>
        </w:rPr>
        <w:t xml:space="preserve">De tidigare meddelandena om brexitförberedelser har gällt ett brett spektrum av sektorer och relevanta överväganden. Detta avsnitt är inriktat på områden där det krävs fortsatt och särskild uppmärksamhet under de kommande månaderna. </w:t>
      </w:r>
    </w:p>
    <w:p>
      <w:pPr>
        <w:spacing w:line="240" w:lineRule="auto"/>
        <w:jc w:val="both"/>
        <w:rPr>
          <w:rFonts w:ascii="Times New Roman" w:eastAsia="Arial Unicode MS" w:hAnsi="Times New Roman" w:cs="Arial Unicode MS"/>
          <w:noProof/>
          <w:color w:val="000000"/>
          <w:sz w:val="24"/>
          <w:szCs w:val="24"/>
          <w:u w:color="000000"/>
          <w:bdr w:val="nil"/>
        </w:rPr>
      </w:pPr>
      <w:r>
        <w:rPr>
          <w:rFonts w:ascii="Times New Roman" w:hAnsi="Times New Roman"/>
          <w:noProof/>
          <w:color w:val="000000"/>
          <w:sz w:val="24"/>
          <w:u w:color="000000"/>
          <w:bdr w:val="nil"/>
        </w:rPr>
        <w:t>Som kommissionen konsekvent har betonat är beredskapen inför Förenade kungarikets utträde beroende av en gemensam insats från offentlig förvaltning och ekonomiska aktörer. Det är alla berörda parters ansvar att förbereda sig för alla scenarier. Även de enskilda medborgarna måste förbereda sig.</w:t>
      </w:r>
    </w:p>
    <w:p>
      <w:pPr>
        <w:spacing w:line="240" w:lineRule="auto"/>
        <w:jc w:val="both"/>
        <w:rPr>
          <w:rFonts w:ascii="Times New Roman" w:eastAsia="Arial Unicode MS" w:hAnsi="Times New Roman" w:cs="Arial Unicode MS"/>
          <w:noProof/>
          <w:color w:val="000000"/>
          <w:sz w:val="24"/>
          <w:szCs w:val="24"/>
          <w:u w:color="000000"/>
          <w:bdr w:val="nil"/>
        </w:rPr>
      </w:pPr>
      <w:r>
        <w:rPr>
          <w:rFonts w:ascii="Times New Roman" w:hAnsi="Times New Roman"/>
          <w:noProof/>
          <w:color w:val="000000"/>
          <w:sz w:val="24"/>
          <w:u w:color="000000"/>
          <w:bdr w:val="nil"/>
        </w:rPr>
        <w:t>Inom vissa sektorer fanns det företag som i mars 2019 uppgav att de inte hade haft tillräckligt med tid för att anpassa sig. Kommissionen uppmuntrar eftertryckligen berörda parter att dra nytta av tiden fram till den 31 oktober 2019 till att kontrollera att de har vidtagit alla nödvändiga åtgärder inför Förenade kungarikets utträde. De bör se till att de har de lagstadgade tillstånd som krävs, att de har vidtagit administrativa åtgärder för handel över gränserna och nödvändiga åtgärder för omplacering, omorganisation av företag eller avtalsanpassningar</w:t>
      </w:r>
      <w:r>
        <w:rPr>
          <w:rStyle w:val="FootnoteReference"/>
          <w:rFonts w:ascii="Times New Roman" w:hAnsi="Times New Roman"/>
          <w:noProof/>
          <w:color w:val="000000"/>
          <w:sz w:val="24"/>
          <w:u w:color="000000"/>
          <w:bdr w:val="nil"/>
        </w:rPr>
        <w:footnoteReference w:id="12"/>
      </w:r>
      <w:r>
        <w:rPr>
          <w:rFonts w:ascii="Times New Roman" w:hAnsi="Times New Roman"/>
          <w:noProof/>
          <w:color w:val="000000"/>
          <w:sz w:val="24"/>
          <w:u w:color="000000"/>
          <w:bdr w:val="nil"/>
        </w:rPr>
        <w:t xml:space="preserve">. Framför allt kommer det inte att vara möjligt att släppa ut produkter på EU-marknaden som inte uppfyller de nödvändiga kraven och har de nödvändiga tillstånden. Som anges ovan planerar kommissionen inte att vidta några nya åtgärder med tanke på ett eventuellt avtalslöst scenario eller för att kompensera för att aktörerna inte har förberett sig. Kommissionen anser att den extra tid som står till förfogande genom förlängningen i princip kommer att vara tillräcklig för att aktörerna ska kunna anpassa sig, så att undantag och avvikelser inte blir nödvändiga, även när sådana finns att tillgå. </w:t>
      </w:r>
    </w:p>
    <w:p>
      <w:pPr>
        <w:pStyle w:val="Heading1"/>
        <w:keepNext w:val="0"/>
        <w:keepLines w:val="0"/>
        <w:tabs>
          <w:tab w:val="left" w:pos="426"/>
        </w:tabs>
        <w:spacing w:before="0" w:after="240" w:line="240" w:lineRule="auto"/>
        <w:jc w:val="both"/>
        <w:rPr>
          <w:rFonts w:eastAsia="Arial Unicode MS" w:cs="Arial Unicode MS"/>
          <w:noProof/>
          <w:color w:val="000000"/>
          <w:szCs w:val="24"/>
          <w:u w:color="000000"/>
          <w:bdr w:val="nil"/>
        </w:rPr>
      </w:pPr>
      <w:r>
        <w:rPr>
          <w:noProof/>
          <w:color w:val="000000"/>
          <w:u w:color="000000"/>
          <w:bdr w:val="nil"/>
        </w:rPr>
        <w:t>Nationella, regionala och lokala myndigheter i de 27 EU-medlemsstaterna har spelat en central roll i förberedelserna för Förenade kungarikets utträde. De har alla infört lagstiftning och strategier och gjort praktiska förberedelser. Nu bör de, liksom kommissionen har gjort, granska sina nationella beredskapsåtgärder för att säkerställa att de förblir ändamålsenliga med tanke på förlängningen av tidsfristen enligt artikel 50.3. Vid ett eventuellt avtalslöst utträde måste de slutliga förberedande åtgärderna gälla senast från och med den 1 november 2019.</w:t>
      </w:r>
    </w:p>
    <w:p>
      <w:pPr>
        <w:keepNext/>
        <w:spacing w:line="240" w:lineRule="auto"/>
        <w:jc w:val="both"/>
        <w:rPr>
          <w:rFonts w:ascii="Times New Roman" w:eastAsia="Arial Unicode MS" w:hAnsi="Times New Roman" w:cs="Arial Unicode MS"/>
          <w:b/>
          <w:i/>
          <w:noProof/>
          <w:color w:val="000000"/>
          <w:sz w:val="24"/>
          <w:szCs w:val="24"/>
          <w:u w:color="000000"/>
          <w:bdr w:val="nil"/>
        </w:rPr>
      </w:pPr>
      <w:r>
        <w:rPr>
          <w:rFonts w:ascii="Times New Roman" w:hAnsi="Times New Roman"/>
          <w:b/>
          <w:i/>
          <w:noProof/>
          <w:color w:val="000000"/>
          <w:sz w:val="24"/>
          <w:u w:color="000000"/>
          <w:bdr w:val="nil"/>
        </w:rPr>
        <w:t>Medborgarnas uppehållsrätt och rätt till sociala förmåner</w:t>
      </w:r>
    </w:p>
    <w:p>
      <w:pPr>
        <w:spacing w:line="240" w:lineRule="auto"/>
        <w:jc w:val="both"/>
        <w:rPr>
          <w:rFonts w:ascii="Times New Roman" w:eastAsia="Arial Unicode MS" w:hAnsi="Times New Roman" w:cs="Arial Unicode MS"/>
          <w:noProof/>
          <w:color w:val="000000"/>
          <w:sz w:val="24"/>
          <w:szCs w:val="24"/>
          <w:u w:color="000000"/>
          <w:bdr w:val="nil"/>
        </w:rPr>
      </w:pPr>
      <w:r>
        <w:rPr>
          <w:rFonts w:ascii="Times New Roman" w:hAnsi="Times New Roman"/>
          <w:noProof/>
          <w:color w:val="000000"/>
          <w:sz w:val="24"/>
          <w:u w:color="000000"/>
          <w:bdr w:val="nil"/>
        </w:rPr>
        <w:t xml:space="preserve">Vad gäller </w:t>
      </w:r>
      <w:r>
        <w:rPr>
          <w:rFonts w:ascii="Times New Roman" w:hAnsi="Times New Roman"/>
          <w:b/>
          <w:noProof/>
          <w:color w:val="000000"/>
          <w:sz w:val="24"/>
          <w:u w:color="000000"/>
          <w:bdr w:val="nil"/>
        </w:rPr>
        <w:t>uppehållsrätt för brittiska medborgare</w:t>
      </w:r>
      <w:r>
        <w:rPr>
          <w:rFonts w:ascii="Times New Roman" w:hAnsi="Times New Roman"/>
          <w:noProof/>
          <w:color w:val="000000"/>
          <w:sz w:val="24"/>
          <w:u w:color="000000"/>
          <w:bdr w:val="nil"/>
        </w:rPr>
        <w:t xml:space="preserve"> hade de 27 EU-medlemsstaterna före den 12 april 2019 utarbetat eller antagit nationella beredskapsåtgärder för att se till att brittiska medborgare och deras anhöriga som inte är EU-medborgare skulle kunna förbli lagligt bosatta under den närmaste tiden efter ett avtalslöst utträde. Kommissionen har arbetat tillsammans med medlemsstaterna för att sörja för samstämmighet i den övergripande strategin, samtidigt som den inser att det behövs nationell flexibilitet, eftersom medlemsstaterna står inför olika utmaningar beroende på de rättsliga och administrativa systemen och antalet brittiska medborgare som är bosatta på deras territorium.</w:t>
      </w:r>
    </w:p>
    <w:p>
      <w:pPr>
        <w:spacing w:line="240" w:lineRule="auto"/>
        <w:jc w:val="both"/>
        <w:rPr>
          <w:rFonts w:ascii="Times New Roman" w:eastAsia="Arial Unicode MS" w:hAnsi="Times New Roman" w:cs="Arial Unicode MS"/>
          <w:noProof/>
          <w:color w:val="000000"/>
          <w:sz w:val="24"/>
          <w:szCs w:val="24"/>
          <w:u w:color="000000"/>
          <w:bdr w:val="nil"/>
        </w:rPr>
      </w:pPr>
      <w:r>
        <w:rPr>
          <w:rFonts w:ascii="Times New Roman" w:hAnsi="Times New Roman"/>
          <w:noProof/>
          <w:color w:val="000000"/>
          <w:sz w:val="24"/>
          <w:u w:color="000000"/>
          <w:bdr w:val="nil"/>
        </w:rPr>
        <w:t>För att skapa ytterligare klarhet i situationen har kommissionen, i nära samarbete med de 27 EU-medlemsstaterna, tillhandahållit en översikt över nationella åtgärder om uppehållsrätt på webbplatsen om förberedelserna inför brexit</w:t>
      </w:r>
      <w:r>
        <w:rPr>
          <w:rFonts w:ascii="Times New Roman" w:hAnsi="Times New Roman"/>
          <w:noProof/>
          <w:color w:val="000000"/>
          <w:sz w:val="24"/>
          <w:u w:color="000000"/>
          <w:bdr w:val="nil"/>
          <w:vertAlign w:val="superscript"/>
        </w:rPr>
        <w:footnoteReference w:id="13"/>
      </w:r>
      <w:r>
        <w:rPr>
          <w:rFonts w:ascii="Times New Roman" w:hAnsi="Times New Roman"/>
          <w:noProof/>
          <w:color w:val="000000"/>
          <w:sz w:val="24"/>
          <w:u w:color="000000"/>
          <w:bdr w:val="nil"/>
        </w:rPr>
        <w:t xml:space="preserve">. Kommissionen kommer att fortsätta uppdateringen av denna översikt med uppgifter från de 27 EU-medlemsstaterna. Kommissionen uppmanar medlemsstaterna att fortsätta sin uppsökande verksamhet gentemot brittiska medborgare som är bosatta på deras territorium. Kommissionen påminner också om att det är en prioritet att skydda den rättsliga ställningen för brittiska medborgare som för närvarande är bosatta i EU. </w:t>
      </w:r>
    </w:p>
    <w:p>
      <w:pPr>
        <w:spacing w:line="240" w:lineRule="auto"/>
        <w:jc w:val="both"/>
        <w:rPr>
          <w:rFonts w:ascii="Times New Roman" w:eastAsia="Arial Unicode MS" w:hAnsi="Times New Roman" w:cs="Arial Unicode MS"/>
          <w:noProof/>
          <w:color w:val="000000"/>
          <w:sz w:val="24"/>
          <w:szCs w:val="24"/>
          <w:u w:color="000000"/>
          <w:bdr w:val="nil"/>
        </w:rPr>
      </w:pPr>
      <w:r>
        <w:rPr>
          <w:rFonts w:ascii="Times New Roman" w:hAnsi="Times New Roman"/>
          <w:noProof/>
          <w:color w:val="000000"/>
          <w:sz w:val="24"/>
          <w:u w:color="000000"/>
          <w:bdr w:val="nil"/>
        </w:rPr>
        <w:t xml:space="preserve">När det gäller </w:t>
      </w:r>
      <w:r>
        <w:rPr>
          <w:rFonts w:ascii="Times New Roman" w:hAnsi="Times New Roman"/>
          <w:b/>
          <w:noProof/>
          <w:color w:val="000000"/>
          <w:sz w:val="24"/>
          <w:u w:color="000000"/>
          <w:bdr w:val="nil"/>
        </w:rPr>
        <w:t>EU-medborgare som är bosatta i Förenade kungariket</w:t>
      </w:r>
      <w:r>
        <w:rPr>
          <w:rFonts w:ascii="Times New Roman" w:hAnsi="Times New Roman"/>
          <w:noProof/>
          <w:color w:val="000000"/>
          <w:sz w:val="24"/>
          <w:u w:color="000000"/>
          <w:bdr w:val="nil"/>
        </w:rPr>
        <w:t xml:space="preserve"> finns information om den brittiska regeringens strategi på den brittiska regeringens webbplats</w:t>
      </w:r>
      <w:r>
        <w:rPr>
          <w:rStyle w:val="FootnoteReference"/>
          <w:rFonts w:ascii="Times New Roman" w:hAnsi="Times New Roman"/>
          <w:noProof/>
          <w:color w:val="000000"/>
          <w:sz w:val="24"/>
          <w:u w:color="000000"/>
          <w:bdr w:val="nil"/>
        </w:rPr>
        <w:footnoteReference w:id="14"/>
      </w:r>
      <w:r>
        <w:rPr>
          <w:rFonts w:ascii="Times New Roman" w:hAnsi="Times New Roman"/>
          <w:noProof/>
          <w:color w:val="000000"/>
          <w:sz w:val="24"/>
          <w:u w:color="000000"/>
          <w:bdr w:val="nil"/>
        </w:rPr>
        <w:t>.</w:t>
      </w:r>
    </w:p>
    <w:p>
      <w:pPr>
        <w:spacing w:line="240" w:lineRule="auto"/>
        <w:jc w:val="both"/>
        <w:rPr>
          <w:rFonts w:ascii="Times New Roman" w:eastAsia="Arial Unicode MS" w:hAnsi="Times New Roman" w:cs="Arial Unicode MS"/>
          <w:noProof/>
          <w:color w:val="000000"/>
          <w:sz w:val="24"/>
          <w:szCs w:val="24"/>
          <w:u w:color="000000"/>
          <w:bdr w:val="nil"/>
        </w:rPr>
      </w:pPr>
      <w:r>
        <w:rPr>
          <w:rFonts w:ascii="Times New Roman" w:hAnsi="Times New Roman"/>
          <w:noProof/>
          <w:color w:val="000000"/>
          <w:sz w:val="24"/>
          <w:u w:color="000000"/>
          <w:bdr w:val="nil"/>
        </w:rPr>
        <w:t xml:space="preserve">Som det framgår i det fjärde meddelandet om brexitförberedelser av den 10 april 2019 har kommissionen också samarbetat med medlemsstaterna i EU-27 för att komplettera den skyddsnivå för </w:t>
      </w:r>
      <w:r>
        <w:rPr>
          <w:rFonts w:ascii="Times New Roman" w:hAnsi="Times New Roman"/>
          <w:b/>
          <w:noProof/>
          <w:color w:val="000000"/>
          <w:sz w:val="24"/>
          <w:u w:color="000000"/>
          <w:bdr w:val="nil"/>
        </w:rPr>
        <w:t>sociala förmåner</w:t>
      </w:r>
      <w:r>
        <w:rPr>
          <w:rFonts w:ascii="Times New Roman" w:hAnsi="Times New Roman"/>
          <w:noProof/>
          <w:color w:val="000000"/>
          <w:sz w:val="24"/>
          <w:u w:color="000000"/>
          <w:bdr w:val="nil"/>
        </w:rPr>
        <w:t xml:space="preserve"> som fastställs i EU:s förordning om beredskapsåtgärder</w:t>
      </w:r>
      <w:r>
        <w:rPr>
          <w:rStyle w:val="FootnoteReference"/>
          <w:rFonts w:ascii="Times New Roman" w:hAnsi="Times New Roman"/>
          <w:noProof/>
          <w:color w:val="000000"/>
          <w:sz w:val="24"/>
          <w:u w:color="000000"/>
          <w:bdr w:val="nil"/>
        </w:rPr>
        <w:footnoteReference w:id="15"/>
      </w:r>
      <w:r>
        <w:rPr>
          <w:rFonts w:ascii="Times New Roman" w:hAnsi="Times New Roman"/>
          <w:noProof/>
          <w:color w:val="000000"/>
          <w:sz w:val="24"/>
          <w:u w:color="000000"/>
          <w:bdr w:val="nil"/>
        </w:rPr>
        <w:t xml:space="preserve"> vid ett avtalslöst scenario. Häri ingår en unilateral, samordnad beredskapsstrategi som ska tillämpas på alla försäkrade personer med rättigheter som berör Förenade kungariket före utträdesdagen. Förutom detta kan medlemsstaterna i EU-27 överväga att fortsätta tillämpa principen om sammanläggning unilateralt när det gäller perioder av arbete, försäkring och bosättning i Förenade kungariket efter utträdet eller vidta ytterligare unilaterala åtgärder</w:t>
      </w:r>
      <w:r>
        <w:rPr>
          <w:rStyle w:val="FootnoteReference"/>
          <w:rFonts w:ascii="Times New Roman" w:hAnsi="Times New Roman"/>
          <w:noProof/>
          <w:color w:val="000000"/>
          <w:sz w:val="24"/>
          <w:u w:color="000000"/>
          <w:bdr w:val="nil"/>
        </w:rPr>
        <w:footnoteReference w:id="16"/>
      </w:r>
      <w:r>
        <w:rPr>
          <w:rFonts w:ascii="Times New Roman" w:hAnsi="Times New Roman"/>
          <w:noProof/>
          <w:color w:val="000000"/>
          <w:sz w:val="24"/>
          <w:u w:color="000000"/>
          <w:bdr w:val="nil"/>
        </w:rPr>
        <w:t>. De kan dessutom ge personer som är försäkrade i Förenade kungariket men bosatta inom deras territorium tillgång till hälso- och sjukvård. Kommissionen har sammanställt en översikt över nationella åtgärder</w:t>
      </w:r>
      <w:r>
        <w:rPr>
          <w:rStyle w:val="FootnoteReference"/>
          <w:rFonts w:ascii="Times New Roman" w:hAnsi="Times New Roman"/>
          <w:noProof/>
          <w:color w:val="000000"/>
          <w:sz w:val="24"/>
          <w:u w:color="000000"/>
          <w:bdr w:val="nil"/>
        </w:rPr>
        <w:footnoteReference w:id="17"/>
      </w:r>
      <w:r>
        <w:rPr>
          <w:rFonts w:ascii="Times New Roman" w:hAnsi="Times New Roman"/>
          <w:noProof/>
          <w:color w:val="000000"/>
          <w:sz w:val="24"/>
          <w:u w:color="000000"/>
          <w:bdr w:val="nil"/>
        </w:rPr>
        <w:t xml:space="preserve"> som bekräftar att det visserligen finns vissa skillnader mellan medlemsstaterna när det gäller de åtgärder som vidtas – vilket återspeglar deras särdrag – men att den samordnade strategin säkerställer en enhetlig basskyddsnivå i de 27 medlemsstaterna. De bör använda den förlängda tidsfristen till att nå ut till medborgarna och se till att de kan få tillgång till den information de behöver för att förbereda sig för Förenade kungarikets utträde.</w:t>
      </w:r>
    </w:p>
    <w:p>
      <w:pPr>
        <w:keepNext/>
        <w:spacing w:line="240" w:lineRule="auto"/>
        <w:jc w:val="both"/>
        <w:rPr>
          <w:rFonts w:ascii="Times New Roman" w:eastAsia="Arial Unicode MS" w:hAnsi="Times New Roman" w:cs="Arial Unicode MS"/>
          <w:b/>
          <w:i/>
          <w:noProof/>
          <w:color w:val="000000"/>
          <w:sz w:val="24"/>
          <w:szCs w:val="24"/>
          <w:u w:color="000000"/>
          <w:bdr w:val="nil"/>
        </w:rPr>
      </w:pPr>
      <w:r>
        <w:rPr>
          <w:rFonts w:ascii="Times New Roman" w:hAnsi="Times New Roman"/>
          <w:b/>
          <w:i/>
          <w:noProof/>
          <w:color w:val="000000"/>
          <w:sz w:val="24"/>
          <w:u w:color="000000"/>
          <w:bdr w:val="nil"/>
        </w:rPr>
        <w:t>Läkemedel, medicintekniska produkter och kemiska ämnen</w:t>
      </w:r>
    </w:p>
    <w:p>
      <w:pPr>
        <w:spacing w:line="240" w:lineRule="auto"/>
        <w:jc w:val="both"/>
        <w:rPr>
          <w:rFonts w:ascii="Times New Roman" w:hAnsi="Times New Roman"/>
          <w:noProof/>
          <w:sz w:val="24"/>
          <w:szCs w:val="24"/>
        </w:rPr>
      </w:pPr>
      <w:r>
        <w:rPr>
          <w:rFonts w:ascii="Times New Roman" w:hAnsi="Times New Roman"/>
          <w:noProof/>
          <w:sz w:val="24"/>
        </w:rPr>
        <w:t xml:space="preserve">Det finns två typer av </w:t>
      </w:r>
      <w:r>
        <w:rPr>
          <w:rFonts w:ascii="Times New Roman" w:hAnsi="Times New Roman"/>
          <w:b/>
          <w:noProof/>
          <w:sz w:val="24"/>
        </w:rPr>
        <w:t>humanläkemedel och veterinärmedicinska läkemedel</w:t>
      </w:r>
      <w:r>
        <w:rPr>
          <w:rFonts w:ascii="Times New Roman" w:hAnsi="Times New Roman"/>
          <w:noProof/>
          <w:sz w:val="24"/>
        </w:rPr>
        <w:t xml:space="preserve"> som påverkas av Förenade kungarikets utträde: de som godkänns centralt av Europeiska kommissionen och de som godkänns nationellt av medlemsstaterna. Endast en liten del (omkring 1 %) av de produkter som godkänns centralt uppfyllde inte de lagstadgade kraven den 12 april 2019. </w:t>
      </w:r>
      <w:r>
        <w:rPr>
          <w:rFonts w:ascii="Times New Roman" w:hAnsi="Times New Roman"/>
          <w:noProof/>
          <w:color w:val="000000"/>
          <w:sz w:val="24"/>
          <w:u w:color="000000"/>
          <w:bdr w:val="nil"/>
        </w:rPr>
        <w:t>Denna situation är hanterbar, men det ligger i både läkemedelsindustrins och patienternas intresse att man tar itu med den. Europeiska läkemedelsmyndigheten (EMA) är nu nära att slutföra processen för kontroll av efterlevnad av bestämmelserna för produkter som godkänts centralt. Mer arbete återstår för produkter som är godkända på nationell nivå. Industrin uppmanas eftertryckligen att använda den förlängda tidsfristen för att anpassa de återstående läkemedlen till lagstiftningen före den 31 oktober 2019 i nära samarbete med EMA och nationella läkemedelsmyndigheter</w:t>
      </w:r>
      <w:r>
        <w:rPr>
          <w:rStyle w:val="FootnoteReference"/>
          <w:rFonts w:ascii="Times New Roman" w:hAnsi="Times New Roman"/>
          <w:noProof/>
          <w:color w:val="000000"/>
          <w:sz w:val="24"/>
          <w:u w:color="000000"/>
          <w:bdr w:val="nil"/>
        </w:rPr>
        <w:footnoteReference w:id="18"/>
      </w:r>
      <w:r>
        <w:rPr>
          <w:rFonts w:ascii="Times New Roman" w:hAnsi="Times New Roman"/>
          <w:noProof/>
          <w:color w:val="000000"/>
          <w:sz w:val="24"/>
          <w:u w:color="000000"/>
          <w:bdr w:val="nil"/>
        </w:rPr>
        <w:t>. När det gäller överföring av anläggningar för partiprovning från Förenade kungariket till de 27 EU-medlemsstaterna utfärdade kommissionen i mars 2019 riktlinjer om möjligheten för företag att få ett tillfälligt undantag, förutsatt att vissa villkor uppfylls</w:t>
      </w:r>
      <w:r>
        <w:rPr>
          <w:rStyle w:val="FootnoteReference"/>
          <w:rFonts w:ascii="Times New Roman" w:hAnsi="Times New Roman"/>
          <w:noProof/>
          <w:color w:val="000000"/>
          <w:sz w:val="24"/>
          <w:u w:color="000000"/>
          <w:bdr w:val="nil"/>
        </w:rPr>
        <w:footnoteReference w:id="19"/>
      </w:r>
      <w:r>
        <w:rPr>
          <w:rFonts w:ascii="Times New Roman" w:hAnsi="Times New Roman"/>
          <w:noProof/>
          <w:color w:val="000000"/>
          <w:sz w:val="24"/>
          <w:u w:color="000000"/>
          <w:bdr w:val="nil"/>
        </w:rPr>
        <w:t xml:space="preserve">. Även om frågan bör vara mindre relevant på grund av den förlängda tidsfristen enligt artikel 50.3, förblir riktlinjerna giltiga både för centralt och nationellt godkända produkter för att möjliggöra en snabb överföring av anläggningen för kvalitetskontroll till EU-27. </w:t>
      </w:r>
    </w:p>
    <w:p>
      <w:pPr>
        <w:spacing w:line="240" w:lineRule="auto"/>
        <w:jc w:val="both"/>
        <w:rPr>
          <w:rFonts w:ascii="Times New Roman" w:eastAsia="Arial Unicode MS" w:hAnsi="Times New Roman" w:cs="Arial Unicode MS"/>
          <w:noProof/>
          <w:color w:val="000000"/>
          <w:sz w:val="24"/>
          <w:szCs w:val="24"/>
          <w:u w:color="000000"/>
          <w:bdr w:val="nil"/>
        </w:rPr>
      </w:pPr>
      <w:r>
        <w:rPr>
          <w:rFonts w:ascii="Times New Roman" w:hAnsi="Times New Roman"/>
          <w:noProof/>
          <w:sz w:val="24"/>
        </w:rPr>
        <w:t xml:space="preserve">Dessutom pågår en överföring av certifikat för </w:t>
      </w:r>
      <w:r>
        <w:rPr>
          <w:rFonts w:ascii="Times New Roman" w:hAnsi="Times New Roman"/>
          <w:b/>
          <w:noProof/>
          <w:sz w:val="24"/>
        </w:rPr>
        <w:t>medicintekniska produkter</w:t>
      </w:r>
      <w:r>
        <w:rPr>
          <w:rFonts w:ascii="Times New Roman" w:hAnsi="Times New Roman"/>
          <w:noProof/>
          <w:sz w:val="24"/>
        </w:rPr>
        <w:t xml:space="preserve"> från de brittiska anmälda organen till de anmälda organen i EU-27. </w:t>
      </w:r>
      <w:r>
        <w:rPr>
          <w:rFonts w:ascii="Times New Roman" w:hAnsi="Times New Roman"/>
          <w:noProof/>
          <w:color w:val="000000"/>
          <w:sz w:val="24"/>
          <w:u w:color="000000"/>
          <w:bdr w:val="nil"/>
        </w:rPr>
        <w:t>Flera anmälda organ i Förenade kungariket inrättar nya organ i de 27 EU-medlemsstaterna, eller samarbetar med anmälda organ i de länderna, för att överföra sina kunders certifikat. Även om goda framsteg redan gjorts före den 12 april 2019 när det gäller överföring av certifikat kommer det fortfarande att krävas betydande arbete för att uppnå fullständig efterlevnad senast den 31 oktober 2019. I de fall där brittiska anmälda organ inte kommer att kunna överföra alla sina kunders certifikat i tid uppmanas tillverkarna eftertryckligen att ta frågan om överföring av certifikat till ett anmält organ i någon av de 27 EU-medlemsstaterna i egna händer. Medlemsstaterna bör</w:t>
      </w:r>
      <w:r>
        <w:rPr>
          <w:rFonts w:ascii="Times New Roman" w:hAnsi="Times New Roman"/>
          <w:noProof/>
          <w:sz w:val="24"/>
        </w:rPr>
        <w:t xml:space="preserve"> hjälpa företagen att inrikta sina förberedande åtgärder på kritiska produkter och på att hitta ett anmält organ i EU-27 så att deras certifikat kan överföras i tid.</w:t>
      </w:r>
      <w:r>
        <w:rPr>
          <w:rFonts w:ascii="Times New Roman" w:hAnsi="Times New Roman"/>
          <w:noProof/>
          <w:color w:val="000000"/>
          <w:sz w:val="24"/>
          <w:u w:color="000000"/>
          <w:bdr w:val="nil"/>
        </w:rPr>
        <w:t xml:space="preserve"> </w:t>
      </w:r>
      <w:r>
        <w:rPr>
          <w:rFonts w:ascii="Times New Roman" w:hAnsi="Times New Roman"/>
          <w:noProof/>
          <w:sz w:val="24"/>
        </w:rPr>
        <w:t xml:space="preserve">Medlemsstaterna diskuterar regelbundet framstegen i denna fråga, särskilt i brexitarbetsgruppen inom nätverket för de behöriga myndigheterna för medicintekniska produkter och står i regelbunden kontakt med kommissionen. </w:t>
      </w:r>
      <w:r>
        <w:rPr>
          <w:rFonts w:ascii="Times New Roman" w:hAnsi="Times New Roman"/>
          <w:noProof/>
          <w:color w:val="000000"/>
          <w:sz w:val="24"/>
          <w:u w:color="000000"/>
          <w:bdr w:val="nil"/>
        </w:rPr>
        <w:t xml:space="preserve">Kommissionen anser att förlängningen av tidsfristen enligt artikel 50.3 till och med den 31 oktober 2019 ger tillräckligt med tid för att slutföra både överföringen av certifikat och anpassningen av produktmärkningen. </w:t>
      </w:r>
    </w:p>
    <w:p>
      <w:pPr>
        <w:spacing w:line="240" w:lineRule="auto"/>
        <w:jc w:val="both"/>
        <w:rPr>
          <w:rFonts w:ascii="Times New Roman" w:eastAsia="Arial Unicode MS" w:hAnsi="Times New Roman" w:cs="Arial Unicode MS"/>
          <w:noProof/>
          <w:color w:val="000000"/>
          <w:sz w:val="24"/>
          <w:szCs w:val="24"/>
          <w:u w:color="000000"/>
          <w:bdr w:val="nil"/>
        </w:rPr>
      </w:pPr>
      <w:r>
        <w:rPr>
          <w:rFonts w:ascii="Times New Roman" w:hAnsi="Times New Roman"/>
          <w:noProof/>
          <w:color w:val="000000"/>
          <w:sz w:val="24"/>
          <w:u w:color="000000"/>
          <w:bdr w:val="nil"/>
        </w:rPr>
        <w:t xml:space="preserve">När det gäller </w:t>
      </w:r>
      <w:r>
        <w:rPr>
          <w:rFonts w:ascii="Times New Roman" w:hAnsi="Times New Roman"/>
          <w:b/>
          <w:noProof/>
          <w:color w:val="000000"/>
          <w:sz w:val="24"/>
          <w:u w:color="000000"/>
          <w:bdr w:val="nil"/>
        </w:rPr>
        <w:t>kemiska ämnen</w:t>
      </w:r>
      <w:r>
        <w:rPr>
          <w:rFonts w:ascii="Times New Roman" w:hAnsi="Times New Roman"/>
          <w:noProof/>
          <w:color w:val="000000"/>
          <w:sz w:val="24"/>
          <w:u w:color="000000"/>
          <w:bdr w:val="nil"/>
        </w:rPr>
        <w:t xml:space="preserve"> hade Reach-registreringar av 463 ämnen överförts till de 27 EU-medlemsstaterna i slutet av april 2019, medan 718 fortfarande endast var registrerade av registranter etablerade i Förenade kungariket. Europeiska kemikaliemyndigheten (Echa) öppnade ett ”brexitfönster” i Reach-IT</w:t>
      </w:r>
      <w:r>
        <w:rPr>
          <w:rStyle w:val="FootnoteReference"/>
          <w:rFonts w:ascii="Times New Roman" w:hAnsi="Times New Roman"/>
          <w:noProof/>
          <w:color w:val="000000"/>
          <w:sz w:val="24"/>
          <w:u w:color="000000"/>
          <w:bdr w:val="nil"/>
        </w:rPr>
        <w:footnoteReference w:id="20"/>
      </w:r>
      <w:r>
        <w:rPr>
          <w:rFonts w:ascii="Times New Roman" w:hAnsi="Times New Roman"/>
          <w:noProof/>
          <w:color w:val="000000"/>
          <w:sz w:val="24"/>
          <w:u w:color="000000"/>
          <w:bdr w:val="nil"/>
        </w:rPr>
        <w:t xml:space="preserve"> för att vidta nödvändiga åtgärder för att överföra sina Reach-registreringar före utträdesdagen. Efter den senaste förlängningen av tidsfristen enligt artikel 50.3 fortsätter Echa att hålla brexitfönstret öppet till och med den 31 oktober 2019. Företag med registranter i Förenade kungariket som ännu inte har överfört sina registreringar till de 27 EU-medlemsstaterna uppmuntras eftertryckligen att utnyttja denna möjlighet och att ta kontakt med och samordna med potentiella medregistranter och nedströmsanvändare baserade i EU-27. Om registreringarna inte överförs kan de berörda kemikalierna inte släppas ut på EU-marknaden efter utträdesdagen. I fråga om Reach-tillstånd måste de som är baserade i Förenade kungariket och ansöker om godkännande överföra sin ansökan till ett företag baserat i EU-27 för att undvika försörjningsavbrott.</w:t>
      </w:r>
    </w:p>
    <w:p>
      <w:pPr>
        <w:keepNext/>
        <w:spacing w:line="240" w:lineRule="auto"/>
        <w:jc w:val="both"/>
        <w:rPr>
          <w:rFonts w:ascii="Times New Roman" w:hAnsi="Times New Roman" w:cs="Times New Roman"/>
          <w:b/>
          <w:i/>
          <w:noProof/>
          <w:sz w:val="24"/>
          <w:szCs w:val="24"/>
        </w:rPr>
      </w:pPr>
      <w:r>
        <w:rPr>
          <w:rFonts w:ascii="Times New Roman" w:hAnsi="Times New Roman"/>
          <w:b/>
          <w:i/>
          <w:noProof/>
          <w:sz w:val="24"/>
        </w:rPr>
        <w:t>Tull, indirekt beskattning och gränskontrollstationer</w:t>
      </w:r>
    </w:p>
    <w:p>
      <w:pPr>
        <w:spacing w:after="240" w:line="240" w:lineRule="auto"/>
        <w:jc w:val="both"/>
        <w:rPr>
          <w:rFonts w:ascii="Times New Roman" w:eastAsia="Arial Unicode MS" w:hAnsi="Times New Roman" w:cs="Arial Unicode MS"/>
          <w:noProof/>
          <w:color w:val="000000"/>
          <w:sz w:val="24"/>
          <w:szCs w:val="24"/>
          <w:u w:color="000000"/>
          <w:bdr w:val="nil"/>
        </w:rPr>
      </w:pPr>
      <w:r>
        <w:rPr>
          <w:rFonts w:ascii="Times New Roman" w:hAnsi="Times New Roman"/>
          <w:noProof/>
          <w:color w:val="000000"/>
          <w:sz w:val="24"/>
          <w:u w:color="000000"/>
          <w:bdr w:val="nil"/>
        </w:rPr>
        <w:t xml:space="preserve">På området </w:t>
      </w:r>
      <w:r>
        <w:rPr>
          <w:rFonts w:ascii="Times New Roman" w:hAnsi="Times New Roman"/>
          <w:b/>
          <w:noProof/>
          <w:color w:val="000000"/>
          <w:sz w:val="24"/>
          <w:u w:color="000000"/>
          <w:bdr w:val="nil"/>
        </w:rPr>
        <w:t>tull och indirekt beskattning</w:t>
      </w:r>
      <w:r>
        <w:rPr>
          <w:rFonts w:ascii="Times New Roman" w:hAnsi="Times New Roman"/>
          <w:noProof/>
          <w:color w:val="000000"/>
          <w:sz w:val="24"/>
          <w:u w:color="000000"/>
          <w:bdr w:val="nil"/>
        </w:rPr>
        <w:t xml:space="preserve"> anordnade kommissionen flera tekniska möten och publicerade en vägledning för tull, mervärdesskatt (moms) och punktskatter inför den ursprungliga utträdesdagen</w:t>
      </w:r>
      <w:r>
        <w:rPr>
          <w:rStyle w:val="FootnoteReference"/>
          <w:rFonts w:ascii="Times New Roman" w:hAnsi="Times New Roman"/>
          <w:noProof/>
          <w:color w:val="000000"/>
          <w:sz w:val="24"/>
          <w:u w:color="000000"/>
          <w:bdr w:val="nil"/>
        </w:rPr>
        <w:footnoteReference w:id="21"/>
      </w:r>
      <w:r>
        <w:rPr>
          <w:rFonts w:ascii="Times New Roman" w:hAnsi="Times New Roman"/>
          <w:noProof/>
          <w:color w:val="000000"/>
          <w:sz w:val="24"/>
          <w:u w:color="000000"/>
          <w:bdr w:val="nil"/>
        </w:rPr>
        <w:t>. Ytterligare ett antal sektorsöverskridande diskussioner för att sondera läget planeras med de nationella förvaltningarna fram till utträdesdagen. Insatserna är också inriktade på att tillhandahålla särskild utbildning för tulltjänstemän, genom seminarier</w:t>
      </w:r>
      <w:r>
        <w:rPr>
          <w:rStyle w:val="FootnoteReference"/>
          <w:rFonts w:ascii="Times New Roman" w:hAnsi="Times New Roman"/>
          <w:noProof/>
          <w:color w:val="000000"/>
          <w:sz w:val="24"/>
          <w:u w:color="000000"/>
          <w:bdr w:val="nil"/>
        </w:rPr>
        <w:footnoteReference w:id="22"/>
      </w:r>
      <w:r>
        <w:rPr>
          <w:rFonts w:ascii="Times New Roman" w:hAnsi="Times New Roman"/>
          <w:noProof/>
          <w:color w:val="000000"/>
          <w:sz w:val="24"/>
          <w:u w:color="000000"/>
          <w:bdr w:val="nil"/>
        </w:rPr>
        <w:t>, videoklipp eller animationer, och på att anordna program för snabb rekrytering av ny tullpersonal och omskolning av befintlig personal</w:t>
      </w:r>
      <w:r>
        <w:rPr>
          <w:rStyle w:val="FootnoteReference"/>
          <w:rFonts w:ascii="Times New Roman" w:hAnsi="Times New Roman"/>
          <w:noProof/>
          <w:color w:val="000000"/>
          <w:sz w:val="24"/>
          <w:u w:color="000000"/>
          <w:bdr w:val="nil"/>
        </w:rPr>
        <w:footnoteReference w:id="23"/>
      </w:r>
      <w:r>
        <w:rPr>
          <w:rFonts w:ascii="Times New Roman" w:hAnsi="Times New Roman"/>
          <w:noProof/>
          <w:color w:val="000000"/>
          <w:sz w:val="24"/>
          <w:u w:color="000000"/>
          <w:bdr w:val="nil"/>
        </w:rPr>
        <w:t xml:space="preserve">. </w:t>
      </w:r>
    </w:p>
    <w:p>
      <w:pPr>
        <w:spacing w:after="240" w:line="240" w:lineRule="auto"/>
        <w:jc w:val="both"/>
        <w:rPr>
          <w:rFonts w:ascii="Times New Roman" w:eastAsia="Arial Unicode MS" w:hAnsi="Times New Roman" w:cs="Arial Unicode MS"/>
          <w:noProof/>
          <w:color w:val="000000"/>
          <w:sz w:val="24"/>
          <w:szCs w:val="24"/>
          <w:u w:color="000000"/>
          <w:bdr w:val="nil"/>
        </w:rPr>
      </w:pPr>
      <w:r>
        <w:rPr>
          <w:rFonts w:ascii="Times New Roman" w:hAnsi="Times New Roman"/>
          <w:noProof/>
          <w:color w:val="000000"/>
          <w:sz w:val="24"/>
          <w:u w:color="000000"/>
          <w:bdr w:val="nil"/>
        </w:rPr>
        <w:t>Dessutom fortsätter kommissionen den flerspråkiga kommunikationskampanjen som inleddes den 18 februari 2019</w:t>
      </w:r>
      <w:r>
        <w:rPr>
          <w:rStyle w:val="FootnoteReference"/>
          <w:rFonts w:ascii="Times New Roman" w:hAnsi="Times New Roman"/>
          <w:noProof/>
          <w:color w:val="000000"/>
          <w:sz w:val="24"/>
          <w:u w:color="000000"/>
          <w:bdr w:val="nil"/>
        </w:rPr>
        <w:footnoteReference w:id="24"/>
      </w:r>
      <w:r>
        <w:rPr>
          <w:rFonts w:ascii="Times New Roman" w:hAnsi="Times New Roman"/>
          <w:noProof/>
          <w:color w:val="000000"/>
          <w:sz w:val="24"/>
          <w:u w:color="000000"/>
          <w:bdr w:val="nil"/>
        </w:rPr>
        <w:t xml:space="preserve"> för att nå ut till EU-företag och alla andra intressenter som komplement till deras förberedelser inför Förenade kungarikets utträde. Där ingår till exempel en särskild webbplats</w:t>
      </w:r>
      <w:r>
        <w:rPr>
          <w:rStyle w:val="FootnoteReference"/>
          <w:rFonts w:ascii="Times New Roman" w:hAnsi="Times New Roman"/>
          <w:noProof/>
          <w:color w:val="000000"/>
          <w:sz w:val="24"/>
          <w:u w:color="000000"/>
          <w:bdr w:val="nil"/>
        </w:rPr>
        <w:footnoteReference w:id="25"/>
      </w:r>
      <w:r>
        <w:rPr>
          <w:rFonts w:ascii="Times New Roman" w:hAnsi="Times New Roman"/>
          <w:noProof/>
          <w:color w:val="000000"/>
          <w:sz w:val="24"/>
          <w:u w:color="000000"/>
          <w:bdr w:val="nil"/>
        </w:rPr>
        <w:t xml:space="preserve">, broschyrer, en tullvägledning och webbaserade förklaringar av de tekniska lösningar som håller på att införas för att se till att unionens tullkodex genomförs med avseende på Förenade kungariket i händelse av ett avtalslöst utträde. </w:t>
      </w:r>
    </w:p>
    <w:p>
      <w:pPr>
        <w:spacing w:line="240" w:lineRule="auto"/>
        <w:jc w:val="both"/>
        <w:rPr>
          <w:rFonts w:ascii="Times New Roman" w:eastAsia="Arial Unicode MS" w:hAnsi="Times New Roman" w:cs="Arial Unicode MS"/>
          <w:noProof/>
          <w:color w:val="000000"/>
          <w:sz w:val="24"/>
          <w:szCs w:val="24"/>
          <w:u w:color="000000"/>
          <w:bdr w:val="nil"/>
        </w:rPr>
      </w:pPr>
      <w:r>
        <w:rPr>
          <w:rFonts w:ascii="Times New Roman" w:hAnsi="Times New Roman"/>
          <w:noProof/>
          <w:color w:val="000000"/>
          <w:sz w:val="24"/>
          <w:u w:color="000000"/>
          <w:bdr w:val="nil"/>
        </w:rPr>
        <w:t>De nationella förvaltningarna har gjort betydande investeringar i infrastruktur och mänskliga resurser, främst i de medlemsstater som utgör de huvudsakliga införsel- och utförselställena för EU:s handel med Förenade kungariket. Medlemsstaterna samarbetar också med kommissionen i utbildnings- och kommunikationsinsatserna för att nå ut till ekonomiska aktörer och intressenter.</w:t>
      </w:r>
    </w:p>
    <w:p>
      <w:pPr>
        <w:spacing w:line="240" w:lineRule="auto"/>
        <w:jc w:val="both"/>
        <w:rPr>
          <w:rFonts w:ascii="Times New Roman" w:hAnsi="Times New Roman" w:cs="Times New Roman"/>
          <w:noProof/>
          <w:sz w:val="24"/>
          <w:szCs w:val="24"/>
        </w:rPr>
      </w:pPr>
      <w:r>
        <w:rPr>
          <w:rFonts w:ascii="Times New Roman" w:hAnsi="Times New Roman"/>
          <w:noProof/>
          <w:sz w:val="24"/>
        </w:rPr>
        <w:t xml:space="preserve">Med tanke på det stora antalet aktörer som påverkas är det svårt att fastställa exakt hur förberedda företagen är på tullområdet, men det finns statistiska belägg för att åtgärder har vidtagits. </w:t>
      </w:r>
    </w:p>
    <w:p>
      <w:pPr>
        <w:spacing w:line="240" w:lineRule="auto"/>
        <w:jc w:val="both"/>
        <w:rPr>
          <w:rFonts w:ascii="Times New Roman" w:hAnsi="Times New Roman" w:cs="Times New Roman"/>
          <w:noProof/>
          <w:sz w:val="24"/>
          <w:szCs w:val="24"/>
        </w:rPr>
      </w:pPr>
      <w:r>
        <w:rPr>
          <w:rFonts w:ascii="Times New Roman" w:hAnsi="Times New Roman"/>
          <w:noProof/>
          <w:sz w:val="24"/>
        </w:rPr>
        <w:t>För det första har antalet registrerings- och identitetsnummer (Eori) som beviljas alla aktörer som registrerats av tullmyndigheterna för framtida import- och exportverksamhet ökat betydligt från februari till mars 2019</w:t>
      </w:r>
      <w:r>
        <w:rPr>
          <w:rStyle w:val="FootnoteReference"/>
          <w:rFonts w:ascii="Times New Roman" w:hAnsi="Times New Roman"/>
          <w:noProof/>
          <w:sz w:val="24"/>
        </w:rPr>
        <w:footnoteReference w:id="26"/>
      </w:r>
      <w:r>
        <w:rPr>
          <w:rFonts w:ascii="Times New Roman" w:hAnsi="Times New Roman"/>
          <w:noProof/>
          <w:sz w:val="24"/>
        </w:rPr>
        <w:t>. I detta avseende har kommissionen klargjort</w:t>
      </w:r>
      <w:r>
        <w:rPr>
          <w:rStyle w:val="FootnoteReference"/>
          <w:rFonts w:ascii="Times New Roman" w:hAnsi="Times New Roman"/>
          <w:noProof/>
          <w:sz w:val="24"/>
        </w:rPr>
        <w:footnoteReference w:id="27"/>
      </w:r>
      <w:r>
        <w:rPr>
          <w:rFonts w:ascii="Times New Roman" w:hAnsi="Times New Roman"/>
          <w:noProof/>
          <w:sz w:val="24"/>
        </w:rPr>
        <w:t xml:space="preserve"> att de ekonomiska aktörerna kan lämna de begärda uppgifterna och vidta nödvändiga åtgärder för registrering före utträdesdagen. För det andra har ansökningarna om status som godkänd ekonomisk aktör (AEO), som möjliggör vissa förenklingar och lättnader i tullsammanhang, också ökat</w:t>
      </w:r>
      <w:r>
        <w:rPr>
          <w:rFonts w:ascii="Times New Roman" w:hAnsi="Times New Roman"/>
          <w:noProof/>
          <w:vertAlign w:val="superscript"/>
        </w:rPr>
        <w:footnoteReference w:id="28"/>
      </w:r>
      <w:r>
        <w:rPr>
          <w:rFonts w:ascii="Times New Roman" w:hAnsi="Times New Roman"/>
          <w:noProof/>
          <w:sz w:val="24"/>
        </w:rPr>
        <w:t>. Dessa tendenser tyder på att berörda parter blir allt mer förberedda inom ramen för tullförfarandena, men det innebär inte att alla nödvändiga förberedande åtgärder har vidtagits. Eori-numret och AEO-statusen är endast en del av de åtgärder som de ekonomiska aktörerna behöver vidta för att förbereda sig för ett avtalslöst scenario, vilket till exempel också kan föra med sig förändringar i logistiken och den operativa planeringen, eller eventuellt anställning av tullspecialister. Slutligen bör de ökade insatserna inte begränsas till länder som ligger nära Förenade kungariket: alla företag i EU-27 som avser att fortsätta handeln med Förenade kungariket efter utträdesdagen bör vidta åtgärder och kontakta sin nationella tullmyndighet för att försäkra sig om att företaget har genomfört alla nödvändiga förberedelser.</w:t>
      </w:r>
    </w:p>
    <w:p>
      <w:pPr>
        <w:spacing w:after="240" w:line="240" w:lineRule="auto"/>
        <w:jc w:val="both"/>
        <w:rPr>
          <w:rFonts w:ascii="Times New Roman" w:eastAsia="Arial Unicode MS" w:hAnsi="Times New Roman" w:cs="Arial Unicode MS"/>
          <w:noProof/>
          <w:color w:val="000000"/>
          <w:sz w:val="24"/>
          <w:szCs w:val="24"/>
          <w:u w:color="000000"/>
          <w:bdr w:val="nil"/>
        </w:rPr>
      </w:pPr>
      <w:r>
        <w:rPr>
          <w:rFonts w:ascii="Times New Roman" w:hAnsi="Times New Roman"/>
          <w:noProof/>
          <w:color w:val="000000"/>
          <w:sz w:val="24"/>
          <w:u w:color="000000"/>
          <w:bdr w:val="nil"/>
        </w:rPr>
        <w:t xml:space="preserve">När det gäller sanitära och fytosanitära kontroller har de 27 medlemsstaterna i EU inrättat nya </w:t>
      </w:r>
      <w:r>
        <w:rPr>
          <w:rFonts w:ascii="Times New Roman" w:hAnsi="Times New Roman"/>
          <w:b/>
          <w:noProof/>
          <w:color w:val="000000"/>
          <w:sz w:val="24"/>
          <w:u w:color="000000"/>
          <w:bdr w:val="nil"/>
        </w:rPr>
        <w:t>gränskontrollstationer</w:t>
      </w:r>
      <w:r>
        <w:rPr>
          <w:rFonts w:ascii="Times New Roman" w:hAnsi="Times New Roman"/>
          <w:noProof/>
          <w:color w:val="000000"/>
          <w:sz w:val="24"/>
          <w:u w:color="000000"/>
          <w:bdr w:val="nil"/>
        </w:rPr>
        <w:t xml:space="preserve"> eller utökat befintliga gränskontrollstationer vid införselställen från Förenade kungariket till EU. Som anges ovan kommer den icke-lagstiftningsakt som godkänner dessa gränskontrollstationer att behöva antas igen på grund av den senaste förlängningen av tidsfristen enligt artikel 50.3. Under tiden bör medlemsstaterna i EU-27 använda sig av den extra tid som står till</w:t>
      </w:r>
      <w:r>
        <w:rPr>
          <w:noProof/>
        </w:rPr>
        <w:t xml:space="preserve"> förfogande till att utvärdera behovet av ytterligare justeringar av dessa gränskontrollstationer så att de är fullt fungerande redan från början. Dessutom upprätthåller kommissionen regelbundna kontakter med de mest berörda medlemsstaterna så att det vid ett avtalslöst scenario snabbt kan upprättas landtransporter mellan Irland och resten av Europeiska unionen via Förenade kungariket, inklusive stöd från de nödvändiga IT-systemen.</w:t>
      </w:r>
    </w:p>
    <w:p>
      <w:pPr>
        <w:keepNext/>
        <w:spacing w:after="240" w:line="240" w:lineRule="auto"/>
        <w:jc w:val="both"/>
        <w:rPr>
          <w:rFonts w:ascii="Times New Roman" w:hAnsi="Times New Roman" w:cs="Times New Roman"/>
          <w:b/>
          <w:i/>
          <w:noProof/>
          <w:sz w:val="24"/>
          <w:szCs w:val="24"/>
        </w:rPr>
      </w:pPr>
      <w:r>
        <w:rPr>
          <w:rFonts w:ascii="Times New Roman" w:hAnsi="Times New Roman"/>
          <w:b/>
          <w:i/>
          <w:noProof/>
          <w:sz w:val="24"/>
        </w:rPr>
        <w:t>Transporter</w:t>
      </w:r>
    </w:p>
    <w:p>
      <w:pPr>
        <w:spacing w:line="240" w:lineRule="auto"/>
        <w:jc w:val="both"/>
        <w:rPr>
          <w:rFonts w:ascii="Times New Roman" w:hAnsi="Times New Roman"/>
          <w:noProof/>
          <w:sz w:val="24"/>
          <w:szCs w:val="24"/>
        </w:rPr>
      </w:pPr>
      <w:r>
        <w:rPr>
          <w:rFonts w:ascii="Times New Roman" w:hAnsi="Times New Roman"/>
          <w:noProof/>
          <w:sz w:val="24"/>
        </w:rPr>
        <w:t xml:space="preserve">När det gäller </w:t>
      </w:r>
      <w:r>
        <w:rPr>
          <w:rFonts w:ascii="Times New Roman" w:hAnsi="Times New Roman"/>
          <w:b/>
          <w:noProof/>
          <w:sz w:val="24"/>
        </w:rPr>
        <w:t>lufttransport</w:t>
      </w:r>
      <w:r>
        <w:rPr>
          <w:rFonts w:ascii="Times New Roman" w:hAnsi="Times New Roman"/>
          <w:noProof/>
          <w:sz w:val="24"/>
        </w:rPr>
        <w:t xml:space="preserve"> innehåller beredskapsförordning (EU) 2019/502</w:t>
      </w:r>
      <w:r>
        <w:rPr>
          <w:rStyle w:val="FootnoteReference"/>
          <w:rFonts w:ascii="Times New Roman" w:hAnsi="Times New Roman"/>
          <w:noProof/>
          <w:sz w:val="24"/>
        </w:rPr>
        <w:footnoteReference w:id="29"/>
      </w:r>
      <w:r>
        <w:rPr>
          <w:rFonts w:ascii="Times New Roman" w:hAnsi="Times New Roman"/>
          <w:noProof/>
          <w:sz w:val="24"/>
        </w:rPr>
        <w:t xml:space="preserve"> en särskild mekanism för att EU:s flygbolag ska uppfylla kravet på majoritetsägande och kontroll i EU efter att Förenade kungariket lämnar EU. Flygbolagen hade 15 dagar på sig från och med att förordningen trädde ikraft (dvs. från och med den 28 mars 2019) att lämna in en plan till sin nationella tillståndsmyndighet med en beskrivning av de åtgärder som de kommer att vidta för att uppnå full överensstämmelse med kraven. De behöriga tillståndsmyndigheterna har två månader på sig att bedöma om åtgärderna kommer att säkerställa efterlevnaden och de måste informera kommissionen och lufttrafikföretaget om sin bedömning. Enligt beredskapsförordningen har de berörda flygbolagen fram till den 30 mars 2020 på sig att genomföra åtgärderna så att de överensstämmer helt och fullt med bestämmelserna i EU-rätten om ägande och kontroll.</w:t>
      </w:r>
      <w:r>
        <w:rPr>
          <w:rStyle w:val="FootnoteReference"/>
          <w:rFonts w:ascii="Times New Roman" w:hAnsi="Times New Roman"/>
          <w:noProof/>
          <w:sz w:val="24"/>
        </w:rPr>
        <w:footnoteReference w:id="30"/>
      </w:r>
      <w:r>
        <w:rPr>
          <w:rFonts w:ascii="Times New Roman" w:hAnsi="Times New Roman"/>
          <w:noProof/>
          <w:sz w:val="24"/>
        </w:rPr>
        <w:t xml:space="preserve"> Denna process pågår och kommissionen har regelbundna kontakter med de nationella myndigheterna. Beredskapsförordningen gör det också möjligt för brittiska lufttrafikföretag att lämna in ansökningar om trafiktillstånd från varje medlemsstat där de önskar bedriva verksamhet. Dessa bestämmelser gäller också sedan den 28 mars 2019. </w:t>
      </w:r>
    </w:p>
    <w:p>
      <w:pPr>
        <w:spacing w:line="240" w:lineRule="auto"/>
        <w:jc w:val="both"/>
        <w:rPr>
          <w:rFonts w:ascii="Times New Roman" w:hAnsi="Times New Roman"/>
          <w:noProof/>
          <w:sz w:val="24"/>
          <w:szCs w:val="24"/>
        </w:rPr>
      </w:pPr>
      <w:r>
        <w:rPr>
          <w:rFonts w:ascii="Times New Roman" w:hAnsi="Times New Roman"/>
          <w:noProof/>
          <w:sz w:val="24"/>
        </w:rPr>
        <w:t xml:space="preserve">Aktörer inom </w:t>
      </w:r>
      <w:r>
        <w:rPr>
          <w:rFonts w:ascii="Times New Roman" w:hAnsi="Times New Roman"/>
          <w:b/>
          <w:noProof/>
          <w:sz w:val="24"/>
        </w:rPr>
        <w:t>järnvägstransportsektorn</w:t>
      </w:r>
      <w:r>
        <w:rPr>
          <w:rFonts w:ascii="Times New Roman" w:hAnsi="Times New Roman"/>
          <w:noProof/>
          <w:sz w:val="24"/>
        </w:rPr>
        <w:t xml:space="preserve"> som inte har vidtagit nödvändiga åtgärder för att erhålla relevanta EU-27-dokument bör göra det nu. Beredskapsförordning (EU) 2019/503</w:t>
      </w:r>
      <w:r>
        <w:rPr>
          <w:rStyle w:val="FootnoteReference"/>
          <w:rFonts w:ascii="Times New Roman" w:hAnsi="Times New Roman"/>
          <w:noProof/>
          <w:sz w:val="24"/>
        </w:rPr>
        <w:footnoteReference w:id="31"/>
      </w:r>
      <w:r>
        <w:rPr>
          <w:rFonts w:ascii="Times New Roman" w:hAnsi="Times New Roman"/>
          <w:noProof/>
          <w:sz w:val="24"/>
        </w:rPr>
        <w:t xml:space="preserve"> ger redan en generös tidsram för att säkerställa att reglerna följs och med tanke på förlängningen anser kommissionen att aktörerna har tillräckligt med tid för att se till att reglerna följs vid utträdesdagen. Lokförare som vill fortsätta trafikera gränsöverskridande linjer och som ännu inte erhållit ett förarbevis som är giltigt i EU-27 – och så är fallet för ett stort antal – måste vidta åtgärder för att göra detta. När det gäller säkerhetstillstånd och tillstånd att bedriva järnvägstrafik för järnvägsföretag som kör genom tunneln under Engelska kanalen har de nationella myndigheterna och vissa operatörer vidtagit ytterligare åtgärder för att se till att relevanta EU-27-tillstånd och bevis finns tillgängliga.</w:t>
      </w:r>
    </w:p>
    <w:p>
      <w:pPr>
        <w:keepNext/>
        <w:spacing w:after="240" w:line="240" w:lineRule="auto"/>
        <w:jc w:val="both"/>
        <w:rPr>
          <w:rFonts w:ascii="Times New Roman" w:hAnsi="Times New Roman" w:cs="Times New Roman"/>
          <w:b/>
          <w:i/>
          <w:noProof/>
          <w:sz w:val="24"/>
          <w:szCs w:val="24"/>
        </w:rPr>
      </w:pPr>
      <w:r>
        <w:rPr>
          <w:rFonts w:ascii="Times New Roman" w:hAnsi="Times New Roman"/>
          <w:b/>
          <w:i/>
          <w:noProof/>
          <w:sz w:val="24"/>
        </w:rPr>
        <w:t xml:space="preserve">Fiskeverksamhet </w:t>
      </w:r>
    </w:p>
    <w:p>
      <w:pPr>
        <w:spacing w:after="240" w:line="240" w:lineRule="auto"/>
        <w:jc w:val="both"/>
        <w:rPr>
          <w:rFonts w:ascii="Times New Roman" w:eastAsia="Arial Unicode MS" w:hAnsi="Times New Roman" w:cs="Times New Roman"/>
          <w:noProof/>
          <w:sz w:val="24"/>
          <w:szCs w:val="24"/>
          <w:u w:color="000000"/>
          <w:bdr w:val="nil"/>
        </w:rPr>
      </w:pPr>
      <w:r>
        <w:rPr>
          <w:rFonts w:ascii="Times New Roman" w:hAnsi="Times New Roman"/>
          <w:noProof/>
          <w:sz w:val="24"/>
          <w:u w:color="000000"/>
          <w:bdr w:val="nil"/>
        </w:rPr>
        <w:t xml:space="preserve">Inom </w:t>
      </w:r>
      <w:r>
        <w:rPr>
          <w:rFonts w:ascii="Times New Roman" w:hAnsi="Times New Roman"/>
          <w:b/>
          <w:noProof/>
          <w:sz w:val="24"/>
          <w:u w:color="000000"/>
          <w:bdr w:val="nil"/>
        </w:rPr>
        <w:t>fiskerisektorn</w:t>
      </w:r>
      <w:r>
        <w:rPr>
          <w:rFonts w:ascii="Times New Roman" w:hAnsi="Times New Roman"/>
          <w:noProof/>
          <w:sz w:val="24"/>
          <w:u w:color="000000"/>
          <w:bdr w:val="nil"/>
        </w:rPr>
        <w:t xml:space="preserve"> vidtog kommissionen snabbt åtgärder för att genomföra EU:s beredskapsförordningar</w:t>
      </w:r>
      <w:r>
        <w:rPr>
          <w:rStyle w:val="FootnoteReference"/>
          <w:rFonts w:ascii="Times New Roman" w:hAnsi="Times New Roman"/>
          <w:noProof/>
          <w:sz w:val="24"/>
          <w:u w:color="000000"/>
          <w:bdr w:val="nil"/>
        </w:rPr>
        <w:footnoteReference w:id="32"/>
      </w:r>
      <w:r>
        <w:rPr>
          <w:rFonts w:ascii="Times New Roman" w:hAnsi="Times New Roman"/>
          <w:noProof/>
          <w:sz w:val="24"/>
          <w:u w:color="000000"/>
          <w:bdr w:val="nil"/>
        </w:rPr>
        <w:t xml:space="preserve">. Kommissionen och medlemsstaterna har arbetat tillsammans för att samla in information i lämplig form, så att EU-fartygens ansökningar om tillstånd att få tillgång till brittiska vatten kan hanteras så snart beredskapsförordningen om fisketillstånd börjar gälla. Kommissionen kommer att se till att de strukturer som krävs för att genomföra beredskapsåtgärder vid behov införs snabbt. </w:t>
      </w:r>
    </w:p>
    <w:p>
      <w:pPr>
        <w:spacing w:after="240" w:line="240" w:lineRule="auto"/>
        <w:jc w:val="both"/>
        <w:rPr>
          <w:rFonts w:ascii="Times New Roman" w:hAnsi="Times New Roman"/>
          <w:noProof/>
          <w:sz w:val="24"/>
          <w:szCs w:val="24"/>
        </w:rPr>
      </w:pPr>
      <w:r>
        <w:rPr>
          <w:rFonts w:ascii="Times New Roman" w:hAnsi="Times New Roman"/>
          <w:noProof/>
          <w:sz w:val="24"/>
          <w:u w:color="000000"/>
          <w:bdr w:val="nil"/>
        </w:rPr>
        <w:t xml:space="preserve">Kommissionen har också haft ett nära samarbete med medlemsstaterna för att anpassa deras operativa program så att resurser inom ramen för Europeiska havs- och fiskerifonden kan användas vid tillfälliga fiskestopp, om så behövs och är lämpligt. </w:t>
      </w:r>
      <w:r>
        <w:rPr>
          <w:rFonts w:ascii="Times New Roman" w:hAnsi="Times New Roman"/>
          <w:noProof/>
          <w:sz w:val="24"/>
        </w:rPr>
        <w:t xml:space="preserve">Kommissionen upprepar vikten av att de berörda medlemsstaterna samordnar sin strategi för att förbereda sig för möjligheten att EU-fartyg inte längre har tillträde till Förenade kungarikets vatten. Den är beredd att underlätta ytterligare samråd för att få till stånd en gemensam ram för övervakning av förändringar eller snedvridningar av fiskeverksamheten i EU:s vatten, inklusive eventuell förflyttning av dessa verksamheter, och en samordnad insats, inbegripet eventuell användning av stöd för tillfälliga fiskestopp. Kommissionen kommer också att fortsätta samarbetet med Europeiska fiskerikontrollbyrån, som kan spela en viktig roll då behovet av kontroll, uppföljning och övervakning ökar efter Förenade kungarikets utträde. </w:t>
      </w:r>
    </w:p>
    <w:p>
      <w:pPr>
        <w:spacing w:line="240" w:lineRule="auto"/>
        <w:jc w:val="both"/>
        <w:rPr>
          <w:rFonts w:ascii="Times New Roman" w:hAnsi="Times New Roman"/>
          <w:noProof/>
          <w:sz w:val="24"/>
          <w:szCs w:val="24"/>
        </w:rPr>
      </w:pPr>
      <w:r>
        <w:rPr>
          <w:rFonts w:ascii="Times New Roman" w:hAnsi="Times New Roman"/>
          <w:noProof/>
          <w:sz w:val="24"/>
          <w:u w:color="000000"/>
          <w:bdr w:val="nil"/>
        </w:rPr>
        <w:t>Om Förenade kungariket lämnar Europeiska unionen utan ett avtal den 31 oktober 2019, kommer man vid lämplig tidpunkt att behöva överväga hur detta påverkar fastställandet av fiskemöjligheter för 2020, bland annat genom ett särskilt avtal med Förenade kungariket i enlighet med internationella rättsliga skyldigheter och på grundval av vetenskapliga utlåtanden.</w:t>
      </w:r>
    </w:p>
    <w:p>
      <w:pPr>
        <w:keepNext/>
        <w:spacing w:line="240" w:lineRule="auto"/>
        <w:jc w:val="both"/>
        <w:rPr>
          <w:rFonts w:ascii="Times New Roman" w:hAnsi="Times New Roman" w:cs="Times New Roman"/>
          <w:b/>
          <w:i/>
          <w:noProof/>
          <w:sz w:val="24"/>
          <w:szCs w:val="24"/>
        </w:rPr>
      </w:pPr>
      <w:r>
        <w:rPr>
          <w:rFonts w:ascii="Times New Roman" w:hAnsi="Times New Roman"/>
          <w:b/>
          <w:i/>
          <w:noProof/>
          <w:sz w:val="24"/>
        </w:rPr>
        <w:t xml:space="preserve">Finansiella tjänster </w:t>
      </w:r>
    </w:p>
    <w:p>
      <w:pPr>
        <w:spacing w:line="240" w:lineRule="auto"/>
        <w:jc w:val="both"/>
        <w:rPr>
          <w:rFonts w:ascii="Times New Roman" w:hAnsi="Times New Roman" w:cs="Times New Roman"/>
          <w:noProof/>
          <w:sz w:val="24"/>
          <w:szCs w:val="24"/>
        </w:rPr>
      </w:pPr>
      <w:r>
        <w:rPr>
          <w:rFonts w:ascii="Times New Roman" w:hAnsi="Times New Roman"/>
          <w:noProof/>
          <w:sz w:val="24"/>
        </w:rPr>
        <w:t xml:space="preserve">När det gäller </w:t>
      </w:r>
      <w:r>
        <w:rPr>
          <w:rFonts w:ascii="Times New Roman" w:hAnsi="Times New Roman"/>
          <w:b/>
          <w:noProof/>
          <w:sz w:val="24"/>
        </w:rPr>
        <w:t>finansiella tjänster</w:t>
      </w:r>
      <w:r>
        <w:rPr>
          <w:rFonts w:ascii="Times New Roman" w:hAnsi="Times New Roman"/>
          <w:noProof/>
          <w:sz w:val="24"/>
        </w:rPr>
        <w:t xml:space="preserve"> hade företagen, i upptakten till den </w:t>
      </w:r>
      <w:r>
        <w:rPr>
          <w:rFonts w:ascii="Times New Roman" w:hAnsi="Times New Roman"/>
          <w:noProof/>
          <w:color w:val="000000"/>
          <w:sz w:val="24"/>
          <w:u w:color="000000"/>
          <w:bdr w:val="nil"/>
        </w:rPr>
        <w:t>tidigare utträdesdagen</w:t>
      </w:r>
      <w:r>
        <w:rPr>
          <w:rFonts w:ascii="Times New Roman" w:hAnsi="Times New Roman"/>
          <w:noProof/>
          <w:sz w:val="24"/>
        </w:rPr>
        <w:t xml:space="preserve"> den 12 april 2019, gjort betydande framsteg när det gäller beredskapsplanering, inbegripet etablering i de 27 EU-medlemsstaterna, modifiering (”</w:t>
      </w:r>
      <w:r>
        <w:rPr>
          <w:rFonts w:ascii="Times New Roman" w:hAnsi="Times New Roman"/>
          <w:i/>
          <w:noProof/>
          <w:sz w:val="24"/>
        </w:rPr>
        <w:t>repapering</w:t>
      </w:r>
      <w:r>
        <w:rPr>
          <w:rFonts w:ascii="Times New Roman" w:hAnsi="Times New Roman"/>
          <w:noProof/>
          <w:sz w:val="24"/>
        </w:rPr>
        <w:t>”) eller uppsägning av gränsöverskridande avtal och anpassning av affärsmodeller</w:t>
      </w:r>
      <w:r>
        <w:rPr>
          <w:rStyle w:val="FootnoteReference"/>
          <w:rFonts w:ascii="Times New Roman" w:hAnsi="Times New Roman"/>
          <w:noProof/>
          <w:sz w:val="24"/>
        </w:rPr>
        <w:footnoteReference w:id="33"/>
      </w:r>
      <w:r>
        <w:rPr>
          <w:rFonts w:ascii="Times New Roman" w:hAnsi="Times New Roman"/>
          <w:noProof/>
          <w:sz w:val="24"/>
        </w:rPr>
        <w:t xml:space="preserve">. Vissa frågor kvarstår dock. Försäkringsföretag, betaltjänstleverantörer och andra leverantörer av finansiella tjänster som inte är förberedda i fråga om vissa aspekter av sina verksamheter (t.ex. förvaltning av kontrakt och tillgång till infrastruktur) </w:t>
      </w:r>
      <w:r>
        <w:rPr>
          <w:rFonts w:ascii="Times New Roman" w:hAnsi="Times New Roman"/>
          <w:noProof/>
          <w:color w:val="000000"/>
          <w:sz w:val="24"/>
          <w:u w:color="000000"/>
          <w:bdr w:val="nil"/>
        </w:rPr>
        <w:t>uppmuntras eftertryckligen</w:t>
      </w:r>
      <w:r>
        <w:rPr>
          <w:rFonts w:ascii="Times New Roman" w:hAnsi="Times New Roman"/>
          <w:noProof/>
          <w:sz w:val="24"/>
        </w:rPr>
        <w:t xml:space="preserve"> att slutföra sina förberedande åtgärder senast den 31 oktober 2019. Kommissionen arbetar tillsammans med tillsynsmyndigheter på EU-nivå och nationell nivå för att se till att företagens beredskapsplaner genomförs fullt ut och förväntar sig att de brittiska tillsynsmyndigheterna inte kommer att hindra företag från att genomföra sådana planer. Kommissionen arbetar också tillsammans med medlemsstaterna för att säkerställa en konsekvent strategi för beredskapsplaneringen på området finansiella tjänster på nationell nivå, för att bevara den finansiella stabiliteten och undvika att de likvärdiga förutsättningarna på den inre marknaden för finansiella tjänster inte påverkas negativt. Kommissionen har åtagit sig att arbeta för stabila och öppna finansmarknader. Om Förenade kungariket lämnar Europeiska unionen utan ett avtal den 31 oktober 2019 kommer det emellertid att med nödvändighet leda till en viss fragmentering av marknaden för finansiella tjänster.</w:t>
      </w:r>
    </w:p>
    <w:p>
      <w:pPr>
        <w:pStyle w:val="Heading1"/>
        <w:numPr>
          <w:ilvl w:val="0"/>
          <w:numId w:val="5"/>
        </w:numPr>
        <w:spacing w:before="360" w:after="240" w:line="240" w:lineRule="auto"/>
        <w:ind w:left="425" w:hanging="357"/>
        <w:rPr>
          <w:rFonts w:eastAsia="Arial Unicode MS" w:cs="Arial Unicode MS"/>
          <w:b/>
          <w:bCs/>
          <w:smallCaps/>
          <w:noProof/>
          <w:color w:val="000000"/>
          <w:szCs w:val="24"/>
          <w:u w:color="000000"/>
          <w:bdr w:val="nil"/>
        </w:rPr>
      </w:pPr>
      <w:r>
        <w:rPr>
          <w:b/>
          <w:smallCaps/>
          <w:noProof/>
          <w:color w:val="000000"/>
          <w:u w:color="000000"/>
          <w:bdr w:val="nil"/>
        </w:rPr>
        <w:t>Slutsatser</w:t>
      </w:r>
    </w:p>
    <w:p>
      <w:pPr>
        <w:spacing w:line="240" w:lineRule="auto"/>
        <w:jc w:val="both"/>
        <w:rPr>
          <w:noProof/>
        </w:rPr>
      </w:pPr>
      <w:r>
        <w:rPr>
          <w:rFonts w:ascii="Times New Roman" w:hAnsi="Times New Roman"/>
          <w:noProof/>
          <w:sz w:val="24"/>
        </w:rPr>
        <w:t xml:space="preserve">Kommissionen anser att det inte är omöjligt att Förenade kungariket lämnar EU utan ett avtal, med alla negativa ekonomiska konsekvenser det innebär. Kommissionen har gjort en bedömning av alla EU:s nuvarande beredskapsåtgärder mot bakgrund av förlängningen av </w:t>
      </w:r>
      <w:r>
        <w:rPr>
          <w:rFonts w:ascii="Times New Roman" w:hAnsi="Times New Roman"/>
          <w:noProof/>
          <w:color w:val="000000"/>
          <w:sz w:val="24"/>
          <w:u w:color="000000"/>
          <w:bdr w:val="nil"/>
        </w:rPr>
        <w:t>tidsfristen enligt artikel 50.3</w:t>
      </w:r>
      <w:r>
        <w:rPr>
          <w:rFonts w:ascii="Times New Roman" w:hAnsi="Times New Roman"/>
          <w:noProof/>
          <w:sz w:val="24"/>
        </w:rPr>
        <w:t xml:space="preserve"> och drar slutsatsen att de fortfarande är lämpliga och ändamålsenliga. Kommissionen kommer dock att fortsätta att övervaka den politiska utvecklingen och bedöma om de antagna åtgärdernas varaktighet behöver förlängas. Kommissionen kommer också att fortsätta att bistå medlemsstaterna och berörda parter med deras förberedelser och upprepar vikten av att alla berörda parter använder perioden fram tills tidsfristen löper ut den 31 oktober 2019 för att se till att de är så förberedda som möjligt för alla eventualiteter. </w:t>
      </w:r>
    </w:p>
    <w:sectPr>
      <w:headerReference w:type="even" r:id="rId16"/>
      <w:headerReference w:type="default" r:id="rId17"/>
      <w:footerReference w:type="even" r:id="rId18"/>
      <w:footerReference w:type="default" r:id="rId19"/>
      <w:headerReference w:type="first" r:id="rId20"/>
      <w:footerReference w:type="first" r:id="rId21"/>
      <w:pgSz w:w="11906" w:h="16838" w:code="9"/>
      <w:pgMar w:top="1440" w:right="1440" w:bottom="1134" w:left="1440"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after="0" w:line="240" w:lineRule="auto"/>
      </w:pPr>
      <w:r>
        <w:separator/>
      </w:r>
    </w:p>
  </w:endnote>
  <w:endnote w:type="continuationSeparator" w:id="0">
    <w:p>
      <w:pPr>
        <w:spacing w:after="0" w:line="240" w:lineRule="auto"/>
      </w:pPr>
      <w:r>
        <w:continuationSeparator/>
      </w:r>
    </w:p>
  </w:endnote>
  <w:endnote w:type="continuationNotice" w:id="1">
    <w:p>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CoverPage"/>
      <w:rPr>
        <w:rFonts w:ascii="Arial" w:hAnsi="Arial" w:cs="Arial"/>
        <w:b/>
        <w:sz w:val="48"/>
      </w:rPr>
    </w:pPr>
    <w:r>
      <w:rPr>
        <w:rFonts w:ascii="Arial" w:hAnsi="Arial" w:cs="Arial"/>
        <w:b/>
        <w:sz w:val="48"/>
      </w:rPr>
      <w:t>SV</w:t>
    </w:r>
    <w:r>
      <w:rPr>
        <w:rFonts w:ascii="Arial" w:hAnsi="Arial" w:cs="Arial"/>
        <w:b/>
        <w:sz w:val="48"/>
      </w:rPr>
      <w:tab/>
    </w:r>
    <w:r>
      <w:rPr>
        <w:rFonts w:ascii="Arial" w:hAnsi="Arial" w:cs="Arial"/>
        <w:b/>
        <w:sz w:val="48"/>
      </w:rPr>
      <w:tab/>
    </w:r>
    <w:r>
      <w:tab/>
    </w:r>
    <w:r>
      <w:rPr>
        <w:rFonts w:ascii="Arial" w:hAnsi="Arial" w:cs="Arial"/>
        <w:b/>
        <w:sz w:val="48"/>
      </w:rPr>
      <w:t>SV</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CoverPage"/>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1774744311"/>
      <w:docPartObj>
        <w:docPartGallery w:val="Page Numbers (Bottom of Page)"/>
        <w:docPartUnique/>
      </w:docPartObj>
    </w:sdtPr>
    <w:sdtEndPr>
      <w:rPr>
        <w:noProof/>
      </w:rPr>
    </w:sdtEndPr>
    <w:sdtContent>
      <w:p>
        <w:pPr>
          <w:pStyle w:val="Footer"/>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noProof/>
          </w:rPr>
          <w:t>1</w:t>
        </w:r>
        <w:r>
          <w:rPr>
            <w:rFonts w:ascii="Times New Roman" w:hAnsi="Times New Roman" w:cs="Times New Roman"/>
            <w:noProof/>
          </w:rP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67775796"/>
      <w:docPartObj>
        <w:docPartGallery w:val="Page Numbers (Bottom of Page)"/>
        <w:docPartUnique/>
      </w:docPartObj>
    </w:sdtPr>
    <w:sdtEndPr>
      <w:rPr>
        <w:noProof/>
      </w:rPr>
    </w:sdtEndPr>
    <w:sdtContent>
      <w:p>
        <w:pPr>
          <w:pStyle w:val="Footer"/>
          <w:jc w:val="cente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noProof/>
          </w:rPr>
          <w:t>1</w:t>
        </w:r>
        <w:r>
          <w:rPr>
            <w:rFonts w:ascii="Times New Roman" w:hAnsi="Times New Roman" w:cs="Times New Roman"/>
            <w:noProof/>
          </w:rPr>
          <w:fldChar w:fldCharType="end"/>
        </w:r>
      </w:p>
    </w:sdtContent>
  </w:sdt>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after="0" w:line="240" w:lineRule="auto"/>
      </w:pPr>
      <w:r>
        <w:separator/>
      </w:r>
    </w:p>
  </w:footnote>
  <w:footnote w:type="continuationSeparator" w:id="0">
    <w:p>
      <w:pPr>
        <w:spacing w:after="0" w:line="240" w:lineRule="auto"/>
      </w:pPr>
      <w:r>
        <w:continuationSeparator/>
      </w:r>
    </w:p>
  </w:footnote>
  <w:footnote w:type="continuationNotice" w:id="1">
    <w:p>
      <w:pPr>
        <w:spacing w:after="0" w:line="240" w:lineRule="auto"/>
      </w:pPr>
    </w:p>
  </w:footnote>
  <w:footnote w:id="2">
    <w:p>
      <w:pPr>
        <w:pStyle w:val="FootnoteText"/>
        <w:spacing w:after="60"/>
        <w:ind w:left="284" w:hanging="284"/>
      </w:pPr>
      <w:r>
        <w:rPr>
          <w:rStyle w:val="FootnoteReference"/>
        </w:rPr>
        <w:footnoteRef/>
      </w:r>
      <w:r>
        <w:t xml:space="preserve"> </w:t>
      </w:r>
      <w:r>
        <w:tab/>
        <w:t xml:space="preserve">Europeiska rådets beslut (EU) 2019/584 (EUT L 101, 11.4.2019, s. 1). </w:t>
      </w:r>
    </w:p>
  </w:footnote>
  <w:footnote w:id="3">
    <w:p>
      <w:pPr>
        <w:pStyle w:val="FootnoteText"/>
        <w:spacing w:after="60"/>
        <w:ind w:left="284" w:hanging="284"/>
      </w:pPr>
      <w:r>
        <w:rPr>
          <w:rStyle w:val="FootnoteReference"/>
        </w:rPr>
        <w:footnoteRef/>
      </w:r>
      <w:r>
        <w:t xml:space="preserve"> </w:t>
      </w:r>
      <w:r>
        <w:tab/>
        <w:t>På begäran av Förenade kungariket fattade Europeiska rådet beslut om en första förlängning den 22 mars 2019 (Europeiska rådets beslut (EU) 2019/476, EUT L 80I, 22.3.2019, s. 1).</w:t>
      </w:r>
    </w:p>
  </w:footnote>
  <w:footnote w:id="4">
    <w:p>
      <w:pPr>
        <w:pStyle w:val="FootnoteText"/>
        <w:spacing w:after="60"/>
        <w:ind w:left="284" w:hanging="284"/>
      </w:pPr>
      <w:r>
        <w:rPr>
          <w:rStyle w:val="FootnoteReference"/>
        </w:rPr>
        <w:footnoteRef/>
      </w:r>
      <w:r>
        <w:t xml:space="preserve"> </w:t>
      </w:r>
      <w:r>
        <w:tab/>
        <w:t xml:space="preserve">Den 11 april 2019, efter en andra begäran om förlängning från Förenade kungariket, beslutade Europeiska rådet också att beslutet att förlänga tidsfristen till och med den 31 oktober 2019 skulle upphöra att gälla den 31 maj 2019 om Förenade kungariket inte hade genomfört val till Europaparlamentet och inte hade ratificerat utträdesavtalet senast den 22 maj 2019. Eftersom Förenade kungariket inte hade ratificerat utträdesavtalet den 22 maj 2019 hölls där ett val till Europaparlamentet den 23 maj 2019. </w:t>
      </w:r>
    </w:p>
  </w:footnote>
  <w:footnote w:id="5">
    <w:p>
      <w:pPr>
        <w:pStyle w:val="FootnoteText"/>
        <w:spacing w:after="60"/>
        <w:ind w:left="284" w:hanging="284"/>
      </w:pPr>
      <w:r>
        <w:rPr>
          <w:rStyle w:val="FootnoteReference"/>
        </w:rPr>
        <w:footnoteRef/>
      </w:r>
      <w:r>
        <w:t xml:space="preserve"> </w:t>
      </w:r>
      <w:r>
        <w:tab/>
        <w:t>Avtal om Förenade konungariket Storbritannien och Nordirlands utträde ur Europeiska unionen och Europeiska atomenergigemenskapen (EUT C 144I, 25.4.2019, s. 1).</w:t>
      </w:r>
    </w:p>
  </w:footnote>
  <w:footnote w:id="6">
    <w:p>
      <w:pPr>
        <w:pStyle w:val="FootnoteText"/>
        <w:spacing w:after="60"/>
        <w:ind w:left="284" w:hanging="284"/>
        <w:rPr>
          <w:lang w:val="pt-PT"/>
        </w:rPr>
      </w:pPr>
      <w:r>
        <w:rPr>
          <w:rStyle w:val="FootnoteReference"/>
        </w:rPr>
        <w:footnoteRef/>
      </w:r>
      <w:r>
        <w:rPr>
          <w:lang w:val="pt-PT"/>
        </w:rPr>
        <w:t xml:space="preserve"> </w:t>
      </w:r>
      <w:r>
        <w:rPr>
          <w:lang w:val="pt-PT"/>
        </w:rPr>
        <w:tab/>
        <w:t xml:space="preserve">19.7.2018: COM(2018) 556 final/2, 13.11.2018: COM(2018) 880 final, 19.12.2018: COM(2018) 890 final, 10.4.2019: COM(2019) 195 final. </w:t>
      </w:r>
    </w:p>
  </w:footnote>
  <w:footnote w:id="7">
    <w:p>
      <w:pPr>
        <w:pStyle w:val="FootnoteText"/>
        <w:spacing w:after="60"/>
        <w:ind w:left="284" w:hanging="284"/>
      </w:pPr>
      <w:r>
        <w:rPr>
          <w:rStyle w:val="FootnoteReference"/>
        </w:rPr>
        <w:footnoteRef/>
      </w:r>
      <w:r>
        <w:t xml:space="preserve"> </w:t>
      </w:r>
      <w:r>
        <w:tab/>
        <w:t xml:space="preserve">Externa studier som omfattar både handelskanaler och icke-handelsrelaterade kanaler tyder på en kortsiktig minskning av Förenade kungarikets BNP vid ett avtalslöst scenario, i vilket Förenade kungariket omfattas av WTO:s regler för ”mest gynnad nation”. I IMF:s </w:t>
      </w:r>
      <w:r>
        <w:rPr>
          <w:i/>
        </w:rPr>
        <w:t>World Economic Outlook</w:t>
      </w:r>
      <w:r>
        <w:t xml:space="preserve"> (2019) uppskattas exempelvis en minskning på mellan 3,7 och 4,9 %, medan </w:t>
      </w:r>
      <w:r>
        <w:rPr>
          <w:i/>
        </w:rPr>
        <w:t>Bank of England</w:t>
      </w:r>
      <w:r>
        <w:t xml:space="preserve"> (november 2018) uppskattar en minskning med mellan 4,75 och 7,75 % under fem år, i båda fallen jämfört med ett referensscenario. De genomsnittliga kortsiktiga effekterna för de 27 EU-medlemsstaterna uppskattar IMF (2019) till långt under 1 % medan </w:t>
      </w:r>
      <w:r>
        <w:rPr>
          <w:i/>
        </w:rPr>
        <w:t>Bank of England</w:t>
      </w:r>
      <w:r>
        <w:t xml:space="preserve"> inte gör någon uppskattning för de 27 EU-medlemsstaterna. När det gäller den långsiktiga effekten tyder flera externa studier på en långsiktig negativ inverkan på Förenade kungarikets BNP på cirka 3–8 %. IMF (2019) uppskattar den till nästan 3 % och Förenade kungarikets regering (2018) till 7,7 %. Den genomsnittliga långsiktiga effekten för de 27 EU-medlemsstaterna uppskattas av IMF (2019) till en bra bit under 1 %, helt i linje med de flesta andra studier.</w:t>
      </w:r>
    </w:p>
  </w:footnote>
  <w:footnote w:id="8">
    <w:p>
      <w:pPr>
        <w:pStyle w:val="FootnoteText"/>
        <w:spacing w:after="60"/>
        <w:ind w:left="284" w:hanging="284"/>
      </w:pPr>
      <w:r>
        <w:rPr>
          <w:rStyle w:val="FootnoteReference"/>
        </w:rPr>
        <w:footnoteRef/>
      </w:r>
      <w:r>
        <w:t xml:space="preserve"> </w:t>
      </w:r>
      <w:r>
        <w:tab/>
        <w:t>COM(2019) 195 final.</w:t>
      </w:r>
    </w:p>
  </w:footnote>
  <w:footnote w:id="9">
    <w:p>
      <w:pPr>
        <w:pStyle w:val="FootnoteText"/>
        <w:spacing w:after="60"/>
        <w:ind w:left="284" w:hanging="284"/>
      </w:pPr>
      <w:r>
        <w:rPr>
          <w:rStyle w:val="FootnoteReference"/>
        </w:rPr>
        <w:footnoteRef/>
      </w:r>
      <w:r>
        <w:t xml:space="preserve"> </w:t>
      </w:r>
      <w:r>
        <w:tab/>
        <w:t>EUT L 100 I, 11.4.2019, och EUT L 103, 12.4.2019.</w:t>
      </w:r>
    </w:p>
  </w:footnote>
  <w:footnote w:id="10">
    <w:p>
      <w:pPr>
        <w:pStyle w:val="FootnoteText"/>
        <w:spacing w:after="60"/>
        <w:ind w:left="284" w:hanging="284"/>
      </w:pPr>
      <w:r>
        <w:rPr>
          <w:rStyle w:val="FootnoteReference"/>
        </w:rPr>
        <w:footnoteRef/>
      </w:r>
      <w:r>
        <w:t xml:space="preserve"> </w:t>
      </w:r>
      <w:r>
        <w:tab/>
        <w:t>Dessa rättsakter omfattar följande: i) godkännande av 2019 års program för kontroll av restsubstanser i Förenade kungariket och dess kronbesittningar, ii) fastställande av Förenade kungarikets och dess kronbesittningars status rörande bovin spongiform encefalopati (BSE), iii) upptagande av Förenade kungariket med tillhörande kronbesittningar i förteckningen över tredjeländer som får exportera levande djur och animaliska produkter till EU och iv) godkännande av nya eller utvidgade gränskontrollstationer i de 27 EU-medlemsstater som är mest berörda av importen från Förenade kungariket.</w:t>
      </w:r>
    </w:p>
  </w:footnote>
  <w:footnote w:id="11">
    <w:p>
      <w:pPr>
        <w:pStyle w:val="FootnoteText"/>
        <w:spacing w:after="60"/>
        <w:ind w:left="284" w:hanging="284"/>
      </w:pPr>
      <w:r>
        <w:rPr>
          <w:rStyle w:val="FootnoteReference"/>
        </w:rPr>
        <w:footnoteRef/>
      </w:r>
      <w:r>
        <w:t xml:space="preserve"> </w:t>
      </w:r>
      <w:r>
        <w:tab/>
      </w:r>
      <w:hyperlink r:id="rId1">
        <w:r>
          <w:rPr>
            <w:rStyle w:val="Hyperlink"/>
          </w:rPr>
          <w:t>https://ec.europa.eu/info/brexit/brexit-preparedness/preparedness-notices_sv</w:t>
        </w:r>
      </w:hyperlink>
    </w:p>
  </w:footnote>
  <w:footnote w:id="12">
    <w:p>
      <w:pPr>
        <w:pStyle w:val="FootnoteText"/>
        <w:spacing w:after="60"/>
        <w:ind w:left="284" w:hanging="284"/>
      </w:pPr>
      <w:r>
        <w:rPr>
          <w:rStyle w:val="FootnoteReference"/>
        </w:rPr>
        <w:footnoteRef/>
      </w:r>
      <w:r>
        <w:t xml:space="preserve"> </w:t>
      </w:r>
      <w:r>
        <w:tab/>
        <w:t xml:space="preserve">Exempelvis avtal som innebär ett val av brittisk behörighet (för mer information, se relevanta meddelanden från berörda parter: </w:t>
      </w:r>
      <w:hyperlink r:id="rId2">
        <w:r>
          <w:rPr>
            <w:rStyle w:val="Hyperlink"/>
          </w:rPr>
          <w:t>https://ec.europa.eu/info/sites/info/files/file_import/civil_justice_sv.pdf</w:t>
        </w:r>
      </w:hyperlink>
      <w:r>
        <w:t xml:space="preserve"> )</w:t>
      </w:r>
    </w:p>
  </w:footnote>
  <w:footnote w:id="13">
    <w:p>
      <w:pPr>
        <w:pStyle w:val="FootnoteText"/>
        <w:spacing w:after="60"/>
        <w:ind w:left="284" w:hanging="284"/>
      </w:pPr>
      <w:r>
        <w:rPr>
          <w:rStyle w:val="FootnoteReference"/>
        </w:rPr>
        <w:footnoteRef/>
      </w:r>
      <w:r>
        <w:t xml:space="preserve"> </w:t>
      </w:r>
      <w:r>
        <w:tab/>
      </w:r>
      <w:hyperlink r:id="rId3">
        <w:r>
          <w:rPr>
            <w:rStyle w:val="Hyperlink"/>
          </w:rPr>
          <w:t>https://ec.europa.eu/info/brexit/brexit-preparedness/citizens-rights_sv</w:t>
        </w:r>
      </w:hyperlink>
      <w:r>
        <w:t>.</w:t>
      </w:r>
    </w:p>
  </w:footnote>
  <w:footnote w:id="14">
    <w:p>
      <w:pPr>
        <w:pStyle w:val="FootnoteText"/>
        <w:spacing w:after="60"/>
        <w:ind w:left="284" w:hanging="295"/>
      </w:pPr>
      <w:r>
        <w:rPr>
          <w:rStyle w:val="FootnoteReference"/>
        </w:rPr>
        <w:footnoteRef/>
      </w:r>
      <w:r>
        <w:t xml:space="preserve"> </w:t>
      </w:r>
      <w:r>
        <w:tab/>
      </w:r>
      <w:hyperlink r:id="rId4">
        <w:r>
          <w:rPr>
            <w:rStyle w:val="Hyperlink"/>
          </w:rPr>
          <w:t>https://www.gov.uk/eusettledstatus</w:t>
        </w:r>
      </w:hyperlink>
      <w:r>
        <w:t>.</w:t>
      </w:r>
    </w:p>
  </w:footnote>
  <w:footnote w:id="15">
    <w:p>
      <w:pPr>
        <w:pStyle w:val="FootnoteText"/>
        <w:spacing w:after="60"/>
        <w:ind w:left="284" w:hanging="284"/>
      </w:pPr>
      <w:r>
        <w:rPr>
          <w:rStyle w:val="FootnoteReference"/>
        </w:rPr>
        <w:footnoteRef/>
      </w:r>
      <w:r>
        <w:t xml:space="preserve"> </w:t>
      </w:r>
      <w:r>
        <w:tab/>
        <w:t>Europaparlamentets och rådets förordning (EU) 2019/500 av den 25 mars 2019 om fastställande av beredskapsåtgärder när det gäller samordning av de sociala trygghetssystemen efter Förenade kungarikets utträde ur unionen (EUT L 85I, 27.3.2019, s. 35).</w:t>
      </w:r>
    </w:p>
  </w:footnote>
  <w:footnote w:id="16">
    <w:p>
      <w:pPr>
        <w:pStyle w:val="FootnoteText"/>
        <w:spacing w:after="60"/>
        <w:ind w:left="284" w:hanging="284"/>
      </w:pPr>
      <w:r>
        <w:rPr>
          <w:rStyle w:val="FootnoteReference"/>
        </w:rPr>
        <w:footnoteRef/>
      </w:r>
      <w:r>
        <w:t xml:space="preserve"> </w:t>
      </w:r>
      <w:r>
        <w:tab/>
        <w:t>Exempelvis erbjuda möjligheten att exportera andra kontantförmåner än ålderspension till Förenade kungariket.</w:t>
      </w:r>
    </w:p>
  </w:footnote>
  <w:footnote w:id="17">
    <w:p>
      <w:pPr>
        <w:pStyle w:val="FootnoteText"/>
        <w:spacing w:after="60"/>
        <w:ind w:left="284" w:hanging="284"/>
      </w:pPr>
      <w:r>
        <w:rPr>
          <w:rStyle w:val="FootnoteReference"/>
        </w:rPr>
        <w:footnoteRef/>
      </w:r>
      <w:r>
        <w:t xml:space="preserve"> </w:t>
      </w:r>
      <w:r>
        <w:tab/>
      </w:r>
      <w:hyperlink r:id="rId5">
        <w:r>
          <w:rPr>
            <w:rStyle w:val="Hyperlink"/>
          </w:rPr>
          <w:t>https://ec.europa.eu/info/brexit/brexit-preparedness/citizens-rights_sv</w:t>
        </w:r>
      </w:hyperlink>
      <w:r>
        <w:t>.</w:t>
      </w:r>
    </w:p>
  </w:footnote>
  <w:footnote w:id="18">
    <w:p>
      <w:pPr>
        <w:pStyle w:val="FootnoteText"/>
        <w:spacing w:after="60"/>
        <w:ind w:left="284" w:hanging="284"/>
      </w:pPr>
      <w:r>
        <w:rPr>
          <w:rStyle w:val="FootnoteReference"/>
        </w:rPr>
        <w:footnoteRef/>
      </w:r>
      <w:r>
        <w:t xml:space="preserve"> </w:t>
      </w:r>
      <w:r>
        <w:tab/>
        <w:t>Information om framstegen med dessa förberedande åtgärder kommer att utbytas mellan medlemsstaterna och delas med kommissionen och EMA under månatliga möten i samordningsgrupperna för förfarandet för ömsesidigt erkännande och decentraliserat förfarande – humanläkemedel/veterinärmedicinska läkemedel (CMDh/CMDv) och de regelbundna mötena mellan cheferna för läkemedelsmyndigheterna och deras brexitarbetsgrupp.</w:t>
      </w:r>
    </w:p>
  </w:footnote>
  <w:footnote w:id="19">
    <w:p>
      <w:pPr>
        <w:pStyle w:val="FootnoteText"/>
        <w:spacing w:after="60"/>
        <w:ind w:left="284" w:hanging="284"/>
      </w:pPr>
      <w:r>
        <w:rPr>
          <w:rStyle w:val="FootnoteReference"/>
        </w:rPr>
        <w:footnoteRef/>
      </w:r>
      <w:r>
        <w:t xml:space="preserve"> </w:t>
      </w:r>
      <w:r>
        <w:tab/>
        <w:t>De undantag som föreskrivs i artikel 20 b i direktiv 2001/83/EG (om humanläkemedel) och artikel 24 b i direktiv 2001/82/EG (om veterinärmedicinska läkemedel) kan i vederbörligen motiverade fall användas av de behöriga myndigheterna för att innehavare av godkännande för försäljning ska kunna förlita sig på de kvalitetskontroller som utförs i Förenade kungariket under en begränsad tid och inte längre än till slutet av 2019.</w:t>
      </w:r>
    </w:p>
  </w:footnote>
  <w:footnote w:id="20">
    <w:p>
      <w:pPr>
        <w:pStyle w:val="FootnoteText"/>
        <w:spacing w:after="60"/>
        <w:ind w:left="284" w:hanging="284"/>
      </w:pPr>
      <w:r>
        <w:rPr>
          <w:rStyle w:val="FootnoteReference"/>
        </w:rPr>
        <w:footnoteRef/>
      </w:r>
      <w:r>
        <w:t xml:space="preserve"> </w:t>
      </w:r>
      <w:r>
        <w:tab/>
      </w:r>
      <w:hyperlink r:id="rId6">
        <w:r>
          <w:rPr>
            <w:rStyle w:val="Hyperlink"/>
          </w:rPr>
          <w:t>https://echa.europa.eu/uk-withdrawal-from-the-eu?utm_source=echa.europa.eu&amp;utm_medium=display&amp;utm_campaign=customer-insight&amp;utm_content=banner</w:t>
        </w:r>
      </w:hyperlink>
    </w:p>
  </w:footnote>
  <w:footnote w:id="21">
    <w:p>
      <w:pPr>
        <w:pStyle w:val="FootnoteText"/>
        <w:spacing w:after="60"/>
        <w:ind w:left="284" w:hanging="284"/>
      </w:pPr>
      <w:r>
        <w:rPr>
          <w:rStyle w:val="FootnoteReference"/>
        </w:rPr>
        <w:footnoteRef/>
      </w:r>
      <w:r>
        <w:t xml:space="preserve"> </w:t>
      </w:r>
      <w:r>
        <w:tab/>
        <w:t xml:space="preserve">Vägledningen finns på </w:t>
      </w:r>
      <w:hyperlink r:id="rId7">
        <w:r>
          <w:rPr>
            <w:rStyle w:val="Hyperlink"/>
          </w:rPr>
          <w:t>https://ec.europa.eu/taxation_customs/uk_withdrawal_sv</w:t>
        </w:r>
      </w:hyperlink>
    </w:p>
  </w:footnote>
  <w:footnote w:id="22">
    <w:p>
      <w:pPr>
        <w:pStyle w:val="FootnoteText"/>
        <w:spacing w:after="60"/>
        <w:ind w:left="284" w:hanging="284"/>
      </w:pPr>
      <w:r>
        <w:rPr>
          <w:rStyle w:val="FootnoteReference"/>
        </w:rPr>
        <w:footnoteRef/>
      </w:r>
      <w:r>
        <w:t xml:space="preserve"> </w:t>
      </w:r>
      <w:r>
        <w:tab/>
        <w:t>Ytterligare 15 seminarier är planerade till slutet av 2019.</w:t>
      </w:r>
    </w:p>
  </w:footnote>
  <w:footnote w:id="23">
    <w:p>
      <w:pPr>
        <w:pStyle w:val="FootnoteText"/>
        <w:spacing w:after="60"/>
        <w:ind w:left="284" w:hanging="284"/>
      </w:pPr>
      <w:r>
        <w:rPr>
          <w:rStyle w:val="FootnoteReference"/>
        </w:rPr>
        <w:footnoteRef/>
      </w:r>
      <w:r>
        <w:t xml:space="preserve"> </w:t>
      </w:r>
      <w:r>
        <w:tab/>
        <w:t>För närvarande finns det tre snabbspår för utbildning som är tillgängliga för alla medlemsstater och på alla EU-språk med direkt tillgång till EU-specifikt utbildningsmaterial.</w:t>
      </w:r>
    </w:p>
  </w:footnote>
  <w:footnote w:id="24">
    <w:p>
      <w:pPr>
        <w:pStyle w:val="FootnoteText"/>
        <w:spacing w:after="60"/>
        <w:ind w:left="284" w:hanging="284"/>
      </w:pPr>
      <w:r>
        <w:rPr>
          <w:rStyle w:val="FootnoteReference"/>
        </w:rPr>
        <w:footnoteRef/>
      </w:r>
      <w:r>
        <w:t xml:space="preserve"> </w:t>
      </w:r>
      <w:r>
        <w:tab/>
        <w:t xml:space="preserve">Pressmeddelande: </w:t>
      </w:r>
      <w:hyperlink r:id="rId8">
        <w:r>
          <w:rPr>
            <w:rStyle w:val="Hyperlink"/>
          </w:rPr>
          <w:t>http://europa.eu/rapid/press-release_IP-19-901_sv.htm</w:t>
        </w:r>
      </w:hyperlink>
      <w:r>
        <w:t>.</w:t>
      </w:r>
    </w:p>
  </w:footnote>
  <w:footnote w:id="25">
    <w:p>
      <w:pPr>
        <w:pStyle w:val="FootnoteText"/>
        <w:spacing w:after="60"/>
        <w:ind w:left="284" w:hanging="295"/>
      </w:pPr>
      <w:r>
        <w:rPr>
          <w:rStyle w:val="FootnoteReference"/>
        </w:rPr>
        <w:footnoteRef/>
      </w:r>
      <w:r>
        <w:t xml:space="preserve"> </w:t>
      </w:r>
      <w:r>
        <w:tab/>
      </w:r>
      <w:hyperlink r:id="rId9">
        <w:r>
          <w:rPr>
            <w:rStyle w:val="Hyperlink"/>
          </w:rPr>
          <w:t>https://ec.europa.eu/taxation_customs/uk-withdrawal-sv</w:t>
        </w:r>
      </w:hyperlink>
    </w:p>
  </w:footnote>
  <w:footnote w:id="26">
    <w:p>
      <w:pPr>
        <w:pStyle w:val="FootnoteText"/>
        <w:spacing w:after="60"/>
        <w:ind w:left="284" w:hanging="284"/>
      </w:pPr>
      <w:r>
        <w:rPr>
          <w:rStyle w:val="FootnoteReference"/>
        </w:rPr>
        <w:footnoteRef/>
      </w:r>
      <w:r>
        <w:t xml:space="preserve"> </w:t>
      </w:r>
      <w:r>
        <w:tab/>
        <w:t>Ansökningarna om Eori-nummer ökade betydligt i mars 2019 (från 57 556 i februari 2019 till 306 105 i mars 2019), med en toppnotering i medlemsstater som ligger nära Förenade kungariket. I Frankrike ökade antalet ansökningar med en faktor 55 från 4 020 till 219 924, i Irland ökade de med en faktor sju från 327 i januari till 2 017 respektive 1 941 i februari och mars 2019. De ökade med 50 % i Belgien från 962 till 1 570, och i Italien ökade de sex gånger i mars jämfört med februari 2019, från 5 890 till 31 375 (källa: månatlig rapport från EOS-databasen (Systemet för ekonomiska aktörer)).</w:t>
      </w:r>
    </w:p>
  </w:footnote>
  <w:footnote w:id="27">
    <w:p>
      <w:pPr>
        <w:pStyle w:val="FootnoteText"/>
        <w:spacing w:after="60"/>
        <w:ind w:left="284" w:hanging="284"/>
      </w:pPr>
      <w:r>
        <w:rPr>
          <w:rStyle w:val="FootnoteReference"/>
        </w:rPr>
        <w:footnoteRef/>
      </w:r>
      <w:r>
        <w:t xml:space="preserve"> </w:t>
      </w:r>
      <w:r>
        <w:tab/>
      </w:r>
      <w:hyperlink r:id="rId10">
        <w:r>
          <w:rPr>
            <w:rStyle w:val="Hyperlink"/>
          </w:rPr>
          <w:t>https://ec.europa.eu/info/sites/info/files/file_import/guidance-customs-procedures_sv.pdf</w:t>
        </w:r>
      </w:hyperlink>
      <w:r>
        <w:t>.</w:t>
      </w:r>
    </w:p>
  </w:footnote>
  <w:footnote w:id="28">
    <w:p>
      <w:pPr>
        <w:pStyle w:val="FootnoteText"/>
        <w:spacing w:after="60"/>
        <w:ind w:left="284" w:hanging="284"/>
      </w:pPr>
      <w:r>
        <w:rPr>
          <w:rStyle w:val="FootnoteReference"/>
        </w:rPr>
        <w:footnoteRef/>
      </w:r>
      <w:r>
        <w:t xml:space="preserve"> </w:t>
      </w:r>
      <w:r>
        <w:tab/>
        <w:t>Under 2018 och 2019 ökade AEO-ansökningarna (1 727 ansökningar under 2018 jämfört med 1 449 under 2017 och 943 ansökningar bara under de fem första månaderna 2019). Ökningen är särskilt märkbar i Irland (16 ansökningar 2017 till 42 under 2018 och 76 under de första fem månaderna 2019) och Frankrike (100 ansökningar under de första fem månaderna 2019 jämfört med 132 ansökningar för hela 2018). Eftersom Eori-numret är nödvändigt för att ansöka om status som godkänd ekonomisk aktör kan det inte uteslutas att antalet AEO-ansökningar kan komma att öka ytterligare längre fram på grund av den stora ökningen Eori-registreringar i mars 2019. (källa: månatlig rapport från EOS-databasen (Systemet för ekonomiska aktörer)).</w:t>
      </w:r>
    </w:p>
  </w:footnote>
  <w:footnote w:id="29">
    <w:p>
      <w:pPr>
        <w:pStyle w:val="FootnoteText"/>
        <w:spacing w:after="60"/>
        <w:ind w:left="284" w:hanging="295"/>
      </w:pPr>
      <w:r>
        <w:rPr>
          <w:rStyle w:val="FootnoteReference"/>
        </w:rPr>
        <w:footnoteRef/>
      </w:r>
      <w:r>
        <w:t xml:space="preserve"> </w:t>
      </w:r>
      <w:r>
        <w:tab/>
        <w:t>Europaparlamentets och rådets förordning (EU) 2019/502 av den 25 mars 2019 om gemensamma bestämmelser för grundläggande lufttrafikförbindelser med anledning av Förenade konungariket Storbritannien och Nordirlands utträde ur unionen (EUT L 85I, 27.3.2019, s. 49).</w:t>
      </w:r>
    </w:p>
  </w:footnote>
  <w:footnote w:id="30">
    <w:p>
      <w:pPr>
        <w:pStyle w:val="FootnoteText"/>
        <w:spacing w:after="60"/>
        <w:ind w:left="284" w:hanging="284"/>
      </w:pPr>
      <w:r>
        <w:rPr>
          <w:rStyle w:val="FootnoteReference"/>
        </w:rPr>
        <w:footnoteRef/>
      </w:r>
      <w:r>
        <w:t xml:space="preserve"> </w:t>
      </w:r>
      <w:r>
        <w:tab/>
        <w:t xml:space="preserve">I artikel 16.4 i förordning (EU) 2019/502 anges att den upphör att gälla det av följande datum som infaller först: a) Den dag då ett heltäckande avtal med Förenade kungariket om tillhandahållande av lufttransport, som unionen är part i, träder i kraft eller, i förekommande fall, tillämpas provisoriskt, eller b) den 30 mars 2020. </w:t>
      </w:r>
    </w:p>
  </w:footnote>
  <w:footnote w:id="31">
    <w:p>
      <w:pPr>
        <w:pStyle w:val="FootnoteText"/>
        <w:spacing w:after="60"/>
        <w:ind w:left="284" w:hanging="295"/>
      </w:pPr>
      <w:r>
        <w:rPr>
          <w:rStyle w:val="FootnoteReference"/>
        </w:rPr>
        <w:footnoteRef/>
      </w:r>
      <w:r>
        <w:t xml:space="preserve"> </w:t>
      </w:r>
      <w:r>
        <w:tab/>
        <w:t>Europaparlamentets och rådets förordning (EU) 2019/503 av den 25 mars 2019 om vissa aspekter av järnvägssäkerhet och järnvägsförbindelser med anledning av Förenade kungarikets utträde ur unionen (EUT L 85I, 27.3.2019, s. 60).</w:t>
      </w:r>
    </w:p>
  </w:footnote>
  <w:footnote w:id="32">
    <w:p>
      <w:pPr>
        <w:pStyle w:val="FootnoteText"/>
        <w:spacing w:after="60"/>
        <w:ind w:left="284" w:hanging="284"/>
      </w:pPr>
      <w:r>
        <w:rPr>
          <w:rStyle w:val="FootnoteReference"/>
        </w:rPr>
        <w:footnoteRef/>
      </w:r>
      <w:r>
        <w:t xml:space="preserve"> </w:t>
      </w:r>
      <w:r>
        <w:tab/>
        <w:t>Europaparlamentets och rådets förordning (EU) 2019/498 av den 25 mars 2019 om ändring av förordning (EU) 2017/2403 vad gäller fisketillstånd för unionsfiskefartyg i Förenade kungarikets vatten och Förenade kungarikets fiskefartygs fiskeinsatser i unionens vatten (EUT L 85I, 27.3.2019, s. 25). Europaparlamentets och rådets förordning (EU) 2019/497 av den 25 mars 2019 om ändring av förordning (EU) nr 508/2014 vad gäller vissa regler som rör Europeiska havs- och fiskerifonden efter Förenade kungarikets utträde ur unionen (EUT L 85I, 27.3.2019, s. 22).</w:t>
      </w:r>
    </w:p>
  </w:footnote>
  <w:footnote w:id="33">
    <w:p>
      <w:pPr>
        <w:pStyle w:val="FootnoteText"/>
        <w:spacing w:after="60"/>
        <w:ind w:left="284" w:hanging="284"/>
      </w:pPr>
      <w:r>
        <w:rPr>
          <w:rStyle w:val="FootnoteReference"/>
        </w:rPr>
        <w:footnoteRef/>
      </w:r>
      <w:r>
        <w:t xml:space="preserve"> </w:t>
      </w:r>
      <w:r>
        <w:tab/>
        <w:t xml:space="preserve">Europeiska centralbanken och de europeiska tillsynsmyndigheterna bedömer på grundval av uppgifter om beredskapsplaneringen att den totala förberedelsenivån inom finanssektorn är tillfredsställande. </w:t>
      </w:r>
      <w:r>
        <w:rPr>
          <w:i/>
        </w:rPr>
        <w:t>Bank of England</w:t>
      </w:r>
      <w:r>
        <w:t xml:space="preserve"> har uppgett att förberedelsenivån inom den finansiella sektorn i Förenade kungariket är tillräcklig. Enligt ECB:s </w:t>
      </w:r>
      <w:r>
        <w:rPr>
          <w:i/>
        </w:rPr>
        <w:t>Financial Stability Review</w:t>
      </w:r>
      <w:r>
        <w:t xml:space="preserve"> från maj 2019 medför ”brexit utan avtal [...] hanterbara risker för euroområdets övergripande finansiella stabilitet och myndigheterna har gjort föreberedelser för detta scenario”.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CoverPag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CoverPage"/>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878C0"/>
    <w:multiLevelType w:val="hybridMultilevel"/>
    <w:tmpl w:val="509E4720"/>
    <w:lvl w:ilvl="0" w:tplc="08090019">
      <w:start w:val="1"/>
      <w:numFmt w:val="lowerLetter"/>
      <w:lvlText w:val="%1."/>
      <w:lvlJc w:val="left"/>
      <w:pPr>
        <w:ind w:left="1210" w:hanging="360"/>
      </w:pPr>
      <w:rPr>
        <w:rFonts w:hint="default"/>
      </w:rPr>
    </w:lvl>
    <w:lvl w:ilvl="1" w:tplc="08090019" w:tentative="1">
      <w:start w:val="1"/>
      <w:numFmt w:val="lowerLetter"/>
      <w:lvlText w:val="%2."/>
      <w:lvlJc w:val="left"/>
      <w:pPr>
        <w:ind w:left="1930" w:hanging="360"/>
      </w:pPr>
    </w:lvl>
    <w:lvl w:ilvl="2" w:tplc="0809001B" w:tentative="1">
      <w:start w:val="1"/>
      <w:numFmt w:val="lowerRoman"/>
      <w:lvlText w:val="%3."/>
      <w:lvlJc w:val="right"/>
      <w:pPr>
        <w:ind w:left="2650" w:hanging="180"/>
      </w:pPr>
    </w:lvl>
    <w:lvl w:ilvl="3" w:tplc="0809000F" w:tentative="1">
      <w:start w:val="1"/>
      <w:numFmt w:val="decimal"/>
      <w:lvlText w:val="%4."/>
      <w:lvlJc w:val="left"/>
      <w:pPr>
        <w:ind w:left="3370" w:hanging="360"/>
      </w:pPr>
    </w:lvl>
    <w:lvl w:ilvl="4" w:tplc="08090019" w:tentative="1">
      <w:start w:val="1"/>
      <w:numFmt w:val="lowerLetter"/>
      <w:lvlText w:val="%5."/>
      <w:lvlJc w:val="left"/>
      <w:pPr>
        <w:ind w:left="4090" w:hanging="360"/>
      </w:pPr>
    </w:lvl>
    <w:lvl w:ilvl="5" w:tplc="0809001B" w:tentative="1">
      <w:start w:val="1"/>
      <w:numFmt w:val="lowerRoman"/>
      <w:lvlText w:val="%6."/>
      <w:lvlJc w:val="right"/>
      <w:pPr>
        <w:ind w:left="4810" w:hanging="180"/>
      </w:pPr>
    </w:lvl>
    <w:lvl w:ilvl="6" w:tplc="0809000F" w:tentative="1">
      <w:start w:val="1"/>
      <w:numFmt w:val="decimal"/>
      <w:lvlText w:val="%7."/>
      <w:lvlJc w:val="left"/>
      <w:pPr>
        <w:ind w:left="5530" w:hanging="360"/>
      </w:pPr>
    </w:lvl>
    <w:lvl w:ilvl="7" w:tplc="08090019" w:tentative="1">
      <w:start w:val="1"/>
      <w:numFmt w:val="lowerLetter"/>
      <w:lvlText w:val="%8."/>
      <w:lvlJc w:val="left"/>
      <w:pPr>
        <w:ind w:left="6250" w:hanging="360"/>
      </w:pPr>
    </w:lvl>
    <w:lvl w:ilvl="8" w:tplc="0809001B" w:tentative="1">
      <w:start w:val="1"/>
      <w:numFmt w:val="lowerRoman"/>
      <w:lvlText w:val="%9."/>
      <w:lvlJc w:val="right"/>
      <w:pPr>
        <w:ind w:left="6970" w:hanging="180"/>
      </w:pPr>
    </w:lvl>
  </w:abstractNum>
  <w:abstractNum w:abstractNumId="1">
    <w:nsid w:val="0D632FB9"/>
    <w:multiLevelType w:val="hybridMultilevel"/>
    <w:tmpl w:val="8884BFB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3121696"/>
    <w:multiLevelType w:val="hybridMultilevel"/>
    <w:tmpl w:val="8EDC0F4A"/>
    <w:lvl w:ilvl="0" w:tplc="172C5FB2">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28921177"/>
    <w:multiLevelType w:val="hybridMultilevel"/>
    <w:tmpl w:val="5FF836B0"/>
    <w:lvl w:ilvl="0" w:tplc="08090003">
      <w:start w:val="1"/>
      <w:numFmt w:val="bullet"/>
      <w:lvlText w:val="o"/>
      <w:lvlJc w:val="left"/>
      <w:pPr>
        <w:ind w:left="360" w:hanging="360"/>
      </w:pPr>
      <w:rPr>
        <w:rFonts w:ascii="Courier New" w:hAnsi="Courier New" w:cs="Times New Roman"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
    <w:nsid w:val="297A5C76"/>
    <w:multiLevelType w:val="hybridMultilevel"/>
    <w:tmpl w:val="A46E7C4C"/>
    <w:lvl w:ilvl="0" w:tplc="4DAC2E4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A523DA4"/>
    <w:multiLevelType w:val="hybridMultilevel"/>
    <w:tmpl w:val="1EE6A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1866E21"/>
    <w:multiLevelType w:val="hybridMultilevel"/>
    <w:tmpl w:val="3FC28354"/>
    <w:lvl w:ilvl="0" w:tplc="9008FBF2">
      <w:start w:val="1"/>
      <w:numFmt w:val="lowerRoman"/>
      <w:lvlText w:val="%1."/>
      <w:lvlJc w:val="left"/>
      <w:pPr>
        <w:ind w:left="2160" w:hanging="72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7">
    <w:nsid w:val="45E23C08"/>
    <w:multiLevelType w:val="hybridMultilevel"/>
    <w:tmpl w:val="581462EE"/>
    <w:lvl w:ilvl="0" w:tplc="A9861BB6">
      <w:start w:val="1"/>
      <w:numFmt w:val="decimal"/>
      <w:lvlText w:val="%1."/>
      <w:lvlJc w:val="left"/>
      <w:pPr>
        <w:ind w:left="1353" w:hanging="360"/>
      </w:pPr>
      <w:rPr>
        <w:rFonts w:eastAsia="Arial Unicode MS" w:cs="Arial Unicode MS" w:hint="default"/>
        <w:b/>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A613D34"/>
    <w:multiLevelType w:val="hybridMultilevel"/>
    <w:tmpl w:val="5D2E3BCA"/>
    <w:lvl w:ilvl="0" w:tplc="04060011">
      <w:start w:val="1"/>
      <w:numFmt w:val="decimal"/>
      <w:lvlText w:val="%1)"/>
      <w:lvlJc w:val="left"/>
      <w:pPr>
        <w:ind w:left="720" w:hanging="360"/>
      </w:pPr>
      <w:rPr>
        <w:rFonts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9">
    <w:nsid w:val="515D13DE"/>
    <w:multiLevelType w:val="hybridMultilevel"/>
    <w:tmpl w:val="8EDC0F4A"/>
    <w:lvl w:ilvl="0" w:tplc="172C5FB2">
      <w:start w:val="1"/>
      <w:numFmt w:val="lowerRoman"/>
      <w:lvlText w:val="%1."/>
      <w:lvlJc w:val="left"/>
      <w:pPr>
        <w:ind w:left="851" w:hanging="720"/>
      </w:pPr>
      <w:rPr>
        <w:rFonts w:hint="default"/>
      </w:rPr>
    </w:lvl>
    <w:lvl w:ilvl="1" w:tplc="08090019" w:tentative="1">
      <w:start w:val="1"/>
      <w:numFmt w:val="lowerLetter"/>
      <w:lvlText w:val="%2."/>
      <w:lvlJc w:val="left"/>
      <w:pPr>
        <w:ind w:left="1211" w:hanging="360"/>
      </w:pPr>
    </w:lvl>
    <w:lvl w:ilvl="2" w:tplc="0809001B" w:tentative="1">
      <w:start w:val="1"/>
      <w:numFmt w:val="lowerRoman"/>
      <w:lvlText w:val="%3."/>
      <w:lvlJc w:val="right"/>
      <w:pPr>
        <w:ind w:left="1931" w:hanging="180"/>
      </w:pPr>
    </w:lvl>
    <w:lvl w:ilvl="3" w:tplc="0809000F" w:tentative="1">
      <w:start w:val="1"/>
      <w:numFmt w:val="decimal"/>
      <w:lvlText w:val="%4."/>
      <w:lvlJc w:val="left"/>
      <w:pPr>
        <w:ind w:left="2651" w:hanging="360"/>
      </w:pPr>
    </w:lvl>
    <w:lvl w:ilvl="4" w:tplc="08090019" w:tentative="1">
      <w:start w:val="1"/>
      <w:numFmt w:val="lowerLetter"/>
      <w:lvlText w:val="%5."/>
      <w:lvlJc w:val="left"/>
      <w:pPr>
        <w:ind w:left="3371" w:hanging="360"/>
      </w:pPr>
    </w:lvl>
    <w:lvl w:ilvl="5" w:tplc="0809001B" w:tentative="1">
      <w:start w:val="1"/>
      <w:numFmt w:val="lowerRoman"/>
      <w:lvlText w:val="%6."/>
      <w:lvlJc w:val="right"/>
      <w:pPr>
        <w:ind w:left="4091" w:hanging="180"/>
      </w:pPr>
    </w:lvl>
    <w:lvl w:ilvl="6" w:tplc="0809000F" w:tentative="1">
      <w:start w:val="1"/>
      <w:numFmt w:val="decimal"/>
      <w:lvlText w:val="%7."/>
      <w:lvlJc w:val="left"/>
      <w:pPr>
        <w:ind w:left="4811" w:hanging="360"/>
      </w:pPr>
    </w:lvl>
    <w:lvl w:ilvl="7" w:tplc="08090019" w:tentative="1">
      <w:start w:val="1"/>
      <w:numFmt w:val="lowerLetter"/>
      <w:lvlText w:val="%8."/>
      <w:lvlJc w:val="left"/>
      <w:pPr>
        <w:ind w:left="5531" w:hanging="360"/>
      </w:pPr>
    </w:lvl>
    <w:lvl w:ilvl="8" w:tplc="0809001B" w:tentative="1">
      <w:start w:val="1"/>
      <w:numFmt w:val="lowerRoman"/>
      <w:lvlText w:val="%9."/>
      <w:lvlJc w:val="right"/>
      <w:pPr>
        <w:ind w:left="6251" w:hanging="180"/>
      </w:pPr>
    </w:lvl>
  </w:abstractNum>
  <w:abstractNum w:abstractNumId="10">
    <w:nsid w:val="5D583119"/>
    <w:multiLevelType w:val="hybridMultilevel"/>
    <w:tmpl w:val="F886CD5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62FC27D6"/>
    <w:multiLevelType w:val="hybridMultilevel"/>
    <w:tmpl w:val="EAE61E4A"/>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2">
    <w:nsid w:val="63E05565"/>
    <w:multiLevelType w:val="hybridMultilevel"/>
    <w:tmpl w:val="29B68410"/>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669D535D"/>
    <w:multiLevelType w:val="hybridMultilevel"/>
    <w:tmpl w:val="718CA78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6743485E"/>
    <w:multiLevelType w:val="hybridMultilevel"/>
    <w:tmpl w:val="FCB69320"/>
    <w:lvl w:ilvl="0" w:tplc="B6AA3FF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68431CEB"/>
    <w:multiLevelType w:val="hybridMultilevel"/>
    <w:tmpl w:val="6D1E7FAE"/>
    <w:lvl w:ilvl="0" w:tplc="0809001B">
      <w:start w:val="1"/>
      <w:numFmt w:val="lowerRoman"/>
      <w:lvlText w:val="%1."/>
      <w:lvlJc w:val="righ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A411C0E"/>
    <w:multiLevelType w:val="hybridMultilevel"/>
    <w:tmpl w:val="8EDC0F4A"/>
    <w:lvl w:ilvl="0" w:tplc="172C5FB2">
      <w:start w:val="1"/>
      <w:numFmt w:val="lowerRoman"/>
      <w:lvlText w:val="%1."/>
      <w:lvlJc w:val="left"/>
      <w:pPr>
        <w:ind w:left="851" w:hanging="720"/>
      </w:pPr>
      <w:rPr>
        <w:rFonts w:hint="default"/>
      </w:rPr>
    </w:lvl>
    <w:lvl w:ilvl="1" w:tplc="08090019" w:tentative="1">
      <w:start w:val="1"/>
      <w:numFmt w:val="lowerLetter"/>
      <w:lvlText w:val="%2."/>
      <w:lvlJc w:val="left"/>
      <w:pPr>
        <w:ind w:left="1211" w:hanging="360"/>
      </w:pPr>
    </w:lvl>
    <w:lvl w:ilvl="2" w:tplc="0809001B" w:tentative="1">
      <w:start w:val="1"/>
      <w:numFmt w:val="lowerRoman"/>
      <w:lvlText w:val="%3."/>
      <w:lvlJc w:val="right"/>
      <w:pPr>
        <w:ind w:left="1931" w:hanging="180"/>
      </w:pPr>
    </w:lvl>
    <w:lvl w:ilvl="3" w:tplc="0809000F" w:tentative="1">
      <w:start w:val="1"/>
      <w:numFmt w:val="decimal"/>
      <w:lvlText w:val="%4."/>
      <w:lvlJc w:val="left"/>
      <w:pPr>
        <w:ind w:left="2651" w:hanging="360"/>
      </w:pPr>
    </w:lvl>
    <w:lvl w:ilvl="4" w:tplc="08090019" w:tentative="1">
      <w:start w:val="1"/>
      <w:numFmt w:val="lowerLetter"/>
      <w:lvlText w:val="%5."/>
      <w:lvlJc w:val="left"/>
      <w:pPr>
        <w:ind w:left="3371" w:hanging="360"/>
      </w:pPr>
    </w:lvl>
    <w:lvl w:ilvl="5" w:tplc="0809001B" w:tentative="1">
      <w:start w:val="1"/>
      <w:numFmt w:val="lowerRoman"/>
      <w:lvlText w:val="%6."/>
      <w:lvlJc w:val="right"/>
      <w:pPr>
        <w:ind w:left="4091" w:hanging="180"/>
      </w:pPr>
    </w:lvl>
    <w:lvl w:ilvl="6" w:tplc="0809000F" w:tentative="1">
      <w:start w:val="1"/>
      <w:numFmt w:val="decimal"/>
      <w:lvlText w:val="%7."/>
      <w:lvlJc w:val="left"/>
      <w:pPr>
        <w:ind w:left="4811" w:hanging="360"/>
      </w:pPr>
    </w:lvl>
    <w:lvl w:ilvl="7" w:tplc="08090019" w:tentative="1">
      <w:start w:val="1"/>
      <w:numFmt w:val="lowerLetter"/>
      <w:lvlText w:val="%8."/>
      <w:lvlJc w:val="left"/>
      <w:pPr>
        <w:ind w:left="5531" w:hanging="360"/>
      </w:pPr>
    </w:lvl>
    <w:lvl w:ilvl="8" w:tplc="0809001B" w:tentative="1">
      <w:start w:val="1"/>
      <w:numFmt w:val="lowerRoman"/>
      <w:lvlText w:val="%9."/>
      <w:lvlJc w:val="right"/>
      <w:pPr>
        <w:ind w:left="6251" w:hanging="180"/>
      </w:pPr>
    </w:lvl>
  </w:abstractNum>
  <w:abstractNum w:abstractNumId="17">
    <w:nsid w:val="6B8932A6"/>
    <w:multiLevelType w:val="hybridMultilevel"/>
    <w:tmpl w:val="6D1E7FAE"/>
    <w:lvl w:ilvl="0" w:tplc="0809001B">
      <w:start w:val="1"/>
      <w:numFmt w:val="lowerRoman"/>
      <w:lvlText w:val="%1."/>
      <w:lvlJc w:val="righ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14"/>
  </w:num>
  <w:num w:numId="4">
    <w:abstractNumId w:val="2"/>
  </w:num>
  <w:num w:numId="5">
    <w:abstractNumId w:val="7"/>
  </w:num>
  <w:num w:numId="6">
    <w:abstractNumId w:val="1"/>
  </w:num>
  <w:num w:numId="7">
    <w:abstractNumId w:val="16"/>
  </w:num>
  <w:num w:numId="8">
    <w:abstractNumId w:val="9"/>
  </w:num>
  <w:num w:numId="9">
    <w:abstractNumId w:val="5"/>
  </w:num>
  <w:num w:numId="10">
    <w:abstractNumId w:val="4"/>
  </w:num>
  <w:num w:numId="11">
    <w:abstractNumId w:val="17"/>
  </w:num>
  <w:num w:numId="12">
    <w:abstractNumId w:val="15"/>
  </w:num>
  <w:num w:numId="13">
    <w:abstractNumId w:val="10"/>
  </w:num>
  <w:num w:numId="14">
    <w:abstractNumId w:val="3"/>
  </w:num>
  <w:num w:numId="15">
    <w:abstractNumId w:val="11"/>
  </w:num>
  <w:num w:numId="16">
    <w:abstractNumId w:val="8"/>
  </w:num>
  <w:num w:numId="17">
    <w:abstractNumId w:val="12"/>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removeDateAndTime/>
  <w:hideSpellingErrors/>
  <w:hideGrammaticalErrors/>
  <w:revisionView w:markup="0"/>
  <w:defaultTabStop w:val="720"/>
  <w:hyphenationZone w:val="425"/>
  <w:characterSpacingControl w:val="doNotCompress"/>
  <w:hdrShapeDefaults>
    <o:shapedefaults v:ext="edit" spidmax="2252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ocStatus" w:val="Green"/>
    <w:docVar w:name="LW_CORRIGENDUM" w:val="&lt;UNUSED&gt;"/>
    <w:docVar w:name="LW_COVERPAGE_EXISTS" w:val="True"/>
    <w:docVar w:name="LW_COVERPAGE_GUID" w:val="1FE70CC6-8D3A-4E79-A899-0B0DF380B909"/>
    <w:docVar w:name="LW_COVERPAGE_TYPE" w:val="1"/>
    <w:docVar w:name="LW_CROSSREFERENCE" w:val="&lt;UNUSED&gt;"/>
    <w:docVar w:name="LW_DocType" w:val="NORMAL"/>
    <w:docVar w:name="LW_EMISSION" w:val="12.6.2019"/>
    <w:docVar w:name="LW_EMISSION_ISODATE" w:val="2019-06-12"/>
    <w:docVar w:name="LW_EMISSION_LOCATION" w:val="BRX"/>
    <w:docVar w:name="LW_EMISSION_PREFIX" w:val="Bryssel den "/>
    <w:docVar w:name="LW_EMISSION_SUFFIX" w:val=" "/>
    <w:docVar w:name="LW_ID_DOCTYPE_NONLW" w:val="CP-009"/>
    <w:docVar w:name="LW_LANGUE" w:val="SV"/>
    <w:docVar w:name="LW_LEVEL_OF_SENSITIVITY" w:val="Standard treatment"/>
    <w:docVar w:name="LW_NOM.INST" w:val="EUROPEISKA KOMMISSIONEN"/>
    <w:docVar w:name="LW_NOM.INST_JOINTDOC" w:val="&lt;EMPTY&gt;"/>
    <w:docVar w:name="LW_PART_NBR" w:val="1"/>
    <w:docVar w:name="LW_PART_NBR_TOTAL" w:val="1"/>
    <w:docVar w:name="LW_REF.INST.NEW" w:val="COM"/>
    <w:docVar w:name="LW_REF.INST.NEW_ADOPTED" w:val="final"/>
    <w:docVar w:name="LW_REF.INST.NEW_TEXT" w:val="(2019) 276"/>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 xsi:nil=&quot;true&quot; /&gt;_x000d__x000a_  &lt;limited xsi:nil=&quot;true&quot; /&gt;_x000d__x000a_  &lt;detached xsi:nil=&quot;true&quot; /&gt;_x000d__x000a_  &lt;declassify xsi:nil=&quot;true&quot; /&gt;_x000d__x000a_  &lt;headerTexts xsi:nil=&quot;true&quot; /&gt;_x000d__x000a_  &lt;footerTexts xsi:nil=&quot;true&quot; /&gt;_x000d__x000a_  &lt;footnote xsi:nil=&quot;true&quot; /&gt;_x000d__x000a_  &lt;isRestricted&gt;false&lt;/isRestricted&gt;_x000d__x000a_&lt;/SensitivityLevel&gt;"/>
    <w:docVar w:name="LW_SUPERTITRE" w:val="&lt;UNUSED&gt;"/>
    <w:docVar w:name="LW_TITRE.OBJ.CP" w:val="Lägesrapport om förberedelserna för beredskapsåtgärder inför Förenade kungarikets utträde ur Europeiska unionen"/>
    <w:docVar w:name="LW_TYPE.DOC.CP" w:val="MEDDELANDE FRÅN KOMMISSIONEN"/>
    <w:docVar w:name="LW_TYPE.DOC.CP.USERTEXT" w:val="TILL EUROPAPARLAMENTET, EUROPEISKA RÅDET, RÅDET, EUROPEISKA CENTRALBANKEN, EUROPEISKA EKONOMISKA OCH SOCIALA KOMMITTÉN, REGIONKOMMITTÉN OCH EUROPEISKA INVESTERINGSBANKEN"/>
  </w:docVar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v-SE" w:eastAsia="sv-SE" w:bidi="sv-SE"/>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imes New Roman" w:eastAsiaTheme="majorEastAsia" w:hAnsi="Times New Roman" w:cstheme="majorBidi"/>
      <w:color w:val="000000" w:themeColor="text1"/>
      <w:sz w:val="24"/>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arker">
    <w:name w:val="Marker"/>
    <w:basedOn w:val="DefaultParagraphFont"/>
    <w:rPr>
      <w:color w:val="0000FF"/>
      <w:shd w:val="clear" w:color="auto" w:fill="auto"/>
    </w:rPr>
  </w:style>
  <w:style w:type="paragraph" w:customStyle="1" w:styleId="Pagedecouverture">
    <w:name w:val="Page de couverture"/>
    <w:basedOn w:val="Normal"/>
    <w:next w:val="Normal"/>
    <w:pPr>
      <w:spacing w:after="0" w:line="240" w:lineRule="auto"/>
      <w:jc w:val="both"/>
    </w:pPr>
    <w:rPr>
      <w:rFonts w:ascii="Times New Roman" w:hAnsi="Times New Roman" w:cs="Times New Roman"/>
      <w:sz w:val="24"/>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customStyle="1" w:styleId="FooterCoverPage">
    <w:name w:val="Footer Cover Page"/>
    <w:basedOn w:val="Normal"/>
    <w:link w:val="FooterCoverPageChar"/>
    <w:pPr>
      <w:tabs>
        <w:tab w:val="center" w:pos="4535"/>
        <w:tab w:val="right" w:pos="9071"/>
        <w:tab w:val="right" w:pos="9921"/>
      </w:tabs>
      <w:spacing w:before="360" w:after="0" w:line="240" w:lineRule="auto"/>
      <w:ind w:left="-850" w:right="-850"/>
    </w:pPr>
    <w:rPr>
      <w:rFonts w:ascii="Times New Roman" w:hAnsi="Times New Roman" w:cs="Times New Roman"/>
      <w:sz w:val="24"/>
    </w:rPr>
  </w:style>
  <w:style w:type="character" w:customStyle="1" w:styleId="FooterCoverPageChar">
    <w:name w:val="Footer Cover Page Char"/>
    <w:basedOn w:val="DefaultParagraphFont"/>
    <w:link w:val="FooterCoverPage"/>
    <w:rPr>
      <w:rFonts w:ascii="Times New Roman" w:hAnsi="Times New Roman" w:cs="Times New Roman"/>
      <w:sz w:val="24"/>
    </w:rPr>
  </w:style>
  <w:style w:type="paragraph" w:customStyle="1" w:styleId="FooterSensitivity">
    <w:name w:val="Footer Sensitivity"/>
    <w:basedOn w:val="Normal"/>
    <w:link w:val="FooterSensitivityChar"/>
    <w:pPr>
      <w:pBdr>
        <w:top w:val="single" w:sz="4" w:space="1" w:color="auto"/>
        <w:left w:val="single" w:sz="4" w:space="4" w:color="auto"/>
        <w:bottom w:val="single" w:sz="4" w:space="1" w:color="auto"/>
        <w:right w:val="single" w:sz="4" w:space="4" w:color="auto"/>
      </w:pBdr>
      <w:spacing w:before="360" w:after="0" w:line="240" w:lineRule="auto"/>
      <w:ind w:left="113" w:right="113"/>
      <w:jc w:val="center"/>
    </w:pPr>
    <w:rPr>
      <w:rFonts w:ascii="Times New Roman" w:hAnsi="Times New Roman" w:cs="Times New Roman"/>
      <w:b/>
      <w:sz w:val="32"/>
    </w:rPr>
  </w:style>
  <w:style w:type="character" w:customStyle="1" w:styleId="FooterSensitivityChar">
    <w:name w:val="Footer Sensitivity Char"/>
    <w:basedOn w:val="DefaultParagraphFont"/>
    <w:link w:val="FooterSensitivity"/>
    <w:rPr>
      <w:rFonts w:ascii="Times New Roman" w:hAnsi="Times New Roman" w:cs="Times New Roman"/>
      <w:b/>
      <w:sz w:val="32"/>
    </w:rPr>
  </w:style>
  <w:style w:type="paragraph" w:customStyle="1" w:styleId="HeaderCoverPage">
    <w:name w:val="Header Cover Page"/>
    <w:basedOn w:val="Normal"/>
    <w:link w:val="HeaderCoverPageChar"/>
    <w:pPr>
      <w:tabs>
        <w:tab w:val="center" w:pos="4535"/>
        <w:tab w:val="right" w:pos="9071"/>
      </w:tabs>
      <w:spacing w:after="120" w:line="240" w:lineRule="auto"/>
      <w:jc w:val="both"/>
    </w:pPr>
    <w:rPr>
      <w:rFonts w:ascii="Times New Roman" w:hAnsi="Times New Roman" w:cs="Times New Roman"/>
      <w:sz w:val="24"/>
    </w:rPr>
  </w:style>
  <w:style w:type="character" w:customStyle="1" w:styleId="HeaderCoverPageChar">
    <w:name w:val="Header Cover Page Char"/>
    <w:basedOn w:val="DefaultParagraphFont"/>
    <w:link w:val="HeaderCoverPage"/>
    <w:rPr>
      <w:rFonts w:ascii="Times New Roman" w:hAnsi="Times New Roman" w:cs="Times New Roman"/>
      <w:sz w:val="24"/>
    </w:rPr>
  </w:style>
  <w:style w:type="paragraph" w:customStyle="1" w:styleId="HeaderSensitivity">
    <w:name w:val="Header Sensitivity"/>
    <w:basedOn w:val="Normal"/>
    <w:link w:val="HeaderSensitivityChar"/>
    <w:pPr>
      <w:pBdr>
        <w:top w:val="single" w:sz="4" w:space="1" w:color="auto"/>
        <w:left w:val="single" w:sz="4" w:space="4" w:color="auto"/>
        <w:bottom w:val="single" w:sz="4" w:space="1" w:color="auto"/>
        <w:right w:val="single" w:sz="4" w:space="4" w:color="auto"/>
      </w:pBdr>
      <w:spacing w:after="120" w:line="240" w:lineRule="auto"/>
      <w:ind w:left="113" w:right="113"/>
      <w:jc w:val="center"/>
    </w:pPr>
    <w:rPr>
      <w:rFonts w:ascii="Times New Roman" w:hAnsi="Times New Roman" w:cs="Times New Roman"/>
      <w:b/>
      <w:sz w:val="32"/>
    </w:rPr>
  </w:style>
  <w:style w:type="character" w:customStyle="1" w:styleId="HeaderSensitivityChar">
    <w:name w:val="Header Sensitivity Char"/>
    <w:basedOn w:val="DefaultParagraphFont"/>
    <w:link w:val="HeaderSensitivity"/>
    <w:rPr>
      <w:rFonts w:ascii="Times New Roman" w:hAnsi="Times New Roman" w:cs="Times New Roman"/>
      <w:b/>
      <w:sz w:val="32"/>
    </w:rPr>
  </w:style>
  <w:style w:type="paragraph" w:customStyle="1" w:styleId="Typedudocument">
    <w:name w:val="Type du document"/>
    <w:basedOn w:val="Normal"/>
    <w:next w:val="Normal"/>
    <w:pPr>
      <w:spacing w:before="360" w:after="0" w:line="240" w:lineRule="auto"/>
      <w:jc w:val="center"/>
    </w:pPr>
    <w:rPr>
      <w:rFonts w:ascii="Times New Roman" w:hAnsi="Times New Roman" w:cs="Times New Roman"/>
      <w:b/>
      <w:sz w:val="24"/>
    </w:rPr>
  </w:style>
  <w:style w:type="paragraph" w:customStyle="1" w:styleId="Titreobjet">
    <w:name w:val="Titre objet"/>
    <w:basedOn w:val="Normal"/>
    <w:next w:val="Normal"/>
    <w:pPr>
      <w:spacing w:before="360" w:after="360" w:line="240" w:lineRule="auto"/>
      <w:jc w:val="center"/>
    </w:pPr>
    <w:rPr>
      <w:rFonts w:ascii="Times New Roman" w:hAnsi="Times New Roman" w:cs="Times New Roman"/>
      <w:b/>
      <w:sz w:val="24"/>
    </w:rPr>
  </w:style>
  <w:style w:type="paragraph" w:styleId="NormalWeb">
    <w:name w:val="Normal (Web)"/>
    <w:basedOn w:val="Normal"/>
    <w:uiPriority w:val="99"/>
    <w:semiHidden/>
    <w:unhideWhenUsed/>
    <w:pPr>
      <w:spacing w:before="100" w:beforeAutospacing="1" w:after="100" w:afterAutospacing="1" w:line="240" w:lineRule="auto"/>
    </w:pPr>
    <w:rPr>
      <w:rFonts w:ascii="Times New Roman" w:hAnsi="Times New Roman" w:cs="Times New Roman"/>
      <w:sz w:val="24"/>
      <w:szCs w:val="24"/>
    </w:rPr>
  </w:style>
  <w:style w:type="character" w:customStyle="1" w:styleId="Heading1Char">
    <w:name w:val="Heading 1 Char"/>
    <w:basedOn w:val="DefaultParagraphFont"/>
    <w:link w:val="Heading1"/>
    <w:uiPriority w:val="9"/>
    <w:rPr>
      <w:rFonts w:ascii="Times New Roman" w:eastAsiaTheme="majorEastAsia" w:hAnsi="Times New Roman" w:cstheme="majorBidi"/>
      <w:color w:val="000000" w:themeColor="text1"/>
      <w:sz w:val="24"/>
      <w:szCs w:val="32"/>
    </w:rPr>
  </w:style>
  <w:style w:type="paragraph" w:styleId="ListParagraph">
    <w:name w:val="List Paragraph"/>
    <w:aliases w:val="Heading 2_sj,List Paragraph1,Számozott lista 1,LISTA,Listaszerű bekezdés1,Dot pt,No Spacing1,List Paragraph Char Char Char,Indicator Text,Numbered Para 1,List Paragraph à moi,Welt L Char,Welt L,Bullet List,FooterText,numbered,2,3,GSA List"/>
    <w:basedOn w:val="Normal"/>
    <w:link w:val="ListParagraphChar"/>
    <w:uiPriority w:val="34"/>
    <w:qFormat/>
    <w:pPr>
      <w:ind w:left="720"/>
      <w:contextualSpacing/>
    </w:pPr>
  </w:style>
  <w:style w:type="paragraph" w:styleId="FootnoteText">
    <w:name w:val="footnote text"/>
    <w:basedOn w:val="Normal"/>
    <w:link w:val="FootnoteTextChar"/>
    <w:uiPriority w:val="99"/>
    <w:unhideWhenUsed/>
    <w:pPr>
      <w:spacing w:after="0" w:line="240" w:lineRule="auto"/>
      <w:jc w:val="both"/>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Pr>
      <w:rFonts w:ascii="Times New Roman" w:eastAsia="Times New Roman" w:hAnsi="Times New Roman" w:cs="Times New Roman"/>
      <w:sz w:val="20"/>
      <w:szCs w:val="20"/>
      <w:lang w:eastAsia="sv-SE"/>
    </w:rPr>
  </w:style>
  <w:style w:type="character" w:styleId="FootnoteReference">
    <w:name w:val="footnote reference"/>
    <w:basedOn w:val="DefaultParagraphFont"/>
    <w:uiPriority w:val="99"/>
    <w:semiHidden/>
    <w:unhideWhenUsed/>
    <w:rPr>
      <w:vertAlign w:val="superscript"/>
    </w:rPr>
  </w:style>
  <w:style w:type="character" w:styleId="Hyperlink">
    <w:name w:val="Hyperlink"/>
    <w:basedOn w:val="DefaultParagraphFont"/>
    <w:uiPriority w:val="99"/>
    <w:unhideWhenUsed/>
    <w:rPr>
      <w:color w:val="0000FF" w:themeColor="hyperlink"/>
      <w:u w:val="single"/>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character" w:customStyle="1" w:styleId="ListParagraphChar">
    <w:name w:val="List Paragraph Char"/>
    <w:aliases w:val="Heading 2_sj Char,List Paragraph1 Char,Számozott lista 1 Char,LISTA Char,Listaszerű bekezdés1 Char,Dot pt Char,No Spacing1 Char,List Paragraph Char Char Char Char,Indicator Text Char,Numbered Para 1 Char,List Paragraph à moi Char"/>
    <w:basedOn w:val="DefaultParagraphFont"/>
    <w:link w:val="ListParagraph"/>
    <w:uiPriority w:val="34"/>
    <w:qFormat/>
    <w:locked/>
  </w:style>
  <w:style w:type="paragraph" w:customStyle="1" w:styleId="Default">
    <w:name w:val="Default"/>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st1">
    <w:name w:val="st1"/>
    <w:basedOn w:val="DefaultParagraphFont"/>
  </w:style>
  <w:style w:type="character" w:styleId="FollowedHyperlink">
    <w:name w:val="FollowedHyperlink"/>
    <w:basedOn w:val="DefaultParagraphFont"/>
    <w:uiPriority w:val="99"/>
    <w:semiHidden/>
    <w:unhideWhenUsed/>
    <w:rPr>
      <w:color w:val="800080" w:themeColor="followedHyperlink"/>
      <w:u w:val="single"/>
    </w:rPr>
  </w:style>
  <w:style w:type="paragraph" w:styleId="Revision">
    <w:name w:val="Revision"/>
    <w:hidden/>
    <w:uiPriority w:val="99"/>
    <w:semiHidden/>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v-SE" w:eastAsia="sv-SE" w:bidi="sv-SE"/>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imes New Roman" w:eastAsiaTheme="majorEastAsia" w:hAnsi="Times New Roman" w:cstheme="majorBidi"/>
      <w:color w:val="000000" w:themeColor="text1"/>
      <w:sz w:val="24"/>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arker">
    <w:name w:val="Marker"/>
    <w:basedOn w:val="DefaultParagraphFont"/>
    <w:rPr>
      <w:color w:val="0000FF"/>
      <w:shd w:val="clear" w:color="auto" w:fill="auto"/>
    </w:rPr>
  </w:style>
  <w:style w:type="paragraph" w:customStyle="1" w:styleId="Pagedecouverture">
    <w:name w:val="Page de couverture"/>
    <w:basedOn w:val="Normal"/>
    <w:next w:val="Normal"/>
    <w:pPr>
      <w:spacing w:after="0" w:line="240" w:lineRule="auto"/>
      <w:jc w:val="both"/>
    </w:pPr>
    <w:rPr>
      <w:rFonts w:ascii="Times New Roman" w:hAnsi="Times New Roman" w:cs="Times New Roman"/>
      <w:sz w:val="24"/>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customStyle="1" w:styleId="FooterCoverPage">
    <w:name w:val="Footer Cover Page"/>
    <w:basedOn w:val="Normal"/>
    <w:link w:val="FooterCoverPageChar"/>
    <w:pPr>
      <w:tabs>
        <w:tab w:val="center" w:pos="4535"/>
        <w:tab w:val="right" w:pos="9071"/>
        <w:tab w:val="right" w:pos="9921"/>
      </w:tabs>
      <w:spacing w:before="360" w:after="0" w:line="240" w:lineRule="auto"/>
      <w:ind w:left="-850" w:right="-850"/>
    </w:pPr>
    <w:rPr>
      <w:rFonts w:ascii="Times New Roman" w:hAnsi="Times New Roman" w:cs="Times New Roman"/>
      <w:sz w:val="24"/>
    </w:rPr>
  </w:style>
  <w:style w:type="character" w:customStyle="1" w:styleId="FooterCoverPageChar">
    <w:name w:val="Footer Cover Page Char"/>
    <w:basedOn w:val="DefaultParagraphFont"/>
    <w:link w:val="FooterCoverPage"/>
    <w:rPr>
      <w:rFonts w:ascii="Times New Roman" w:hAnsi="Times New Roman" w:cs="Times New Roman"/>
      <w:sz w:val="24"/>
    </w:rPr>
  </w:style>
  <w:style w:type="paragraph" w:customStyle="1" w:styleId="FooterSensitivity">
    <w:name w:val="Footer Sensitivity"/>
    <w:basedOn w:val="Normal"/>
    <w:link w:val="FooterSensitivityChar"/>
    <w:pPr>
      <w:pBdr>
        <w:top w:val="single" w:sz="4" w:space="1" w:color="auto"/>
        <w:left w:val="single" w:sz="4" w:space="4" w:color="auto"/>
        <w:bottom w:val="single" w:sz="4" w:space="1" w:color="auto"/>
        <w:right w:val="single" w:sz="4" w:space="4" w:color="auto"/>
      </w:pBdr>
      <w:spacing w:before="360" w:after="0" w:line="240" w:lineRule="auto"/>
      <w:ind w:left="113" w:right="113"/>
      <w:jc w:val="center"/>
    </w:pPr>
    <w:rPr>
      <w:rFonts w:ascii="Times New Roman" w:hAnsi="Times New Roman" w:cs="Times New Roman"/>
      <w:b/>
      <w:sz w:val="32"/>
    </w:rPr>
  </w:style>
  <w:style w:type="character" w:customStyle="1" w:styleId="FooterSensitivityChar">
    <w:name w:val="Footer Sensitivity Char"/>
    <w:basedOn w:val="DefaultParagraphFont"/>
    <w:link w:val="FooterSensitivity"/>
    <w:rPr>
      <w:rFonts w:ascii="Times New Roman" w:hAnsi="Times New Roman" w:cs="Times New Roman"/>
      <w:b/>
      <w:sz w:val="32"/>
    </w:rPr>
  </w:style>
  <w:style w:type="paragraph" w:customStyle="1" w:styleId="HeaderCoverPage">
    <w:name w:val="Header Cover Page"/>
    <w:basedOn w:val="Normal"/>
    <w:link w:val="HeaderCoverPageChar"/>
    <w:pPr>
      <w:tabs>
        <w:tab w:val="center" w:pos="4535"/>
        <w:tab w:val="right" w:pos="9071"/>
      </w:tabs>
      <w:spacing w:after="120" w:line="240" w:lineRule="auto"/>
      <w:jc w:val="both"/>
    </w:pPr>
    <w:rPr>
      <w:rFonts w:ascii="Times New Roman" w:hAnsi="Times New Roman" w:cs="Times New Roman"/>
      <w:sz w:val="24"/>
    </w:rPr>
  </w:style>
  <w:style w:type="character" w:customStyle="1" w:styleId="HeaderCoverPageChar">
    <w:name w:val="Header Cover Page Char"/>
    <w:basedOn w:val="DefaultParagraphFont"/>
    <w:link w:val="HeaderCoverPage"/>
    <w:rPr>
      <w:rFonts w:ascii="Times New Roman" w:hAnsi="Times New Roman" w:cs="Times New Roman"/>
      <w:sz w:val="24"/>
    </w:rPr>
  </w:style>
  <w:style w:type="paragraph" w:customStyle="1" w:styleId="HeaderSensitivity">
    <w:name w:val="Header Sensitivity"/>
    <w:basedOn w:val="Normal"/>
    <w:link w:val="HeaderSensitivityChar"/>
    <w:pPr>
      <w:pBdr>
        <w:top w:val="single" w:sz="4" w:space="1" w:color="auto"/>
        <w:left w:val="single" w:sz="4" w:space="4" w:color="auto"/>
        <w:bottom w:val="single" w:sz="4" w:space="1" w:color="auto"/>
        <w:right w:val="single" w:sz="4" w:space="4" w:color="auto"/>
      </w:pBdr>
      <w:spacing w:after="120" w:line="240" w:lineRule="auto"/>
      <w:ind w:left="113" w:right="113"/>
      <w:jc w:val="center"/>
    </w:pPr>
    <w:rPr>
      <w:rFonts w:ascii="Times New Roman" w:hAnsi="Times New Roman" w:cs="Times New Roman"/>
      <w:b/>
      <w:sz w:val="32"/>
    </w:rPr>
  </w:style>
  <w:style w:type="character" w:customStyle="1" w:styleId="HeaderSensitivityChar">
    <w:name w:val="Header Sensitivity Char"/>
    <w:basedOn w:val="DefaultParagraphFont"/>
    <w:link w:val="HeaderSensitivity"/>
    <w:rPr>
      <w:rFonts w:ascii="Times New Roman" w:hAnsi="Times New Roman" w:cs="Times New Roman"/>
      <w:b/>
      <w:sz w:val="32"/>
    </w:rPr>
  </w:style>
  <w:style w:type="paragraph" w:customStyle="1" w:styleId="Typedudocument">
    <w:name w:val="Type du document"/>
    <w:basedOn w:val="Normal"/>
    <w:next w:val="Normal"/>
    <w:pPr>
      <w:spacing w:before="360" w:after="0" w:line="240" w:lineRule="auto"/>
      <w:jc w:val="center"/>
    </w:pPr>
    <w:rPr>
      <w:rFonts w:ascii="Times New Roman" w:hAnsi="Times New Roman" w:cs="Times New Roman"/>
      <w:b/>
      <w:sz w:val="24"/>
    </w:rPr>
  </w:style>
  <w:style w:type="paragraph" w:customStyle="1" w:styleId="Titreobjet">
    <w:name w:val="Titre objet"/>
    <w:basedOn w:val="Normal"/>
    <w:next w:val="Normal"/>
    <w:pPr>
      <w:spacing w:before="360" w:after="360" w:line="240" w:lineRule="auto"/>
      <w:jc w:val="center"/>
    </w:pPr>
    <w:rPr>
      <w:rFonts w:ascii="Times New Roman" w:hAnsi="Times New Roman" w:cs="Times New Roman"/>
      <w:b/>
      <w:sz w:val="24"/>
    </w:rPr>
  </w:style>
  <w:style w:type="paragraph" w:styleId="NormalWeb">
    <w:name w:val="Normal (Web)"/>
    <w:basedOn w:val="Normal"/>
    <w:uiPriority w:val="99"/>
    <w:semiHidden/>
    <w:unhideWhenUsed/>
    <w:pPr>
      <w:spacing w:before="100" w:beforeAutospacing="1" w:after="100" w:afterAutospacing="1" w:line="240" w:lineRule="auto"/>
    </w:pPr>
    <w:rPr>
      <w:rFonts w:ascii="Times New Roman" w:hAnsi="Times New Roman" w:cs="Times New Roman"/>
      <w:sz w:val="24"/>
      <w:szCs w:val="24"/>
    </w:rPr>
  </w:style>
  <w:style w:type="character" w:customStyle="1" w:styleId="Heading1Char">
    <w:name w:val="Heading 1 Char"/>
    <w:basedOn w:val="DefaultParagraphFont"/>
    <w:link w:val="Heading1"/>
    <w:uiPriority w:val="9"/>
    <w:rPr>
      <w:rFonts w:ascii="Times New Roman" w:eastAsiaTheme="majorEastAsia" w:hAnsi="Times New Roman" w:cstheme="majorBidi"/>
      <w:color w:val="000000" w:themeColor="text1"/>
      <w:sz w:val="24"/>
      <w:szCs w:val="32"/>
    </w:rPr>
  </w:style>
  <w:style w:type="paragraph" w:styleId="ListParagraph">
    <w:name w:val="List Paragraph"/>
    <w:aliases w:val="Heading 2_sj,List Paragraph1,Számozott lista 1,LISTA,Listaszerű bekezdés1,Dot pt,No Spacing1,List Paragraph Char Char Char,Indicator Text,Numbered Para 1,List Paragraph à moi,Welt L Char,Welt L,Bullet List,FooterText,numbered,2,3,GSA List"/>
    <w:basedOn w:val="Normal"/>
    <w:link w:val="ListParagraphChar"/>
    <w:uiPriority w:val="34"/>
    <w:qFormat/>
    <w:pPr>
      <w:ind w:left="720"/>
      <w:contextualSpacing/>
    </w:pPr>
  </w:style>
  <w:style w:type="paragraph" w:styleId="FootnoteText">
    <w:name w:val="footnote text"/>
    <w:basedOn w:val="Normal"/>
    <w:link w:val="FootnoteTextChar"/>
    <w:uiPriority w:val="99"/>
    <w:unhideWhenUsed/>
    <w:pPr>
      <w:spacing w:after="0" w:line="240" w:lineRule="auto"/>
      <w:jc w:val="both"/>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Pr>
      <w:rFonts w:ascii="Times New Roman" w:eastAsia="Times New Roman" w:hAnsi="Times New Roman" w:cs="Times New Roman"/>
      <w:sz w:val="20"/>
      <w:szCs w:val="20"/>
      <w:lang w:eastAsia="sv-SE"/>
    </w:rPr>
  </w:style>
  <w:style w:type="character" w:styleId="FootnoteReference">
    <w:name w:val="footnote reference"/>
    <w:basedOn w:val="DefaultParagraphFont"/>
    <w:uiPriority w:val="99"/>
    <w:semiHidden/>
    <w:unhideWhenUsed/>
    <w:rPr>
      <w:vertAlign w:val="superscript"/>
    </w:rPr>
  </w:style>
  <w:style w:type="character" w:styleId="Hyperlink">
    <w:name w:val="Hyperlink"/>
    <w:basedOn w:val="DefaultParagraphFont"/>
    <w:uiPriority w:val="99"/>
    <w:unhideWhenUsed/>
    <w:rPr>
      <w:color w:val="0000FF" w:themeColor="hyperlink"/>
      <w:u w:val="single"/>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character" w:customStyle="1" w:styleId="ListParagraphChar">
    <w:name w:val="List Paragraph Char"/>
    <w:aliases w:val="Heading 2_sj Char,List Paragraph1 Char,Számozott lista 1 Char,LISTA Char,Listaszerű bekezdés1 Char,Dot pt Char,No Spacing1 Char,List Paragraph Char Char Char Char,Indicator Text Char,Numbered Para 1 Char,List Paragraph à moi Char"/>
    <w:basedOn w:val="DefaultParagraphFont"/>
    <w:link w:val="ListParagraph"/>
    <w:uiPriority w:val="34"/>
    <w:qFormat/>
    <w:locked/>
  </w:style>
  <w:style w:type="paragraph" w:customStyle="1" w:styleId="Default">
    <w:name w:val="Default"/>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st1">
    <w:name w:val="st1"/>
    <w:basedOn w:val="DefaultParagraphFont"/>
  </w:style>
  <w:style w:type="character" w:styleId="FollowedHyperlink">
    <w:name w:val="FollowedHyperlink"/>
    <w:basedOn w:val="DefaultParagraphFont"/>
    <w:uiPriority w:val="99"/>
    <w:semiHidden/>
    <w:unhideWhenUsed/>
    <w:rPr>
      <w:color w:val="800080" w:themeColor="followedHyperlink"/>
      <w:u w:val="single"/>
    </w:rPr>
  </w:style>
  <w:style w:type="paragraph" w:styleId="Revision">
    <w:name w:val="Revision"/>
    <w:hidden/>
    <w:uiPriority w:val="99"/>
    <w:semiHidden/>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1425054">
      <w:bodyDiv w:val="1"/>
      <w:marLeft w:val="0"/>
      <w:marRight w:val="0"/>
      <w:marTop w:val="0"/>
      <w:marBottom w:val="0"/>
      <w:divBdr>
        <w:top w:val="none" w:sz="0" w:space="0" w:color="auto"/>
        <w:left w:val="none" w:sz="0" w:space="0" w:color="auto"/>
        <w:bottom w:val="none" w:sz="0" w:space="0" w:color="auto"/>
        <w:right w:val="none" w:sz="0" w:space="0" w:color="auto"/>
      </w:divBdr>
    </w:div>
    <w:div w:id="1201477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5.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3.xm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europa.eu/rapid/press-release_IP-19-901_sv.htm" TargetMode="External"/><Relationship Id="rId3" Type="http://schemas.openxmlformats.org/officeDocument/2006/relationships/hyperlink" Target="https://ec.europa.eu/info/brexit/brexit-preparedness/citizens-rights_sv" TargetMode="External"/><Relationship Id="rId7" Type="http://schemas.openxmlformats.org/officeDocument/2006/relationships/hyperlink" Target="https://ec.europa.eu/taxation_customs/uk-withdrawal-sv" TargetMode="External"/><Relationship Id="rId2" Type="http://schemas.openxmlformats.org/officeDocument/2006/relationships/hyperlink" Target="https://ec.europa.eu/info/sites/info/files/file_import/civil_justice_sv.pdf" TargetMode="External"/><Relationship Id="rId1" Type="http://schemas.openxmlformats.org/officeDocument/2006/relationships/hyperlink" Target="https://ec.europa.eu/info/brexit/brexit-preparedness/preparedness-notices_sv" TargetMode="External"/><Relationship Id="rId6" Type="http://schemas.openxmlformats.org/officeDocument/2006/relationships/hyperlink" Target="https://echa.europa.eu/uk-withdrawal-from-the-eu?utm_source=echa.europa.eu&amp;utm_medium=display&amp;utm_campaign=customer-insight&amp;utm_content=banner" TargetMode="External"/><Relationship Id="rId5" Type="http://schemas.openxmlformats.org/officeDocument/2006/relationships/hyperlink" Target="https://ec.europa.eu/info/brexit/brexit-preparedness/citizens-rights_sv" TargetMode="External"/><Relationship Id="rId10" Type="http://schemas.openxmlformats.org/officeDocument/2006/relationships/hyperlink" Target="https://ec.europa.eu/info/sites/info/files/file_import/guidance-customs-procedures_sv.pdf" TargetMode="External"/><Relationship Id="rId4" Type="http://schemas.openxmlformats.org/officeDocument/2006/relationships/hyperlink" Target="https://www.gov.uk/eusettledstatus" TargetMode="External"/><Relationship Id="rId9" Type="http://schemas.openxmlformats.org/officeDocument/2006/relationships/hyperlink" Target="https://ec.europa.eu/taxation_customs/uk-withdrawal-s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DEFBC884-E214-4714-B46B-C4FAF4E7B5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3683</Words>
  <Characters>22762</Characters>
  <Application>Microsoft Office Word</Application>
  <DocSecurity>0</DocSecurity>
  <Lines>325</Lines>
  <Paragraphs>55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26390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2019-06-12T12:49:00Z</dcterms:created>
  <dcterms:modified xsi:type="dcterms:W3CDTF">2019-06-13T07:50:00Z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Status">
    <vt:lpwstr>Green</vt:lpwstr>
  </property>
  <property fmtid="{D5CDD505-2E9C-101B-9397-08002B2CF9AE}" pid="3" name="Last edited using">
    <vt:lpwstr>LW 6.0.1, Build 20180503</vt:lpwstr>
  </property>
  <property fmtid="{D5CDD505-2E9C-101B-9397-08002B2CF9AE}" pid="4" name="Level of sensitivity">
    <vt:lpwstr>Standard treatment</vt:lpwstr>
  </property>
  <property fmtid="{D5CDD505-2E9C-101B-9397-08002B2CF9AE}" pid="5" name="Part">
    <vt:lpwstr>1</vt:lpwstr>
  </property>
  <property fmtid="{D5CDD505-2E9C-101B-9397-08002B2CF9AE}" pid="6" name="Total parts">
    <vt:lpwstr>1</vt:lpwstr>
  </property>
  <property fmtid="{D5CDD505-2E9C-101B-9397-08002B2CF9AE}" pid="7" name="Created using">
    <vt:lpwstr>LW 6.0.1, Build 20180503</vt:lpwstr>
  </property>
</Properties>
</file>