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323EAAFA-C7CA-4952-BE99-247C7B07AD96" style="width:450.45pt;height:437.75pt">
            <v:imagedata r:id="rId9" o:title=""/>
          </v:shape>
        </w:pict>
      </w:r>
    </w:p>
    <w:p>
      <w:pPr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>
      <w:pPr>
        <w:pStyle w:val="CRSeparator"/>
        <w:rPr>
          <w:noProof/>
          <w:lang w:val="en-GB"/>
        </w:rPr>
      </w:pPr>
      <w:bookmarkStart w:id="0" w:name="_GoBack"/>
      <w:bookmarkEnd w:id="0"/>
    </w:p>
    <w:p>
      <w:pPr>
        <w:pStyle w:val="CRReference"/>
        <w:rPr>
          <w:noProof/>
          <w:lang w:val="en-GB"/>
        </w:rPr>
      </w:pPr>
      <w:r>
        <w:rPr>
          <w:noProof/>
          <w:lang w:val="en-GB"/>
        </w:rPr>
        <w:fldChar w:fldCharType="begin"/>
      </w:r>
      <w:r>
        <w:rPr>
          <w:noProof/>
          <w:lang w:val="en-GB"/>
        </w:rPr>
        <w:instrText xml:space="preserve"> QUOTE "</w:instrText>
      </w:r>
      <w:r>
        <w:rPr>
          <w:rStyle w:val="CRMarker"/>
          <w:noProof/>
          <w:lang w:val="en-GB"/>
        </w:rPr>
        <w:instrText>é</w:instrText>
      </w:r>
      <w:r>
        <w:rPr>
          <w:noProof/>
          <w:lang w:val="en-GB"/>
        </w:rPr>
        <w:instrText xml:space="preserve">" </w:instrText>
      </w:r>
      <w:r>
        <w:rPr>
          <w:noProof/>
          <w:lang w:val="en-GB"/>
        </w:rPr>
        <w:fldChar w:fldCharType="separate"/>
      </w:r>
      <w:r>
        <w:rPr>
          <w:rStyle w:val="CRMarker"/>
          <w:noProof/>
          <w:lang w:val="en-GB"/>
        </w:rPr>
        <w:t>é</w:t>
      </w:r>
      <w:r>
        <w:rPr>
          <w:noProof/>
          <w:lang w:val="en-GB"/>
        </w:rPr>
        <w:fldChar w:fldCharType="end"/>
      </w:r>
      <w:r>
        <w:rPr>
          <w:noProof/>
          <w:lang w:val="en-GB"/>
        </w:rPr>
        <w:t> </w:t>
      </w:r>
    </w:p>
    <w:p>
      <w:pPr>
        <w:pStyle w:val="Annexetitre"/>
        <w:rPr>
          <w:b w:val="0"/>
          <w:noProof/>
        </w:rPr>
      </w:pPr>
      <w:r>
        <w:rPr>
          <w:noProof/>
        </w:rPr>
        <w:t>I. MELLÉKLET</w:t>
      </w:r>
    </w:p>
    <w:p>
      <w:pPr>
        <w:jc w:val="center"/>
        <w:rPr>
          <w:rFonts w:eastAsia="Times New Roman"/>
          <w:b/>
          <w:noProof/>
          <w:szCs w:val="20"/>
        </w:rPr>
      </w:pPr>
      <w:r>
        <w:rPr>
          <w:rFonts w:eastAsia="Times New Roman"/>
          <w:b/>
          <w:noProof/>
          <w:szCs w:val="20"/>
        </w:rPr>
        <w:t>A hatályon kívül helyezett rendelet és módosításai a 35. cikk szerint</w:t>
      </w:r>
    </w:p>
    <w:tbl>
      <w:tblPr>
        <w:tblW w:w="9348" w:type="dxa"/>
        <w:tblLayout w:type="fixed"/>
        <w:tblLook w:val="0000" w:firstRow="0" w:lastRow="0" w:firstColumn="0" w:lastColumn="0" w:noHBand="0" w:noVBand="0"/>
      </w:tblPr>
      <w:tblGrid>
        <w:gridCol w:w="534"/>
        <w:gridCol w:w="4536"/>
        <w:gridCol w:w="708"/>
        <w:gridCol w:w="2679"/>
        <w:gridCol w:w="891"/>
      </w:tblGrid>
      <w:tr>
        <w:trPr>
          <w:gridAfter w:val="1"/>
          <w:wAfter w:w="891" w:type="dxa"/>
          <w:cantSplit/>
        </w:trPr>
        <w:tc>
          <w:tcPr>
            <w:tcW w:w="5070" w:type="dxa"/>
            <w:gridSpan w:val="2"/>
          </w:tcPr>
          <w:p>
            <w:pPr>
              <w:jc w:val="left"/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 xml:space="preserve">Az Európai Parlament és a Tanács </w:t>
            </w:r>
            <w:r>
              <w:rPr>
                <w:rFonts w:eastAsia="Times New Roman"/>
                <w:noProof/>
                <w:szCs w:val="24"/>
              </w:rPr>
              <w:br/>
              <w:t>924/2009/EK rendelete</w:t>
            </w:r>
          </w:p>
        </w:tc>
        <w:tc>
          <w:tcPr>
            <w:tcW w:w="3387" w:type="dxa"/>
            <w:gridSpan w:val="2"/>
          </w:tcPr>
          <w:p>
            <w:pPr>
              <w:ind w:right="33"/>
              <w:jc w:val="left"/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  <w:lang w:val="fr-BE"/>
              </w:rPr>
              <w:t>(</w:t>
            </w:r>
            <w:r>
              <w:rPr>
                <w:noProof/>
                <w:szCs w:val="24"/>
              </w:rPr>
              <w:t>HL L 266., 2009.10.9., 11. o.</w:t>
            </w:r>
            <w:r>
              <w:rPr>
                <w:rFonts w:eastAsia="Times New Roman"/>
                <w:noProof/>
                <w:szCs w:val="24"/>
                <w:lang w:val="fr-BE"/>
              </w:rPr>
              <w:t>)</w:t>
            </w:r>
          </w:p>
        </w:tc>
      </w:tr>
      <w:tr>
        <w:trPr>
          <w:gridBefore w:val="1"/>
          <w:wBefore w:w="534" w:type="dxa"/>
          <w:cantSplit/>
        </w:trPr>
        <w:tc>
          <w:tcPr>
            <w:tcW w:w="5244" w:type="dxa"/>
            <w:gridSpan w:val="2"/>
          </w:tcPr>
          <w:p>
            <w:pPr>
              <w:jc w:val="left"/>
              <w:rPr>
                <w:rFonts w:eastAsia="Times New Roman"/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Az Európai Parlament és a Tanács </w:t>
            </w:r>
            <w:r>
              <w:rPr>
                <w:noProof/>
                <w:szCs w:val="24"/>
              </w:rPr>
              <w:br/>
              <w:t xml:space="preserve">260/2012/EU rendelete </w:t>
            </w:r>
          </w:p>
        </w:tc>
        <w:tc>
          <w:tcPr>
            <w:tcW w:w="3570" w:type="dxa"/>
            <w:gridSpan w:val="2"/>
          </w:tcPr>
          <w:p>
            <w:pPr>
              <w:jc w:val="left"/>
              <w:rPr>
                <w:rFonts w:eastAsia="Times New Roman"/>
                <w:noProof/>
                <w:szCs w:val="24"/>
              </w:rPr>
            </w:pPr>
            <w:r>
              <w:rPr>
                <w:noProof/>
                <w:szCs w:val="24"/>
              </w:rPr>
              <w:t>(HL L 94., 2012. 3.30., 22. o.)</w:t>
            </w:r>
          </w:p>
        </w:tc>
      </w:tr>
      <w:tr>
        <w:trPr>
          <w:gridBefore w:val="1"/>
          <w:wBefore w:w="534" w:type="dxa"/>
          <w:cantSplit/>
        </w:trPr>
        <w:tc>
          <w:tcPr>
            <w:tcW w:w="5244" w:type="dxa"/>
            <w:gridSpan w:val="2"/>
          </w:tcPr>
          <w:p>
            <w:pPr>
              <w:jc w:val="left"/>
              <w:rPr>
                <w:rFonts w:eastAsia="Times New Roman"/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Az Európai Parlament és a Tanács </w:t>
            </w:r>
            <w:r>
              <w:rPr>
                <w:noProof/>
                <w:szCs w:val="24"/>
              </w:rPr>
              <w:br/>
              <w:t xml:space="preserve">(EU) 2019/518 rendelete </w:t>
            </w:r>
          </w:p>
        </w:tc>
        <w:tc>
          <w:tcPr>
            <w:tcW w:w="3570" w:type="dxa"/>
            <w:gridSpan w:val="2"/>
          </w:tcPr>
          <w:p>
            <w:pPr>
              <w:jc w:val="left"/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(</w:t>
            </w:r>
            <w:r>
              <w:rPr>
                <w:noProof/>
                <w:szCs w:val="24"/>
              </w:rPr>
              <w:t>HL L 91., 2019.3.29., 36. o.</w:t>
            </w:r>
            <w:r>
              <w:rPr>
                <w:rFonts w:eastAsia="Times New Roman"/>
                <w:noProof/>
                <w:szCs w:val="24"/>
              </w:rPr>
              <w:t>)</w:t>
            </w:r>
          </w:p>
        </w:tc>
      </w:tr>
    </w:tbl>
    <w:p>
      <w:pPr>
        <w:jc w:val="center"/>
        <w:rPr>
          <w:noProof/>
        </w:rPr>
      </w:pPr>
      <w:r>
        <w:rPr>
          <w:rFonts w:eastAsia="Times New Roman"/>
          <w:noProof/>
          <w:szCs w:val="20"/>
        </w:rPr>
        <w:t>_____________</w:t>
      </w:r>
    </w:p>
    <w:p>
      <w:pPr>
        <w:rPr>
          <w:noProof/>
        </w:rPr>
        <w:sectPr>
          <w:footerReference w:type="default" r:id="rId16"/>
          <w:footerReference w:type="first" r:id="rId17"/>
          <w:pgSz w:w="11907" w:h="16839"/>
          <w:pgMar w:top="1134" w:right="1417" w:bottom="1134" w:left="1417" w:header="709" w:footer="709" w:gutter="0"/>
          <w:cols w:space="720"/>
          <w:docGrid w:linePitch="360"/>
        </w:sectPr>
      </w:pPr>
    </w:p>
    <w:p>
      <w:pPr>
        <w:pStyle w:val="Annexetitre"/>
        <w:rPr>
          <w:b w:val="0"/>
          <w:noProof/>
        </w:rPr>
      </w:pPr>
      <w:r>
        <w:rPr>
          <w:noProof/>
        </w:rPr>
        <w:t>II. MELLÉKLET</w:t>
      </w:r>
    </w:p>
    <w:p>
      <w:pPr>
        <w:keepNext/>
        <w:spacing w:before="360"/>
        <w:jc w:val="center"/>
        <w:outlineLvl w:val="0"/>
        <w:rPr>
          <w:rFonts w:eastAsia="Times New Roman"/>
          <w:b/>
          <w:smallCaps/>
          <w:noProof/>
          <w:lang w:eastAsia="de-DE"/>
        </w:rPr>
      </w:pPr>
      <w:r>
        <w:rPr>
          <w:rFonts w:eastAsia="Times New Roman"/>
          <w:b/>
          <w:smallCaps/>
          <w:noProof/>
          <w:lang w:eastAsia="de-DE"/>
        </w:rPr>
        <w:t>Megfelelési táblázat</w:t>
      </w:r>
    </w:p>
    <w:tbl>
      <w:tblPr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4"/>
        <w:gridCol w:w="4674"/>
      </w:tblGrid>
      <w:tr>
        <w:tc>
          <w:tcPr>
            <w:tcW w:w="4674" w:type="dxa"/>
            <w:tcBorders>
              <w:left w:val="nil"/>
            </w:tcBorders>
          </w:tcPr>
          <w:p>
            <w:pPr>
              <w:jc w:val="center"/>
              <w:rPr>
                <w:rFonts w:eastAsia="Times New Roman"/>
                <w:noProof/>
                <w:szCs w:val="24"/>
              </w:rPr>
            </w:pPr>
            <w:r>
              <w:rPr>
                <w:noProof/>
                <w:szCs w:val="24"/>
              </w:rPr>
              <w:t>924/2009/ EK rendelet</w:t>
            </w:r>
          </w:p>
        </w:tc>
        <w:tc>
          <w:tcPr>
            <w:tcW w:w="4674" w:type="dxa"/>
            <w:tcBorders>
              <w:right w:val="nil"/>
            </w:tcBorders>
          </w:tcPr>
          <w:p>
            <w:pPr>
              <w:jc w:val="center"/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Ez a rendelet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1. cikk (1), (2) és (3) bekezdés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1. cikk, (1), (2) és (3) bekezdés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1. cikk, (4) bekezdés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–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2. cikk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2. cikk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3. cikk, (1) bekezdés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3. cikk, (1) bekezdés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 xml:space="preserve">3. cikk, (1a) bekezdés 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 xml:space="preserve">3. cikk, (2) bekezdés 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 xml:space="preserve">3. cikk, (2) bekezdés 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3. cikk, (3) bekezdés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 xml:space="preserve">3. cikk, (4) bekezdés 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 xml:space="preserve">3. cikk, (4) bekezdés 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 xml:space="preserve">3a. cikk 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4. cikk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3b. cikk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5.cikk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4. cikk, (1) bekezdés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6. cikk, (1) bekezdés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4. cikk, (3) bekezdés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6. cikk, (2) bekezdés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4. cikk, (4) bekezdés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6. cikk, (3) bekezdés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5. cikk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7. cikk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6. cikk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–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7. cikk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–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 xml:space="preserve">9. cikk, első bekezdés 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8. cikk, első bekezdés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9. cikk, második bekezdés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8. cikk, második bekezdés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9. cikk, harmadik bekezdés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–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9. cikk, negyedik bekezdés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8. cikk, harmadik bekezdés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10. cikk, (1) bekezdés, első albekezdés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 xml:space="preserve">9. cikk, (1) bekezdés 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10. cikk, (1) bekezdés, második albekezdés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–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10. cikk, (2) bekezdés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9. cikk, (2) bekezdés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11. cikk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10. cikk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12. cikk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11. cikk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13. cikk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12. cikk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14. cikk, (1) bekezdés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13. cikk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14. cikk, (2) bekezdés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–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14. cikk, (3) bekezdés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–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15. cikk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14. cikk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16. cikk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15. cikk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17. cikk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16. cikk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–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I. melléklet</w:t>
            </w:r>
          </w:p>
        </w:tc>
      </w:tr>
      <w:tr>
        <w:tc>
          <w:tcPr>
            <w:tcW w:w="4674" w:type="dxa"/>
            <w:tcBorders>
              <w:top w:val="nil"/>
              <w:left w:val="nil"/>
              <w:bottom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–</w:t>
            </w:r>
          </w:p>
        </w:tc>
        <w:tc>
          <w:tcPr>
            <w:tcW w:w="4674" w:type="dxa"/>
            <w:tcBorders>
              <w:top w:val="nil"/>
              <w:bottom w:val="nil"/>
              <w:right w:val="nil"/>
            </w:tcBorders>
          </w:tcPr>
          <w:p>
            <w:pPr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II. melléklet</w:t>
            </w:r>
          </w:p>
        </w:tc>
      </w:tr>
    </w:tbl>
    <w:p>
      <w:pPr>
        <w:jc w:val="center"/>
        <w:rPr>
          <w:rFonts w:eastAsia="Times New Roman"/>
          <w:noProof/>
          <w:szCs w:val="20"/>
        </w:rPr>
      </w:pPr>
      <w:r>
        <w:rPr>
          <w:rFonts w:eastAsia="Times New Roman"/>
          <w:noProof/>
          <w:szCs w:val="20"/>
        </w:rPr>
        <w:t>___________</w:t>
      </w:r>
      <w:bookmarkStart w:id="1" w:name="_CopyToNewDocument_"/>
      <w:bookmarkEnd w:id="1"/>
    </w:p>
    <w:sectPr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before="0" w:after="0"/>
      </w:pPr>
      <w:r>
        <w:separator/>
      </w:r>
    </w:p>
  </w:endnote>
  <w:endnote w:type="continuationSeparator" w:id="0">
    <w:p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HU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tab/>
    </w:r>
    <w:r>
      <w:rPr>
        <w:rFonts w:ascii="Arial" w:hAnsi="Arial" w:cs="Arial"/>
        <w:b/>
        <w:sz w:val="48"/>
      </w:rPr>
      <w:t>HU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HU</w:t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  <w:r>
      <w:tab/>
    </w:r>
    <w:r>
      <w:tab/>
    </w:r>
    <w:r>
      <w:rPr>
        <w:rFonts w:ascii="Arial" w:hAnsi="Arial" w:cs="Arial"/>
        <w:b/>
        <w:sz w:val="48"/>
      </w:rPr>
      <w:t>HU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before="0" w:after="0"/>
      </w:pPr>
      <w:r>
        <w:separator/>
      </w:r>
    </w:p>
  </w:footnote>
  <w:footnote w:type="continuationSeparator" w:id="0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7CDEE7D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C706DB0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DEE8144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1"/>
    <w:multiLevelType w:val="singleLevel"/>
    <w:tmpl w:val="5BD443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1A42C3F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3C001C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C786F42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A654906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5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6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7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1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8"/>
  </w:num>
  <w:num w:numId="10">
    <w:abstractNumId w:val="12"/>
  </w:num>
  <w:num w:numId="11">
    <w:abstractNumId w:val="20"/>
  </w:num>
  <w:num w:numId="12">
    <w:abstractNumId w:val="11"/>
  </w:num>
  <w:num w:numId="13">
    <w:abstractNumId w:val="13"/>
  </w:num>
  <w:num w:numId="14">
    <w:abstractNumId w:val="9"/>
  </w:num>
  <w:num w:numId="15">
    <w:abstractNumId w:val="19"/>
  </w:num>
  <w:num w:numId="16">
    <w:abstractNumId w:val="8"/>
  </w:num>
  <w:num w:numId="17">
    <w:abstractNumId w:val="14"/>
  </w:num>
  <w:num w:numId="18">
    <w:abstractNumId w:val="16"/>
  </w:num>
  <w:num w:numId="19">
    <w:abstractNumId w:val="17"/>
  </w:num>
  <w:num w:numId="20">
    <w:abstractNumId w:val="10"/>
  </w:num>
  <w:num w:numId="21">
    <w:abstractNumId w:val="15"/>
  </w:num>
  <w:num w:numId="22">
    <w:abstractNumId w:val="21"/>
  </w:num>
  <w:num w:numId="23">
    <w:abstractNumId w:val="18"/>
  </w:num>
  <w:num w:numId="24">
    <w:abstractNumId w:val="12"/>
  </w:num>
  <w:num w:numId="25">
    <w:abstractNumId w:val="20"/>
  </w:num>
  <w:num w:numId="26">
    <w:abstractNumId w:val="11"/>
  </w:num>
  <w:num w:numId="27">
    <w:abstractNumId w:val="13"/>
  </w:num>
  <w:num w:numId="28">
    <w:abstractNumId w:val="9"/>
  </w:num>
  <w:num w:numId="29">
    <w:abstractNumId w:val="19"/>
  </w:num>
  <w:num w:numId="30">
    <w:abstractNumId w:val="8"/>
  </w:num>
  <w:num w:numId="31">
    <w:abstractNumId w:val="14"/>
  </w:num>
  <w:num w:numId="32">
    <w:abstractNumId w:val="16"/>
  </w:num>
  <w:num w:numId="33">
    <w:abstractNumId w:val="17"/>
  </w:num>
  <w:num w:numId="34">
    <w:abstractNumId w:val="10"/>
  </w:num>
  <w:num w:numId="35">
    <w:abstractNumId w:val="15"/>
  </w:num>
  <w:num w:numId="36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0-07-10 09:19:44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0"/>
    <w:docVar w:name="DQCResult_UnknownFonts" w:val="0;0"/>
    <w:docVar w:name="DQCResult_UnknownStyles" w:val="0;0"/>
    <w:docVar w:name="DQCStatus" w:val="Green"/>
    <w:docVar w:name="DQCVersion" w:val="3"/>
    <w:docVar w:name="DQCWithWarnings" w:val="1"/>
    <w:docVar w:name="LW_ACCOMPAGNANT" w:val="a következ\u337?höz:"/>
    <w:docVar w:name="LW_ACCOMPAGNANT.CP" w:val="a következ\u337?höz:"/>
    <w:docVar w:name="LW_ANNEX_NBR_FIRST" w:val="1"/>
    <w:docVar w:name="LW_ANNEX_NBR_LAST" w:val="2"/>
    <w:docVar w:name="LW_ANNEX_UNIQUE" w:val="0"/>
    <w:docVar w:name="LW_CORRIGENDUM" w:val="&lt;UNUSED&gt;"/>
    <w:docVar w:name="LW_COVERPAGE_EXISTS" w:val="True"/>
    <w:docVar w:name="LW_COVERPAGE_GUID" w:val="323EAAFA-C7CA-4952-BE99-247C7B07AD96"/>
    <w:docVar w:name="LW_COVERPAGE_TYPE" w:val="1"/>
    <w:docVar w:name="LW_CROSSREFERENCE" w:val="&lt;UNUSED&gt;"/>
    <w:docVar w:name="LW_DocType" w:val="ANNEX"/>
    <w:docVar w:name="LW_EMISSION" w:val="2020.7.17."/>
    <w:docVar w:name="LW_EMISSION_ISODATE" w:val="2020-07-17"/>
    <w:docVar w:name="LW_EMISSION_LOCATION" w:val="BRX"/>
    <w:docVar w:name="LW_EMISSION_PREFIX" w:val="Brüsszel, "/>
    <w:docVar w:name="LW_EMISSION_SUFFIX" w:val=" "/>
    <w:docVar w:name="LW_ID_DOCSTRUCTURE" w:val="COM/ANNEX"/>
    <w:docVar w:name="LW_ID_DOCTYPE" w:val="SG-017"/>
    <w:docVar w:name="LW_LANGUE" w:val="HU"/>
    <w:docVar w:name="LW_LEVEL_OF_SENSITIVITY" w:val="Standard treatment"/>
    <w:docVar w:name="LW_NOM.INST" w:val="EURÓPAI BIZOTTSÁG"/>
    <w:docVar w:name="LW_NOM.INST_JOINTDOC" w:val="&lt;EMPTY&gt;"/>
    <w:docVar w:name="LW_OBJETACTEPRINCIPAL" w:val="az Unióban történ\u337? határokon átnyúló fizetésekr\u337?l (kodifikált szöveg)_x000d__x000d__x000d__x000d__x000d__x000b__x000d__x000d__x000d__x000d__x000d__x000b_(EGT-vonatkozású szöveg)_x000d__x000d__x000d__x000d__x000d__x000b_"/>
    <w:docVar w:name="LW_OBJETACTEPRINCIPAL.CP" w:val="az Unióban történ\u337? határokon átnyúló fizetésekr\u337?l (kodifikált szöveg)_x000d__x000d__x000d__x000d__x000d__x000b__x000d__x000d__x000d__x000d__x000d__x000b_(EGT-vonatkozású szöveg)_x000d__x000d__x000d__x000d__x000d__x000b_"/>
    <w:docVar w:name="LW_PART_NBR" w:val="&lt;UNUSED&gt;"/>
    <w:docVar w:name="LW_PART_NBR_TOTAL" w:val="&lt;UNUSED&gt;"/>
    <w:docVar w:name="LW_REF.INST.NEW" w:val="COM"/>
    <w:docVar w:name="LW_REF.INST.NEW_ADOPTED" w:val="final"/>
    <w:docVar w:name="LW_REF.INST.NEW_TEXT" w:val="(2020) 323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MELLÉKLETEK"/>
    <w:docVar w:name="LW_TYPE.DOC.CP" w:val="MELLÉKLETEK"/>
    <w:docVar w:name="LW_TYPEACTEPRINCIPAL" w:val="Javaslat_x000b__x000b_AZ EURÓPAI PARLAMENT ÉS A TANÁCS RENDELETE"/>
    <w:docVar w:name="LW_TYPEACTEPRINCIPAL.CP" w:val="Javaslat_x000b__x000b_AZ EURÓPAI PARLAMENT ÉS A TANÁCS RENDELETE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hu-HU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29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29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29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29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RMarker">
    <w:name w:val="CR Marker"/>
    <w:basedOn w:val="DefaultParagraphFont"/>
    <w:uiPriority w:val="99"/>
    <w:rPr>
      <w:rFonts w:ascii="Wingdings" w:hAnsi="Wingdings" w:cs="Wingdings"/>
    </w:rPr>
  </w:style>
  <w:style w:type="paragraph" w:customStyle="1" w:styleId="CRSeparator">
    <w:name w:val="CR Separator"/>
    <w:basedOn w:val="Normal"/>
    <w:next w:val="CRReference"/>
    <w:uiPriority w:val="99"/>
    <w:pPr>
      <w:keepNext/>
      <w:pBdr>
        <w:top w:val="single" w:sz="4" w:space="1" w:color="auto"/>
      </w:pBdr>
      <w:autoSpaceDE w:val="0"/>
      <w:autoSpaceDN w:val="0"/>
      <w:spacing w:before="0" w:after="0"/>
    </w:pPr>
    <w:rPr>
      <w:rFonts w:eastAsiaTheme="minorEastAsia"/>
      <w:szCs w:val="24"/>
      <w:lang w:val="fr-FR" w:eastAsia="en-GB"/>
    </w:rPr>
  </w:style>
  <w:style w:type="paragraph" w:customStyle="1" w:styleId="CRReference">
    <w:name w:val="CR Reference"/>
    <w:basedOn w:val="Normal"/>
    <w:uiPriority w:val="9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spacing w:before="0" w:after="0"/>
      <w:ind w:left="5670"/>
      <w:jc w:val="left"/>
    </w:pPr>
    <w:rPr>
      <w:rFonts w:eastAsiaTheme="minorEastAsia"/>
      <w:szCs w:val="24"/>
      <w:lang w:val="fr-FR" w:eastAsia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hu-HU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hu-H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hu-HU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val="hu-HU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lang w:val="hu-HU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23"/>
      </w:numPr>
    </w:pPr>
  </w:style>
  <w:style w:type="paragraph" w:customStyle="1" w:styleId="Tiret1">
    <w:name w:val="Tiret 1"/>
    <w:basedOn w:val="Point1"/>
    <w:pPr>
      <w:numPr>
        <w:numId w:val="24"/>
      </w:numPr>
    </w:pPr>
  </w:style>
  <w:style w:type="paragraph" w:customStyle="1" w:styleId="Tiret2">
    <w:name w:val="Tiret 2"/>
    <w:basedOn w:val="Point2"/>
    <w:pPr>
      <w:numPr>
        <w:numId w:val="25"/>
      </w:numPr>
    </w:pPr>
  </w:style>
  <w:style w:type="paragraph" w:customStyle="1" w:styleId="Tiret3">
    <w:name w:val="Tiret 3"/>
    <w:basedOn w:val="Point3"/>
    <w:pPr>
      <w:numPr>
        <w:numId w:val="26"/>
      </w:numPr>
    </w:pPr>
  </w:style>
  <w:style w:type="paragraph" w:customStyle="1" w:styleId="Tiret4">
    <w:name w:val="Tiret 4"/>
    <w:basedOn w:val="Point4"/>
    <w:pPr>
      <w:numPr>
        <w:numId w:val="27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8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8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8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8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0"/>
      </w:numPr>
    </w:pPr>
  </w:style>
  <w:style w:type="paragraph" w:customStyle="1" w:styleId="Point1number">
    <w:name w:val="Point 1 (number)"/>
    <w:basedOn w:val="Normal"/>
    <w:pPr>
      <w:numPr>
        <w:ilvl w:val="2"/>
        <w:numId w:val="30"/>
      </w:numPr>
    </w:pPr>
  </w:style>
  <w:style w:type="paragraph" w:customStyle="1" w:styleId="Point2number">
    <w:name w:val="Point 2 (number)"/>
    <w:basedOn w:val="Normal"/>
    <w:pPr>
      <w:numPr>
        <w:ilvl w:val="4"/>
        <w:numId w:val="30"/>
      </w:numPr>
    </w:pPr>
  </w:style>
  <w:style w:type="paragraph" w:customStyle="1" w:styleId="Point3number">
    <w:name w:val="Point 3 (number)"/>
    <w:basedOn w:val="Normal"/>
    <w:pPr>
      <w:numPr>
        <w:ilvl w:val="6"/>
        <w:numId w:val="30"/>
      </w:numPr>
    </w:pPr>
  </w:style>
  <w:style w:type="paragraph" w:customStyle="1" w:styleId="Point0letter">
    <w:name w:val="Point 0 (letter)"/>
    <w:basedOn w:val="Normal"/>
    <w:pPr>
      <w:numPr>
        <w:ilvl w:val="1"/>
        <w:numId w:val="30"/>
      </w:numPr>
    </w:pPr>
  </w:style>
  <w:style w:type="paragraph" w:customStyle="1" w:styleId="Point1letter">
    <w:name w:val="Point 1 (letter)"/>
    <w:basedOn w:val="Normal"/>
    <w:pPr>
      <w:numPr>
        <w:ilvl w:val="3"/>
        <w:numId w:val="30"/>
      </w:numPr>
    </w:pPr>
  </w:style>
  <w:style w:type="paragraph" w:customStyle="1" w:styleId="Point2letter">
    <w:name w:val="Point 2 (letter)"/>
    <w:basedOn w:val="Normal"/>
    <w:pPr>
      <w:numPr>
        <w:ilvl w:val="5"/>
        <w:numId w:val="30"/>
      </w:numPr>
    </w:pPr>
  </w:style>
  <w:style w:type="paragraph" w:customStyle="1" w:styleId="Point3letter">
    <w:name w:val="Point 3 (letter)"/>
    <w:basedOn w:val="Normal"/>
    <w:pPr>
      <w:numPr>
        <w:ilvl w:val="7"/>
        <w:numId w:val="30"/>
      </w:numPr>
    </w:pPr>
  </w:style>
  <w:style w:type="paragraph" w:customStyle="1" w:styleId="Point4letter">
    <w:name w:val="Point 4 (letter)"/>
    <w:basedOn w:val="Normal"/>
    <w:pPr>
      <w:numPr>
        <w:ilvl w:val="8"/>
        <w:numId w:val="30"/>
      </w:numPr>
    </w:pPr>
  </w:style>
  <w:style w:type="paragraph" w:customStyle="1" w:styleId="Bullet0">
    <w:name w:val="Bullet 0"/>
    <w:basedOn w:val="Normal"/>
    <w:pPr>
      <w:numPr>
        <w:numId w:val="31"/>
      </w:numPr>
    </w:pPr>
  </w:style>
  <w:style w:type="paragraph" w:customStyle="1" w:styleId="Bullet1">
    <w:name w:val="Bullet 1"/>
    <w:basedOn w:val="Normal"/>
    <w:pPr>
      <w:numPr>
        <w:numId w:val="32"/>
      </w:numPr>
    </w:pPr>
  </w:style>
  <w:style w:type="paragraph" w:customStyle="1" w:styleId="Bullet2">
    <w:name w:val="Bullet 2"/>
    <w:basedOn w:val="Normal"/>
    <w:pPr>
      <w:numPr>
        <w:numId w:val="33"/>
      </w:numPr>
    </w:pPr>
  </w:style>
  <w:style w:type="paragraph" w:customStyle="1" w:styleId="Bullet3">
    <w:name w:val="Bullet 3"/>
    <w:basedOn w:val="Normal"/>
    <w:pPr>
      <w:numPr>
        <w:numId w:val="34"/>
      </w:numPr>
    </w:pPr>
  </w:style>
  <w:style w:type="paragraph" w:customStyle="1" w:styleId="Bullet4">
    <w:name w:val="Bullet 4"/>
    <w:basedOn w:val="Normal"/>
    <w:pPr>
      <w:numPr>
        <w:numId w:val="35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6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hu-HU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29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29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29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29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RMarker">
    <w:name w:val="CR Marker"/>
    <w:basedOn w:val="DefaultParagraphFont"/>
    <w:uiPriority w:val="99"/>
    <w:rPr>
      <w:rFonts w:ascii="Wingdings" w:hAnsi="Wingdings" w:cs="Wingdings"/>
    </w:rPr>
  </w:style>
  <w:style w:type="paragraph" w:customStyle="1" w:styleId="CRSeparator">
    <w:name w:val="CR Separator"/>
    <w:basedOn w:val="Normal"/>
    <w:next w:val="CRReference"/>
    <w:uiPriority w:val="99"/>
    <w:pPr>
      <w:keepNext/>
      <w:pBdr>
        <w:top w:val="single" w:sz="4" w:space="1" w:color="auto"/>
      </w:pBdr>
      <w:autoSpaceDE w:val="0"/>
      <w:autoSpaceDN w:val="0"/>
      <w:spacing w:before="0" w:after="0"/>
    </w:pPr>
    <w:rPr>
      <w:rFonts w:eastAsiaTheme="minorEastAsia"/>
      <w:szCs w:val="24"/>
      <w:lang w:val="fr-FR" w:eastAsia="en-GB"/>
    </w:rPr>
  </w:style>
  <w:style w:type="paragraph" w:customStyle="1" w:styleId="CRReference">
    <w:name w:val="CR Reference"/>
    <w:basedOn w:val="Normal"/>
    <w:uiPriority w:val="9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spacing w:before="0" w:after="0"/>
      <w:ind w:left="5670"/>
      <w:jc w:val="left"/>
    </w:pPr>
    <w:rPr>
      <w:rFonts w:eastAsiaTheme="minorEastAsia"/>
      <w:szCs w:val="24"/>
      <w:lang w:val="fr-FR" w:eastAsia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hu-HU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hu-H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hu-HU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val="hu-HU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lang w:val="hu-HU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23"/>
      </w:numPr>
    </w:pPr>
  </w:style>
  <w:style w:type="paragraph" w:customStyle="1" w:styleId="Tiret1">
    <w:name w:val="Tiret 1"/>
    <w:basedOn w:val="Point1"/>
    <w:pPr>
      <w:numPr>
        <w:numId w:val="24"/>
      </w:numPr>
    </w:pPr>
  </w:style>
  <w:style w:type="paragraph" w:customStyle="1" w:styleId="Tiret2">
    <w:name w:val="Tiret 2"/>
    <w:basedOn w:val="Point2"/>
    <w:pPr>
      <w:numPr>
        <w:numId w:val="25"/>
      </w:numPr>
    </w:pPr>
  </w:style>
  <w:style w:type="paragraph" w:customStyle="1" w:styleId="Tiret3">
    <w:name w:val="Tiret 3"/>
    <w:basedOn w:val="Point3"/>
    <w:pPr>
      <w:numPr>
        <w:numId w:val="26"/>
      </w:numPr>
    </w:pPr>
  </w:style>
  <w:style w:type="paragraph" w:customStyle="1" w:styleId="Tiret4">
    <w:name w:val="Tiret 4"/>
    <w:basedOn w:val="Point4"/>
    <w:pPr>
      <w:numPr>
        <w:numId w:val="27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8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8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8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8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0"/>
      </w:numPr>
    </w:pPr>
  </w:style>
  <w:style w:type="paragraph" w:customStyle="1" w:styleId="Point1number">
    <w:name w:val="Point 1 (number)"/>
    <w:basedOn w:val="Normal"/>
    <w:pPr>
      <w:numPr>
        <w:ilvl w:val="2"/>
        <w:numId w:val="30"/>
      </w:numPr>
    </w:pPr>
  </w:style>
  <w:style w:type="paragraph" w:customStyle="1" w:styleId="Point2number">
    <w:name w:val="Point 2 (number)"/>
    <w:basedOn w:val="Normal"/>
    <w:pPr>
      <w:numPr>
        <w:ilvl w:val="4"/>
        <w:numId w:val="30"/>
      </w:numPr>
    </w:pPr>
  </w:style>
  <w:style w:type="paragraph" w:customStyle="1" w:styleId="Point3number">
    <w:name w:val="Point 3 (number)"/>
    <w:basedOn w:val="Normal"/>
    <w:pPr>
      <w:numPr>
        <w:ilvl w:val="6"/>
        <w:numId w:val="30"/>
      </w:numPr>
    </w:pPr>
  </w:style>
  <w:style w:type="paragraph" w:customStyle="1" w:styleId="Point0letter">
    <w:name w:val="Point 0 (letter)"/>
    <w:basedOn w:val="Normal"/>
    <w:pPr>
      <w:numPr>
        <w:ilvl w:val="1"/>
        <w:numId w:val="30"/>
      </w:numPr>
    </w:pPr>
  </w:style>
  <w:style w:type="paragraph" w:customStyle="1" w:styleId="Point1letter">
    <w:name w:val="Point 1 (letter)"/>
    <w:basedOn w:val="Normal"/>
    <w:pPr>
      <w:numPr>
        <w:ilvl w:val="3"/>
        <w:numId w:val="30"/>
      </w:numPr>
    </w:pPr>
  </w:style>
  <w:style w:type="paragraph" w:customStyle="1" w:styleId="Point2letter">
    <w:name w:val="Point 2 (letter)"/>
    <w:basedOn w:val="Normal"/>
    <w:pPr>
      <w:numPr>
        <w:ilvl w:val="5"/>
        <w:numId w:val="30"/>
      </w:numPr>
    </w:pPr>
  </w:style>
  <w:style w:type="paragraph" w:customStyle="1" w:styleId="Point3letter">
    <w:name w:val="Point 3 (letter)"/>
    <w:basedOn w:val="Normal"/>
    <w:pPr>
      <w:numPr>
        <w:ilvl w:val="7"/>
        <w:numId w:val="30"/>
      </w:numPr>
    </w:pPr>
  </w:style>
  <w:style w:type="paragraph" w:customStyle="1" w:styleId="Point4letter">
    <w:name w:val="Point 4 (letter)"/>
    <w:basedOn w:val="Normal"/>
    <w:pPr>
      <w:numPr>
        <w:ilvl w:val="8"/>
        <w:numId w:val="30"/>
      </w:numPr>
    </w:pPr>
  </w:style>
  <w:style w:type="paragraph" w:customStyle="1" w:styleId="Bullet0">
    <w:name w:val="Bullet 0"/>
    <w:basedOn w:val="Normal"/>
    <w:pPr>
      <w:numPr>
        <w:numId w:val="31"/>
      </w:numPr>
    </w:pPr>
  </w:style>
  <w:style w:type="paragraph" w:customStyle="1" w:styleId="Bullet1">
    <w:name w:val="Bullet 1"/>
    <w:basedOn w:val="Normal"/>
    <w:pPr>
      <w:numPr>
        <w:numId w:val="32"/>
      </w:numPr>
    </w:pPr>
  </w:style>
  <w:style w:type="paragraph" w:customStyle="1" w:styleId="Bullet2">
    <w:name w:val="Bullet 2"/>
    <w:basedOn w:val="Normal"/>
    <w:pPr>
      <w:numPr>
        <w:numId w:val="33"/>
      </w:numPr>
    </w:pPr>
  </w:style>
  <w:style w:type="paragraph" w:customStyle="1" w:styleId="Bullet3">
    <w:name w:val="Bullet 3"/>
    <w:basedOn w:val="Normal"/>
    <w:pPr>
      <w:numPr>
        <w:numId w:val="34"/>
      </w:numPr>
    </w:pPr>
  </w:style>
  <w:style w:type="paragraph" w:customStyle="1" w:styleId="Bullet4">
    <w:name w:val="Bullet 4"/>
    <w:basedOn w:val="Normal"/>
    <w:pPr>
      <w:numPr>
        <w:numId w:val="35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6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70C476DF-98D0-4E97-B9EC-E5C7B28FA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0</TotalTime>
  <Pages>4</Pages>
  <Words>271</Words>
  <Characters>1282</Characters>
  <Application>Microsoft Office Word</Application>
  <DocSecurity>0</DocSecurity>
  <Lines>98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9</cp:revision>
  <cp:lastPrinted>2020-03-06T09:24:00Z</cp:lastPrinted>
  <dcterms:created xsi:type="dcterms:W3CDTF">2020-05-28T12:06:00Z</dcterms:created>
  <dcterms:modified xsi:type="dcterms:W3CDTF">2020-07-10T07:19:00Z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7.0.8.0</vt:lpwstr>
  </property>
  <property fmtid="{D5CDD505-2E9C-101B-9397-08002B2CF9AE}" pid="4" name="Last edited using">
    <vt:lpwstr>LW 7.0.1, Build 20190916</vt:lpwstr>
  </property>
  <property fmtid="{D5CDD505-2E9C-101B-9397-08002B2CF9AE}" pid="5" name="Created using">
    <vt:lpwstr>LW 7.0, Build 20190717</vt:lpwstr>
  </property>
  <property fmtid="{D5CDD505-2E9C-101B-9397-08002B2CF9AE}" pid="6" name="First annex">
    <vt:lpwstr>1</vt:lpwstr>
  </property>
  <property fmtid="{D5CDD505-2E9C-101B-9397-08002B2CF9AE}" pid="7" name="Last annex">
    <vt:lpwstr>2</vt:lpwstr>
  </property>
  <property fmtid="{D5CDD505-2E9C-101B-9397-08002B2CF9AE}" pid="8" name="Unique annex">
    <vt:lpwstr>0</vt:lpwstr>
  </property>
  <property fmtid="{D5CDD505-2E9C-101B-9397-08002B2CF9AE}" pid="9" name="Part">
    <vt:lpwstr>&lt;UNUSED&gt;</vt:lpwstr>
  </property>
  <property fmtid="{D5CDD505-2E9C-101B-9397-08002B2CF9AE}" pid="10" name="Total parts">
    <vt:lpwstr>&lt;UNUSED&gt;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DQCStatus">
    <vt:lpwstr>Green (DQC version 03)</vt:lpwstr>
  </property>
  <property name="OP_sanitized" fmtid="{D5CDD505-2E9C-101B-9397-08002B2CF9AE}" pid="14">
    <vt:lpwstr>True</vt:lpwstr>
  </property>
</Properties>
</file>