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BE9A4F58-2B1D-4728-8EF1-5989D9DE876F" style="width:450.75pt;height:410.2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1"/>
          <w:cols w:space="720"/>
          <w:docGrid w:linePitch="360"/>
        </w:sectPr>
      </w:pPr>
    </w:p>
    <w:p>
      <w:pPr>
        <w:jc w:val="center"/>
        <w:rPr>
          <w:b/>
          <w:noProof/>
          <w:u w:val="single"/>
        </w:rPr>
      </w:pPr>
      <w:bookmarkStart w:id="0" w:name="_GoBack"/>
      <w:bookmarkEnd w:id="0"/>
      <w:r>
        <w:rPr>
          <w:b/>
          <w:noProof/>
          <w:u w:val="single"/>
        </w:rPr>
        <w:lastRenderedPageBreak/>
        <w:t>PRIEDAI</w:t>
      </w:r>
    </w:p>
    <w:p>
      <w:pPr>
        <w:pStyle w:val="Annexetitre"/>
        <w:spacing w:before="0" w:after="240"/>
        <w:rPr>
          <w:noProof/>
          <w:szCs w:val="24"/>
          <w:lang w:eastAsia="en-US" w:bidi="ar-SA"/>
        </w:rPr>
      </w:pPr>
      <w:r>
        <w:rPr>
          <w:noProof/>
          <w:szCs w:val="24"/>
          <w:lang w:eastAsia="en-US" w:bidi="ar-SA"/>
        </w:rPr>
        <w:t>I PRIEDAS</w:t>
      </w:r>
    </w:p>
    <w:p>
      <w:pPr>
        <w:pStyle w:val="ManualHeading2"/>
        <w:jc w:val="center"/>
        <w:rPr>
          <w:noProof/>
        </w:rPr>
      </w:pPr>
      <w:r>
        <w:rPr>
          <w:noProof/>
        </w:rPr>
        <w:t>VEIKLA</w:t>
      </w:r>
    </w:p>
    <w:p>
      <w:pPr>
        <w:keepLines/>
        <w:spacing w:before="0" w:after="240"/>
        <w:rPr>
          <w:b/>
          <w:noProof/>
          <w:szCs w:val="24"/>
        </w:rPr>
      </w:pPr>
      <w:r>
        <w:rPr>
          <w:b/>
          <w:noProof/>
        </w:rPr>
        <w:t>Euratomo programos pagrindimas – rengiantis 2020 metams</w:t>
      </w:r>
    </w:p>
    <w:p>
      <w:pPr>
        <w:pStyle w:val="Text1"/>
        <w:spacing w:before="0" w:after="240"/>
        <w:ind w:left="0"/>
        <w:rPr>
          <w:noProof/>
          <w:szCs w:val="24"/>
        </w:rPr>
      </w:pPr>
      <w:r>
        <w:rPr>
          <w:noProof/>
        </w:rPr>
        <w:t xml:space="preserve">Pasiekus 3 straipsnyje nustatytus Euratomo programos tikslus, bus pasiekta geresnių rezultatų trijose prioritetinėse bendrosios programos „Horizontas 2020“ srityse: pažangaus mokslo, pramonės pirmavimo ir visuomenės uždavinių. </w:t>
      </w:r>
    </w:p>
    <w:p>
      <w:pPr>
        <w:pStyle w:val="Text1"/>
        <w:spacing w:before="0" w:after="240"/>
        <w:ind w:left="0"/>
        <w:rPr>
          <w:noProof/>
          <w:szCs w:val="24"/>
        </w:rPr>
      </w:pPr>
      <w:r>
        <w:rPr>
          <w:noProof/>
        </w:rPr>
        <w:t xml:space="preserve">Branduolinė energija yra vienas iš diskusijos apie priemones, skirtas kovoti su klimato kaita ir Europos priklausomumui nuo energijos importo sumažinti, punktų. Platesniame kontekste, ieškant ateityje tvaraus energijos rūšių derinio, Euratomo programa, vykdant joje numatytą mokslinių tyrimų veiklą, bus taip pat prisidedama prie debatų apie branduolių dalijimosi energijos teikiamą naudą ir galimybių ribas mažo anglies dioksido kiekio technologijų ekonomikoje. Užtikrinant nuolatinį branduolinės saugos gerinimą, pažangesnės branduolinės technologijos galėtų taip pat suteikti galimybių labai pagerinti išteklių veiksmingumą ir naudojimą ir sumažinti atliekų kiekį, palyginti su dabartinėmis technologijomis. Branduolinės saugos aspektams bus teikiama kuo daugiau dėmesio. </w:t>
      </w:r>
    </w:p>
    <w:p>
      <w:pPr>
        <w:pStyle w:val="Text1"/>
        <w:spacing w:before="0" w:after="240"/>
        <w:ind w:left="0"/>
        <w:rPr>
          <w:noProof/>
          <w:szCs w:val="24"/>
        </w:rPr>
      </w:pPr>
      <w:r>
        <w:rPr>
          <w:noProof/>
        </w:rPr>
        <w:t xml:space="preserve">Įgyvendinant Euratomo programą bus stiprinama branduolinės srities mokslinių tyrimų ir inovacijų sistema ir koordinuojami valstybėse narėse vykdomi moksliniai tyrimai, taip siekiant išvengti veiklos kartojimosi, išlaikyti kritinę masę svarbiausiose srityse ir užtikrinti optimalų viešųjų finansų naudojimą. Vis dėlto veiklos koordinavimas neužkirs kelio valstybėms narėms vykdyti programas, skirtas jų nacionaliniams poreikiams tenkinti. </w:t>
      </w:r>
    </w:p>
    <w:p>
      <w:pPr>
        <w:pStyle w:val="Text1"/>
        <w:spacing w:before="0" w:after="240"/>
        <w:ind w:left="0"/>
        <w:rPr>
          <w:noProof/>
          <w:szCs w:val="24"/>
        </w:rPr>
      </w:pPr>
      <w:r>
        <w:rPr>
          <w:noProof/>
        </w:rPr>
        <w:t xml:space="preserve">Strategija, kurią įgyvendinant bus siekiama plėtoti branduolių sintezę kaip patikimą komercinės energijos gamybos neišskiriant anglies dioksido alternatyvą, turės atitikti veiksmų planą, kuriame nurodyti etapai siekiant elektros energijos gamybos tikslo iki 2050 m. Kad ta strategija galėtų būti įgyvendinta, reikia restruktūrizuoti Sąjungoje vykdomą su branduolių sinteze susijusį darbą (įskaitant valdymą, finansavimą ir administravimą) ir taip užtikrinti, kad pirmenybė būtų teikiama nebe vien tik moksliniams tyrimams, o ir būsimų objektų (pvz., ITER, DEMO ir kitų) projektavimo, statymo ir eksploatavimo veiklai. Tam bus būtinas glaudus visos Sąjungos branduolių sintezės bendruomenės, Komisijos ir nacionalinių finansavimo agentūrų bendradarbiavimas. </w:t>
      </w:r>
    </w:p>
    <w:p>
      <w:pPr>
        <w:pStyle w:val="Text1"/>
        <w:spacing w:before="0" w:after="240"/>
        <w:ind w:left="0"/>
        <w:rPr>
          <w:noProof/>
          <w:szCs w:val="24"/>
        </w:rPr>
      </w:pPr>
      <w:r>
        <w:rPr>
          <w:noProof/>
        </w:rPr>
        <w:t xml:space="preserve">Siekiant neprarasti Sąjungos specialiųjų žinių, būtinų minėtiems tikslams pasiekti, turi būti dar labiau sustiprintas Euratomo programos vaidmuo mokymo srityje, steigiant europinės svarbos mokymo įstaigas, kurios vykdys specializuotas programas. Tokia veikla padės toliau kurti Europos mokslinių tyrimų erdvę ir geriau integruoti naujas valstybes nares ir asocijuotąsias šalis. </w:t>
      </w:r>
    </w:p>
    <w:p>
      <w:pPr>
        <w:spacing w:before="0" w:after="200" w:line="276" w:lineRule="auto"/>
        <w:jc w:val="left"/>
        <w:rPr>
          <w:b/>
          <w:noProof/>
          <w:szCs w:val="24"/>
        </w:rPr>
      </w:pPr>
      <w:r>
        <w:rPr>
          <w:noProof/>
        </w:rPr>
        <w:br w:type="page"/>
      </w:r>
    </w:p>
    <w:p>
      <w:pPr>
        <w:keepLines/>
        <w:spacing w:before="0" w:after="240"/>
        <w:rPr>
          <w:b/>
          <w:noProof/>
          <w:szCs w:val="24"/>
        </w:rPr>
      </w:pPr>
      <w:r>
        <w:rPr>
          <w:b/>
          <w:noProof/>
        </w:rPr>
        <w:lastRenderedPageBreak/>
        <w:t xml:space="preserve">Programos tikslams įgyvendinti būtina veikla </w:t>
      </w:r>
    </w:p>
    <w:p>
      <w:pPr>
        <w:keepLines/>
        <w:spacing w:before="0" w:after="240"/>
        <w:rPr>
          <w:b/>
          <w:i/>
          <w:noProof/>
          <w:szCs w:val="24"/>
        </w:rPr>
      </w:pPr>
      <w:r>
        <w:rPr>
          <w:b/>
          <w:i/>
          <w:noProof/>
        </w:rPr>
        <w:t xml:space="preserve">Netiesioginiai veiksmai </w:t>
      </w:r>
    </w:p>
    <w:p>
      <w:pPr>
        <w:pStyle w:val="Text1"/>
        <w:spacing w:before="0" w:after="240"/>
        <w:ind w:left="0"/>
        <w:rPr>
          <w:noProof/>
          <w:szCs w:val="24"/>
        </w:rPr>
      </w:pPr>
      <w:r>
        <w:rPr>
          <w:noProof/>
        </w:rPr>
        <w:t xml:space="preserve">Siekiant užtikrinti, kad vykdant netiesioginius Euratomo programos veiksmus būtų tarpusavyje stiprinama valstybių narių ir privačiojo sektoriaus mokslinių tyrimų srities veikla, darbo programų prioritetai turi būti nustatomi atsižvelgiant į atitinkamus atsiliepimus, gautus iš nacionalinių valstybinių institucijų ir branduolinių mokslinių tyrimų srities suinteresuotųjų subjektų, kurie yra susibūrę į įstaigas ar struktūras, pavyzdžiui, į technologijų platformas ir techninius forumus branduolinių sistemų ir saugos, galutinių atliekų tvarkymo ir radiacinės saugos ir (arba) mažos dozės rizikos, branduolių sintezės mokslinių tyrimų klausimais, arba bet kurios kitos branduolinės srities suinteresuotųjų subjektų organizacijos ar forumo. </w:t>
      </w:r>
    </w:p>
    <w:p>
      <w:pPr>
        <w:pStyle w:val="Point0letter"/>
        <w:numPr>
          <w:ilvl w:val="1"/>
          <w:numId w:val="6"/>
        </w:numPr>
        <w:spacing w:before="0" w:after="240"/>
        <w:rPr>
          <w:i/>
          <w:noProof/>
          <w:szCs w:val="24"/>
        </w:rPr>
      </w:pPr>
      <w:r>
        <w:rPr>
          <w:i/>
          <w:noProof/>
        </w:rPr>
        <w:t>Didinti branduolinių sistemų saugą (visuomenės uždaviniai, pažangus mokslas, pramonės pirmavimas)</w:t>
      </w:r>
    </w:p>
    <w:p>
      <w:pPr>
        <w:pStyle w:val="Text1"/>
        <w:spacing w:before="0" w:after="240"/>
        <w:rPr>
          <w:noProof/>
          <w:szCs w:val="24"/>
        </w:rPr>
      </w:pPr>
      <w:r>
        <w:rPr>
          <w:noProof/>
        </w:rPr>
        <w:t xml:space="preserve">Atsižvelgiant į bendrąjį tikslą, padėti vykdyti bendrą mokslinių tyrimų veiklą, susijusią su Sąjungoje naudojamų reaktorių sistemų (įskaitant kuro ciklo objektus) arba, jei tai būtina norint išlaikyti plačias specialiąsias branduolinės saugos žinias Sąjungoje, atitinkamų tipų reaktorių, kurie gali būti naudojami ateityje, saugiu eksploatavimu ir eksploatavimo nutraukimu, dėmesį skiriant tik saugos aspektams, įskaitant visus kuro ciklo aspektus, pavyzdžiui, išskyrimą ir transmutaciją. </w:t>
      </w:r>
    </w:p>
    <w:p>
      <w:pPr>
        <w:pStyle w:val="Point0letter"/>
        <w:numPr>
          <w:ilvl w:val="1"/>
          <w:numId w:val="6"/>
        </w:numPr>
        <w:spacing w:before="0" w:after="240"/>
        <w:rPr>
          <w:i/>
          <w:noProof/>
          <w:szCs w:val="24"/>
        </w:rPr>
      </w:pPr>
      <w:r>
        <w:rPr>
          <w:i/>
          <w:noProof/>
        </w:rPr>
        <w:t>Prisidėti prie galutinių branduolinių atliekų tvarkymo, įskaitant galutinį geologinį laidojimą ir išskyrimą bei transmutaciją, saugių ilgesnio laikotarpio sprendimų kūrimo (pažangus mokslas, visuomenės uždaviniai)</w:t>
      </w:r>
    </w:p>
    <w:p>
      <w:pPr>
        <w:pStyle w:val="Text1"/>
        <w:spacing w:before="0" w:after="240"/>
        <w:rPr>
          <w:noProof/>
        </w:rPr>
      </w:pPr>
      <w:r>
        <w:rPr>
          <w:noProof/>
        </w:rPr>
        <w:t xml:space="preserve">Vykdyti bendrą ir (arba) koordinuotą mokslinių tyrimų veiklą, susijusią su dar neištirtais pagrindiniais panaudoto kuro ir ilgaamžių radioaktyviųjų atliekų geologinio laidojimo aspektais, ir tam tikrais atvejais vykdyti su technologijomis ir sauga susijusią demonstracinę veiklą. Tokia veikla turi padėti formuoti bendrą Sąjungos nuomonę pagrindiniais klausimais, susijusiais su atliekų tvarkymu nuo kuro išmetimo iki šalinimo. </w:t>
      </w:r>
    </w:p>
    <w:p>
      <w:pPr>
        <w:pStyle w:val="Text1"/>
        <w:spacing w:before="0" w:after="240"/>
        <w:rPr>
          <w:noProof/>
          <w:szCs w:val="24"/>
        </w:rPr>
      </w:pPr>
      <w:r>
        <w:rPr>
          <w:noProof/>
        </w:rPr>
        <w:t>Vykdyti mokslinius tyrimus, susijusius su kitų radioaktyviųjų atliekų, kurioms kol kas nėra parengta išbaigtų pramoninių procesų, tvarkymu.</w:t>
      </w:r>
    </w:p>
    <w:p>
      <w:pPr>
        <w:pStyle w:val="Point0letter"/>
        <w:numPr>
          <w:ilvl w:val="1"/>
          <w:numId w:val="6"/>
        </w:numPr>
        <w:spacing w:before="0" w:after="240"/>
        <w:rPr>
          <w:i/>
          <w:noProof/>
          <w:szCs w:val="24"/>
        </w:rPr>
      </w:pPr>
      <w:r>
        <w:rPr>
          <w:i/>
          <w:noProof/>
        </w:rPr>
        <w:t>Remti specialiųjų žinių ir pažangumo branduolinėje srityje plėtojimą ir užtikrinti jų tvarumą Sąjungoje (pažangus mokslas)</w:t>
      </w:r>
    </w:p>
    <w:p>
      <w:pPr>
        <w:pStyle w:val="Text1"/>
        <w:spacing w:before="0" w:after="240"/>
        <w:rPr>
          <w:noProof/>
          <w:szCs w:val="24"/>
        </w:rPr>
      </w:pPr>
      <w:r>
        <w:rPr>
          <w:noProof/>
        </w:rPr>
        <w:t xml:space="preserve">Skatinti mokslinių tyrimų centrus ir įmones, taip pat įvairias valstybes nares ir asocijuotąsias valstybes vykdyti bendrą mokymo ir judumo veiklą, taip pat padėti išsaugoti daugiadalykę branduolinės srities kompetenciją, siekiant užtikrinti, kad Sąjungos branduoliniame sektoriuje ilgainiui nepritrūktų tinkamą kvalifikaciją turinčių mokslininkų tyrėjų, inžinierių ir darbuotojų. </w:t>
      </w:r>
    </w:p>
    <w:p>
      <w:pPr>
        <w:pStyle w:val="Point0letter"/>
        <w:numPr>
          <w:ilvl w:val="1"/>
          <w:numId w:val="6"/>
        </w:numPr>
        <w:spacing w:before="0" w:after="240"/>
        <w:rPr>
          <w:i/>
          <w:noProof/>
          <w:szCs w:val="24"/>
        </w:rPr>
      </w:pPr>
      <w:r>
        <w:rPr>
          <w:i/>
          <w:noProof/>
        </w:rPr>
        <w:t xml:space="preserve">Didinti radiacinę saugą ir remti spinduliuotės naudojimo būdų medicinoje plėtojimą, įskaitant, inter alia, patikimą ir saugų radioaktyviųjų izotopų tiekimą ir naudojimą (pažangus mokslas, visuomenės uždaviniai) </w:t>
      </w:r>
    </w:p>
    <w:p>
      <w:pPr>
        <w:pStyle w:val="Text1"/>
        <w:spacing w:before="0"/>
        <w:rPr>
          <w:noProof/>
          <w:szCs w:val="24"/>
        </w:rPr>
      </w:pPr>
      <w:r>
        <w:rPr>
          <w:noProof/>
        </w:rPr>
        <w:t xml:space="preserve">Siekiant sukurti tvirtai, teisingai ir socialiniu požiūriu priimtinai apsaugos sistemai reikalingą europinį mokslinį ir technologinį pagrindą, vykdyti bendrą ir (arba) koordinuotą mokslinių tyrimų veiklą, visų pirma susijusią su rizika, kurią sukelia mažų dozių pramoninė, medicininė arba gamtinė apšvita, ekstremaliųjų situacijų (avarijų, kurių metu išsiskiria radiacija) valdymo ir radiacinės ekologijos srityse. </w:t>
      </w:r>
    </w:p>
    <w:p>
      <w:pPr>
        <w:pStyle w:val="Text1"/>
        <w:spacing w:before="0"/>
        <w:rPr>
          <w:noProof/>
          <w:szCs w:val="24"/>
        </w:rPr>
      </w:pPr>
      <w:r>
        <w:rPr>
          <w:noProof/>
        </w:rPr>
        <w:t xml:space="preserve">Mokslinių tyrimų veikla, susijusi su jonizuojančiosios spinduliuotės naudojimo būdais medicinoje ir radiacinės saugos praktiniais saugos aspektais ir jų taikymu. </w:t>
      </w:r>
    </w:p>
    <w:p>
      <w:pPr>
        <w:pStyle w:val="Point0letter"/>
        <w:numPr>
          <w:ilvl w:val="1"/>
          <w:numId w:val="6"/>
        </w:numPr>
        <w:spacing w:before="0" w:after="240"/>
        <w:rPr>
          <w:i/>
          <w:noProof/>
          <w:szCs w:val="24"/>
        </w:rPr>
      </w:pPr>
      <w:r>
        <w:rPr>
          <w:i/>
          <w:noProof/>
        </w:rPr>
        <w:t xml:space="preserve">Eksploatuojant esamus ir būsimus branduolių sintezės objektus padėti įrodyti, kad branduolių sintezė gali būti naudojama energijos gamybos reikmėms (pramonės pirmavimas, visuomenės uždaviniai) </w:t>
      </w:r>
    </w:p>
    <w:p>
      <w:pPr>
        <w:pStyle w:val="Text1"/>
        <w:rPr>
          <w:noProof/>
        </w:rPr>
      </w:pPr>
      <w:r>
        <w:rPr>
          <w:noProof/>
        </w:rPr>
        <w:t xml:space="preserve">Padėti „EUROfusion“ nariams ir visiems i punkte nurodytiems subjektams vykdyti bendrus mokslinius tyrimus, siekiant kuo greičiau pradėti labai veiksmingai eksploatuoti ITER (taip pat naudoti tam tikrus objektus, tarp kurių yra ir Jungtinis Europos toras (angl. JET, </w:t>
      </w:r>
      <w:r>
        <w:rPr>
          <w:i/>
          <w:noProof/>
        </w:rPr>
        <w:t>Joint European Torus</w:t>
      </w:r>
      <w:r>
        <w:rPr>
          <w:noProof/>
        </w:rPr>
        <w:t xml:space="preserve">)), taikyti, be kita ko, itin našių kompiuterių naudojimu pagrįstą integruotą modeliavimą, taip pat padėti vykdyti mokymo veiklą, kad būtų parengta nauja mokslininkų tyrėjų ir inžinierių karta. </w:t>
      </w:r>
    </w:p>
    <w:p>
      <w:pPr>
        <w:pStyle w:val="Point0letter"/>
        <w:numPr>
          <w:ilvl w:val="1"/>
          <w:numId w:val="6"/>
        </w:numPr>
        <w:spacing w:before="0" w:after="240"/>
        <w:rPr>
          <w:i/>
          <w:noProof/>
          <w:szCs w:val="24"/>
        </w:rPr>
      </w:pPr>
      <w:r>
        <w:rPr>
          <w:i/>
          <w:noProof/>
        </w:rPr>
        <w:t>Padėti būsimoms branduolių sintezės jėgainėms reikalingus pagrindus, kuriant medžiagas, technologijas ir koncepciją (pramonės pirmavimas, visuomenės uždaviniai)</w:t>
      </w:r>
    </w:p>
    <w:p>
      <w:pPr>
        <w:pStyle w:val="Text1"/>
        <w:rPr>
          <w:noProof/>
        </w:rPr>
      </w:pPr>
      <w:r>
        <w:rPr>
          <w:noProof/>
        </w:rPr>
        <w:t xml:space="preserve">Padėti „EUROfusion“ nariams ir visiems i punkte nurodytiems subjektams vykdyti bendrą veiklą, kuria siekiama sukurti ir patvirtinti demonstracinei jėgainei skirtas medžiagas; tai, </w:t>
      </w:r>
      <w:r>
        <w:rPr>
          <w:i/>
          <w:noProof/>
        </w:rPr>
        <w:t>inter alia</w:t>
      </w:r>
      <w:r>
        <w:rPr>
          <w:noProof/>
        </w:rPr>
        <w:t xml:space="preserve">, apima parengiamąjį darbą, susijusį su tinkama medžiagų bandymo infrastruktūra, ir derybas dėl Sąjungos dalyvavimo tinkamoje tarptautinėje su šia infrastruktūra susijusioje programoje. Kuriant ir tvirtinant medžiagas turi būti naudojamasi visais turimais eksperimentiniais, skaičiavimo ir teoriniais gebėjimais. </w:t>
      </w:r>
    </w:p>
    <w:p>
      <w:pPr>
        <w:pStyle w:val="Text1"/>
        <w:rPr>
          <w:noProof/>
        </w:rPr>
      </w:pPr>
      <w:r>
        <w:rPr>
          <w:noProof/>
        </w:rPr>
        <w:t>Padėti Europos branduolių sintezės susitarimo nariams ir visiems i punkte nurodytiems subjektams vykdyti bendrą mokslinių tyrimų veiklą, kuria bus siekiama spręsti reaktorių eksploatavimo klausimus ir kurti bei demonstruoti visas su branduolių sintezės demonstracine jėgaine susijusias technologijas. Vykdant tokią veiklą, be kita ko, rengiama išsami demonstracinės jėgainės koncepcija ir tiriamos galimybės naudoti stelaratorius kaip vieną iš jėgainių technologijų.</w:t>
      </w:r>
    </w:p>
    <w:p>
      <w:pPr>
        <w:pStyle w:val="Point0letter"/>
        <w:numPr>
          <w:ilvl w:val="1"/>
          <w:numId w:val="6"/>
        </w:numPr>
        <w:spacing w:before="0" w:after="240"/>
        <w:rPr>
          <w:i/>
          <w:noProof/>
          <w:szCs w:val="24"/>
        </w:rPr>
      </w:pPr>
      <w:r>
        <w:rPr>
          <w:i/>
          <w:noProof/>
        </w:rPr>
        <w:t>Skatinti inovacijas ir pramonės konkurencingumą (pramonės pirmavimas)</w:t>
      </w:r>
    </w:p>
    <w:p>
      <w:pPr>
        <w:pStyle w:val="Text1"/>
        <w:rPr>
          <w:noProof/>
        </w:rPr>
      </w:pPr>
      <w:r>
        <w:rPr>
          <w:noProof/>
        </w:rPr>
        <w:t xml:space="preserve">Valdyti žinias, gautas atlikus pagal Euratomo programą bendrai finansuojamus mokslinius tyrimus, ir perduoti sukurtas technologijas pramonei, panaudojant visus inovacinius mokslinių tyrimų aspektus, arba remti tokį žinių valdymą ir technologijų perdavimą. </w:t>
      </w:r>
    </w:p>
    <w:p>
      <w:pPr>
        <w:pStyle w:val="Text1"/>
        <w:rPr>
          <w:noProof/>
        </w:rPr>
      </w:pPr>
      <w:r>
        <w:rPr>
          <w:noProof/>
        </w:rPr>
        <w:t xml:space="preserve">Remti inovacijas, </w:t>
      </w:r>
      <w:r>
        <w:rPr>
          <w:i/>
          <w:noProof/>
        </w:rPr>
        <w:t>inter alia</w:t>
      </w:r>
      <w:r>
        <w:rPr>
          <w:noProof/>
        </w:rPr>
        <w:t xml:space="preserve">, atveriant prieigą prie mokslo leidinių ir sukuriant žinių valdymui ir sklaidai skirtą duomenų bazę, taip pat įtraukti daugiau technologijoms skirtų temų į švietimo programas. </w:t>
      </w:r>
    </w:p>
    <w:p>
      <w:pPr>
        <w:pStyle w:val="Text1"/>
        <w:rPr>
          <w:noProof/>
        </w:rPr>
      </w:pPr>
      <w:r>
        <w:rPr>
          <w:noProof/>
        </w:rPr>
        <w:t xml:space="preserve">Ilgainiui pagal Euratomo programą turi būti remiamas konkurencingo branduolių sintezės pramonės sektoriaus kūrimas, prireikus sudarant palankesnes sąlygas dalyvauti privačiajam sektoriui ir MVĮ, ir jo plėtojimas, visų pirma įgyvendinant branduolių sintezės jėgainės statybai reikalingų technologijų veiksmų planą ir pramonės atstovams aktyviai dalyvaujant projektavimo ir plėtojimo projektuose. </w:t>
      </w:r>
    </w:p>
    <w:p>
      <w:pPr>
        <w:pStyle w:val="Point0letter"/>
        <w:numPr>
          <w:ilvl w:val="1"/>
          <w:numId w:val="6"/>
        </w:numPr>
        <w:spacing w:before="0" w:after="240"/>
        <w:rPr>
          <w:i/>
          <w:noProof/>
          <w:szCs w:val="24"/>
        </w:rPr>
      </w:pPr>
      <w:r>
        <w:rPr>
          <w:i/>
          <w:noProof/>
        </w:rPr>
        <w:t xml:space="preserve">Užtikrinti, kad europinės svarbos mokslinių tyrimų infrastruktūra būtų prieinama ir ja būtų naudojamasi (pažangus mokslas) </w:t>
      </w:r>
    </w:p>
    <w:p>
      <w:pPr>
        <w:pStyle w:val="Text1"/>
        <w:spacing w:before="0" w:after="240"/>
        <w:rPr>
          <w:noProof/>
          <w:szCs w:val="24"/>
        </w:rPr>
      </w:pPr>
      <w:r>
        <w:rPr>
          <w:noProof/>
        </w:rPr>
        <w:t>Vykdyti veiklą, kuria remiama svarbiausios mokslinių tyrimų infrastruktūros objektų statyba, atnaujinimas, naudojimas ir nuolatinis prieinamumas pagal Euratomo programą, taip pat sudaryti tinkamas sąlygas naudotis ta infrastruktūra ir užtikrinti tokių infrastruktūros objektų sąveiką.</w:t>
      </w:r>
    </w:p>
    <w:p>
      <w:pPr>
        <w:pStyle w:val="Point0letter"/>
        <w:numPr>
          <w:ilvl w:val="1"/>
          <w:numId w:val="6"/>
        </w:numPr>
        <w:spacing w:before="0" w:after="240"/>
        <w:rPr>
          <w:i/>
          <w:noProof/>
          <w:szCs w:val="24"/>
        </w:rPr>
      </w:pPr>
      <w:r>
        <w:rPr>
          <w:i/>
          <w:noProof/>
        </w:rPr>
        <w:t xml:space="preserve">Europos branduolių sintezės programa </w:t>
      </w:r>
    </w:p>
    <w:p>
      <w:pPr>
        <w:pStyle w:val="Text1"/>
        <w:rPr>
          <w:noProof/>
        </w:rPr>
      </w:pPr>
      <w:r>
        <w:rPr>
          <w:noProof/>
        </w:rPr>
        <w:t xml:space="preserve">Bendra veiklos programa, kuria įgyvendinamas veiksmų planas siekiant elektros energijos gamybos tikslo iki 2050 m. ir kuri yra bendrai finansuojama iš „EUROfusion“ dotacijos (programos bendro finansavimo veiksmas), kuri teisės subjektams, kuriuos įsteigia ar paskiria valstybės narės ir Euratomo programoje asocijuotųjų šalių teisėmis dalyvaujančios trečiosios šalys, suteikiama pagal Reglamentą (Euratomas) Nr. 1314/2013. „EUROfusion“ dotacija gali būti toliau finansuojama pagal Euratomo programą. Bendra programa gali apimti Bendrijos įnašus natūra, pavyzdžiui, mokslinį ir techninį JET įrenginio eksploatavimą pagal Sutarties 10 straipsnį arba Komisijos darbuotojų komandiravimą. </w:t>
      </w:r>
    </w:p>
    <w:p>
      <w:pPr>
        <w:keepLines/>
        <w:spacing w:before="0" w:after="240"/>
        <w:rPr>
          <w:b/>
          <w:i/>
          <w:noProof/>
          <w:szCs w:val="24"/>
        </w:rPr>
      </w:pPr>
      <w:r>
        <w:rPr>
          <w:b/>
          <w:i/>
          <w:noProof/>
        </w:rPr>
        <w:t xml:space="preserve">JTC tiesioginiai veiksmai </w:t>
      </w:r>
    </w:p>
    <w:p>
      <w:pPr>
        <w:rPr>
          <w:noProof/>
        </w:rPr>
      </w:pPr>
      <w:r>
        <w:rPr>
          <w:noProof/>
        </w:rPr>
        <w:t xml:space="preserve">Tiesioginių veiksmų prioritetai turi būti nustatomi konsultuojantis su politiniais Komisijos generaliniais direktoratais ir JTC valdytojų taryba. </w:t>
      </w:r>
    </w:p>
    <w:p>
      <w:pPr>
        <w:rPr>
          <w:noProof/>
          <w:szCs w:val="24"/>
        </w:rPr>
      </w:pPr>
      <w:r>
        <w:rPr>
          <w:noProof/>
        </w:rPr>
        <w:t>JTC vykdomos branduolinės veiklos tikslas – padėti įgyvendinti Tarybos direktyvas 2009/71/Euratomas</w:t>
      </w:r>
      <w:r>
        <w:rPr>
          <w:rStyle w:val="FootnoteReference"/>
          <w:noProof/>
        </w:rPr>
        <w:footnoteReference w:id="1"/>
      </w:r>
      <w:r>
        <w:rPr>
          <w:noProof/>
        </w:rPr>
        <w:t>, 2011/70/Euratomas</w:t>
      </w:r>
      <w:r>
        <w:rPr>
          <w:rStyle w:val="FootnoteReference"/>
          <w:noProof/>
        </w:rPr>
        <w:footnoteReference w:id="2"/>
      </w:r>
      <w:r>
        <w:rPr>
          <w:noProof/>
        </w:rPr>
        <w:t xml:space="preserve"> ir Tarybos išvadas, pirmenybę teikiant aukščiausiems Sąjungos ir tarptautiniams branduolinės saugos standartams.</w:t>
      </w:r>
    </w:p>
    <w:p>
      <w:pPr>
        <w:rPr>
          <w:noProof/>
          <w:szCs w:val="24"/>
        </w:rPr>
      </w:pPr>
      <w:r>
        <w:rPr>
          <w:noProof/>
        </w:rPr>
        <w:t xml:space="preserve">JTC visų pirma turi prisidėti prie branduolinės saugos srities mokslinių tyrimų, reikalingų saugiam, apsaugotam ir taikiam branduolinės energijos naudojimui ir kitiems su branduolių dalijimusi nesusijusiems naudojimo būdams. JTC suteiks mokslinį pagrindą atitinkamai Sąjungos politikai ir prireikus atsižvelgdamas į misijos tikslus ir pagal kompetenciją reaguos įvykus branduoliniams įvykiams, incidentams ir avarijoms. Tuo tikslu JTC atliks mokslinius tyrimus ir vertinimus, rengs gaires ir standartus, organizuos specializuotą mokymo ir švietimo veiklą. Prireikus bus siekiama užtikrinti sąveiką su atitinkamomis kompleksinėmis iniciatyvomis siekiant optimaliai išnaudoti žmogiškuosius ir finansinius išteklius ir vengti mokslinių tyrimų ir plėtros pastangų dubliavimosi Europos Sąjungoje. JTC veikla šiose srityse bus vykdoma atsižvelgiant į atitinkamas regionų, valstybių narių arba Europos Sąjungos lygio iniciatyvas, siekiant suformuoti Europos mokslinių tyrimų erdvę. </w:t>
      </w:r>
    </w:p>
    <w:p>
      <w:pPr>
        <w:pStyle w:val="Point0letter"/>
        <w:numPr>
          <w:ilvl w:val="1"/>
          <w:numId w:val="7"/>
        </w:numPr>
        <w:spacing w:before="0" w:after="240"/>
        <w:rPr>
          <w:i/>
          <w:noProof/>
          <w:szCs w:val="24"/>
        </w:rPr>
      </w:pPr>
      <w:r>
        <w:rPr>
          <w:i/>
          <w:noProof/>
        </w:rPr>
        <w:t xml:space="preserve">Didinti branduolinę saugą, įskaitant branduolinių reaktorių ir kuro saugą, atliekų tvarkymą, įskaitant galutinį geologinį laidojimą ir išskyrimą bei transmutaciją, eksploatavimo nutraukimą ir avarinę parengtį </w:t>
      </w:r>
    </w:p>
    <w:p>
      <w:pPr>
        <w:pStyle w:val="Text1"/>
        <w:spacing w:before="0"/>
        <w:rPr>
          <w:noProof/>
          <w:szCs w:val="24"/>
        </w:rPr>
      </w:pPr>
      <w:r>
        <w:rPr>
          <w:noProof/>
        </w:rPr>
        <w:t xml:space="preserve">JTC padės rengti priemones ir metodus, būtinus aukštiems aktualiems Europoje branduolinės energetikos objektų ir kuro ciklų saugos standartams užtikrinti. Tos priemonės ir metodai apims: </w:t>
      </w:r>
    </w:p>
    <w:p>
      <w:pPr>
        <w:pStyle w:val="Point1number"/>
        <w:spacing w:before="0"/>
        <w:rPr>
          <w:noProof/>
          <w:szCs w:val="24"/>
        </w:rPr>
      </w:pPr>
      <w:r>
        <w:rPr>
          <w:noProof/>
        </w:rPr>
        <w:t xml:space="preserve">branduolinės energetikos objektų eksploatavimo saugos riboms vertinti naudojamą didelių avarijų analizės modeliavimą ir metodikas; paramą formuojant bendrą Europos koncepciją dėl pažangių kuro ciklų ir projektų vertinimo, išvadų, susijusių su eksploatavimo patirtimi, nagrinėjimą ir jų sklaidą. JTC tęs Europos informavimo apie branduolinių elektrinių eksploatavimo patirtį centro, kurį įsteigė, veiklą, kad galėtų reaguoti į naujus branduolinės saugos iššūkius po incidento Fukušimoje; jis prašys valstybių narių prisidėti savo kompetencija šioje srityje; </w:t>
      </w:r>
    </w:p>
    <w:p>
      <w:pPr>
        <w:pStyle w:val="Point1number"/>
        <w:spacing w:before="0"/>
        <w:rPr>
          <w:noProof/>
          <w:szCs w:val="24"/>
        </w:rPr>
      </w:pPr>
      <w:r>
        <w:rPr>
          <w:noProof/>
        </w:rPr>
        <w:t xml:space="preserve">neaiškumų, susijusių su branduolinių atliekų būklės kaitos per ilgą laikotarpį ir radionuklidų sklaidos aplinkoje prognozėmis moksliniuose duomenyse, sumažinimą iki minimumo ir pagrindinius branduolinės energetikos objektų eksploatavimo nutraukimo mokslinių tyrimų aspektus; </w:t>
      </w:r>
    </w:p>
    <w:p>
      <w:pPr>
        <w:pStyle w:val="Point1number"/>
        <w:spacing w:before="0"/>
        <w:rPr>
          <w:noProof/>
          <w:szCs w:val="24"/>
        </w:rPr>
      </w:pPr>
      <w:r>
        <w:rPr>
          <w:noProof/>
        </w:rPr>
        <w:t xml:space="preserve">keitimąsi informacija su atitinkamais suinteresuotaisiais subjektais siekiant stiprinti Sąjungos pajėgumą likviduoti branduolines avarijas ir incidentus, plėtojant įspėjimo apie radionuklidų sklaidą ore sistemas ir modelius ir sutelkiant išteklius ir specialiąsias žinias branduolinių avarijų analizės ir modeliavimo tikslais. </w:t>
      </w:r>
    </w:p>
    <w:p>
      <w:pPr>
        <w:pStyle w:val="Point0letter"/>
        <w:spacing w:before="0" w:after="240"/>
        <w:rPr>
          <w:i/>
          <w:noProof/>
          <w:szCs w:val="24"/>
        </w:rPr>
      </w:pPr>
      <w:r>
        <w:rPr>
          <w:i/>
          <w:noProof/>
        </w:rPr>
        <w:t xml:space="preserve">Didinti branduolinį saugumą, įskaitant branduolinės saugos priemones, branduolinių ginklų neplatinimą, kovą su neteisėta prekyba ir branduolinę ekspertizę </w:t>
      </w:r>
    </w:p>
    <w:p>
      <w:pPr>
        <w:pStyle w:val="Text1"/>
        <w:spacing w:before="0"/>
        <w:rPr>
          <w:noProof/>
          <w:szCs w:val="24"/>
        </w:rPr>
      </w:pPr>
      <w:r>
        <w:rPr>
          <w:noProof/>
        </w:rPr>
        <w:t xml:space="preserve">Branduolinių ginklų neplatinimo sričiai turi būti skiriama kuo daugiau dėmesio. JTC: </w:t>
      </w:r>
    </w:p>
    <w:p>
      <w:pPr>
        <w:pStyle w:val="Point1number"/>
        <w:spacing w:before="0" w:after="240"/>
        <w:rPr>
          <w:noProof/>
          <w:szCs w:val="24"/>
        </w:rPr>
      </w:pPr>
      <w:r>
        <w:rPr>
          <w:noProof/>
        </w:rPr>
        <w:t xml:space="preserve">rengs pažangesnes metodikas ir nustatymo (tikrinimo) metodus bei technologijas, kad padėtų taikyti Bendrijos saugos priemones ir sustiprintų tarptautines saugos priemones; </w:t>
      </w:r>
    </w:p>
    <w:p>
      <w:pPr>
        <w:pStyle w:val="Point1number"/>
        <w:spacing w:before="0" w:after="240"/>
        <w:rPr>
          <w:noProof/>
          <w:szCs w:val="24"/>
        </w:rPr>
      </w:pPr>
      <w:r>
        <w:rPr>
          <w:noProof/>
        </w:rPr>
        <w:t>rengs ir taikys branduolinių ir radioaktyviųjų incidentų prevencijai, nustatymui ir jų padarinių likvidavimui skirtus pažangesnius metodus ir technologijas, įskaitant nustatymo technologijų tvirtinimą ir branduolinės ekspertizės metodų ir priemonių, skirtų kovai su neteisėta prekyba, kūrimą; vykdydamas šią veiklą jis užtikrins sąveiką su pasauline cheminių, biologinių, radiologinių ir branduolinių medžiagų sistema;</w:t>
      </w:r>
    </w:p>
    <w:p>
      <w:pPr>
        <w:pStyle w:val="Point1number"/>
        <w:spacing w:before="0" w:after="240"/>
        <w:rPr>
          <w:noProof/>
          <w:szCs w:val="24"/>
        </w:rPr>
      </w:pPr>
      <w:r>
        <w:rPr>
          <w:noProof/>
        </w:rPr>
        <w:t>padės įgyvendinti Branduolinio ginklo neplatinimo sutartį ir su Sąjunga susijusių strategijų įgyvendinimą pasitelkdamas analizės tyrimus ir tolesnius veiksmus, susijusius su eksporto kontrolės tvarkos technine raida, kad padėtų atitinkamoms Komisijos ir Sąjungos tarnyboms.</w:t>
      </w:r>
    </w:p>
    <w:p>
      <w:pPr>
        <w:pStyle w:val="Point0letter"/>
        <w:spacing w:before="0" w:after="240"/>
        <w:rPr>
          <w:i/>
          <w:noProof/>
          <w:szCs w:val="24"/>
        </w:rPr>
      </w:pPr>
      <w:r>
        <w:rPr>
          <w:i/>
          <w:noProof/>
        </w:rPr>
        <w:t xml:space="preserve">Didinti standartizacijos reikmėms naudojamos branduolinės srities mokslo bazės kokybę </w:t>
      </w:r>
    </w:p>
    <w:p>
      <w:pPr>
        <w:pStyle w:val="Text1"/>
        <w:spacing w:before="0" w:after="240"/>
        <w:rPr>
          <w:noProof/>
        </w:rPr>
      </w:pPr>
      <w:r>
        <w:rPr>
          <w:noProof/>
        </w:rPr>
        <w:t xml:space="preserve">JTC toliau plėtos branduolinės saugos ir saugumo mokslinį pagrindą. Daugiausia dėmesio bus skiriama aktinoidų, struktūrinių ir branduolinių medžiagų pagrindinių savybių ir funkcionavimo moksliniams tyrimams. Remdamas Sąjungos standartizacijos veiklą JTC rengs pažangiausius branduolinius standartus, etaloninius duomenis ir matavimo priemones, taip pat kurs ir taikys atitinkamas duomenų bazes ir vertinimo priemones. JTC padės toliau plėtoti naudojimo medicinoje būdus, konkrečiai alfa spinduliuote pagrįstus naujus vėžio gydymo būdus. </w:t>
      </w:r>
    </w:p>
    <w:p>
      <w:pPr>
        <w:pStyle w:val="Point0letter"/>
        <w:spacing w:before="0" w:after="240"/>
        <w:rPr>
          <w:i/>
          <w:noProof/>
          <w:szCs w:val="24"/>
        </w:rPr>
      </w:pPr>
      <w:r>
        <w:rPr>
          <w:i/>
          <w:noProof/>
        </w:rPr>
        <w:t xml:space="preserve">Sudaryti palankias žinių valdymo, švietimo ir mokymo sąlygas </w:t>
      </w:r>
    </w:p>
    <w:p>
      <w:pPr>
        <w:pStyle w:val="Text1"/>
        <w:spacing w:before="0" w:after="240"/>
        <w:rPr>
          <w:noProof/>
        </w:rPr>
      </w:pPr>
      <w:r>
        <w:rPr>
          <w:noProof/>
        </w:rPr>
        <w:t xml:space="preserve">JTC turi domėtis naujausiais mokslinių tyrimų ir matavimo įtaisų, saugos ir aplinkos srities teisės aktų pokyčiais. Tuo tikslu turi būti įgyvendinamas koreguojamasis investicijų į mokslinę infrastruktūrą planas. </w:t>
      </w:r>
    </w:p>
    <w:p>
      <w:pPr>
        <w:pStyle w:val="Text1"/>
        <w:spacing w:before="0" w:after="240"/>
        <w:rPr>
          <w:noProof/>
          <w:szCs w:val="24"/>
        </w:rPr>
      </w:pPr>
      <w:r>
        <w:rPr>
          <w:noProof/>
        </w:rPr>
        <w:t xml:space="preserve">Kad išlaikytų Sąjungos lyderystę branduolinės saugos ir saugumo srityje, JTC turi kurti žinių valdymo priemones, atlikti Sąjungos tendencijų žmogiškųjų išteklių srityje stebėseną (tai daro jo Branduolinio sektoriaus žmogiškųjų išteklių stebėjimo centras) ir kurti specializuotas mokymo ir švietimo programas, kurios apima ir eksploatavimo nutraukimo aspektus. </w:t>
      </w:r>
    </w:p>
    <w:p>
      <w:pPr>
        <w:pStyle w:val="Point0letter"/>
        <w:spacing w:before="0"/>
        <w:ind w:left="851" w:hanging="851"/>
        <w:rPr>
          <w:i/>
          <w:noProof/>
          <w:szCs w:val="24"/>
        </w:rPr>
      </w:pPr>
      <w:r>
        <w:rPr>
          <w:i/>
          <w:noProof/>
        </w:rPr>
        <w:t>Remti Sąjungos branduolinės saugos ir saugumo politiką</w:t>
      </w:r>
      <w:r>
        <w:rPr>
          <w:noProof/>
        </w:rPr>
        <w:t xml:space="preserve"> </w:t>
      </w:r>
    </w:p>
    <w:p>
      <w:pPr>
        <w:pStyle w:val="Text1"/>
        <w:spacing w:before="0" w:after="240"/>
        <w:rPr>
          <w:noProof/>
        </w:rPr>
      </w:pPr>
      <w:r>
        <w:rPr>
          <w:noProof/>
        </w:rPr>
        <w:t xml:space="preserve">JTC turi plėsti specialiąsias žinias ir didinti pažangumą, kad galėtų suteikti nepriklausomus mokslinius ir techninius įrodymus, kurie gali būti reikalingi Sąjungos politikai branduolinės saugos ir saugumo srityje remti. </w:t>
      </w:r>
    </w:p>
    <w:p>
      <w:pPr>
        <w:pStyle w:val="Text1"/>
        <w:spacing w:before="0" w:after="240"/>
        <w:rPr>
          <w:noProof/>
          <w:szCs w:val="24"/>
        </w:rPr>
      </w:pPr>
      <w:r>
        <w:rPr>
          <w:noProof/>
        </w:rPr>
        <w:t xml:space="preserve">JTC, kaip Euratomo sutarties įgyvendinimo įstaiga, paskirta nagrinėti Ketvirtosios kartos tarptautinio forumo klausimus, ir toliau koordinuos Bendrijos dalyvavimą šiame forume. Propaguodamas Sąjungos branduolinės saugos ir saugumo politiką, JTC vykdys ir toliau plėtos tarptautinį mokslinių tyrimų srities bendradarbiavimą su pagrindinėmis šalimis partnerėmis ir tarptautinėmis organizacijomis (TATENA ir Ekonominio bendradarbiavimo ir plėtros organizacijos Branduolinės energijos agentūra). </w:t>
      </w:r>
    </w:p>
    <w:p>
      <w:pPr>
        <w:keepLines/>
        <w:spacing w:before="0"/>
        <w:rPr>
          <w:b/>
          <w:i/>
          <w:noProof/>
          <w:szCs w:val="24"/>
        </w:rPr>
      </w:pPr>
      <w:r>
        <w:rPr>
          <w:b/>
          <w:i/>
          <w:noProof/>
        </w:rPr>
        <w:t xml:space="preserve">Pagal Euratomo programą vykdoma kompleksinė veikla </w:t>
      </w:r>
    </w:p>
    <w:p>
      <w:pPr>
        <w:pStyle w:val="Text1"/>
        <w:spacing w:before="0" w:after="240"/>
        <w:ind w:left="0"/>
        <w:rPr>
          <w:noProof/>
        </w:rPr>
      </w:pPr>
      <w:r>
        <w:rPr>
          <w:noProof/>
        </w:rPr>
        <w:t xml:space="preserve">Kad būtų pasiekti bendrieji Euratomo programos tikslai, pagal Euratomo programą bus remiama papildoma veikla (tiesioginė ir netiesioginė, koordinavimas ir bendro programavimo skatinimas), kurią vykdant užtikrinama mokslinių tyrimų sinergija sprendžiant bendrus uždavinius, pavyzdžiui, uždavinius, susijusius su medžiagomis, aušinimo technologijomis, baziniais branduolinės srities duomenimis, modeliavimu ir imitavimu, nuotoliniu tvarkymu, atliekų tvarkymu ir radiacine sauga. </w:t>
      </w:r>
    </w:p>
    <w:p>
      <w:pPr>
        <w:keepLines/>
        <w:spacing w:before="0"/>
        <w:rPr>
          <w:b/>
          <w:i/>
          <w:noProof/>
          <w:szCs w:val="24"/>
        </w:rPr>
      </w:pPr>
      <w:r>
        <w:rPr>
          <w:b/>
          <w:i/>
          <w:noProof/>
        </w:rPr>
        <w:t>Kompleksinė veikla ir sąveika su bendrąja programa „Horizontas 2020“</w:t>
      </w:r>
    </w:p>
    <w:p>
      <w:pPr>
        <w:pStyle w:val="Text1"/>
        <w:spacing w:before="0" w:after="240"/>
        <w:ind w:left="0"/>
        <w:rPr>
          <w:noProof/>
          <w:szCs w:val="24"/>
        </w:rPr>
      </w:pPr>
      <w:r>
        <w:rPr>
          <w:noProof/>
        </w:rPr>
        <w:t>Kad būtų pasiekti Euratomo programos tikslai, bus užtikrinti tinkami ryšiai ir sąveika su bendrosios programos „Horizontas 2020“ specialiąja programa, pavyzdžiui, skelbiami bendri kvietimai.</w:t>
      </w:r>
    </w:p>
    <w:p>
      <w:pPr>
        <w:pStyle w:val="Text1"/>
        <w:spacing w:before="0" w:after="240"/>
        <w:ind w:left="0"/>
        <w:rPr>
          <w:noProof/>
          <w:szCs w:val="24"/>
        </w:rPr>
      </w:pPr>
      <w:r>
        <w:rPr>
          <w:noProof/>
        </w:rPr>
        <w:t>Įgyvendinant Euratomo programą gali būti prisidedama prie skolos ir nuosavo kapitalo priemonių, sukurtų pagal bendrąją programą „Horizontas 2020“, – jos bus išplėstos, kad apimtų 3 straipsnyje nurodytus tikslus.</w:t>
      </w:r>
    </w:p>
    <w:p>
      <w:pPr>
        <w:keepLines/>
        <w:spacing w:before="0"/>
        <w:rPr>
          <w:b/>
          <w:i/>
          <w:noProof/>
          <w:szCs w:val="24"/>
        </w:rPr>
      </w:pPr>
      <w:r>
        <w:rPr>
          <w:b/>
          <w:i/>
          <w:noProof/>
        </w:rPr>
        <w:t xml:space="preserve">Tarptautinis bendradarbiavimas su trečiosiomis šalimis ir tarptautinėmis organizacijomis </w:t>
      </w:r>
    </w:p>
    <w:p>
      <w:pPr>
        <w:pStyle w:val="Text1"/>
        <w:spacing w:before="0" w:after="240"/>
        <w:ind w:left="0"/>
        <w:rPr>
          <w:noProof/>
        </w:rPr>
      </w:pPr>
      <w:r>
        <w:rPr>
          <w:noProof/>
        </w:rPr>
        <w:t xml:space="preserve">Tarptautinis bendradarbiavimas branduolinių tyrimų ir inovacijų srityje, grindžiamas bendrais tikslais ir abipusiu pasitikėjimu, turi būti toliau plėtojamas, siekiant suteikti akivaizdžios ir didelės naudos Sąjungai ir jos aplinkai. Prisidėdama prie 3 straipsnyje nustatytų konkrečių tikslų, Bendrija stengsis išplėsti Sąjungos mokslines ir technines specialiąsias žinias, sudarydama tarptautinio bendradarbiavimo susitarimus, ir sudaryti sąlygas Sąjungos branduolinės pramonės atstovams patekti į naujas besiformuojančias rinkas. </w:t>
      </w:r>
    </w:p>
    <w:p>
      <w:pPr>
        <w:pStyle w:val="Text1"/>
        <w:spacing w:before="0" w:after="0"/>
        <w:ind w:left="0"/>
        <w:rPr>
          <w:noProof/>
          <w:szCs w:val="24"/>
        </w:rPr>
      </w:pPr>
      <w:r>
        <w:rPr>
          <w:noProof/>
        </w:rPr>
        <w:t>Tarptautinis bendradarbiavimas bus skatinamas su daugiašaliais forumais (pavyzdžiui, TATENA, EBPO, ITER, Ketvirtosios kartos tarptautiniu forumu) ir plėtojant esamą arba naują dvišalį bendradarbiavimą su šalimis, turinčiomis stiprią mokslinių tyrimų ir plėtros bei pramoninę bazę ir mokslinių tyrimų infrastruktūrą, kuri yra jau eksploatuojama ar dar tik kuriama arba statoma.</w:t>
      </w:r>
    </w:p>
    <w:p>
      <w:pPr>
        <w:spacing w:before="0" w:after="0"/>
        <w:jc w:val="left"/>
        <w:rPr>
          <w:b/>
          <w:noProof/>
          <w:szCs w:val="24"/>
          <w:u w:val="single"/>
        </w:rPr>
      </w:pPr>
      <w:r>
        <w:rPr>
          <w:noProof/>
        </w:rPr>
        <w:br w:type="page"/>
      </w:r>
    </w:p>
    <w:p>
      <w:pPr>
        <w:pStyle w:val="Annexetitre"/>
        <w:spacing w:before="0" w:after="240"/>
        <w:rPr>
          <w:noProof/>
          <w:szCs w:val="24"/>
        </w:rPr>
      </w:pPr>
      <w:r>
        <w:rPr>
          <w:noProof/>
        </w:rPr>
        <w:t>II PRIEDAS</w:t>
      </w:r>
    </w:p>
    <w:p>
      <w:pPr>
        <w:pStyle w:val="NormalCentered"/>
        <w:spacing w:before="0" w:after="240"/>
        <w:rPr>
          <w:b/>
          <w:caps/>
          <w:noProof/>
          <w:szCs w:val="24"/>
        </w:rPr>
      </w:pPr>
      <w:r>
        <w:rPr>
          <w:b/>
          <w:noProof/>
        </w:rPr>
        <w:t>VEIKLOS REZULTATŲ RODIKLIAI</w:t>
      </w:r>
    </w:p>
    <w:p>
      <w:pPr>
        <w:spacing w:before="0" w:after="240"/>
        <w:rPr>
          <w:noProof/>
          <w:szCs w:val="24"/>
        </w:rPr>
      </w:pPr>
      <w:r>
        <w:rPr>
          <w:noProof/>
        </w:rPr>
        <w:t>Šiame priede pateikiami kiekvienam konkrečiam Euratomo programos tikslui skirti keli pagrindiniai veiklos rezultatų rodikliai, naudojami rezultatams ir poveikiui vertinti; jie gali būti tikslinami per Euratomo programos įgyvendinimo laikotarpį.</w:t>
      </w:r>
    </w:p>
    <w:p>
      <w:pPr>
        <w:pStyle w:val="Point0"/>
        <w:spacing w:before="0" w:after="240"/>
        <w:rPr>
          <w:b/>
          <w:noProof/>
          <w:szCs w:val="24"/>
        </w:rPr>
      </w:pPr>
      <w:r>
        <w:rPr>
          <w:b/>
          <w:noProof/>
        </w:rPr>
        <w:t>1.</w:t>
      </w:r>
      <w:r>
        <w:rPr>
          <w:noProof/>
        </w:rPr>
        <w:tab/>
      </w:r>
      <w:r>
        <w:rPr>
          <w:b/>
          <w:noProof/>
        </w:rPr>
        <w:t>Netiesioginiams veiksmams skirti rodikliai</w:t>
      </w:r>
    </w:p>
    <w:p>
      <w:pPr>
        <w:pStyle w:val="Point1"/>
        <w:spacing w:before="0" w:after="240"/>
        <w:rPr>
          <w:b/>
          <w:i/>
          <w:noProof/>
          <w:szCs w:val="24"/>
          <w:u w:val="single"/>
        </w:rPr>
      </w:pPr>
      <w:r>
        <w:rPr>
          <w:i/>
          <w:noProof/>
        </w:rPr>
        <w:t>a)</w:t>
      </w:r>
      <w:r>
        <w:rPr>
          <w:noProof/>
        </w:rPr>
        <w:tab/>
      </w:r>
      <w:r>
        <w:rPr>
          <w:i/>
          <w:noProof/>
        </w:rPr>
        <w:t xml:space="preserve">Didinti branduolinių sistemų saugą </w:t>
      </w:r>
    </w:p>
    <w:p>
      <w:pPr>
        <w:pStyle w:val="Tiret2"/>
        <w:numPr>
          <w:ilvl w:val="0"/>
          <w:numId w:val="5"/>
        </w:numPr>
        <w:spacing w:before="0" w:after="240"/>
        <w:outlineLvl w:val="1"/>
        <w:rPr>
          <w:noProof/>
          <w:szCs w:val="24"/>
        </w:rPr>
      </w:pPr>
      <w:r>
        <w:rPr>
          <w:noProof/>
        </w:rPr>
        <w:t>Projektų (bendrų mokslinių tyrimų ir (arba) koordinuotų veiksmų), kurių naudą branduolinei saugai Europoje galima pagrįsti įrodymais, skaičius.</w:t>
      </w:r>
    </w:p>
    <w:p>
      <w:pPr>
        <w:pStyle w:val="Point1"/>
        <w:spacing w:before="0" w:after="240"/>
        <w:rPr>
          <w:i/>
          <w:noProof/>
          <w:szCs w:val="24"/>
        </w:rPr>
      </w:pPr>
      <w:r>
        <w:rPr>
          <w:i/>
          <w:noProof/>
        </w:rPr>
        <w:t>b)</w:t>
      </w:r>
      <w:r>
        <w:rPr>
          <w:noProof/>
        </w:rPr>
        <w:tab/>
      </w:r>
      <w:r>
        <w:rPr>
          <w:i/>
          <w:noProof/>
        </w:rPr>
        <w:t>Prisidėti prie galutinių branduolinių atliekų tvarkymo, įskaitant galutinį geologinį laidojimą, išskyrimą ir transmutaciją, saugių ilgesnio laikotarpio sprendimų kūrimo</w:t>
      </w:r>
    </w:p>
    <w:p>
      <w:pPr>
        <w:pStyle w:val="Tiret2"/>
        <w:spacing w:before="0" w:after="240"/>
        <w:outlineLvl w:val="1"/>
        <w:rPr>
          <w:noProof/>
          <w:szCs w:val="24"/>
        </w:rPr>
      </w:pPr>
      <w:r>
        <w:rPr>
          <w:noProof/>
        </w:rPr>
        <w:t>Projektų, kuriais prisidedama prie galutinių branduolinių atliekų tvarkymo saugių ilgalaikių sprendimų kūrimo, skaičius.</w:t>
      </w:r>
    </w:p>
    <w:p>
      <w:pPr>
        <w:pStyle w:val="Point1"/>
        <w:spacing w:before="0" w:after="240"/>
        <w:rPr>
          <w:i/>
          <w:noProof/>
          <w:szCs w:val="24"/>
        </w:rPr>
      </w:pPr>
      <w:r>
        <w:rPr>
          <w:i/>
          <w:noProof/>
        </w:rPr>
        <w:t>c)</w:t>
      </w:r>
      <w:r>
        <w:rPr>
          <w:noProof/>
        </w:rPr>
        <w:tab/>
      </w:r>
      <w:r>
        <w:rPr>
          <w:i/>
          <w:noProof/>
        </w:rPr>
        <w:t>Remti specialiųjų žinių ir pažangumo branduolinėje srityje plėtojimą ir užtikrinti jų tvarumą Sąjungoje</w:t>
      </w:r>
    </w:p>
    <w:p>
      <w:pPr>
        <w:pStyle w:val="Tiret2"/>
        <w:rPr>
          <w:noProof/>
        </w:rPr>
      </w:pPr>
      <w:r>
        <w:rPr>
          <w:noProof/>
        </w:rPr>
        <w:t>Moksliniais tyrimais grindžiamas mokymas – doktorantūros studentų ir baigusių doktorantūros studijas mokslininkų tyrėjų, paremtų pagal Euratomo branduolių dalijimosi projektus, skaičius.</w:t>
      </w:r>
    </w:p>
    <w:p>
      <w:pPr>
        <w:pStyle w:val="Tiret2"/>
        <w:rPr>
          <w:noProof/>
        </w:rPr>
      </w:pPr>
      <w:r>
        <w:rPr>
          <w:noProof/>
        </w:rPr>
        <w:t>Euratomo branduolių sintezės programoje dalyvaujančių stipendininkų ir stažuotojų skaičius.</w:t>
      </w:r>
    </w:p>
    <w:p>
      <w:pPr>
        <w:pStyle w:val="Point1"/>
        <w:spacing w:before="0" w:after="240"/>
        <w:rPr>
          <w:i/>
          <w:noProof/>
          <w:szCs w:val="24"/>
        </w:rPr>
      </w:pPr>
      <w:r>
        <w:rPr>
          <w:i/>
          <w:noProof/>
        </w:rPr>
        <w:t>d)</w:t>
      </w:r>
      <w:r>
        <w:rPr>
          <w:noProof/>
        </w:rPr>
        <w:tab/>
      </w:r>
      <w:r>
        <w:rPr>
          <w:i/>
          <w:noProof/>
        </w:rPr>
        <w:t>Didinti radiacinę saugą ir remti spinduliuotės naudojimo medicinoje būdų plėtojimą, įskaitant, inter alia, patikimą ir saugų radioaktyviųjų izotopų tiekimą ir naudojimą</w:t>
      </w:r>
    </w:p>
    <w:p>
      <w:pPr>
        <w:pStyle w:val="Tiret2"/>
        <w:spacing w:before="0" w:after="240"/>
        <w:outlineLvl w:val="1"/>
        <w:rPr>
          <w:noProof/>
          <w:szCs w:val="24"/>
        </w:rPr>
      </w:pPr>
      <w:r>
        <w:rPr>
          <w:noProof/>
        </w:rPr>
        <w:t>Projektų, galinčių padaryti įrodymais pagrįstą poveikį radiacinės saugos reguliavimo praktikai ir spinduliuotės naudojimo medicinoje būdų plėtojimui, skaičius.</w:t>
      </w:r>
    </w:p>
    <w:p>
      <w:pPr>
        <w:pStyle w:val="Point1"/>
        <w:spacing w:before="0" w:after="240"/>
        <w:rPr>
          <w:i/>
          <w:noProof/>
          <w:szCs w:val="24"/>
        </w:rPr>
      </w:pPr>
      <w:r>
        <w:rPr>
          <w:i/>
          <w:noProof/>
        </w:rPr>
        <w:t>e)</w:t>
      </w:r>
      <w:r>
        <w:rPr>
          <w:noProof/>
        </w:rPr>
        <w:tab/>
      </w:r>
      <w:r>
        <w:rPr>
          <w:i/>
          <w:noProof/>
        </w:rPr>
        <w:t>Eksploatuojant esamus ir būsimus branduolių sintezės objektus padėti įrodyti, kad branduolių sintezė gali būti naudojama energijos gamybos reikmėms</w:t>
      </w:r>
    </w:p>
    <w:p>
      <w:pPr>
        <w:pStyle w:val="Tiret2"/>
        <w:spacing w:before="0" w:after="240"/>
        <w:outlineLvl w:val="1"/>
        <w:rPr>
          <w:noProof/>
          <w:szCs w:val="24"/>
        </w:rPr>
      </w:pPr>
      <w:r>
        <w:rPr>
          <w:noProof/>
        </w:rPr>
        <w:t>Publikacijų recenzuojamuose didelio poveikio žurnaluose skaičius.</w:t>
      </w:r>
    </w:p>
    <w:p>
      <w:pPr>
        <w:pStyle w:val="Point1"/>
        <w:spacing w:before="0" w:after="240"/>
        <w:rPr>
          <w:i/>
          <w:noProof/>
          <w:szCs w:val="24"/>
        </w:rPr>
      </w:pPr>
      <w:r>
        <w:rPr>
          <w:i/>
          <w:noProof/>
        </w:rPr>
        <w:t>f)</w:t>
      </w:r>
      <w:r>
        <w:rPr>
          <w:noProof/>
        </w:rPr>
        <w:tab/>
      </w:r>
      <w:r>
        <w:rPr>
          <w:i/>
          <w:noProof/>
        </w:rPr>
        <w:t>Padėti būsimoms branduolių sintezės jėgainėms reikalingus pagrindus, kuriant medžiagas, technologijas ir koncepciją</w:t>
      </w:r>
    </w:p>
    <w:p>
      <w:pPr>
        <w:pStyle w:val="Tiret2"/>
        <w:spacing w:before="0" w:after="240"/>
        <w:outlineLvl w:val="1"/>
        <w:rPr>
          <w:noProof/>
          <w:szCs w:val="24"/>
        </w:rPr>
      </w:pPr>
      <w:r>
        <w:rPr>
          <w:noProof/>
        </w:rPr>
        <w:t>Branduolių sintezės veiksmų plano pagrindinių etapų, nustatytų 2014–2020 m. laikotarpiui ir įvykdytų pagal Euratomo programą, procentinė dalis.</w:t>
      </w:r>
    </w:p>
    <w:p>
      <w:pPr>
        <w:pStyle w:val="Point1"/>
        <w:spacing w:before="0" w:after="240"/>
        <w:rPr>
          <w:i/>
          <w:noProof/>
          <w:szCs w:val="24"/>
        </w:rPr>
      </w:pPr>
      <w:r>
        <w:rPr>
          <w:i/>
          <w:noProof/>
        </w:rPr>
        <w:t>g)</w:t>
      </w:r>
      <w:r>
        <w:rPr>
          <w:noProof/>
        </w:rPr>
        <w:tab/>
      </w:r>
      <w:r>
        <w:rPr>
          <w:i/>
          <w:noProof/>
        </w:rPr>
        <w:t>Skatinti inovacijas ir pramonės konkurencingumą</w:t>
      </w:r>
    </w:p>
    <w:p>
      <w:pPr>
        <w:pStyle w:val="Tiret2"/>
        <w:spacing w:before="0" w:after="240"/>
        <w:outlineLvl w:val="1"/>
        <w:rPr>
          <w:noProof/>
          <w:szCs w:val="24"/>
        </w:rPr>
      </w:pPr>
      <w:r>
        <w:rPr>
          <w:noProof/>
        </w:rPr>
        <w:t>Naujų įmonių padalinių, įsteigtų vykdant branduolių sintezės mokslinius tyrimus pagal Euratomo programą, skaičius.</w:t>
      </w:r>
    </w:p>
    <w:p>
      <w:pPr>
        <w:pStyle w:val="Tiret2"/>
        <w:spacing w:before="0" w:after="240"/>
        <w:outlineLvl w:val="1"/>
        <w:rPr>
          <w:noProof/>
          <w:szCs w:val="24"/>
        </w:rPr>
      </w:pPr>
      <w:r>
        <w:rPr>
          <w:noProof/>
        </w:rPr>
        <w:t>Remiantis pagal Euratomo programą remiamų mokslinių tyrimų veikla pateiktos paraiškos gauti patentą ir suteikti patentai.</w:t>
      </w:r>
    </w:p>
    <w:p>
      <w:pPr>
        <w:pStyle w:val="Point1"/>
        <w:spacing w:before="0" w:after="240"/>
        <w:rPr>
          <w:i/>
          <w:noProof/>
          <w:szCs w:val="24"/>
        </w:rPr>
      </w:pPr>
      <w:r>
        <w:rPr>
          <w:i/>
          <w:noProof/>
        </w:rPr>
        <w:t>h)</w:t>
      </w:r>
      <w:r>
        <w:rPr>
          <w:noProof/>
        </w:rPr>
        <w:tab/>
      </w:r>
      <w:r>
        <w:rPr>
          <w:i/>
          <w:noProof/>
        </w:rPr>
        <w:t>Užtikrinti, kad europinės svarbos mokslinių tyrimų infrastruktūra būtų prieinama ir ja būtų naudojamasi</w:t>
      </w:r>
    </w:p>
    <w:p>
      <w:pPr>
        <w:pStyle w:val="Tiret2"/>
        <w:spacing w:before="0" w:after="240"/>
        <w:outlineLvl w:val="1"/>
        <w:rPr>
          <w:noProof/>
          <w:szCs w:val="24"/>
        </w:rPr>
      </w:pPr>
      <w:r>
        <w:rPr>
          <w:noProof/>
        </w:rPr>
        <w:t>Mokslininkų tyrėjų, kurie turi prieigą prie mokslinių tyrimų infrastruktūros, pasitelkiant paramą pagal Euratomo programą, skaičius.</w:t>
      </w:r>
    </w:p>
    <w:p>
      <w:pPr>
        <w:pStyle w:val="Point0"/>
        <w:spacing w:before="0" w:after="240"/>
        <w:rPr>
          <w:b/>
          <w:noProof/>
          <w:szCs w:val="24"/>
        </w:rPr>
      </w:pPr>
      <w:bookmarkStart w:id="1" w:name="ControlPages"/>
      <w:bookmarkEnd w:id="1"/>
      <w:r>
        <w:rPr>
          <w:b/>
          <w:noProof/>
        </w:rPr>
        <w:t>2.</w:t>
      </w:r>
      <w:r>
        <w:rPr>
          <w:noProof/>
        </w:rPr>
        <w:tab/>
      </w:r>
      <w:r>
        <w:rPr>
          <w:b/>
          <w:noProof/>
        </w:rPr>
        <w:t>Tiesioginiams veiksmams skirti rodikliai</w:t>
      </w:r>
    </w:p>
    <w:p>
      <w:pPr>
        <w:pStyle w:val="Point1"/>
        <w:spacing w:before="0" w:after="240"/>
        <w:rPr>
          <w:i/>
          <w:noProof/>
          <w:szCs w:val="24"/>
        </w:rPr>
      </w:pPr>
      <w:r>
        <w:rPr>
          <w:i/>
          <w:noProof/>
        </w:rPr>
        <w:t>a)</w:t>
      </w:r>
      <w:r>
        <w:rPr>
          <w:noProof/>
        </w:rPr>
        <w:tab/>
      </w:r>
      <w:r>
        <w:rPr>
          <w:i/>
          <w:noProof/>
        </w:rPr>
        <w:t>JTC politikos rėmimui skirtas poveikio rodiklis</w:t>
      </w:r>
    </w:p>
    <w:p>
      <w:pPr>
        <w:pStyle w:val="Tiret2"/>
        <w:rPr>
          <w:noProof/>
        </w:rPr>
      </w:pPr>
      <w:r>
        <w:rPr>
          <w:noProof/>
        </w:rPr>
        <w:t>Konkretaus pamatuojamo poveikio, kurį Europos politikai daro JTC teikiama techninė ir mokslinė pagalba formuojant politiką, atvejų skaičius.</w:t>
      </w:r>
    </w:p>
    <w:p>
      <w:pPr>
        <w:pStyle w:val="Point1"/>
        <w:spacing w:before="0" w:after="240"/>
        <w:rPr>
          <w:i/>
          <w:noProof/>
          <w:szCs w:val="24"/>
        </w:rPr>
      </w:pPr>
      <w:r>
        <w:rPr>
          <w:i/>
          <w:noProof/>
        </w:rPr>
        <w:t>b)</w:t>
      </w:r>
      <w:r>
        <w:rPr>
          <w:noProof/>
        </w:rPr>
        <w:tab/>
      </w:r>
      <w:r>
        <w:rPr>
          <w:i/>
          <w:noProof/>
        </w:rPr>
        <w:t>JTC mokslinio našumo rodiklis</w:t>
      </w:r>
    </w:p>
    <w:p>
      <w:pPr>
        <w:pStyle w:val="Tiret2"/>
        <w:spacing w:before="0" w:after="240"/>
        <w:outlineLvl w:val="1"/>
        <w:rPr>
          <w:noProof/>
          <w:szCs w:val="24"/>
        </w:rPr>
      </w:pPr>
      <w:r>
        <w:rPr>
          <w:noProof/>
        </w:rPr>
        <w:t>Recenzuojamų publikacijų skaičius.</w:t>
      </w:r>
    </w:p>
    <w:p>
      <w:pPr>
        <w:pStyle w:val="Text1"/>
        <w:spacing w:before="0"/>
        <w:rPr>
          <w:noProof/>
          <w:szCs w:val="24"/>
        </w:rPr>
      </w:pPr>
      <w:r>
        <w:rPr>
          <w:noProof/>
        </w:rPr>
        <w:t>Rodikliai, nurodyti a ir b punktuose, gali būti pasiekti vadovaujantis tokiais Bendrijos tiesioginių veiksmų tikslais:</w:t>
      </w:r>
    </w:p>
    <w:p>
      <w:pPr>
        <w:pStyle w:val="Tiret1"/>
        <w:numPr>
          <w:ilvl w:val="0"/>
          <w:numId w:val="12"/>
        </w:numPr>
        <w:rPr>
          <w:noProof/>
        </w:rPr>
      </w:pPr>
      <w:r>
        <w:rPr>
          <w:noProof/>
        </w:rPr>
        <w:t>didinti branduolinę saugą, įskaitant branduolinių reaktorių ir kuro saugą, atliekų tvarkymą, įskaitant galutinį geologinį laidojimą ir išskyrimą bei transmutaciją, eksploatavimo nutraukimą ir avarinę parengtį;</w:t>
      </w:r>
    </w:p>
    <w:p>
      <w:pPr>
        <w:pStyle w:val="Tiret1"/>
        <w:numPr>
          <w:ilvl w:val="0"/>
          <w:numId w:val="12"/>
        </w:numPr>
        <w:rPr>
          <w:noProof/>
        </w:rPr>
      </w:pPr>
      <w:r>
        <w:rPr>
          <w:noProof/>
        </w:rPr>
        <w:t>didinti branduolinį saugumą, įskaitant branduolinės saugos priemones, branduolinių ginklų neplatinimą, kovą su neteisėta prekyba ir branduolinę ekspertizę;</w:t>
      </w:r>
    </w:p>
    <w:p>
      <w:pPr>
        <w:pStyle w:val="Tiret1"/>
        <w:numPr>
          <w:ilvl w:val="0"/>
          <w:numId w:val="12"/>
        </w:numPr>
        <w:rPr>
          <w:noProof/>
        </w:rPr>
      </w:pPr>
      <w:r>
        <w:rPr>
          <w:noProof/>
        </w:rPr>
        <w:t>didinti standartizacijos reikmėms naudojamos branduolinės srities mokslo bazės kokybę;</w:t>
      </w:r>
    </w:p>
    <w:p>
      <w:pPr>
        <w:pStyle w:val="Tiret1"/>
        <w:numPr>
          <w:ilvl w:val="0"/>
          <w:numId w:val="12"/>
        </w:numPr>
        <w:rPr>
          <w:noProof/>
        </w:rPr>
      </w:pPr>
      <w:r>
        <w:rPr>
          <w:noProof/>
        </w:rPr>
        <w:t>sudaryti palankias žinių valdymo, švietimo ir mokymo sąlygas;</w:t>
      </w:r>
    </w:p>
    <w:p>
      <w:pPr>
        <w:pStyle w:val="Tiret1"/>
        <w:numPr>
          <w:ilvl w:val="0"/>
          <w:numId w:val="12"/>
        </w:numPr>
        <w:rPr>
          <w:noProof/>
        </w:rPr>
      </w:pPr>
      <w:r>
        <w:rPr>
          <w:noProof/>
        </w:rPr>
        <w:t>remti Sąjungos branduolinės saugos ir saugumo politiką.</w:t>
      </w:r>
    </w:p>
    <w:sectPr>
      <w:footerReference w:type="default" r:id="rId15"/>
      <w:footerReference w:type="first" r:id="rId16"/>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LT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LT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2009 m. birželio 25 d. Tarybos direktyva 2009/71/Euratomas, kuria nustatoma Bendrijos branduolinių įrenginių branduolinės saugos sistema (OL L 172, 2009 7 2, p. 18).</w:t>
      </w:r>
    </w:p>
  </w:footnote>
  <w:footnote w:id="2">
    <w:p>
      <w:pPr>
        <w:pStyle w:val="FootnoteText"/>
      </w:pPr>
      <w:r>
        <w:rPr>
          <w:rStyle w:val="FootnoteReference"/>
        </w:rPr>
        <w:footnoteRef/>
      </w:r>
      <w:r>
        <w:tab/>
        <w:t>2011 m. liepos 19 d. Tarybos direktyva 2011/70/Euratomas, kuria nustatoma panaudoto branduolinio kuro ir radioaktyviųjų atliekų atsakingo ir saugaus tvarkymo Bendrijos sistema (OL L 199, 2011 8 2, p. 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EA6480C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1045024"/>
    <w:lvl w:ilvl="0">
      <w:start w:val="1"/>
      <w:numFmt w:val="decimal"/>
      <w:pStyle w:val="ListNumber3"/>
      <w:lvlText w:val="%1."/>
      <w:lvlJc w:val="left"/>
      <w:pPr>
        <w:tabs>
          <w:tab w:val="num" w:pos="926"/>
        </w:tabs>
        <w:ind w:left="926" w:hanging="360"/>
      </w:pPr>
    </w:lvl>
  </w:abstractNum>
  <w:abstractNum w:abstractNumId="2">
    <w:nsid w:val="FFFFFF7F"/>
    <w:multiLevelType w:val="singleLevel"/>
    <w:tmpl w:val="1F86B860"/>
    <w:lvl w:ilvl="0">
      <w:start w:val="1"/>
      <w:numFmt w:val="decimal"/>
      <w:pStyle w:val="ListNumber2"/>
      <w:lvlText w:val="%1."/>
      <w:lvlJc w:val="left"/>
      <w:pPr>
        <w:tabs>
          <w:tab w:val="num" w:pos="643"/>
        </w:tabs>
        <w:ind w:left="643" w:hanging="360"/>
      </w:pPr>
    </w:lvl>
  </w:abstractNum>
  <w:abstractNum w:abstractNumId="3">
    <w:nsid w:val="FFFFFF81"/>
    <w:multiLevelType w:val="singleLevel"/>
    <w:tmpl w:val="6308A4B2"/>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ADEBC9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AC2668C"/>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054478BC"/>
    <w:lvl w:ilvl="0">
      <w:start w:val="1"/>
      <w:numFmt w:val="decimal"/>
      <w:pStyle w:val="ListNumber"/>
      <w:lvlText w:val="%1."/>
      <w:lvlJc w:val="left"/>
      <w:pPr>
        <w:tabs>
          <w:tab w:val="num" w:pos="360"/>
        </w:tabs>
        <w:ind w:left="360" w:hanging="360"/>
      </w:pPr>
    </w:lvl>
  </w:abstractNum>
  <w:abstractNum w:abstractNumId="7">
    <w:nsid w:val="FFFFFF89"/>
    <w:multiLevelType w:val="singleLevel"/>
    <w:tmpl w:val="BF56EB8C"/>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0"/>
    <w:lvlOverride w:ilvl="0">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1"/>
  </w:num>
  <w:num w:numId="11">
    <w:abstractNumId w:val="0"/>
  </w:num>
  <w:num w:numId="12">
    <w:abstractNumId w:val="12"/>
    <w:lvlOverride w:ilvl="0">
      <w:startOverride w:val="1"/>
    </w:lvlOverride>
  </w:num>
  <w:num w:numId="13">
    <w:abstractNumId w:val="18"/>
  </w:num>
  <w:num w:numId="14">
    <w:abstractNumId w:val="12"/>
  </w:num>
  <w:num w:numId="15">
    <w:abstractNumId w:val="20"/>
  </w:num>
  <w:num w:numId="16">
    <w:abstractNumId w:val="11"/>
  </w:num>
  <w:num w:numId="17">
    <w:abstractNumId w:val="13"/>
  </w:num>
  <w:num w:numId="18">
    <w:abstractNumId w:val="9"/>
  </w:num>
  <w:num w:numId="19">
    <w:abstractNumId w:val="19"/>
  </w:num>
  <w:num w:numId="20">
    <w:abstractNumId w:val="8"/>
  </w:num>
  <w:num w:numId="21">
    <w:abstractNumId w:val="14"/>
  </w:num>
  <w:num w:numId="22">
    <w:abstractNumId w:val="16"/>
  </w:num>
  <w:num w:numId="23">
    <w:abstractNumId w:val="17"/>
  </w:num>
  <w:num w:numId="24">
    <w:abstractNumId w:val="10"/>
  </w:num>
  <w:num w:numId="25">
    <w:abstractNumId w:val="15"/>
  </w:num>
  <w:num w:numId="26">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7-11-24 13:31:37"/>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11"/>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ACCOMPAGNANT" w:val="prie pasi\u363?lymo d\u279?l"/>
    <w:docVar w:name="LW_ACCOMPAGNANT.CP" w:val="prie pasi\u363?lymo d\u279?l"/>
    <w:docVar w:name="LW_ANNEX_NBR_FIRST" w:val="1"/>
    <w:docVar w:name="LW_ANNEX_NBR_LAST" w:val="2"/>
    <w:docVar w:name="LW_ANNEX_UNIQUE" w:val="0"/>
    <w:docVar w:name="LW_CORRIGENDUM" w:val="&lt;UNUSED&gt;"/>
    <w:docVar w:name="LW_COVERPAGE_EXISTS" w:val="True"/>
    <w:docVar w:name="LW_COVERPAGE_GUID" w:val="BE9A4F58-2B1D-4728-8EF1-5989D9DE876F"/>
    <w:docVar w:name="LW_COVERPAGE_TYPE" w:val="1"/>
    <w:docVar w:name="LW_CROSSREFERENCE" w:val="&lt;UNUSED&gt;"/>
    <w:docVar w:name="LW_DocType" w:val="ANNEX"/>
    <w:docVar w:name="LW_EMISSION" w:val="2017 12 01"/>
    <w:docVar w:name="LW_EMISSION_ISODATE" w:val="2017-12-01"/>
    <w:docVar w:name="LW_EMISSION_LOCATION" w:val="BRX"/>
    <w:docVar w:name="LW_EMISSION_PREFIX" w:val="Briuselis,"/>
    <w:docVar w:name="LW_EMISSION_SUFFIX" w:val=" "/>
    <w:docVar w:name="LW_ID_DOCSTRUCTURE" w:val="COM/ANNEX"/>
    <w:docVar w:name="LW_ID_DOCTYPE" w:val="SG-017"/>
    <w:docVar w:name="LW_LANGUE" w:val="LT"/>
    <w:docVar w:name="LW_LEVEL_OF_SENSITIVITY" w:val="Standard treatment"/>
    <w:docVar w:name="LW_NOM.INST" w:val="EUROPOS KOMISIJA"/>
    <w:docVar w:name="LW_NOM.INST_JOINTDOC" w:val="&lt;EMPTY&gt;"/>
    <w:docVar w:name="LW_OBJETACTEPRINCIPAL" w:val="d\u279?l Europos atomin\u279?s energijos bendrijos mokslini\u371? tyrim\u371? ir mokymo programos (2019\u8211?2020&lt;LWCR:NBS&gt;m.), kuria papildoma bendroji mokslini\u371? tyrim\u371? ir inovacij\u371? programa \u8222?Horizontas 2020\u8220?"/>
    <w:docVar w:name="LW_OBJETACTEPRINCIPAL.CP" w:val="d\u279?l Europos atomin\u279?s energijos bendrijos mokslini\u371? tyrim\u371? ir mokymo programos (2019\u8211?2020 m.), kuria papildoma bendroji mokslini\u371? tyrim\u371? ir inovacij\u371? programa \u8222?Horizontas 2020\u8220?"/>
    <w:docVar w:name="LW_PART_NBR" w:val="&lt;UNUSED&gt;"/>
    <w:docVar w:name="LW_PART_NBR_TOTAL" w:val="&lt;UNUSED&gt;"/>
    <w:docVar w:name="LW_REF.INST.NEW" w:val="COM"/>
    <w:docVar w:name="LW_REF.INST.NEW_ADOPTED" w:val="final"/>
    <w:docVar w:name="LW_REF.INST.NEW_TEXT" w:val="(2017) 69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PRIEDAI"/>
    <w:docVar w:name="LW_TYPE.DOC.CP" w:val="PRIEDAI"/>
    <w:docVar w:name="LW_TYPEACTEPRINCIPAL" w:val="TARYBOS REGLAMENTO_x000b_"/>
    <w:docVar w:name="LW_TYPEACTEPRINCIPAL.CP" w:val="TARYBOS REGLAMENTO_x000b_"/>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lt-LT"/>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styleId="Hyperlink">
    <w:name w:val="Hyperlink"/>
    <w:rPr>
      <w:rFonts w:cs="Times New Roman"/>
      <w:color w:val="0000FF"/>
      <w:u w:val="single"/>
      <w:shd w:val="clear" w:color="auto" w:fill="auto"/>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lt-LT"/>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lt-LT"/>
    </w:rPr>
  </w:style>
  <w:style w:type="paragraph" w:styleId="PlainText">
    <w:name w:val="Plain Text"/>
    <w:basedOn w:val="Normal"/>
    <w:link w:val="PlainTextChar"/>
    <w:uiPriority w:val="99"/>
    <w:unhideWhenUsed/>
    <w:pPr>
      <w:spacing w:before="0" w:after="0"/>
      <w:jc w:val="left"/>
    </w:pPr>
    <w:rPr>
      <w:rFonts w:ascii="Consolas" w:hAnsi="Consolas" w:cs="Consolas"/>
      <w:sz w:val="21"/>
      <w:szCs w:val="21"/>
    </w:rPr>
  </w:style>
  <w:style w:type="character" w:customStyle="1" w:styleId="PlainTextChar">
    <w:name w:val="Plain Text Char"/>
    <w:basedOn w:val="DefaultParagraphFont"/>
    <w:link w:val="PlainText"/>
    <w:uiPriority w:val="99"/>
    <w:rPr>
      <w:rFonts w:ascii="Consolas" w:hAnsi="Consolas" w:cs="Consolas"/>
      <w:sz w:val="21"/>
      <w:szCs w:val="21"/>
      <w:lang w:val="lt-LT"/>
    </w:rPr>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lt-LT" w:bidi="lt-LT"/>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lt-LT"/>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character" w:styleId="Hyperlink">
    <w:name w:val="Hyperlink"/>
    <w:rPr>
      <w:rFonts w:cs="Times New Roman"/>
      <w:color w:val="0000FF"/>
      <w:u w:val="single"/>
      <w:shd w:val="clear" w:color="auto" w:fill="auto"/>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lt-LT"/>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8"/>
      </w:numPr>
      <w:contextualSpacing/>
    </w:pPr>
  </w:style>
  <w:style w:type="paragraph" w:styleId="ListNumber2">
    <w:name w:val="List Number 2"/>
    <w:basedOn w:val="Normal"/>
    <w:uiPriority w:val="99"/>
    <w:semiHidden/>
    <w:unhideWhenUsed/>
    <w:pPr>
      <w:numPr>
        <w:numId w:val="9"/>
      </w:numPr>
      <w:contextualSpacing/>
    </w:pPr>
  </w:style>
  <w:style w:type="paragraph" w:styleId="ListNumber3">
    <w:name w:val="List Number 3"/>
    <w:basedOn w:val="Normal"/>
    <w:uiPriority w:val="99"/>
    <w:semiHidden/>
    <w:unhideWhenUsed/>
    <w:pPr>
      <w:numPr>
        <w:numId w:val="10"/>
      </w:numPr>
      <w:contextualSpacing/>
    </w:pPr>
  </w:style>
  <w:style w:type="paragraph" w:styleId="ListNumber4">
    <w:name w:val="List Number 4"/>
    <w:basedOn w:val="Normal"/>
    <w:uiPriority w:val="99"/>
    <w:semiHidden/>
    <w:unhideWhenUsed/>
    <w:pPr>
      <w:numPr>
        <w:numId w:val="11"/>
      </w:numPr>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lt-LT"/>
    </w:rPr>
  </w:style>
  <w:style w:type="paragraph" w:styleId="PlainText">
    <w:name w:val="Plain Text"/>
    <w:basedOn w:val="Normal"/>
    <w:link w:val="PlainTextChar"/>
    <w:uiPriority w:val="99"/>
    <w:unhideWhenUsed/>
    <w:pPr>
      <w:spacing w:before="0" w:after="0"/>
      <w:jc w:val="left"/>
    </w:pPr>
    <w:rPr>
      <w:rFonts w:ascii="Consolas" w:hAnsi="Consolas" w:cs="Consolas"/>
      <w:sz w:val="21"/>
      <w:szCs w:val="21"/>
    </w:rPr>
  </w:style>
  <w:style w:type="character" w:customStyle="1" w:styleId="PlainTextChar">
    <w:name w:val="Plain Text Char"/>
    <w:basedOn w:val="DefaultParagraphFont"/>
    <w:link w:val="PlainText"/>
    <w:uiPriority w:val="99"/>
    <w:rPr>
      <w:rFonts w:ascii="Consolas" w:hAnsi="Consolas" w:cs="Consolas"/>
      <w:sz w:val="21"/>
      <w:szCs w:val="21"/>
      <w:lang w:val="lt-LT"/>
    </w:rPr>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3"/>
      </w:numPr>
    </w:pPr>
  </w:style>
  <w:style w:type="paragraph" w:customStyle="1" w:styleId="Tiret1">
    <w:name w:val="Tiret 1"/>
    <w:basedOn w:val="Point1"/>
    <w:pPr>
      <w:numPr>
        <w:numId w:val="14"/>
      </w:numPr>
    </w:pPr>
  </w:style>
  <w:style w:type="paragraph" w:customStyle="1" w:styleId="Tiret2">
    <w:name w:val="Tiret 2"/>
    <w:basedOn w:val="Point2"/>
    <w:pPr>
      <w:numPr>
        <w:numId w:val="15"/>
      </w:numPr>
    </w:pPr>
  </w:style>
  <w:style w:type="paragraph" w:customStyle="1" w:styleId="Tiret3">
    <w:name w:val="Tiret 3"/>
    <w:basedOn w:val="Point3"/>
    <w:pPr>
      <w:numPr>
        <w:numId w:val="16"/>
      </w:numPr>
    </w:pPr>
  </w:style>
  <w:style w:type="paragraph" w:customStyle="1" w:styleId="Tiret4">
    <w:name w:val="Tiret 4"/>
    <w:basedOn w:val="Point4"/>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29442">
      <w:bodyDiv w:val="1"/>
      <w:marLeft w:val="0"/>
      <w:marRight w:val="0"/>
      <w:marTop w:val="0"/>
      <w:marBottom w:val="0"/>
      <w:divBdr>
        <w:top w:val="none" w:sz="0" w:space="0" w:color="auto"/>
        <w:left w:val="none" w:sz="0" w:space="0" w:color="auto"/>
        <w:bottom w:val="none" w:sz="0" w:space="0" w:color="auto"/>
        <w:right w:val="none" w:sz="0" w:space="0" w:color="auto"/>
      </w:divBdr>
    </w:div>
    <w:div w:id="203125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0</TotalTime>
  <Pages>9</Pages>
  <Words>2556</Words>
  <Characters>19068</Characters>
  <Application>Microsoft Office Word</Application>
  <DocSecurity>0</DocSecurity>
  <Lines>312</Lines>
  <Paragraphs>110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cp:lastPrinted>2017-10-05T08:34:00Z</cp:lastPrinted>
  <dcterms:created xsi:type="dcterms:W3CDTF">2017-11-08T15:48:00Z</dcterms:created>
  <dcterms:modified xsi:type="dcterms:W3CDTF">2017-11-24T12:31:00Z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5.8.86.0</vt:lpwstr>
  </property>
  <property fmtid="{D5CDD505-2E9C-101B-9397-08002B2CF9AE}" pid="4" name="Last edited using">
    <vt:lpwstr>LW 6.0, Build 20171009</vt:lpwstr>
  </property>
  <property fmtid="{D5CDD505-2E9C-101B-9397-08002B2CF9AE}" pid="5" name="Created using">
    <vt:lpwstr>LW 5.8.4, Build 20150407</vt:lpwstr>
  </property>
  <property fmtid="{D5CDD505-2E9C-101B-9397-08002B2CF9AE}" pid="6" name="First annex">
    <vt:lpwstr>1</vt:lpwstr>
  </property>
  <property fmtid="{D5CDD505-2E9C-101B-9397-08002B2CF9AE}" pid="7" name="Last annex">
    <vt:lpwstr>2</vt:lpwstr>
  </property>
  <property fmtid="{D5CDD505-2E9C-101B-9397-08002B2CF9AE}" pid="8" name="Part">
    <vt:lpwstr>&lt;UNUSED&gt;</vt:lpwstr>
  </property>
  <property fmtid="{D5CDD505-2E9C-101B-9397-08002B2CF9AE}" pid="9" name="Total parts">
    <vt:lpwstr>&lt;UNUSED&gt;</vt:lpwstr>
  </property>
  <property fmtid="{D5CDD505-2E9C-101B-9397-08002B2CF9AE}" pid="10" name="LWTemplateID">
    <vt:lpwstr>SG-017</vt:lpwstr>
  </property>
  <property fmtid="{D5CDD505-2E9C-101B-9397-08002B2CF9AE}" pid="11" name="Level of sensitivity">
    <vt:lpwstr>Standard treatment</vt:lpwstr>
  </property>
  <property fmtid="{D5CDD505-2E9C-101B-9397-08002B2CF9AE}" pid="12" name="Unique annex">
    <vt:lpwstr>0</vt:lpwstr>
  </property>
  <property fmtid="{D5CDD505-2E9C-101B-9397-08002B2CF9AE}" pid="13" name="DQCStatus">
    <vt:lpwstr>Green (DQC version 03)</vt:lpwstr>
  </property>
  <property name="OP_sanitized" fmtid="{D5CDD505-2E9C-101B-9397-08002B2CF9AE}" pid="14">
    <vt:lpwstr>True</vt:lpwstr>
  </property>
</Properties>
</file>