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CA133" w14:textId="6776103A" w:rsidR="00423BC9" w:rsidRPr="00CF3F47" w:rsidRDefault="00C80A97" w:rsidP="00C80A97">
      <w:pPr>
        <w:pStyle w:val="Pagedecouverture"/>
        <w:rPr>
          <w:noProof/>
        </w:rPr>
      </w:pPr>
      <w:r>
        <w:rPr>
          <w:noProof/>
        </w:rPr>
        <w:pict w14:anchorId="4B9D95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1F4AAC10-DD4E-493A-9439-05A9592C1EA2" style="width:455.25pt;height:355.5pt">
            <v:imagedata r:id="rId11" o:title=""/>
          </v:shape>
        </w:pict>
      </w:r>
    </w:p>
    <w:p w14:paraId="2270F3A7" w14:textId="77777777" w:rsidR="00423BC9" w:rsidRPr="00CF3F47" w:rsidRDefault="00423BC9" w:rsidP="00423BC9">
      <w:pPr>
        <w:rPr>
          <w:noProof/>
        </w:rPr>
        <w:sectPr w:rsidR="00423BC9" w:rsidRPr="00CF3F47" w:rsidSect="00C80A97">
          <w:footerReference w:type="default" r:id="rId12"/>
          <w:pgSz w:w="11907" w:h="16839"/>
          <w:pgMar w:top="1134" w:right="1417" w:bottom="1134" w:left="1417" w:header="709" w:footer="709" w:gutter="0"/>
          <w:pgNumType w:start="0"/>
          <w:cols w:space="720"/>
          <w:docGrid w:linePitch="360"/>
        </w:sectPr>
      </w:pPr>
    </w:p>
    <w:p w14:paraId="62400424" w14:textId="77777777" w:rsidR="00CC1C86" w:rsidRPr="00DF46FE" w:rsidRDefault="00CC1C86" w:rsidP="00CC1C86">
      <w:pPr>
        <w:pStyle w:val="Exposdesmotifstitre"/>
        <w:spacing w:after="240"/>
        <w:rPr>
          <w:noProof/>
        </w:rPr>
      </w:pPr>
      <w:bookmarkStart w:id="0" w:name="_GoBack"/>
      <w:bookmarkEnd w:id="0"/>
      <w:r w:rsidRPr="00DF46FE">
        <w:rPr>
          <w:noProof/>
        </w:rPr>
        <w:lastRenderedPageBreak/>
        <w:t>EXPLANATORY MEMORANDUM</w:t>
      </w:r>
    </w:p>
    <w:p w14:paraId="4CEBB4F1" w14:textId="77777777" w:rsidR="00CC1C86" w:rsidRPr="00DF46FE" w:rsidRDefault="00CC1C86" w:rsidP="00CC1C86">
      <w:pPr>
        <w:pStyle w:val="ManualHeading1"/>
        <w:rPr>
          <w:noProof/>
        </w:rPr>
      </w:pPr>
      <w:r w:rsidRPr="00441A7D">
        <w:rPr>
          <w:noProof/>
        </w:rPr>
        <w:t>1.</w:t>
      </w:r>
      <w:r w:rsidRPr="00441A7D">
        <w:rPr>
          <w:noProof/>
        </w:rPr>
        <w:tab/>
      </w:r>
      <w:r w:rsidRPr="00DF46FE">
        <w:rPr>
          <w:noProof/>
        </w:rPr>
        <w:t>CONTEXT OF THE PROPOSAL</w:t>
      </w:r>
    </w:p>
    <w:p w14:paraId="09894F8E" w14:textId="77777777" w:rsidR="00CC1C86" w:rsidRPr="00DF46FE" w:rsidRDefault="00CC1C86" w:rsidP="00CC1C86">
      <w:pPr>
        <w:pStyle w:val="ManualHeading2"/>
        <w:spacing w:after="240"/>
        <w:rPr>
          <w:rFonts w:eastAsia="Arial Unicode MS"/>
          <w:noProof/>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r>
      <w:r w:rsidRPr="00DF46FE">
        <w:rPr>
          <w:rFonts w:eastAsia="Arial Unicode MS"/>
          <w:noProof/>
        </w:rPr>
        <w:t>Reasons for and objectives of the proposal</w:t>
      </w:r>
    </w:p>
    <w:p w14:paraId="73BDB16E" w14:textId="38D206F4" w:rsidR="00CC1C86" w:rsidRDefault="00CC1C86" w:rsidP="00CC1C86">
      <w:pPr>
        <w:widowControl w:val="0"/>
        <w:shd w:val="clear" w:color="auto" w:fill="FFFFFF"/>
        <w:autoSpaceDE w:val="0"/>
        <w:autoSpaceDN w:val="0"/>
        <w:adjustRightInd w:val="0"/>
        <w:spacing w:before="230" w:after="0" w:line="269" w:lineRule="exact"/>
        <w:rPr>
          <w:noProof/>
        </w:rPr>
      </w:pPr>
      <w:r>
        <w:rPr>
          <w:noProof/>
        </w:rPr>
        <w:t>In 2020, a proposal to “</w:t>
      </w:r>
      <w:r>
        <w:rPr>
          <w:i/>
          <w:noProof/>
        </w:rPr>
        <w:t>develop more ambitious arrangements to facilitate, attract and support investment in Africa”</w:t>
      </w:r>
      <w:r w:rsidR="005D3892" w:rsidRPr="005D3892">
        <w:rPr>
          <w:noProof/>
        </w:rPr>
        <w:t xml:space="preserve"> </w:t>
      </w:r>
      <w:r w:rsidR="005D3892">
        <w:rPr>
          <w:noProof/>
        </w:rPr>
        <w:t>was included in the comprehensive strategy of the European Union (EU) with Africa.</w:t>
      </w:r>
      <w:r w:rsidR="005D3892">
        <w:rPr>
          <w:rStyle w:val="FootnoteReference"/>
          <w:noProof/>
        </w:rPr>
        <w:footnoteReference w:id="1"/>
      </w:r>
    </w:p>
    <w:p w14:paraId="4F4CC7AA" w14:textId="05E47A13" w:rsidR="00CC1C86" w:rsidRDefault="00CC1C86" w:rsidP="00CC1C86">
      <w:pPr>
        <w:widowControl w:val="0"/>
        <w:shd w:val="clear" w:color="auto" w:fill="FFFFFF"/>
        <w:autoSpaceDE w:val="0"/>
        <w:autoSpaceDN w:val="0"/>
        <w:adjustRightInd w:val="0"/>
        <w:spacing w:before="230" w:after="0" w:line="269" w:lineRule="exact"/>
        <w:rPr>
          <w:noProof/>
        </w:rPr>
      </w:pPr>
      <w:r>
        <w:rPr>
          <w:noProof/>
        </w:rPr>
        <w:t>The Republic of Angola (hereinafter, “</w:t>
      </w:r>
      <w:r w:rsidRPr="002C53FE">
        <w:rPr>
          <w:noProof/>
        </w:rPr>
        <w:t>Angola</w:t>
      </w:r>
      <w:r>
        <w:rPr>
          <w:noProof/>
        </w:rPr>
        <w:t>”)</w:t>
      </w:r>
      <w:r w:rsidRPr="002C53FE">
        <w:rPr>
          <w:noProof/>
        </w:rPr>
        <w:t xml:space="preserve"> is the 7</w:t>
      </w:r>
      <w:r w:rsidRPr="00487268">
        <w:rPr>
          <w:noProof/>
          <w:vertAlign w:val="superscript"/>
        </w:rPr>
        <w:t>th</w:t>
      </w:r>
      <w:r>
        <w:rPr>
          <w:noProof/>
        </w:rPr>
        <w:t xml:space="preserve"> largest</w:t>
      </w:r>
      <w:r w:rsidRPr="002C53FE">
        <w:rPr>
          <w:noProof/>
        </w:rPr>
        <w:t xml:space="preserve"> investment destination</w:t>
      </w:r>
      <w:r>
        <w:rPr>
          <w:noProof/>
        </w:rPr>
        <w:t xml:space="preserve"> for investors from the EU on the African continent</w:t>
      </w:r>
      <w:r w:rsidRPr="002C53FE">
        <w:rPr>
          <w:noProof/>
        </w:rPr>
        <w:t xml:space="preserve">, covering 5.4% of </w:t>
      </w:r>
      <w:r>
        <w:rPr>
          <w:noProof/>
        </w:rPr>
        <w:t xml:space="preserve">the </w:t>
      </w:r>
      <w:r w:rsidRPr="002C53FE">
        <w:rPr>
          <w:noProof/>
        </w:rPr>
        <w:t>EU</w:t>
      </w:r>
      <w:r>
        <w:rPr>
          <w:noProof/>
        </w:rPr>
        <w:t>’s</w:t>
      </w:r>
      <w:r w:rsidRPr="002C53FE">
        <w:rPr>
          <w:noProof/>
        </w:rPr>
        <w:t xml:space="preserve"> </w:t>
      </w:r>
      <w:r>
        <w:rPr>
          <w:noProof/>
        </w:rPr>
        <w:t xml:space="preserve">stock of </w:t>
      </w:r>
      <w:r w:rsidRPr="002C53FE">
        <w:rPr>
          <w:noProof/>
        </w:rPr>
        <w:t>f</w:t>
      </w:r>
      <w:r>
        <w:rPr>
          <w:noProof/>
        </w:rPr>
        <w:t>oreign direct investment (</w:t>
      </w:r>
      <w:r w:rsidRPr="002C53FE">
        <w:rPr>
          <w:noProof/>
        </w:rPr>
        <w:t xml:space="preserve">EUR </w:t>
      </w:r>
      <w:r>
        <w:rPr>
          <w:noProof/>
        </w:rPr>
        <w:t>9.9</w:t>
      </w:r>
      <w:r w:rsidRPr="002C53FE">
        <w:rPr>
          <w:noProof/>
        </w:rPr>
        <w:t xml:space="preserve"> billion </w:t>
      </w:r>
      <w:r>
        <w:rPr>
          <w:noProof/>
        </w:rPr>
        <w:t>of FDI</w:t>
      </w:r>
      <w:r w:rsidRPr="002C53FE">
        <w:rPr>
          <w:noProof/>
        </w:rPr>
        <w:t xml:space="preserve"> in 2020</w:t>
      </w:r>
      <w:r>
        <w:rPr>
          <w:noProof/>
        </w:rPr>
        <w:t>)</w:t>
      </w:r>
      <w:r w:rsidRPr="002C53FE">
        <w:rPr>
          <w:noProof/>
        </w:rPr>
        <w:t xml:space="preserve">. </w:t>
      </w:r>
      <w:r>
        <w:rPr>
          <w:noProof/>
        </w:rPr>
        <w:t xml:space="preserve">While </w:t>
      </w:r>
      <w:r w:rsidRPr="00487268">
        <w:rPr>
          <w:noProof/>
        </w:rPr>
        <w:t>Angola</w:t>
      </w:r>
      <w:r>
        <w:rPr>
          <w:noProof/>
        </w:rPr>
        <w:t>’s economy is</w:t>
      </w:r>
      <w:r w:rsidRPr="00487268">
        <w:rPr>
          <w:noProof/>
        </w:rPr>
        <w:t xml:space="preserve"> currently based on its abundant raw materials and energy resources</w:t>
      </w:r>
      <w:r>
        <w:rPr>
          <w:noProof/>
        </w:rPr>
        <w:t xml:space="preserve">, the country is seeking to diversify its economic model, and made significant efforts in recent years </w:t>
      </w:r>
      <w:r w:rsidRPr="00487268">
        <w:rPr>
          <w:noProof/>
        </w:rPr>
        <w:t>to improve the investment climate for foreign and local investors</w:t>
      </w:r>
      <w:r>
        <w:rPr>
          <w:noProof/>
        </w:rPr>
        <w:t xml:space="preserve">. Angola is in the process of </w:t>
      </w:r>
      <w:r w:rsidR="004847C9" w:rsidRPr="004847C9">
        <w:rPr>
          <w:noProof/>
        </w:rPr>
        <w:t xml:space="preserve">starting the negotiations to join </w:t>
      </w:r>
      <w:r>
        <w:rPr>
          <w:noProof/>
        </w:rPr>
        <w:t xml:space="preserve">the Economic Partnership Agreement (EPA) between the EU and the South African Development Community (“SADC”) EPA group. However, the EPA does not contain specific provisions on investment. </w:t>
      </w:r>
    </w:p>
    <w:p w14:paraId="4F94A497" w14:textId="77777777" w:rsidR="00CC1C86" w:rsidRDefault="00CC1C86" w:rsidP="00CC1C86">
      <w:pPr>
        <w:widowControl w:val="0"/>
        <w:shd w:val="clear" w:color="auto" w:fill="FFFFFF"/>
        <w:autoSpaceDE w:val="0"/>
        <w:autoSpaceDN w:val="0"/>
        <w:adjustRightInd w:val="0"/>
        <w:spacing w:before="230" w:after="0" w:line="269" w:lineRule="exact"/>
        <w:rPr>
          <w:noProof/>
        </w:rPr>
      </w:pPr>
      <w:r>
        <w:rPr>
          <w:noProof/>
        </w:rPr>
        <w:t>On 8 September 2020, Executive Vice-President of the European Commission, Mr. Valdis Dombrovskis and Minister of Trade and Industry of Angola, Mr. Victor Fernandes, issued a joint statement confirming “</w:t>
      </w:r>
      <w:r>
        <w:rPr>
          <w:i/>
          <w:noProof/>
        </w:rPr>
        <w:t>their intention to start exploratory discussions on an EU-Angola investment agreement, on top of the EPA, focusing on investment facilitation.”</w:t>
      </w:r>
      <w:r>
        <w:rPr>
          <w:rStyle w:val="FootnoteReference"/>
          <w:noProof/>
        </w:rPr>
        <w:footnoteReference w:id="2"/>
      </w:r>
    </w:p>
    <w:p w14:paraId="147B1AE9" w14:textId="77777777" w:rsidR="00CC1C86" w:rsidRPr="00152DA1" w:rsidRDefault="00CC1C86" w:rsidP="00881CE4">
      <w:pPr>
        <w:rPr>
          <w:noProof/>
        </w:rPr>
      </w:pPr>
      <w:r w:rsidRPr="00152DA1">
        <w:rPr>
          <w:noProof/>
        </w:rPr>
        <w:t>On 23 March 2021, the Commission adopted a recommendation for a Council Decision</w:t>
      </w:r>
      <w:r w:rsidRPr="00B90695">
        <w:rPr>
          <w:rStyle w:val="FootnoteReference"/>
          <w:noProof/>
        </w:rPr>
        <w:footnoteReference w:id="3"/>
      </w:r>
      <w:r w:rsidRPr="00B90695">
        <w:rPr>
          <w:noProof/>
        </w:rPr>
        <w:t> authorising the opening of negotiations with Angola on an agreement on investment facilitation. On 26 May 2021, the Council of the European Union authorised the opening of negotiations</w:t>
      </w:r>
      <w:r w:rsidRPr="00B90695">
        <w:rPr>
          <w:rStyle w:val="FootnoteReference"/>
          <w:noProof/>
        </w:rPr>
        <w:footnoteReference w:id="4"/>
      </w:r>
      <w:r w:rsidRPr="00152DA1">
        <w:rPr>
          <w:noProof/>
        </w:rPr>
        <w:t xml:space="preserve"> and </w:t>
      </w:r>
      <w:r>
        <w:rPr>
          <w:noProof/>
        </w:rPr>
        <w:t>adopted</w:t>
      </w:r>
      <w:r w:rsidRPr="00152DA1">
        <w:rPr>
          <w:noProof/>
        </w:rPr>
        <w:t xml:space="preserve"> negotiating directives. </w:t>
      </w:r>
    </w:p>
    <w:p w14:paraId="51C41F41" w14:textId="77777777" w:rsidR="00CC1C86" w:rsidRPr="00152DA1" w:rsidRDefault="00CC1C86" w:rsidP="00881CE4">
      <w:pPr>
        <w:rPr>
          <w:noProof/>
        </w:rPr>
      </w:pPr>
      <w:r w:rsidRPr="00152DA1">
        <w:rPr>
          <w:noProof/>
        </w:rPr>
        <w:t>On 22 June 2021, the EU and Angola launched negotiations on a Sustainable Investment Facilitation Agreement</w:t>
      </w:r>
      <w:r>
        <w:rPr>
          <w:noProof/>
        </w:rPr>
        <w:t xml:space="preserve"> (referred to as “the Agreement”)</w:t>
      </w:r>
      <w:r w:rsidRPr="00152DA1">
        <w:rPr>
          <w:noProof/>
        </w:rPr>
        <w:t>.</w:t>
      </w:r>
      <w:r>
        <w:rPr>
          <w:noProof/>
        </w:rPr>
        <w:t xml:space="preserve"> After four rounds of negotiations, the EU and Angola concluded the negotiations on 18 November 2022.</w:t>
      </w:r>
    </w:p>
    <w:p w14:paraId="6BEFECCF" w14:textId="77777777" w:rsidR="00CC1C86" w:rsidRDefault="00CC1C86" w:rsidP="00CC1C86">
      <w:pPr>
        <w:widowControl w:val="0"/>
        <w:shd w:val="clear" w:color="auto" w:fill="FFFFFF"/>
        <w:autoSpaceDE w:val="0"/>
        <w:autoSpaceDN w:val="0"/>
        <w:adjustRightInd w:val="0"/>
        <w:spacing w:before="230" w:after="0" w:line="269" w:lineRule="exact"/>
        <w:rPr>
          <w:noProof/>
        </w:rPr>
      </w:pPr>
      <w:r>
        <w:rPr>
          <w:noProof/>
        </w:rPr>
        <w:t>The overall objective of the Agreement is to improve the investment climate and facilitate the mobilisation and retention of investment between the EU and Angola on the basis of modern and simplified rules, measures and procedures relating to foreign direct investment. In doing so, the agreement promotes sustainable development, economic growth and job creation, and strengthens the bilateral investment relationship. It also provides a solid platform for contributing to the diversification of Angola’s economy and its integration into the global economy.</w:t>
      </w:r>
    </w:p>
    <w:p w14:paraId="6E5CA620" w14:textId="77777777" w:rsidR="00CC1C86" w:rsidRPr="0091124C" w:rsidRDefault="00CC1C86" w:rsidP="00CC1C86">
      <w:pPr>
        <w:widowControl w:val="0"/>
        <w:shd w:val="clear" w:color="auto" w:fill="FFFFFF"/>
        <w:autoSpaceDE w:val="0"/>
        <w:autoSpaceDN w:val="0"/>
        <w:adjustRightInd w:val="0"/>
        <w:spacing w:before="230" w:after="0" w:line="269" w:lineRule="exact"/>
        <w:rPr>
          <w:noProof/>
        </w:rPr>
      </w:pPr>
      <w:r>
        <w:rPr>
          <w:noProof/>
        </w:rPr>
        <w:t xml:space="preserve">This Agreement is the first agreement on investment facilitation that the EU ever negotiated and the attached proposal for a Council </w:t>
      </w:r>
      <w:r w:rsidRPr="0091124C">
        <w:rPr>
          <w:noProof/>
        </w:rPr>
        <w:t xml:space="preserve">Decision constitutes the legal instrument for the conclusion of the </w:t>
      </w:r>
      <w:r w:rsidRPr="0091124C">
        <w:rPr>
          <w:noProof/>
          <w:color w:val="000000"/>
        </w:rPr>
        <w:t>Sustainable Investment Facilitation Agreement between the European Union and Angola</w:t>
      </w:r>
      <w:r w:rsidRPr="0091124C">
        <w:rPr>
          <w:noProof/>
        </w:rPr>
        <w:t xml:space="preserve">. </w:t>
      </w:r>
    </w:p>
    <w:p w14:paraId="735E0D3D" w14:textId="77777777" w:rsidR="00CC1C86" w:rsidRPr="00DF46FE" w:rsidRDefault="00CC1C86" w:rsidP="00CC1C86">
      <w:pPr>
        <w:pStyle w:val="ManualHeading2"/>
        <w:spacing w:after="240"/>
        <w:rPr>
          <w:rFonts w:eastAsia="Arial Unicode MS"/>
          <w:noProof/>
          <w:u w:color="000000"/>
          <w:bdr w:val="nil"/>
          <w:lang w:val="en-US" w:eastAsia="en-GB"/>
        </w:rPr>
      </w:pPr>
      <w:r w:rsidRPr="0091124C">
        <w:rPr>
          <w:rFonts w:eastAsia="Arial Unicode MS"/>
          <w:noProof/>
          <w:u w:color="000000"/>
          <w:bdr w:val="nil"/>
          <w:lang w:val="en-US" w:eastAsia="en-GB"/>
        </w:rPr>
        <w:t>•</w:t>
      </w:r>
      <w:r w:rsidRPr="0091124C">
        <w:rPr>
          <w:rFonts w:eastAsia="Arial Unicode MS"/>
          <w:noProof/>
          <w:u w:color="000000"/>
          <w:bdr w:val="nil"/>
          <w:lang w:val="en-US" w:eastAsia="en-GB"/>
        </w:rPr>
        <w:tab/>
      </w:r>
      <w:r w:rsidRPr="0091124C">
        <w:rPr>
          <w:rFonts w:eastAsia="Arial Unicode MS"/>
          <w:noProof/>
        </w:rPr>
        <w:t>Consistency with existing policy</w:t>
      </w:r>
      <w:r w:rsidRPr="00DF46FE">
        <w:rPr>
          <w:rFonts w:eastAsia="Arial Unicode MS"/>
          <w:noProof/>
        </w:rPr>
        <w:t xml:space="preserve"> provisions in the policy area</w:t>
      </w:r>
    </w:p>
    <w:p w14:paraId="7A2EC17C" w14:textId="77777777" w:rsidR="00CC1C86" w:rsidRDefault="00CC1C86" w:rsidP="00CC1C86">
      <w:pPr>
        <w:widowControl w:val="0"/>
        <w:shd w:val="clear" w:color="auto" w:fill="FFFFFF"/>
        <w:autoSpaceDE w:val="0"/>
        <w:autoSpaceDN w:val="0"/>
        <w:adjustRightInd w:val="0"/>
        <w:spacing w:before="230" w:after="0" w:line="269" w:lineRule="exact"/>
        <w:rPr>
          <w:noProof/>
        </w:rPr>
      </w:pPr>
      <w:r>
        <w:rPr>
          <w:noProof/>
        </w:rPr>
        <w:t xml:space="preserve">The above objectives are consistent with the Treaty on the European Union (TEU) that provides that the EU should </w:t>
      </w:r>
      <w:r w:rsidRPr="00F20944">
        <w:rPr>
          <w:i/>
          <w:noProof/>
        </w:rPr>
        <w:t>“encourage the integration of all countries into the world economy, including through the progressive abolition of restrictions on international trade”</w:t>
      </w:r>
      <w:r>
        <w:rPr>
          <w:noProof/>
        </w:rPr>
        <w:t>.</w:t>
      </w:r>
      <w:r>
        <w:rPr>
          <w:rStyle w:val="FootnoteReference"/>
          <w:noProof/>
        </w:rPr>
        <w:footnoteReference w:id="5"/>
      </w:r>
      <w:r>
        <w:rPr>
          <w:noProof/>
        </w:rPr>
        <w:t xml:space="preserve"> </w:t>
      </w:r>
    </w:p>
    <w:p w14:paraId="6EC1BAA3" w14:textId="77777777" w:rsidR="00CC1C86" w:rsidRDefault="00CC1C86" w:rsidP="00CC1C86">
      <w:pPr>
        <w:widowControl w:val="0"/>
        <w:shd w:val="clear" w:color="auto" w:fill="FFFFFF"/>
        <w:autoSpaceDE w:val="0"/>
        <w:autoSpaceDN w:val="0"/>
        <w:adjustRightInd w:val="0"/>
        <w:spacing w:before="230" w:after="0" w:line="269" w:lineRule="exact"/>
        <w:rPr>
          <w:i/>
          <w:noProof/>
        </w:rPr>
      </w:pPr>
      <w:r>
        <w:rPr>
          <w:noProof/>
        </w:rPr>
        <w:t>The objectives are also fully in line with the objectives of the Cotonou Agreement</w:t>
      </w:r>
      <w:r>
        <w:rPr>
          <w:rStyle w:val="FootnoteReference"/>
          <w:noProof/>
        </w:rPr>
        <w:footnoteReference w:id="6"/>
      </w:r>
      <w:r>
        <w:rPr>
          <w:noProof/>
        </w:rPr>
        <w:t>, and the general principles promoted therein.</w:t>
      </w:r>
    </w:p>
    <w:p w14:paraId="19220484" w14:textId="27D7BFE3" w:rsidR="00CC1C86" w:rsidRPr="00C372FB" w:rsidRDefault="00CC1C86" w:rsidP="00CC1C86">
      <w:pPr>
        <w:widowControl w:val="0"/>
        <w:shd w:val="clear" w:color="auto" w:fill="FFFFFF"/>
        <w:autoSpaceDE w:val="0"/>
        <w:autoSpaceDN w:val="0"/>
        <w:adjustRightInd w:val="0"/>
        <w:spacing w:before="230" w:after="0" w:line="269" w:lineRule="exact"/>
        <w:rPr>
          <w:i/>
          <w:noProof/>
        </w:rPr>
      </w:pPr>
      <w:r>
        <w:rPr>
          <w:noProof/>
        </w:rPr>
        <w:t>This Agreement corresponds to Headline Action 12 (“pursuing sustainable investment agreements with Africa and the Southern Neighbourhood”) of the Commission’s Trade Policy Review</w:t>
      </w:r>
      <w:r>
        <w:rPr>
          <w:rStyle w:val="FootnoteReference"/>
          <w:noProof/>
        </w:rPr>
        <w:footnoteReference w:id="7"/>
      </w:r>
      <w:r>
        <w:rPr>
          <w:noProof/>
        </w:rPr>
        <w:t xml:space="preserve">, whereby the Commission announced its intention to </w:t>
      </w:r>
      <w:r w:rsidRPr="00C372FB">
        <w:rPr>
          <w:i/>
          <w:noProof/>
        </w:rPr>
        <w:t xml:space="preserve">“propose a new sustainable investment initiative to partners or regions in Africa and the Southern Neighbourhood interested in doing so </w:t>
      </w:r>
      <w:r w:rsidR="005D3892">
        <w:rPr>
          <w:i/>
          <w:noProof/>
        </w:rPr>
        <w:t>[</w:t>
      </w:r>
      <w:r w:rsidRPr="00C372FB">
        <w:rPr>
          <w:i/>
          <w:noProof/>
        </w:rPr>
        <w:t>…</w:t>
      </w:r>
      <w:r w:rsidR="005D3892">
        <w:rPr>
          <w:i/>
          <w:noProof/>
        </w:rPr>
        <w:t xml:space="preserve">] </w:t>
      </w:r>
      <w:r w:rsidRPr="00C372FB">
        <w:rPr>
          <w:i/>
          <w:noProof/>
        </w:rPr>
        <w:t>in the form of stand-alone investment agreements or as part of the modernisation of existing trade agreements.”</w:t>
      </w:r>
    </w:p>
    <w:p w14:paraId="4913F4D3" w14:textId="77777777" w:rsidR="00CC1C86" w:rsidRDefault="00CC1C86" w:rsidP="00CC1C86">
      <w:pPr>
        <w:widowControl w:val="0"/>
        <w:shd w:val="clear" w:color="auto" w:fill="FFFFFF"/>
        <w:autoSpaceDE w:val="0"/>
        <w:autoSpaceDN w:val="0"/>
        <w:adjustRightInd w:val="0"/>
        <w:spacing w:before="230" w:after="0" w:line="269" w:lineRule="exact"/>
        <w:rPr>
          <w:noProof/>
        </w:rPr>
      </w:pPr>
      <w:r>
        <w:rPr>
          <w:noProof/>
        </w:rPr>
        <w:t>This Agreement will also complement the future “Investment Facilitation for Development Agreement” currently being negotiated in the World Trade Organisation.</w:t>
      </w:r>
    </w:p>
    <w:p w14:paraId="1DA41753" w14:textId="77777777" w:rsidR="00CC1C86" w:rsidRPr="00DF46FE" w:rsidRDefault="00CC1C86" w:rsidP="00CC1C86">
      <w:pPr>
        <w:pStyle w:val="ManualHeading2"/>
        <w:spacing w:after="240"/>
        <w:rPr>
          <w:rFonts w:eastAsia="Arial Unicode MS"/>
          <w:noProof/>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r>
      <w:r w:rsidRPr="00DF46FE">
        <w:rPr>
          <w:rFonts w:eastAsia="Arial Unicode MS"/>
          <w:noProof/>
        </w:rPr>
        <w:t>Consistency with other Union policies</w:t>
      </w:r>
    </w:p>
    <w:p w14:paraId="3B1F885F" w14:textId="77777777" w:rsidR="00CC1C86" w:rsidRDefault="00CC1C86" w:rsidP="00CC1C86">
      <w:pPr>
        <w:pBdr>
          <w:top w:val="nil"/>
          <w:left w:val="nil"/>
          <w:bottom w:val="nil"/>
          <w:right w:val="nil"/>
          <w:between w:val="nil"/>
          <w:bar w:val="nil"/>
        </w:pBdr>
        <w:spacing w:before="0" w:after="240"/>
        <w:rPr>
          <w:rFonts w:eastAsia="Arial Unicode MS"/>
          <w:noProof/>
        </w:rPr>
      </w:pPr>
      <w:r>
        <w:rPr>
          <w:rFonts w:eastAsia="Arial Unicode MS"/>
          <w:noProof/>
        </w:rPr>
        <w:t>The objectives are consistent with other EU policies, notably the EU’s development policy.</w:t>
      </w:r>
    </w:p>
    <w:p w14:paraId="43BF6759" w14:textId="77777777" w:rsidR="00CC1C86" w:rsidRPr="00DF46FE" w:rsidRDefault="00CC1C86" w:rsidP="00CC1C86">
      <w:pPr>
        <w:pStyle w:val="ManualHeading1"/>
        <w:rPr>
          <w:noProof/>
        </w:rPr>
      </w:pPr>
      <w:r w:rsidRPr="00441A7D">
        <w:rPr>
          <w:noProof/>
        </w:rPr>
        <w:t>2.</w:t>
      </w:r>
      <w:r w:rsidRPr="00441A7D">
        <w:rPr>
          <w:noProof/>
        </w:rPr>
        <w:tab/>
      </w:r>
      <w:r w:rsidRPr="00DF46FE">
        <w:rPr>
          <w:noProof/>
        </w:rPr>
        <w:t>LEGAL BASIS, SUBSIDIARITY AND PROPORTIONALITY</w:t>
      </w:r>
    </w:p>
    <w:p w14:paraId="20EC9C13"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Legal basis</w:t>
      </w:r>
    </w:p>
    <w:p w14:paraId="302C371B" w14:textId="77777777" w:rsidR="00CC1C86" w:rsidRPr="00DF46FE" w:rsidRDefault="00CC1C86" w:rsidP="00CC1C86">
      <w:pPr>
        <w:pBdr>
          <w:top w:val="nil"/>
          <w:left w:val="nil"/>
          <w:bottom w:val="nil"/>
          <w:right w:val="nil"/>
          <w:between w:val="nil"/>
          <w:bar w:val="nil"/>
        </w:pBdr>
        <w:spacing w:after="240"/>
        <w:rPr>
          <w:noProof/>
        </w:rPr>
      </w:pPr>
      <w:r w:rsidRPr="00DF46FE">
        <w:rPr>
          <w:noProof/>
        </w:rPr>
        <w:t xml:space="preserve">In accordance with Opinion 2/15 on the EU-Singapore FTA of the Court of Justice of 16 May 2017, all the areas covered by the </w:t>
      </w:r>
      <w:r>
        <w:rPr>
          <w:noProof/>
        </w:rPr>
        <w:t>Agreement</w:t>
      </w:r>
      <w:r w:rsidRPr="00DF46FE">
        <w:rPr>
          <w:noProof/>
        </w:rPr>
        <w:t xml:space="preserve"> would fall within the exclusive competence of the EU and, more particularly, within the scope of </w:t>
      </w:r>
      <w:r>
        <w:rPr>
          <w:noProof/>
        </w:rPr>
        <w:t xml:space="preserve">Article </w:t>
      </w:r>
      <w:r w:rsidRPr="00DF46FE">
        <w:rPr>
          <w:noProof/>
        </w:rPr>
        <w:t>207</w:t>
      </w:r>
      <w:r>
        <w:rPr>
          <w:noProof/>
        </w:rPr>
        <w:t>(1)</w:t>
      </w:r>
      <w:r w:rsidRPr="00DF46FE">
        <w:rPr>
          <w:noProof/>
        </w:rPr>
        <w:t xml:space="preserve"> TFEU</w:t>
      </w:r>
      <w:r>
        <w:rPr>
          <w:noProof/>
        </w:rPr>
        <w:t xml:space="preserve"> (foreign direct investment)</w:t>
      </w:r>
      <w:r w:rsidRPr="00DF46FE">
        <w:rPr>
          <w:noProof/>
        </w:rPr>
        <w:t xml:space="preserve">. </w:t>
      </w:r>
    </w:p>
    <w:p w14:paraId="2B4AD51C" w14:textId="77777777" w:rsidR="00CC1C86" w:rsidRPr="00DF46FE" w:rsidRDefault="00CC1C86" w:rsidP="00CC1C86">
      <w:pPr>
        <w:spacing w:after="240"/>
        <w:rPr>
          <w:noProof/>
        </w:rPr>
      </w:pPr>
      <w:r w:rsidRPr="00DF46FE">
        <w:rPr>
          <w:noProof/>
        </w:rPr>
        <w:t xml:space="preserve">As a result, </w:t>
      </w:r>
      <w:r>
        <w:rPr>
          <w:noProof/>
        </w:rPr>
        <w:t>this Agreement</w:t>
      </w:r>
      <w:r w:rsidRPr="00DF46FE">
        <w:rPr>
          <w:noProof/>
        </w:rPr>
        <w:t xml:space="preserve"> is to be signed by the Union pursuant to a decision of the Council based on Article 218(5) TFEU and concluded by the Union pursuant to a decision of the Council based on Article 218(6) TFEU, following the European Parliament’s consent. </w:t>
      </w:r>
    </w:p>
    <w:p w14:paraId="70DE65E4"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 xml:space="preserve">Subsidiarity (for non-exclusive competence) </w:t>
      </w:r>
    </w:p>
    <w:p w14:paraId="1EF7CA0D" w14:textId="77777777" w:rsidR="00CC1C86" w:rsidRPr="00DF46FE" w:rsidRDefault="00CC1C86" w:rsidP="00CC1C86">
      <w:pPr>
        <w:pBdr>
          <w:top w:val="nil"/>
          <w:left w:val="nil"/>
          <w:bottom w:val="nil"/>
          <w:right w:val="nil"/>
          <w:between w:val="nil"/>
          <w:bar w:val="nil"/>
        </w:pBdr>
        <w:spacing w:after="240"/>
        <w:rPr>
          <w:noProof/>
        </w:rPr>
      </w:pPr>
      <w:r>
        <w:rPr>
          <w:noProof/>
        </w:rPr>
        <w:t>This Agreement</w:t>
      </w:r>
      <w:r w:rsidRPr="00DF46FE">
        <w:rPr>
          <w:noProof/>
        </w:rPr>
        <w:t xml:space="preserve"> does not cover any matters that fall outside the EU’s exclusive competence.</w:t>
      </w:r>
    </w:p>
    <w:p w14:paraId="230F0FB1"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Proportionality</w:t>
      </w:r>
    </w:p>
    <w:p w14:paraId="13D9D145" w14:textId="77777777" w:rsidR="00CC1C86" w:rsidRDefault="00CC1C86" w:rsidP="00CC1C86">
      <w:pPr>
        <w:spacing w:after="240"/>
        <w:rPr>
          <w:noProof/>
        </w:rPr>
      </w:pPr>
      <w:r>
        <w:rPr>
          <w:noProof/>
        </w:rPr>
        <w:t>This Agreement</w:t>
      </w:r>
      <w:r w:rsidRPr="00C372FB">
        <w:rPr>
          <w:noProof/>
        </w:rPr>
        <w:t xml:space="preserve"> is in line with the principle of proportionality, as the conclusion of an international agreement is the </w:t>
      </w:r>
      <w:r>
        <w:rPr>
          <w:noProof/>
        </w:rPr>
        <w:t>appropriate</w:t>
      </w:r>
      <w:r w:rsidRPr="00C372FB">
        <w:rPr>
          <w:noProof/>
        </w:rPr>
        <w:t xml:space="preserve"> instrument for assuming reciprocal rights and obligations with a subject of international law such as a foreign country.</w:t>
      </w:r>
    </w:p>
    <w:p w14:paraId="263E00FC" w14:textId="7DFDD5D7" w:rsidR="00CC1C86" w:rsidRPr="0091124C" w:rsidRDefault="0091124C" w:rsidP="00CC1C86">
      <w:pPr>
        <w:spacing w:after="240"/>
        <w:rPr>
          <w:b/>
          <w:noProof/>
        </w:rPr>
      </w:pPr>
      <w:r>
        <w:rPr>
          <w:noProof/>
        </w:rPr>
        <w:t xml:space="preserve">This Agreement pursues directly the EU’s objective in external action and contributes to the political priority of the 'EU as a stronger global actor’. It is in line with the EU Global Strategy’s orientations to engage with other partners and revamp its external partnerships in a </w:t>
      </w:r>
      <w:r w:rsidRPr="0091124C">
        <w:rPr>
          <w:noProof/>
        </w:rPr>
        <w:t>responsible way, in order to attain the EU's external priorities. It contributes to the EU’s objective to create secure, diversified and resilient supply chains</w:t>
      </w:r>
      <w:r w:rsidRPr="0091124C">
        <w:rPr>
          <w:rStyle w:val="FootnoteReference"/>
          <w:noProof/>
        </w:rPr>
        <w:footnoteReference w:id="8"/>
      </w:r>
      <w:r w:rsidRPr="0091124C">
        <w:rPr>
          <w:noProof/>
        </w:rPr>
        <w:t>, and to the EU’s trade and development objectives.</w:t>
      </w:r>
    </w:p>
    <w:p w14:paraId="33B890E0" w14:textId="77777777" w:rsidR="00423BC9" w:rsidRPr="0091124C" w:rsidRDefault="00423BC9" w:rsidP="000D3858">
      <w:pPr>
        <w:pStyle w:val="ManualHeading2"/>
        <w:rPr>
          <w:rFonts w:eastAsia="Arial Unicode MS"/>
          <w:noProof/>
          <w:u w:color="000000"/>
          <w:bdr w:val="nil"/>
          <w:lang w:val="en-US" w:eastAsia="en-GB"/>
        </w:rPr>
      </w:pPr>
      <w:r w:rsidRPr="0091124C">
        <w:rPr>
          <w:rFonts w:eastAsia="Arial Unicode MS"/>
          <w:noProof/>
          <w:u w:color="000000"/>
          <w:bdr w:val="nil"/>
          <w:lang w:val="en-US" w:eastAsia="en-GB"/>
        </w:rPr>
        <w:t>•</w:t>
      </w:r>
      <w:r w:rsidRPr="0091124C">
        <w:rPr>
          <w:rFonts w:eastAsia="Arial Unicode MS"/>
          <w:noProof/>
          <w:u w:color="000000"/>
          <w:bdr w:val="nil"/>
          <w:lang w:val="en-US" w:eastAsia="en-GB"/>
        </w:rPr>
        <w:tab/>
        <w:t>Choice of the instrument</w:t>
      </w:r>
    </w:p>
    <w:p w14:paraId="4A9AA63C" w14:textId="77777777" w:rsidR="00423BC9" w:rsidRPr="00CF3F47" w:rsidRDefault="00423BC9" w:rsidP="000D3858">
      <w:pPr>
        <w:rPr>
          <w:noProof/>
        </w:rPr>
      </w:pPr>
      <w:r w:rsidRPr="0091124C">
        <w:rPr>
          <w:noProof/>
        </w:rPr>
        <w:t>This proposal is in accordance with Article 218(6) TFEU, which envisages the adoption by the Council of decisions on the conclusion of international agreements. No other legal instrument exists that could be used in order to achieve the objective expressed in this proposal.</w:t>
      </w:r>
      <w:r w:rsidRPr="00CF3F47">
        <w:rPr>
          <w:noProof/>
        </w:rPr>
        <w:t xml:space="preserve"> </w:t>
      </w:r>
    </w:p>
    <w:p w14:paraId="29E822DD" w14:textId="77777777" w:rsidR="00423BC9" w:rsidRPr="00CF3F47" w:rsidRDefault="009F4C17" w:rsidP="009F4C17">
      <w:pPr>
        <w:pStyle w:val="ManualHeading1"/>
        <w:rPr>
          <w:noProof/>
        </w:rPr>
      </w:pPr>
      <w:r w:rsidRPr="009F4C17">
        <w:rPr>
          <w:noProof/>
        </w:rPr>
        <w:t>3.</w:t>
      </w:r>
      <w:r w:rsidRPr="009F4C17">
        <w:rPr>
          <w:noProof/>
        </w:rPr>
        <w:tab/>
      </w:r>
      <w:r w:rsidR="00423BC9" w:rsidRPr="00CF3F47">
        <w:rPr>
          <w:noProof/>
        </w:rPr>
        <w:t>RESULTS OF EX-POST EVALUATIONS, STAKEHOLDER CONSULTATIONS AND IMPACT ASSESSMENTS</w:t>
      </w:r>
    </w:p>
    <w:p w14:paraId="498E54AC"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Ex-post evaluations/fitness checks of existing legislation</w:t>
      </w:r>
    </w:p>
    <w:p w14:paraId="745322E6" w14:textId="77777777" w:rsidR="00CC1C86" w:rsidRPr="00DF46FE" w:rsidRDefault="00CC1C86" w:rsidP="00CC1C86">
      <w:pPr>
        <w:spacing w:after="240"/>
        <w:rPr>
          <w:rFonts w:eastAsia="Arial Unicode MS"/>
          <w:noProof/>
        </w:rPr>
      </w:pPr>
      <w:r>
        <w:rPr>
          <w:rStyle w:val="normaltextrun"/>
          <w:noProof/>
        </w:rPr>
        <w:t>Not applicable</w:t>
      </w:r>
      <w:r w:rsidRPr="00DF46FE">
        <w:rPr>
          <w:rFonts w:eastAsia="Arial Unicode MS"/>
          <w:noProof/>
        </w:rPr>
        <w:t>.</w:t>
      </w:r>
    </w:p>
    <w:p w14:paraId="346EB848"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Stakeholder consultations</w:t>
      </w:r>
    </w:p>
    <w:p w14:paraId="16A07D32" w14:textId="3FC459D5" w:rsidR="00CC1C86" w:rsidRDefault="00CC1C86" w:rsidP="00CC1C86">
      <w:pPr>
        <w:pBdr>
          <w:top w:val="nil"/>
          <w:left w:val="nil"/>
          <w:bottom w:val="nil"/>
          <w:right w:val="nil"/>
          <w:between w:val="nil"/>
          <w:bar w:val="nil"/>
        </w:pBdr>
        <w:spacing w:before="0" w:after="240"/>
        <w:rPr>
          <w:noProof/>
        </w:rPr>
      </w:pPr>
      <w:r>
        <w:rPr>
          <w:noProof/>
        </w:rPr>
        <w:t>From June to November 2020, the Commission carried out a public consultation</w:t>
      </w:r>
      <w:r>
        <w:rPr>
          <w:rStyle w:val="FootnoteReference"/>
          <w:noProof/>
        </w:rPr>
        <w:footnoteReference w:id="9"/>
      </w:r>
      <w:r>
        <w:rPr>
          <w:noProof/>
        </w:rPr>
        <w:t xml:space="preserve"> seeking input from the European Parliament, Member States, stakeholders and civil society </w:t>
      </w:r>
      <w:r w:rsidR="005D3892">
        <w:rPr>
          <w:noProof/>
        </w:rPr>
        <w:t xml:space="preserve">on the </w:t>
      </w:r>
      <w:r>
        <w:rPr>
          <w:noProof/>
        </w:rPr>
        <w:t>review of the European Union’s trade policy, including on ways to strengthen the EU’s trade and investment relationships with the neighbouring countries and Africa.</w:t>
      </w:r>
    </w:p>
    <w:p w14:paraId="25EFB53E" w14:textId="77777777" w:rsidR="00CC1C86" w:rsidRDefault="00CC1C86" w:rsidP="00CC1C86">
      <w:pPr>
        <w:pBdr>
          <w:top w:val="nil"/>
          <w:left w:val="nil"/>
          <w:bottom w:val="nil"/>
          <w:right w:val="nil"/>
          <w:between w:val="nil"/>
          <w:bar w:val="nil"/>
        </w:pBdr>
        <w:spacing w:before="0" w:after="240"/>
        <w:rPr>
          <w:noProof/>
        </w:rPr>
      </w:pPr>
      <w:r>
        <w:rPr>
          <w:noProof/>
        </w:rPr>
        <w:t xml:space="preserve">The Commission regularly consults stakeholders </w:t>
      </w:r>
      <w:r>
        <w:rPr>
          <w:i/>
          <w:noProof/>
        </w:rPr>
        <w:t>inter alia</w:t>
      </w:r>
      <w:r>
        <w:rPr>
          <w:noProof/>
        </w:rPr>
        <w:t xml:space="preserve"> in the Expert Group on Trade Agreements</w:t>
      </w:r>
      <w:r>
        <w:rPr>
          <w:rStyle w:val="FootnoteReference"/>
          <w:noProof/>
        </w:rPr>
        <w:footnoteReference w:id="10"/>
      </w:r>
      <w:r>
        <w:rPr>
          <w:noProof/>
        </w:rPr>
        <w:t xml:space="preserve"> and the Civil Society Dialogue.</w:t>
      </w:r>
      <w:r>
        <w:rPr>
          <w:rStyle w:val="FootnoteReference"/>
          <w:noProof/>
        </w:rPr>
        <w:footnoteReference w:id="11"/>
      </w:r>
      <w:r>
        <w:rPr>
          <w:noProof/>
        </w:rPr>
        <w:t xml:space="preserve"> In particular, the negotiations of this Agreement were presented and discussed during Civil Society Dialogues on 24 November 2021 and 17 March 2023.</w:t>
      </w:r>
    </w:p>
    <w:p w14:paraId="7808C956" w14:textId="77777777" w:rsidR="00CC1C86" w:rsidRPr="00DF46FE" w:rsidRDefault="00CC1C86" w:rsidP="00CC1C86">
      <w:pPr>
        <w:spacing w:after="240"/>
        <w:rPr>
          <w:noProof/>
        </w:rPr>
      </w:pPr>
      <w:r w:rsidRPr="00DF46FE">
        <w:rPr>
          <w:noProof/>
        </w:rPr>
        <w:t xml:space="preserve">Prior to and during the negotiations, the EU Member States were regularly informed and consulted orally and in writing on the different aspects of the negotiation via the Council’s </w:t>
      </w:r>
      <w:r w:rsidRPr="00E45B09">
        <w:rPr>
          <w:noProof/>
        </w:rPr>
        <w:t xml:space="preserve">African, Caribbean and Pacific (ACP) </w:t>
      </w:r>
      <w:r>
        <w:rPr>
          <w:noProof/>
        </w:rPr>
        <w:t xml:space="preserve">Working Party and the </w:t>
      </w:r>
      <w:r w:rsidRPr="00DF46FE">
        <w:rPr>
          <w:noProof/>
        </w:rPr>
        <w:t>Trade Policy Committee</w:t>
      </w:r>
      <w:r>
        <w:rPr>
          <w:noProof/>
        </w:rPr>
        <w:t xml:space="preserve"> on Services and Investment</w:t>
      </w:r>
      <w:r w:rsidRPr="00DF46FE">
        <w:rPr>
          <w:noProof/>
        </w:rPr>
        <w:t xml:space="preserve">. The European Parliament was informed via its Committee on International Trade (INTA), </w:t>
      </w:r>
      <w:r>
        <w:rPr>
          <w:noProof/>
        </w:rPr>
        <w:t>notably in the context of a specific Workshop</w:t>
      </w:r>
      <w:r>
        <w:rPr>
          <w:rStyle w:val="FootnoteReference"/>
          <w:noProof/>
        </w:rPr>
        <w:footnoteReference w:id="12"/>
      </w:r>
      <w:r>
        <w:rPr>
          <w:noProof/>
        </w:rPr>
        <w:t xml:space="preserve"> on 26 October 2022</w:t>
      </w:r>
      <w:r w:rsidRPr="00DF46FE">
        <w:rPr>
          <w:noProof/>
        </w:rPr>
        <w:t xml:space="preserve">. The texts progressively resulting from the negotiations were circulated to both institutions. </w:t>
      </w:r>
    </w:p>
    <w:p w14:paraId="0420E2D4" w14:textId="77777777" w:rsidR="00CC1C86" w:rsidRPr="00DF46FE" w:rsidRDefault="00CC1C86" w:rsidP="00CC1C86">
      <w:pPr>
        <w:spacing w:after="240"/>
        <w:rPr>
          <w:noProof/>
        </w:rPr>
      </w:pPr>
      <w:r w:rsidRPr="00DF46FE">
        <w:rPr>
          <w:noProof/>
        </w:rPr>
        <w:t>Furthermore, during the negotiations the Commission has published on its website</w:t>
      </w:r>
      <w:r>
        <w:rPr>
          <w:rStyle w:val="FootnoteReference"/>
          <w:noProof/>
        </w:rPr>
        <w:footnoteReference w:id="13"/>
      </w:r>
      <w:r>
        <w:rPr>
          <w:noProof/>
        </w:rPr>
        <w:t>,</w:t>
      </w:r>
      <w:r w:rsidRPr="00DF46FE">
        <w:rPr>
          <w:noProof/>
        </w:rPr>
        <w:t xml:space="preserve"> and regularly updated</w:t>
      </w:r>
      <w:r>
        <w:rPr>
          <w:noProof/>
        </w:rPr>
        <w:t>, the</w:t>
      </w:r>
      <w:r w:rsidRPr="00DF46FE">
        <w:rPr>
          <w:noProof/>
        </w:rPr>
        <w:t xml:space="preserve"> reports of the negotiating rounds, the text proposals, press releases, factsheets and </w:t>
      </w:r>
      <w:r>
        <w:rPr>
          <w:noProof/>
        </w:rPr>
        <w:t xml:space="preserve">other </w:t>
      </w:r>
      <w:r w:rsidRPr="00DF46FE">
        <w:rPr>
          <w:noProof/>
        </w:rPr>
        <w:t xml:space="preserve">background information materials. </w:t>
      </w:r>
    </w:p>
    <w:p w14:paraId="7CAA98C8"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Collection and use of expertise</w:t>
      </w:r>
    </w:p>
    <w:p w14:paraId="37B43295" w14:textId="7AC3F4B3" w:rsidR="00CC1C86" w:rsidRDefault="00CC1C86" w:rsidP="00CC1C86">
      <w:pPr>
        <w:pBdr>
          <w:top w:val="nil"/>
          <w:left w:val="nil"/>
          <w:bottom w:val="nil"/>
          <w:right w:val="nil"/>
          <w:between w:val="nil"/>
          <w:bar w:val="nil"/>
        </w:pBdr>
        <w:spacing w:after="240"/>
        <w:rPr>
          <w:noProof/>
        </w:rPr>
      </w:pPr>
      <w:r>
        <w:rPr>
          <w:noProof/>
          <w:lang w:val="en-US"/>
        </w:rPr>
        <w:t>When initiating the negotiations, the Commission</w:t>
      </w:r>
      <w:r>
        <w:rPr>
          <w:noProof/>
        </w:rPr>
        <w:t xml:space="preserve"> relied</w:t>
      </w:r>
      <w:r w:rsidRPr="007B48FD">
        <w:rPr>
          <w:noProof/>
        </w:rPr>
        <w:t xml:space="preserve"> on external expertise gathered in the context the Investment Policy Review of Angola</w:t>
      </w:r>
      <w:r>
        <w:rPr>
          <w:rStyle w:val="FootnoteReference"/>
          <w:noProof/>
        </w:rPr>
        <w:footnoteReference w:id="14"/>
      </w:r>
      <w:r w:rsidRPr="007B48FD">
        <w:rPr>
          <w:noProof/>
        </w:rPr>
        <w:t>, carried out by UNCTAD (United Nations Confe</w:t>
      </w:r>
      <w:r>
        <w:rPr>
          <w:noProof/>
        </w:rPr>
        <w:t xml:space="preserve">rence on Trade and Development) and </w:t>
      </w:r>
      <w:r w:rsidRPr="007B48FD">
        <w:rPr>
          <w:noProof/>
        </w:rPr>
        <w:t xml:space="preserve">a </w:t>
      </w:r>
      <w:r>
        <w:rPr>
          <w:noProof/>
        </w:rPr>
        <w:t>study</w:t>
      </w:r>
      <w:r w:rsidRPr="00881CE4">
        <w:rPr>
          <w:rStyle w:val="FootnoteReference"/>
          <w:b/>
          <w:noProof/>
          <w:szCs w:val="24"/>
        </w:rPr>
        <w:footnoteReference w:id="15"/>
      </w:r>
      <w:r w:rsidRPr="007B48FD">
        <w:rPr>
          <w:noProof/>
        </w:rPr>
        <w:t xml:space="preserve"> carried out by the World Bank</w:t>
      </w:r>
      <w:r>
        <w:rPr>
          <w:noProof/>
        </w:rPr>
        <w:t xml:space="preserve">. Both reports were produced with the financial support of the EU. The report by UNCTAD provided information on Angola’s investment framework and the bottlenecks in the investment climate. </w:t>
      </w:r>
      <w:r w:rsidRPr="00CC6BCD">
        <w:rPr>
          <w:noProof/>
        </w:rPr>
        <w:t>They relate to the system for entry and establishment of investment, the operational regulations and the capacity and coordination in the administration. Those problems constrain Angola’s ability to fully tap its huge potential to attract investors in various sectors.</w:t>
      </w:r>
      <w:r>
        <w:rPr>
          <w:noProof/>
        </w:rPr>
        <w:t xml:space="preserve"> </w:t>
      </w:r>
      <w:r w:rsidRPr="007B48FD">
        <w:rPr>
          <w:noProof/>
        </w:rPr>
        <w:t>The report</w:t>
      </w:r>
      <w:r>
        <w:rPr>
          <w:noProof/>
        </w:rPr>
        <w:t xml:space="preserve"> by the World Bank</w:t>
      </w:r>
      <w:r w:rsidRPr="007B48FD">
        <w:rPr>
          <w:noProof/>
        </w:rPr>
        <w:t xml:space="preserve"> identified that investors put forward, as critical factors affecting their investment decisions in developing countries, the lack of transparency and predictability in dealing with public agencies, the sudden change</w:t>
      </w:r>
      <w:r w:rsidR="005D3892">
        <w:rPr>
          <w:noProof/>
        </w:rPr>
        <w:t>s</w:t>
      </w:r>
      <w:r w:rsidRPr="007B48FD">
        <w:rPr>
          <w:noProof/>
        </w:rPr>
        <w:t xml:space="preserve"> in the laws and regulations, and the delays in obtaining government permits and approvals. Those are the areas covered by the </w:t>
      </w:r>
      <w:r>
        <w:rPr>
          <w:noProof/>
        </w:rPr>
        <w:t>Agreement</w:t>
      </w:r>
      <w:r w:rsidRPr="007B48FD">
        <w:rPr>
          <w:noProof/>
        </w:rPr>
        <w:t>.</w:t>
      </w:r>
    </w:p>
    <w:p w14:paraId="170556C6"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Impact assessment</w:t>
      </w:r>
    </w:p>
    <w:p w14:paraId="42DE98D6" w14:textId="77777777" w:rsidR="00CC1C86" w:rsidRPr="00DF46FE" w:rsidRDefault="00CC1C86" w:rsidP="00CC1C86">
      <w:pPr>
        <w:spacing w:after="240"/>
        <w:rPr>
          <w:noProof/>
        </w:rPr>
      </w:pPr>
      <w:r w:rsidRPr="00DF46FE">
        <w:rPr>
          <w:noProof/>
        </w:rPr>
        <w:t>In parallel to the negotiations, a Sus</w:t>
      </w:r>
      <w:r>
        <w:rPr>
          <w:noProof/>
        </w:rPr>
        <w:t>tainability Impact Assessment (</w:t>
      </w:r>
      <w:r w:rsidRPr="00DF46FE">
        <w:rPr>
          <w:noProof/>
        </w:rPr>
        <w:t>SIA)</w:t>
      </w:r>
      <w:r>
        <w:rPr>
          <w:rStyle w:val="FootnoteReference"/>
          <w:noProof/>
        </w:rPr>
        <w:footnoteReference w:id="16"/>
      </w:r>
      <w:r w:rsidRPr="00DF46FE">
        <w:rPr>
          <w:noProof/>
        </w:rPr>
        <w:t xml:space="preserve"> </w:t>
      </w:r>
      <w:r>
        <w:rPr>
          <w:noProof/>
        </w:rPr>
        <w:t xml:space="preserve">was conducted </w:t>
      </w:r>
      <w:r w:rsidRPr="00DF46FE">
        <w:rPr>
          <w:noProof/>
        </w:rPr>
        <w:t>by an external contractor</w:t>
      </w:r>
      <w:r>
        <w:rPr>
          <w:noProof/>
        </w:rPr>
        <w:t xml:space="preserve"> covering both Angola’s accession to the EU-SADC EPA and the Agreement. The objective of the</w:t>
      </w:r>
      <w:r w:rsidRPr="00DF46FE">
        <w:rPr>
          <w:noProof/>
        </w:rPr>
        <w:t xml:space="preserve"> study</w:t>
      </w:r>
      <w:r>
        <w:rPr>
          <w:noProof/>
        </w:rPr>
        <w:t xml:space="preserve"> is to identify</w:t>
      </w:r>
      <w:r w:rsidRPr="00DF46FE">
        <w:rPr>
          <w:noProof/>
        </w:rPr>
        <w:t xml:space="preserve"> the potential economic, social, human rights and environmental impacts stemming from the provisions in the </w:t>
      </w:r>
      <w:r>
        <w:rPr>
          <w:noProof/>
        </w:rPr>
        <w:t>EPA and the Agreement</w:t>
      </w:r>
      <w:r w:rsidRPr="00DF46FE">
        <w:rPr>
          <w:noProof/>
        </w:rPr>
        <w:t>.</w:t>
      </w:r>
      <w:r>
        <w:rPr>
          <w:noProof/>
        </w:rPr>
        <w:t xml:space="preserve"> </w:t>
      </w:r>
      <w:r w:rsidRPr="00DF46FE">
        <w:rPr>
          <w:noProof/>
        </w:rPr>
        <w:t>In the framework of</w:t>
      </w:r>
      <w:r>
        <w:rPr>
          <w:noProof/>
        </w:rPr>
        <w:t xml:space="preserve"> the</w:t>
      </w:r>
      <w:r w:rsidRPr="00DF46FE">
        <w:rPr>
          <w:noProof/>
        </w:rPr>
        <w:t xml:space="preserve"> </w:t>
      </w:r>
      <w:r>
        <w:rPr>
          <w:noProof/>
        </w:rPr>
        <w:t>SIA, the contractor</w:t>
      </w:r>
      <w:r w:rsidRPr="00DF46FE">
        <w:rPr>
          <w:noProof/>
        </w:rPr>
        <w:t xml:space="preserve"> consulted internal and external experts and carried out consultations with stakeholders both in the EU and </w:t>
      </w:r>
      <w:r>
        <w:rPr>
          <w:noProof/>
        </w:rPr>
        <w:t>in Angola</w:t>
      </w:r>
      <w:r w:rsidRPr="00DF46FE">
        <w:rPr>
          <w:noProof/>
        </w:rPr>
        <w:t xml:space="preserve">. </w:t>
      </w:r>
    </w:p>
    <w:p w14:paraId="709A1857" w14:textId="77777777" w:rsidR="00CC1C86" w:rsidRDefault="00CC1C86" w:rsidP="00CC1C86">
      <w:pPr>
        <w:pBdr>
          <w:top w:val="nil"/>
          <w:left w:val="nil"/>
          <w:bottom w:val="nil"/>
          <w:right w:val="nil"/>
          <w:between w:val="nil"/>
          <w:bar w:val="nil"/>
        </w:pBdr>
        <w:spacing w:after="240"/>
        <w:rPr>
          <w:noProof/>
        </w:rPr>
      </w:pPr>
      <w:r w:rsidRPr="00B76489">
        <w:rPr>
          <w:noProof/>
        </w:rPr>
        <w:t xml:space="preserve">The SIA confirms the positive impact of the </w:t>
      </w:r>
      <w:r>
        <w:rPr>
          <w:noProof/>
        </w:rPr>
        <w:t>Agreement</w:t>
      </w:r>
      <w:r w:rsidRPr="00B76489">
        <w:rPr>
          <w:noProof/>
        </w:rPr>
        <w:t xml:space="preserve"> for Angola’s economy, also highlighting the complementar</w:t>
      </w:r>
      <w:r>
        <w:rPr>
          <w:noProof/>
        </w:rPr>
        <w:t>it</w:t>
      </w:r>
      <w:r w:rsidRPr="00B76489">
        <w:rPr>
          <w:noProof/>
        </w:rPr>
        <w:t xml:space="preserve">y between the </w:t>
      </w:r>
      <w:r>
        <w:rPr>
          <w:noProof/>
        </w:rPr>
        <w:t>Agreement</w:t>
      </w:r>
      <w:r w:rsidRPr="00B76489">
        <w:rPr>
          <w:noProof/>
        </w:rPr>
        <w:t xml:space="preserve">, the accession to the EU-SADC EPA, and the technical assistance to support both processes. The SIA </w:t>
      </w:r>
      <w:r>
        <w:rPr>
          <w:noProof/>
        </w:rPr>
        <w:t>does not identify negative impa</w:t>
      </w:r>
      <w:r w:rsidRPr="00B76489">
        <w:rPr>
          <w:noProof/>
        </w:rPr>
        <w:t>c</w:t>
      </w:r>
      <w:r>
        <w:rPr>
          <w:noProof/>
        </w:rPr>
        <w:t>t</w:t>
      </w:r>
      <w:r w:rsidRPr="00B76489">
        <w:rPr>
          <w:noProof/>
        </w:rPr>
        <w:t xml:space="preserve">s of the </w:t>
      </w:r>
      <w:r>
        <w:rPr>
          <w:noProof/>
        </w:rPr>
        <w:t>Agreement</w:t>
      </w:r>
      <w:r w:rsidRPr="00B76489">
        <w:rPr>
          <w:noProof/>
        </w:rPr>
        <w:t xml:space="preserve"> on employment, labour rights, human rights or the environment.</w:t>
      </w:r>
      <w:r w:rsidRPr="002B552F">
        <w:rPr>
          <w:noProof/>
        </w:rPr>
        <w:t xml:space="preserve"> </w:t>
      </w:r>
    </w:p>
    <w:p w14:paraId="62A4B033" w14:textId="77777777" w:rsidR="00CC1C86" w:rsidRPr="00DF46FE" w:rsidRDefault="00CC1C86" w:rsidP="00CC1C86">
      <w:pPr>
        <w:pBdr>
          <w:top w:val="nil"/>
          <w:left w:val="nil"/>
          <w:bottom w:val="nil"/>
          <w:right w:val="nil"/>
          <w:between w:val="nil"/>
          <w:bar w:val="nil"/>
        </w:pBdr>
        <w:spacing w:after="240"/>
        <w:rPr>
          <w:noProof/>
        </w:rPr>
      </w:pPr>
      <w:r w:rsidRPr="00DF46FE">
        <w:rPr>
          <w:noProof/>
        </w:rPr>
        <w:t xml:space="preserve">The SIA </w:t>
      </w:r>
      <w:r>
        <w:rPr>
          <w:noProof/>
        </w:rPr>
        <w:t>covering both Angola’s accession to the EU-SADC EPA and the Agreement</w:t>
      </w:r>
      <w:r w:rsidRPr="00DF46FE">
        <w:rPr>
          <w:noProof/>
        </w:rPr>
        <w:t xml:space="preserve"> was carried out by the external contractor “BKP Economic Advisors”. </w:t>
      </w:r>
    </w:p>
    <w:p w14:paraId="63087243"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Regulatory fitness and simplification</w:t>
      </w:r>
    </w:p>
    <w:p w14:paraId="56145718" w14:textId="77777777" w:rsidR="00CC1C86" w:rsidRDefault="00CC1C86" w:rsidP="00CC1C86">
      <w:pPr>
        <w:pBdr>
          <w:top w:val="nil"/>
          <w:left w:val="nil"/>
          <w:bottom w:val="nil"/>
          <w:right w:val="nil"/>
          <w:between w:val="nil"/>
          <w:bar w:val="nil"/>
        </w:pBdr>
        <w:spacing w:before="0" w:after="240"/>
        <w:rPr>
          <w:noProof/>
        </w:rPr>
      </w:pPr>
      <w:r>
        <w:rPr>
          <w:noProof/>
        </w:rPr>
        <w:t>Not applicable.</w:t>
      </w:r>
    </w:p>
    <w:p w14:paraId="655E1CFE"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Fundamental rights</w:t>
      </w:r>
    </w:p>
    <w:p w14:paraId="668B1DFA" w14:textId="77777777" w:rsidR="00CC1C86" w:rsidRPr="00DF46FE" w:rsidRDefault="00CC1C86" w:rsidP="00CC1C86">
      <w:pPr>
        <w:keepNext/>
        <w:tabs>
          <w:tab w:val="left" w:pos="850"/>
        </w:tabs>
        <w:spacing w:after="240"/>
        <w:outlineLvl w:val="1"/>
        <w:rPr>
          <w:noProof/>
        </w:rPr>
      </w:pPr>
      <w:r w:rsidRPr="00DF46FE">
        <w:rPr>
          <w:noProof/>
        </w:rPr>
        <w:t xml:space="preserve">The proposal does not affect the protection of fundamental rights in the Union. </w:t>
      </w:r>
    </w:p>
    <w:p w14:paraId="0209FAA2" w14:textId="77777777" w:rsidR="00CC1C86" w:rsidRPr="00DF46FE" w:rsidRDefault="00CC1C86" w:rsidP="00CC1C86">
      <w:pPr>
        <w:pStyle w:val="ManualHeading1"/>
        <w:rPr>
          <w:noProof/>
        </w:rPr>
      </w:pPr>
      <w:r w:rsidRPr="00441A7D">
        <w:rPr>
          <w:noProof/>
        </w:rPr>
        <w:t>4.</w:t>
      </w:r>
      <w:r w:rsidRPr="00441A7D">
        <w:rPr>
          <w:noProof/>
        </w:rPr>
        <w:tab/>
      </w:r>
      <w:r w:rsidRPr="00DF46FE">
        <w:rPr>
          <w:noProof/>
        </w:rPr>
        <w:t>BUDGETARY IMPLICATIONS</w:t>
      </w:r>
    </w:p>
    <w:p w14:paraId="53E0C129" w14:textId="77777777" w:rsidR="00CC1C86" w:rsidRPr="00DF46FE" w:rsidRDefault="00CC1C86" w:rsidP="00CC1C86">
      <w:pPr>
        <w:pBdr>
          <w:top w:val="nil"/>
          <w:left w:val="nil"/>
          <w:bottom w:val="nil"/>
          <w:right w:val="nil"/>
          <w:between w:val="nil"/>
          <w:bar w:val="nil"/>
        </w:pBdr>
        <w:spacing w:after="240"/>
        <w:rPr>
          <w:noProof/>
          <w:highlight w:val="yellow"/>
        </w:rPr>
      </w:pPr>
      <w:r>
        <w:rPr>
          <w:noProof/>
        </w:rPr>
        <w:t>This Agreement foes not have budgetary implications.</w:t>
      </w:r>
      <w:r w:rsidRPr="00DF46FE">
        <w:rPr>
          <w:noProof/>
          <w:highlight w:val="yellow"/>
        </w:rPr>
        <w:t xml:space="preserve"> </w:t>
      </w:r>
    </w:p>
    <w:p w14:paraId="705F3775" w14:textId="77777777" w:rsidR="00CC1C86" w:rsidRPr="00DF46FE" w:rsidRDefault="00CC1C86" w:rsidP="00CC1C86">
      <w:pPr>
        <w:pStyle w:val="ManualHeading1"/>
        <w:rPr>
          <w:noProof/>
        </w:rPr>
      </w:pPr>
      <w:r w:rsidRPr="00441A7D">
        <w:rPr>
          <w:noProof/>
        </w:rPr>
        <w:t>5.</w:t>
      </w:r>
      <w:r w:rsidRPr="00441A7D">
        <w:rPr>
          <w:noProof/>
        </w:rPr>
        <w:tab/>
      </w:r>
      <w:r w:rsidRPr="00DF46FE">
        <w:rPr>
          <w:noProof/>
        </w:rPr>
        <w:t>OTHER ELEMENTS</w:t>
      </w:r>
    </w:p>
    <w:p w14:paraId="0FDF7420"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Implementation plans and monitoring, evaluation and reporting arrangements</w:t>
      </w:r>
    </w:p>
    <w:p w14:paraId="0A76A367" w14:textId="77777777" w:rsidR="00CC1C86" w:rsidRPr="00DF46FE" w:rsidRDefault="00CC1C86" w:rsidP="00CC1C86">
      <w:pPr>
        <w:autoSpaceDE w:val="0"/>
        <w:autoSpaceDN w:val="0"/>
        <w:adjustRightInd w:val="0"/>
        <w:spacing w:after="240"/>
        <w:rPr>
          <w:noProof/>
        </w:rPr>
      </w:pPr>
      <w:r w:rsidRPr="00DF46FE">
        <w:rPr>
          <w:noProof/>
        </w:rPr>
        <w:t xml:space="preserve">The </w:t>
      </w:r>
      <w:r>
        <w:rPr>
          <w:noProof/>
        </w:rPr>
        <w:t>Agreement</w:t>
      </w:r>
      <w:r w:rsidRPr="00DF46FE">
        <w:rPr>
          <w:noProof/>
        </w:rPr>
        <w:t xml:space="preserve"> includes institutional provisions that lay down the structure for the implementing bodies to continuously monitor </w:t>
      </w:r>
      <w:r>
        <w:rPr>
          <w:noProof/>
        </w:rPr>
        <w:t>its</w:t>
      </w:r>
      <w:r w:rsidRPr="00DF46FE">
        <w:rPr>
          <w:noProof/>
        </w:rPr>
        <w:t xml:space="preserve"> implementation, operation and impact. </w:t>
      </w:r>
    </w:p>
    <w:p w14:paraId="04676D9B" w14:textId="77777777" w:rsidR="00CC1C86" w:rsidRPr="00DF46FE" w:rsidRDefault="00CC1C86" w:rsidP="00CC1C86">
      <w:pPr>
        <w:autoSpaceDE w:val="0"/>
        <w:autoSpaceDN w:val="0"/>
        <w:adjustRightInd w:val="0"/>
        <w:spacing w:after="240"/>
        <w:rPr>
          <w:noProof/>
        </w:rPr>
      </w:pPr>
      <w:r w:rsidRPr="00DF46FE">
        <w:rPr>
          <w:noProof/>
        </w:rPr>
        <w:t xml:space="preserve">The institutional chapter of the </w:t>
      </w:r>
      <w:r>
        <w:rPr>
          <w:noProof/>
        </w:rPr>
        <w:t>Agreement</w:t>
      </w:r>
      <w:r w:rsidRPr="00DF46FE">
        <w:rPr>
          <w:noProof/>
        </w:rPr>
        <w:t xml:space="preserve"> establishes a </w:t>
      </w:r>
      <w:r>
        <w:rPr>
          <w:noProof/>
        </w:rPr>
        <w:t>“</w:t>
      </w:r>
      <w:r w:rsidRPr="00DF46FE">
        <w:rPr>
          <w:noProof/>
        </w:rPr>
        <w:t xml:space="preserve">Committee </w:t>
      </w:r>
      <w:r>
        <w:rPr>
          <w:noProof/>
        </w:rPr>
        <w:t>on Investment Facilitation” that has as its main task to ensure the Agreement operates proprerly and effectively. The Agreement also establishes a Dialogue with civil society, which shall take place on an annual basis in conjunction with the meeting of the Committee on Investment facilitation.</w:t>
      </w:r>
    </w:p>
    <w:p w14:paraId="0EE475DB"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Explanatory documents (for directives)</w:t>
      </w:r>
    </w:p>
    <w:p w14:paraId="6D89FBEB" w14:textId="77777777" w:rsidR="00CC1C86" w:rsidRPr="00DF46FE" w:rsidRDefault="00CC1C86" w:rsidP="00CC1C86">
      <w:pPr>
        <w:pBdr>
          <w:top w:val="nil"/>
          <w:left w:val="nil"/>
          <w:bottom w:val="nil"/>
          <w:right w:val="nil"/>
          <w:between w:val="nil"/>
          <w:bar w:val="nil"/>
        </w:pBdr>
        <w:spacing w:after="240"/>
        <w:rPr>
          <w:noProof/>
        </w:rPr>
      </w:pPr>
      <w:r w:rsidRPr="00DF46FE">
        <w:rPr>
          <w:noProof/>
        </w:rPr>
        <w:t>Not applicable</w:t>
      </w:r>
    </w:p>
    <w:p w14:paraId="61924A66" w14:textId="77777777" w:rsidR="00CC1C86" w:rsidRPr="00DF46FE" w:rsidRDefault="00CC1C86" w:rsidP="00CC1C86">
      <w:pPr>
        <w:pStyle w:val="ManualHeading2"/>
        <w:spacing w:after="240"/>
        <w:rPr>
          <w:rFonts w:eastAsia="Arial Unicode MS"/>
          <w:noProof/>
          <w:u w:color="000000"/>
          <w:bdr w:val="nil"/>
          <w:lang w:val="en-US" w:eastAsia="en-GB"/>
        </w:rPr>
      </w:pPr>
      <w:r w:rsidRPr="00DF46FE">
        <w:rPr>
          <w:rFonts w:eastAsia="Arial Unicode MS"/>
          <w:noProof/>
          <w:u w:color="000000"/>
          <w:bdr w:val="nil"/>
          <w:lang w:val="en-US" w:eastAsia="en-GB"/>
        </w:rPr>
        <w:t>•</w:t>
      </w:r>
      <w:r w:rsidRPr="00DF46FE">
        <w:rPr>
          <w:rFonts w:eastAsia="Arial Unicode MS"/>
          <w:noProof/>
          <w:u w:color="000000"/>
          <w:bdr w:val="nil"/>
          <w:lang w:val="en-US" w:eastAsia="en-GB"/>
        </w:rPr>
        <w:tab/>
        <w:t>Detailed explanation of the specific provisions of the proposal</w:t>
      </w:r>
    </w:p>
    <w:p w14:paraId="443D17C7" w14:textId="77777777" w:rsidR="00CC1C86" w:rsidRDefault="00CC1C86" w:rsidP="00CC1C86">
      <w:pPr>
        <w:rPr>
          <w:rStyle w:val="normaltextrun"/>
          <w:noProof/>
        </w:rPr>
      </w:pPr>
      <w:r w:rsidRPr="00006045">
        <w:rPr>
          <w:rStyle w:val="normaltextrun"/>
          <w:noProof/>
        </w:rPr>
        <w:t>The</w:t>
      </w:r>
      <w:r>
        <w:rPr>
          <w:rStyle w:val="normaltextrun"/>
          <w:noProof/>
        </w:rPr>
        <w:t xml:space="preserve"> overall objective of this</w:t>
      </w:r>
      <w:r w:rsidRPr="00006045">
        <w:rPr>
          <w:rStyle w:val="normaltextrun"/>
          <w:noProof/>
        </w:rPr>
        <w:t xml:space="preserve"> Agreement </w:t>
      </w:r>
      <w:r>
        <w:rPr>
          <w:rStyle w:val="normaltextrun"/>
          <w:noProof/>
        </w:rPr>
        <w:t xml:space="preserve">is to facilitate the </w:t>
      </w:r>
      <w:r w:rsidRPr="00006045">
        <w:rPr>
          <w:rStyle w:val="normaltextrun"/>
          <w:noProof/>
        </w:rPr>
        <w:t>attract</w:t>
      </w:r>
      <w:r>
        <w:rPr>
          <w:rStyle w:val="normaltextrun"/>
          <w:noProof/>
        </w:rPr>
        <w:t xml:space="preserve">ion and expansion of investment </w:t>
      </w:r>
      <w:r w:rsidRPr="00006045">
        <w:rPr>
          <w:rStyle w:val="normaltextrun"/>
          <w:noProof/>
        </w:rPr>
        <w:t xml:space="preserve">between the EU and Angola </w:t>
      </w:r>
      <w:r>
        <w:rPr>
          <w:rStyle w:val="normaltextrun"/>
          <w:noProof/>
        </w:rPr>
        <w:t xml:space="preserve">for the purpose of economic diversification and </w:t>
      </w:r>
      <w:r w:rsidRPr="00006045">
        <w:rPr>
          <w:rStyle w:val="normaltextrun"/>
          <w:noProof/>
        </w:rPr>
        <w:t>sustainable development.</w:t>
      </w:r>
    </w:p>
    <w:p w14:paraId="76C5F645" w14:textId="2E41E924" w:rsidR="00CC1C86" w:rsidRPr="00006045" w:rsidRDefault="00CC1C86" w:rsidP="00CC1C86">
      <w:pPr>
        <w:rPr>
          <w:rStyle w:val="normaltextrun"/>
          <w:noProof/>
        </w:rPr>
      </w:pPr>
      <w:r w:rsidRPr="00006045">
        <w:rPr>
          <w:rStyle w:val="normaltextrun"/>
          <w:noProof/>
        </w:rPr>
        <w:t xml:space="preserve">The </w:t>
      </w:r>
      <w:r>
        <w:rPr>
          <w:rStyle w:val="normaltextrun"/>
          <w:noProof/>
        </w:rPr>
        <w:t>Agreement</w:t>
      </w:r>
      <w:r w:rsidRPr="00006045">
        <w:rPr>
          <w:rStyle w:val="normaltextrun"/>
          <w:noProof/>
        </w:rPr>
        <w:t xml:space="preserve"> has four substantive chapters: </w:t>
      </w:r>
    </w:p>
    <w:p w14:paraId="2385B220" w14:textId="77777777" w:rsidR="00CC1C86" w:rsidRPr="00006045" w:rsidRDefault="00CC1C86" w:rsidP="00666F62">
      <w:pPr>
        <w:pStyle w:val="Bullet0"/>
        <w:numPr>
          <w:ilvl w:val="0"/>
          <w:numId w:val="10"/>
        </w:numPr>
        <w:rPr>
          <w:rStyle w:val="normaltextrun"/>
          <w:noProof/>
          <w:szCs w:val="24"/>
        </w:rPr>
      </w:pPr>
      <w:r w:rsidRPr="00006045">
        <w:rPr>
          <w:rStyle w:val="normaltextrun"/>
          <w:noProof/>
          <w:szCs w:val="24"/>
        </w:rPr>
        <w:t xml:space="preserve">Predictability and transparency of investment-related measures, for example by </w:t>
      </w:r>
      <w:r>
        <w:rPr>
          <w:rStyle w:val="normaltextrun"/>
          <w:noProof/>
          <w:szCs w:val="24"/>
        </w:rPr>
        <w:t xml:space="preserve">requiring the </w:t>
      </w:r>
      <w:r w:rsidRPr="00006045">
        <w:rPr>
          <w:rStyle w:val="normaltextrun"/>
          <w:noProof/>
          <w:szCs w:val="24"/>
        </w:rPr>
        <w:t>publi</w:t>
      </w:r>
      <w:r>
        <w:rPr>
          <w:rStyle w:val="normaltextrun"/>
          <w:noProof/>
          <w:szCs w:val="24"/>
        </w:rPr>
        <w:t>cation of</w:t>
      </w:r>
      <w:r w:rsidRPr="00006045">
        <w:rPr>
          <w:rStyle w:val="normaltextrun"/>
          <w:noProof/>
          <w:szCs w:val="24"/>
        </w:rPr>
        <w:t xml:space="preserve"> all investment laws and conditions and promoting the use of single information portals for investors</w:t>
      </w:r>
      <w:r>
        <w:rPr>
          <w:rStyle w:val="normaltextrun"/>
          <w:noProof/>
          <w:szCs w:val="24"/>
        </w:rPr>
        <w:t>;</w:t>
      </w:r>
    </w:p>
    <w:p w14:paraId="5B0F2F3E" w14:textId="77777777" w:rsidR="00CC1C86" w:rsidRPr="00006045" w:rsidRDefault="00CC1C86" w:rsidP="00DD435F">
      <w:pPr>
        <w:pStyle w:val="Bullet0"/>
        <w:rPr>
          <w:rStyle w:val="normaltextrun"/>
          <w:noProof/>
          <w:szCs w:val="24"/>
        </w:rPr>
      </w:pPr>
      <w:r w:rsidRPr="00006045">
        <w:rPr>
          <w:rStyle w:val="normaltextrun"/>
          <w:noProof/>
          <w:szCs w:val="24"/>
        </w:rPr>
        <w:t>Streamlining of authorisation procedures, th</w:t>
      </w:r>
      <w:r>
        <w:rPr>
          <w:rStyle w:val="normaltextrun"/>
          <w:noProof/>
          <w:szCs w:val="24"/>
        </w:rPr>
        <w:t>r</w:t>
      </w:r>
      <w:r w:rsidRPr="00006045">
        <w:rPr>
          <w:rStyle w:val="normaltextrun"/>
          <w:noProof/>
          <w:szCs w:val="24"/>
        </w:rPr>
        <w:t>ough swift processing of applications and fostering e-government</w:t>
      </w:r>
      <w:r>
        <w:rPr>
          <w:rStyle w:val="normaltextrun"/>
          <w:noProof/>
          <w:szCs w:val="24"/>
        </w:rPr>
        <w:t>;</w:t>
      </w:r>
    </w:p>
    <w:p w14:paraId="70945183" w14:textId="77777777" w:rsidR="00CC1C86" w:rsidRPr="00006045" w:rsidRDefault="00CC1C86" w:rsidP="00DD435F">
      <w:pPr>
        <w:pStyle w:val="Bullet0"/>
        <w:rPr>
          <w:rStyle w:val="normaltextrun"/>
          <w:noProof/>
          <w:szCs w:val="24"/>
        </w:rPr>
      </w:pPr>
      <w:r w:rsidRPr="00006045">
        <w:rPr>
          <w:rStyle w:val="normaltextrun"/>
          <w:noProof/>
          <w:szCs w:val="24"/>
        </w:rPr>
        <w:t>Focal points and involvement</w:t>
      </w:r>
      <w:r>
        <w:rPr>
          <w:rStyle w:val="normaltextrun"/>
          <w:noProof/>
          <w:szCs w:val="24"/>
        </w:rPr>
        <w:t xml:space="preserve"> of</w:t>
      </w:r>
      <w:r w:rsidRPr="00006045">
        <w:rPr>
          <w:rStyle w:val="normaltextrun"/>
          <w:noProof/>
          <w:szCs w:val="24"/>
        </w:rPr>
        <w:t xml:space="preserve"> stakeholders, in order to facilitat</w:t>
      </w:r>
      <w:r>
        <w:rPr>
          <w:rStyle w:val="normaltextrun"/>
          <w:noProof/>
          <w:szCs w:val="24"/>
        </w:rPr>
        <w:t>e</w:t>
      </w:r>
      <w:r w:rsidRPr="00006045">
        <w:rPr>
          <w:rStyle w:val="normaltextrun"/>
          <w:noProof/>
          <w:szCs w:val="24"/>
        </w:rPr>
        <w:t xml:space="preserve"> interactions between i</w:t>
      </w:r>
      <w:r>
        <w:rPr>
          <w:rStyle w:val="normaltextrun"/>
          <w:noProof/>
          <w:szCs w:val="24"/>
        </w:rPr>
        <w:t>nvestors and the administration;</w:t>
      </w:r>
    </w:p>
    <w:p w14:paraId="0507EF54" w14:textId="77777777" w:rsidR="00CC1C86" w:rsidRPr="00006045" w:rsidRDefault="00CC1C86" w:rsidP="00DD435F">
      <w:pPr>
        <w:pStyle w:val="Bullet0"/>
        <w:rPr>
          <w:rStyle w:val="normaltextrun"/>
          <w:noProof/>
          <w:szCs w:val="24"/>
        </w:rPr>
      </w:pPr>
      <w:r w:rsidRPr="00006045">
        <w:rPr>
          <w:rStyle w:val="normaltextrun"/>
          <w:noProof/>
          <w:szCs w:val="24"/>
        </w:rPr>
        <w:t xml:space="preserve">Investment and sustainable development, by incorporating </w:t>
      </w:r>
      <w:r>
        <w:rPr>
          <w:rStyle w:val="normaltextrun"/>
          <w:noProof/>
          <w:szCs w:val="24"/>
        </w:rPr>
        <w:t>the EU’s</w:t>
      </w:r>
      <w:r w:rsidRPr="00006045">
        <w:rPr>
          <w:rStyle w:val="normaltextrun"/>
          <w:noProof/>
          <w:szCs w:val="24"/>
        </w:rPr>
        <w:t xml:space="preserve"> latest approach on </w:t>
      </w:r>
      <w:r>
        <w:rPr>
          <w:rStyle w:val="normaltextrun"/>
          <w:noProof/>
          <w:szCs w:val="24"/>
        </w:rPr>
        <w:t>“trade and sustainable development”</w:t>
      </w:r>
      <w:r w:rsidRPr="00006045">
        <w:rPr>
          <w:rStyle w:val="normaltextrun"/>
          <w:noProof/>
          <w:szCs w:val="24"/>
        </w:rPr>
        <w:t xml:space="preserve"> commitments and responsible business conduct. </w:t>
      </w:r>
    </w:p>
    <w:p w14:paraId="1C7509D0" w14:textId="77777777" w:rsidR="00CC1C86" w:rsidRDefault="00CC1C86" w:rsidP="00CC1C86">
      <w:pPr>
        <w:rPr>
          <w:rStyle w:val="normaltextrun"/>
          <w:noProof/>
        </w:rPr>
      </w:pPr>
      <w:r>
        <w:rPr>
          <w:rStyle w:val="normaltextrun"/>
          <w:noProof/>
        </w:rPr>
        <w:t>T</w:t>
      </w:r>
      <w:r w:rsidRPr="00006045">
        <w:rPr>
          <w:rStyle w:val="normaltextrun"/>
          <w:noProof/>
        </w:rPr>
        <w:t xml:space="preserve">he chapter on “Dispute avoidance and settlement” is based on cooperation </w:t>
      </w:r>
      <w:r>
        <w:rPr>
          <w:rStyle w:val="normaltextrun"/>
          <w:noProof/>
        </w:rPr>
        <w:t xml:space="preserve">between the Parties </w:t>
      </w:r>
      <w:r w:rsidRPr="00006045">
        <w:rPr>
          <w:rStyle w:val="normaltextrun"/>
          <w:noProof/>
        </w:rPr>
        <w:t xml:space="preserve">and </w:t>
      </w:r>
      <w:r>
        <w:rPr>
          <w:rStyle w:val="normaltextrun"/>
          <w:noProof/>
        </w:rPr>
        <w:t>seeking</w:t>
      </w:r>
      <w:r w:rsidRPr="00006045">
        <w:rPr>
          <w:rStyle w:val="normaltextrun"/>
          <w:noProof/>
        </w:rPr>
        <w:t xml:space="preserve"> a mutually-agreed solution, but also includes the possibility of State-to-State arbitration as a last resort, </w:t>
      </w:r>
      <w:r>
        <w:rPr>
          <w:rStyle w:val="normaltextrun"/>
          <w:noProof/>
        </w:rPr>
        <w:t>in addition to</w:t>
      </w:r>
      <w:r w:rsidRPr="00006045">
        <w:rPr>
          <w:rStyle w:val="normaltextrun"/>
          <w:noProof/>
        </w:rPr>
        <w:t xml:space="preserve"> mediation rules.</w:t>
      </w:r>
    </w:p>
    <w:p w14:paraId="51062F0D" w14:textId="77777777" w:rsidR="00CC1C86" w:rsidRPr="00CC6BCD" w:rsidRDefault="00CC1C86" w:rsidP="00CC1C86">
      <w:pPr>
        <w:rPr>
          <w:rStyle w:val="normaltextrun"/>
          <w:noProof/>
        </w:rPr>
      </w:pPr>
      <w:r>
        <w:rPr>
          <w:rStyle w:val="normaltextrun"/>
          <w:noProof/>
        </w:rPr>
        <w:t>Overall, it is expected that the Agreement will lead to i</w:t>
      </w:r>
      <w:r w:rsidRPr="00CC6BCD">
        <w:rPr>
          <w:rStyle w:val="normaltextrun"/>
          <w:noProof/>
        </w:rPr>
        <w:t xml:space="preserve">mprovements in the business climate </w:t>
      </w:r>
      <w:r>
        <w:rPr>
          <w:rStyle w:val="normaltextrun"/>
          <w:noProof/>
        </w:rPr>
        <w:t xml:space="preserve">in Angola, </w:t>
      </w:r>
      <w:r w:rsidRPr="00CC6BCD">
        <w:rPr>
          <w:rStyle w:val="normaltextrun"/>
          <w:noProof/>
        </w:rPr>
        <w:t>benefit</w:t>
      </w:r>
      <w:r>
        <w:rPr>
          <w:rStyle w:val="normaltextrun"/>
          <w:noProof/>
        </w:rPr>
        <w:t>ting</w:t>
      </w:r>
      <w:r w:rsidRPr="00CC6BCD">
        <w:rPr>
          <w:rStyle w:val="normaltextrun"/>
          <w:noProof/>
        </w:rPr>
        <w:t xml:space="preserve"> f</w:t>
      </w:r>
      <w:r>
        <w:rPr>
          <w:rStyle w:val="normaltextrun"/>
          <w:noProof/>
        </w:rPr>
        <w:t xml:space="preserve">oreign and domestic firms alike. Consequently, </w:t>
      </w:r>
      <w:r w:rsidRPr="00CC6BCD">
        <w:rPr>
          <w:rStyle w:val="normaltextrun"/>
          <w:noProof/>
        </w:rPr>
        <w:t xml:space="preserve">foreign investors will be </w:t>
      </w:r>
      <w:r>
        <w:rPr>
          <w:rStyle w:val="normaltextrun"/>
          <w:noProof/>
        </w:rPr>
        <w:t>encouraged to stay longer, making a</w:t>
      </w:r>
      <w:r w:rsidRPr="00CC6BCD">
        <w:rPr>
          <w:rStyle w:val="normaltextrun"/>
          <w:noProof/>
        </w:rPr>
        <w:t xml:space="preserve"> </w:t>
      </w:r>
      <w:r>
        <w:rPr>
          <w:rStyle w:val="normaltextrun"/>
          <w:noProof/>
        </w:rPr>
        <w:t xml:space="preserve">longer-term </w:t>
      </w:r>
      <w:r w:rsidRPr="00CC6BCD">
        <w:rPr>
          <w:rStyle w:val="normaltextrun"/>
          <w:noProof/>
        </w:rPr>
        <w:t>contribution to the local economy.</w:t>
      </w:r>
      <w:r>
        <w:rPr>
          <w:rStyle w:val="normaltextrun"/>
          <w:noProof/>
        </w:rPr>
        <w:t xml:space="preserve"> Besides existing investors, t</w:t>
      </w:r>
      <w:r w:rsidRPr="00CC6BCD">
        <w:rPr>
          <w:rStyle w:val="normaltextrun"/>
          <w:noProof/>
        </w:rPr>
        <w:t xml:space="preserve">he </w:t>
      </w:r>
      <w:r>
        <w:rPr>
          <w:rStyle w:val="normaltextrun"/>
          <w:noProof/>
        </w:rPr>
        <w:t>Agreement also aims at</w:t>
      </w:r>
      <w:r w:rsidRPr="00CC6BCD">
        <w:rPr>
          <w:rStyle w:val="normaltextrun"/>
          <w:noProof/>
        </w:rPr>
        <w:t xml:space="preserve"> attract</w:t>
      </w:r>
      <w:r>
        <w:rPr>
          <w:rStyle w:val="normaltextrun"/>
          <w:noProof/>
        </w:rPr>
        <w:t>ing</w:t>
      </w:r>
      <w:r w:rsidRPr="00CC6BCD">
        <w:rPr>
          <w:rStyle w:val="normaltextrun"/>
          <w:noProof/>
        </w:rPr>
        <w:t xml:space="preserve"> new investors to Angola, </w:t>
      </w:r>
      <w:r>
        <w:rPr>
          <w:rStyle w:val="normaltextrun"/>
          <w:noProof/>
        </w:rPr>
        <w:t xml:space="preserve">notably </w:t>
      </w:r>
      <w:r w:rsidRPr="00CC6BCD">
        <w:rPr>
          <w:rStyle w:val="normaltextrun"/>
          <w:noProof/>
        </w:rPr>
        <w:t xml:space="preserve">small and medium size enterprises, which </w:t>
      </w:r>
      <w:r>
        <w:rPr>
          <w:rStyle w:val="normaltextrun"/>
          <w:noProof/>
        </w:rPr>
        <w:t xml:space="preserve">have more difficulties in navigating through </w:t>
      </w:r>
      <w:r w:rsidRPr="00CC6BCD">
        <w:rPr>
          <w:rStyle w:val="normaltextrun"/>
          <w:noProof/>
        </w:rPr>
        <w:t xml:space="preserve">lengthy and complex procedures to invest abroad. </w:t>
      </w:r>
    </w:p>
    <w:p w14:paraId="7547F24A" w14:textId="77777777" w:rsidR="00CC1C86" w:rsidRPr="00CC6BCD" w:rsidRDefault="00CC1C86" w:rsidP="00CC1C86">
      <w:pPr>
        <w:rPr>
          <w:rStyle w:val="normaltextrun"/>
          <w:noProof/>
        </w:rPr>
      </w:pPr>
      <w:r w:rsidRPr="00CC6BCD">
        <w:rPr>
          <w:rStyle w:val="normaltextrun"/>
          <w:noProof/>
        </w:rPr>
        <w:t>The fact that the Agreement improves legal certainty for</w:t>
      </w:r>
      <w:r>
        <w:rPr>
          <w:rStyle w:val="normaltextrun"/>
          <w:noProof/>
        </w:rPr>
        <w:t xml:space="preserve"> investment in</w:t>
      </w:r>
      <w:r w:rsidRPr="00CC6BCD">
        <w:rPr>
          <w:rStyle w:val="normaltextrun"/>
          <w:noProof/>
        </w:rPr>
        <w:t xml:space="preserve"> all sectors </w:t>
      </w:r>
      <w:r>
        <w:rPr>
          <w:rStyle w:val="normaltextrun"/>
          <w:noProof/>
        </w:rPr>
        <w:t xml:space="preserve">is expected to contribute to </w:t>
      </w:r>
      <w:r w:rsidRPr="00CC6BCD">
        <w:rPr>
          <w:rStyle w:val="normaltextrun"/>
          <w:noProof/>
        </w:rPr>
        <w:t>Angola’s</w:t>
      </w:r>
      <w:r>
        <w:rPr>
          <w:rStyle w:val="normaltextrun"/>
          <w:noProof/>
        </w:rPr>
        <w:t xml:space="preserve"> economic</w:t>
      </w:r>
      <w:r w:rsidRPr="00CC6BCD">
        <w:rPr>
          <w:rStyle w:val="normaltextrun"/>
          <w:noProof/>
        </w:rPr>
        <w:t xml:space="preserve"> diversification to new </w:t>
      </w:r>
      <w:r>
        <w:rPr>
          <w:rStyle w:val="normaltextrun"/>
          <w:noProof/>
        </w:rPr>
        <w:t>sectors</w:t>
      </w:r>
      <w:r w:rsidRPr="00CC6BCD">
        <w:rPr>
          <w:rStyle w:val="normaltextrun"/>
          <w:noProof/>
        </w:rPr>
        <w:t xml:space="preserve"> such as food exports, manufacturing, or services.</w:t>
      </w:r>
      <w:r>
        <w:rPr>
          <w:rStyle w:val="normaltextrun"/>
          <w:noProof/>
        </w:rPr>
        <w:t xml:space="preserve"> The Agreement also includes provisions</w:t>
      </w:r>
      <w:r w:rsidRPr="00CC6BCD">
        <w:rPr>
          <w:rStyle w:val="normaltextrun"/>
          <w:noProof/>
        </w:rPr>
        <w:t xml:space="preserve"> </w:t>
      </w:r>
      <w:r>
        <w:rPr>
          <w:rStyle w:val="normaltextrun"/>
          <w:noProof/>
        </w:rPr>
        <w:t>aimed at</w:t>
      </w:r>
      <w:r w:rsidRPr="00CC6BCD">
        <w:rPr>
          <w:rStyle w:val="normaltextrun"/>
          <w:noProof/>
        </w:rPr>
        <w:t xml:space="preserve"> enhanc</w:t>
      </w:r>
      <w:r>
        <w:rPr>
          <w:rStyle w:val="normaltextrun"/>
          <w:noProof/>
        </w:rPr>
        <w:t>ing</w:t>
      </w:r>
      <w:r w:rsidRPr="00CC6BCD">
        <w:rPr>
          <w:rStyle w:val="normaltextrun"/>
          <w:noProof/>
        </w:rPr>
        <w:t xml:space="preserve"> linkages between foreign investors and domestic suppliers. </w:t>
      </w:r>
    </w:p>
    <w:p w14:paraId="642708A7" w14:textId="7DFA0D1A" w:rsidR="00CC1C86" w:rsidRPr="00CC6BCD" w:rsidRDefault="00CC1C86" w:rsidP="00CC1C86">
      <w:pPr>
        <w:rPr>
          <w:rStyle w:val="normaltextrun"/>
          <w:noProof/>
        </w:rPr>
      </w:pPr>
      <w:r>
        <w:rPr>
          <w:rStyle w:val="normaltextrun"/>
          <w:noProof/>
        </w:rPr>
        <w:t>Finally, t</w:t>
      </w:r>
      <w:r w:rsidRPr="00CC6BCD">
        <w:rPr>
          <w:rStyle w:val="normaltextrun"/>
          <w:noProof/>
        </w:rPr>
        <w:t>he Agreement also integrate</w:t>
      </w:r>
      <w:r>
        <w:rPr>
          <w:rStyle w:val="normaltextrun"/>
          <w:noProof/>
        </w:rPr>
        <w:t>s</w:t>
      </w:r>
      <w:r w:rsidRPr="00CC6BCD">
        <w:rPr>
          <w:rStyle w:val="normaltextrun"/>
          <w:noProof/>
        </w:rPr>
        <w:t xml:space="preserve"> </w:t>
      </w:r>
      <w:r>
        <w:rPr>
          <w:rStyle w:val="normaltextrun"/>
          <w:noProof/>
        </w:rPr>
        <w:t xml:space="preserve">an important </w:t>
      </w:r>
      <w:r w:rsidRPr="00CC6BCD">
        <w:rPr>
          <w:rStyle w:val="normaltextrun"/>
          <w:noProof/>
        </w:rPr>
        <w:t xml:space="preserve">sustainable development </w:t>
      </w:r>
      <w:r>
        <w:rPr>
          <w:rStyle w:val="normaltextrun"/>
          <w:noProof/>
        </w:rPr>
        <w:t xml:space="preserve">dimension </w:t>
      </w:r>
      <w:r w:rsidRPr="00CC6BCD">
        <w:rPr>
          <w:rStyle w:val="normaltextrun"/>
          <w:noProof/>
        </w:rPr>
        <w:t>in the EU</w:t>
      </w:r>
      <w:r>
        <w:rPr>
          <w:rStyle w:val="normaltextrun"/>
          <w:noProof/>
        </w:rPr>
        <w:t>-Angola investment relationship, including c</w:t>
      </w:r>
      <w:r w:rsidRPr="00CC6BCD">
        <w:rPr>
          <w:rStyle w:val="normaltextrun"/>
          <w:noProof/>
        </w:rPr>
        <w:t>ommitment</w:t>
      </w:r>
      <w:r>
        <w:rPr>
          <w:rStyle w:val="normaltextrun"/>
          <w:noProof/>
        </w:rPr>
        <w:t>s</w:t>
      </w:r>
      <w:r w:rsidRPr="00CC6BCD">
        <w:rPr>
          <w:rStyle w:val="normaltextrun"/>
          <w:noProof/>
        </w:rPr>
        <w:t xml:space="preserve"> not to weaken environmental or labour laws and standards for the sake of attracting investment, and not to waive or derogate from those laws</w:t>
      </w:r>
      <w:r>
        <w:rPr>
          <w:rStyle w:val="normaltextrun"/>
          <w:noProof/>
        </w:rPr>
        <w:t>. The Agreement also includes c</w:t>
      </w:r>
      <w:r w:rsidRPr="00CC6BCD">
        <w:rPr>
          <w:rStyle w:val="normaltextrun"/>
          <w:noProof/>
        </w:rPr>
        <w:t>ommitment</w:t>
      </w:r>
      <w:r>
        <w:rPr>
          <w:rStyle w:val="normaltextrun"/>
          <w:noProof/>
        </w:rPr>
        <w:t>s</w:t>
      </w:r>
      <w:r w:rsidRPr="00CC6BCD">
        <w:rPr>
          <w:rStyle w:val="normaltextrun"/>
          <w:noProof/>
        </w:rPr>
        <w:t xml:space="preserve"> to effectively implement international labour and environmental agreements, including the Paris Agreement</w:t>
      </w:r>
      <w:r>
        <w:rPr>
          <w:rStyle w:val="normaltextrun"/>
          <w:noProof/>
        </w:rPr>
        <w:t>. The Agreement requires</w:t>
      </w:r>
      <w:r w:rsidR="00CF6A5B">
        <w:rPr>
          <w:rStyle w:val="normaltextrun"/>
          <w:noProof/>
        </w:rPr>
        <w:t xml:space="preserve"> the Parties</w:t>
      </w:r>
      <w:r>
        <w:rPr>
          <w:rStyle w:val="normaltextrun"/>
          <w:noProof/>
        </w:rPr>
        <w:t xml:space="preserve"> to promote </w:t>
      </w:r>
      <w:r w:rsidRPr="00CC6BCD">
        <w:rPr>
          <w:rStyle w:val="normaltextrun"/>
          <w:noProof/>
        </w:rPr>
        <w:t xml:space="preserve">responsible business practices by investors and </w:t>
      </w:r>
      <w:r>
        <w:rPr>
          <w:rStyle w:val="normaltextrun"/>
          <w:noProof/>
        </w:rPr>
        <w:t xml:space="preserve">strengthens </w:t>
      </w:r>
      <w:r w:rsidRPr="00CC6BCD">
        <w:rPr>
          <w:rStyle w:val="normaltextrun"/>
          <w:noProof/>
        </w:rPr>
        <w:t>bilateral cooperation on investment-related aspects of climate change policies and gender equality policies</w:t>
      </w:r>
      <w:r>
        <w:rPr>
          <w:rStyle w:val="normaltextrun"/>
          <w:noProof/>
        </w:rPr>
        <w:t>.</w:t>
      </w:r>
    </w:p>
    <w:p w14:paraId="4883CD9A" w14:textId="77777777" w:rsidR="001A4020" w:rsidRDefault="001A4020" w:rsidP="001A4020">
      <w:pPr>
        <w:rPr>
          <w:noProof/>
          <w:szCs w:val="24"/>
        </w:rPr>
        <w:sectPr w:rsidR="001A4020" w:rsidSect="00C80A97">
          <w:footerReference w:type="default" r:id="rId13"/>
          <w:footerReference w:type="first" r:id="rId14"/>
          <w:pgSz w:w="11907" w:h="16839"/>
          <w:pgMar w:top="1134" w:right="1417" w:bottom="1134" w:left="1417" w:header="709" w:footer="709" w:gutter="0"/>
          <w:cols w:space="708"/>
          <w:docGrid w:linePitch="360"/>
        </w:sectPr>
      </w:pPr>
    </w:p>
    <w:p w14:paraId="4EEA475A" w14:textId="680C0C8C" w:rsidR="006F4150" w:rsidRDefault="006F4150" w:rsidP="006F4150">
      <w:pPr>
        <w:pStyle w:val="Rfrenceinterinstitutionnelle"/>
        <w:rPr>
          <w:noProof/>
        </w:rPr>
      </w:pPr>
      <w:r w:rsidRPr="006F4150">
        <w:t>2023/0181 (NLE)</w:t>
      </w:r>
    </w:p>
    <w:p w14:paraId="03736C1C" w14:textId="3A8D0449" w:rsidR="00C03E25" w:rsidRPr="00CF3F47" w:rsidRDefault="0003150C" w:rsidP="0003150C">
      <w:pPr>
        <w:pStyle w:val="Statut"/>
        <w:rPr>
          <w:noProof/>
        </w:rPr>
      </w:pPr>
      <w:r w:rsidRPr="0003150C">
        <w:rPr>
          <w:noProof/>
        </w:rPr>
        <w:t>Proposal for a</w:t>
      </w:r>
    </w:p>
    <w:p w14:paraId="7E071581" w14:textId="77886816" w:rsidR="00C03E25" w:rsidRPr="00CF3F47" w:rsidRDefault="0003150C" w:rsidP="0003150C">
      <w:pPr>
        <w:pStyle w:val="Typedudocument"/>
        <w:rPr>
          <w:noProof/>
        </w:rPr>
      </w:pPr>
      <w:r w:rsidRPr="0003150C">
        <w:rPr>
          <w:noProof/>
        </w:rPr>
        <w:t>COUNCIL DECISION</w:t>
      </w:r>
    </w:p>
    <w:p w14:paraId="70D103ED" w14:textId="028B4F85" w:rsidR="00C03E25" w:rsidRPr="00CF3F47" w:rsidRDefault="0003150C" w:rsidP="0003150C">
      <w:pPr>
        <w:pStyle w:val="Titreobjet"/>
        <w:rPr>
          <w:noProof/>
        </w:rPr>
      </w:pPr>
      <w:r w:rsidRPr="0003150C">
        <w:rPr>
          <w:noProof/>
        </w:rPr>
        <w:t>on the conclusion of the Sustainable Investment Facilitation Agreement between the European Union and the Republic of Angola</w:t>
      </w:r>
    </w:p>
    <w:p w14:paraId="1D9083ED" w14:textId="77777777" w:rsidR="00C03E25" w:rsidRPr="00CF3F47" w:rsidRDefault="00C03E25" w:rsidP="00C03E25">
      <w:pPr>
        <w:pStyle w:val="Institutionquiagit"/>
        <w:rPr>
          <w:noProof/>
        </w:rPr>
      </w:pPr>
      <w:r w:rsidRPr="00CF3F47">
        <w:rPr>
          <w:noProof/>
        </w:rPr>
        <w:t xml:space="preserve">THE COUNCIL OF THE EUROPEAN </w:t>
      </w:r>
      <w:smartTag w:uri="urn:schemas-microsoft-com:office:smarttags" w:element="place">
        <w:r w:rsidRPr="00CF3F47">
          <w:rPr>
            <w:noProof/>
          </w:rPr>
          <w:t>UNION</w:t>
        </w:r>
      </w:smartTag>
      <w:r w:rsidRPr="00CF3F47">
        <w:rPr>
          <w:noProof/>
        </w:rPr>
        <w:t>,</w:t>
      </w:r>
    </w:p>
    <w:p w14:paraId="4C21D312" w14:textId="77777777" w:rsidR="00C03E25" w:rsidRPr="00CF3F47" w:rsidRDefault="00C03E25" w:rsidP="00C03E25">
      <w:pPr>
        <w:rPr>
          <w:noProof/>
        </w:rPr>
      </w:pPr>
      <w:r w:rsidRPr="00CF3F47">
        <w:rPr>
          <w:noProof/>
        </w:rPr>
        <w:t xml:space="preserve">Having regard to the Treaty on the Functioning of the European Union, and in particular </w:t>
      </w:r>
      <w:r w:rsidR="00AE4CCF" w:rsidRPr="00CF3F47">
        <w:rPr>
          <w:noProof/>
        </w:rPr>
        <w:t>Article 207(4)</w:t>
      </w:r>
      <w:r w:rsidR="008462FC" w:rsidRPr="007B082B">
        <w:rPr>
          <w:noProof/>
        </w:rPr>
        <w:t>,</w:t>
      </w:r>
      <w:r w:rsidR="00CE423C">
        <w:rPr>
          <w:noProof/>
        </w:rPr>
        <w:t xml:space="preserve"> </w:t>
      </w:r>
      <w:r w:rsidR="00CE423C" w:rsidRPr="00DF46FE">
        <w:rPr>
          <w:noProof/>
        </w:rPr>
        <w:t>first subparagraph</w:t>
      </w:r>
      <w:r w:rsidR="00CE423C">
        <w:rPr>
          <w:noProof/>
        </w:rPr>
        <w:t>,</w:t>
      </w:r>
      <w:r w:rsidR="008462FC" w:rsidRPr="007B082B">
        <w:rPr>
          <w:noProof/>
        </w:rPr>
        <w:t xml:space="preserve"> </w:t>
      </w:r>
      <w:r w:rsidR="00423BC9" w:rsidRPr="007B082B">
        <w:rPr>
          <w:noProof/>
        </w:rPr>
        <w:t>in conjunction with Article 218(6)</w:t>
      </w:r>
      <w:r w:rsidR="00003083">
        <w:rPr>
          <w:noProof/>
        </w:rPr>
        <w:t xml:space="preserve">, point </w:t>
      </w:r>
      <w:r w:rsidR="00423BC9" w:rsidRPr="007B082B">
        <w:rPr>
          <w:noProof/>
        </w:rPr>
        <w:t>(a)(v)</w:t>
      </w:r>
      <w:r w:rsidRPr="00CF3F47">
        <w:rPr>
          <w:noProof/>
        </w:rPr>
        <w:t>,</w:t>
      </w:r>
    </w:p>
    <w:p w14:paraId="48AB2750" w14:textId="77777777" w:rsidR="00C03E25" w:rsidRPr="00CF3F47" w:rsidRDefault="00C03E25" w:rsidP="00C03E25">
      <w:pPr>
        <w:rPr>
          <w:noProof/>
        </w:rPr>
      </w:pPr>
      <w:r w:rsidRPr="00CF3F47">
        <w:rPr>
          <w:noProof/>
        </w:rPr>
        <w:t>Having regard to the proposal from the European Commission,</w:t>
      </w:r>
    </w:p>
    <w:p w14:paraId="691016BB" w14:textId="77777777" w:rsidR="00C03E25" w:rsidRPr="00CF3F47" w:rsidRDefault="00C03E25" w:rsidP="00C03E25">
      <w:pPr>
        <w:rPr>
          <w:noProof/>
        </w:rPr>
      </w:pPr>
      <w:r w:rsidRPr="00CF3F47">
        <w:rPr>
          <w:noProof/>
        </w:rPr>
        <w:t xml:space="preserve">Having regard to the </w:t>
      </w:r>
      <w:r w:rsidR="008462FC" w:rsidRPr="00CF3F47">
        <w:rPr>
          <w:noProof/>
        </w:rPr>
        <w:t xml:space="preserve">consent </w:t>
      </w:r>
      <w:r w:rsidRPr="00CF3F47">
        <w:rPr>
          <w:noProof/>
        </w:rPr>
        <w:t>of the European Parliament</w:t>
      </w:r>
      <w:r w:rsidRPr="00FF5A51">
        <w:rPr>
          <w:rStyle w:val="FootnoteReference"/>
          <w:noProof/>
        </w:rPr>
        <w:footnoteReference w:id="17"/>
      </w:r>
      <w:r w:rsidRPr="00CF3F47">
        <w:rPr>
          <w:noProof/>
        </w:rPr>
        <w:t>,</w:t>
      </w:r>
      <w:r w:rsidR="002D2AC7">
        <w:rPr>
          <w:noProof/>
        </w:rPr>
        <w:t xml:space="preserve"> </w:t>
      </w:r>
    </w:p>
    <w:p w14:paraId="2944E8A4" w14:textId="77777777" w:rsidR="00C03E25" w:rsidRPr="00CF3F47" w:rsidRDefault="00C03E25" w:rsidP="00C03E25">
      <w:pPr>
        <w:rPr>
          <w:noProof/>
        </w:rPr>
      </w:pPr>
      <w:r w:rsidRPr="00CF3F47">
        <w:rPr>
          <w:noProof/>
        </w:rPr>
        <w:t>Whereas:</w:t>
      </w:r>
    </w:p>
    <w:p w14:paraId="539D93D9" w14:textId="77777777" w:rsidR="008462FC" w:rsidRPr="00CF3F47" w:rsidRDefault="009F4C17" w:rsidP="009F4C17">
      <w:pPr>
        <w:pStyle w:val="ManualConsidrant"/>
        <w:rPr>
          <w:noProof/>
        </w:rPr>
      </w:pPr>
      <w:r w:rsidRPr="009F4C17">
        <w:rPr>
          <w:noProof/>
        </w:rPr>
        <w:t>(1)</w:t>
      </w:r>
      <w:r w:rsidRPr="009F4C17">
        <w:rPr>
          <w:noProof/>
        </w:rPr>
        <w:tab/>
      </w:r>
      <w:r w:rsidR="008462FC" w:rsidRPr="00CF3F47">
        <w:rPr>
          <w:noProof/>
        </w:rPr>
        <w:t>In accordance with Council Decision No [XX]</w:t>
      </w:r>
      <w:r w:rsidR="008462FC" w:rsidRPr="00CF3F47">
        <w:rPr>
          <w:rStyle w:val="FootnoteReference"/>
          <w:noProof/>
        </w:rPr>
        <w:footnoteReference w:id="18"/>
      </w:r>
      <w:r w:rsidR="00EC0820">
        <w:rPr>
          <w:noProof/>
        </w:rPr>
        <w:t xml:space="preserve">, the </w:t>
      </w:r>
      <w:r w:rsidR="00EC0820" w:rsidRPr="00EC0820">
        <w:rPr>
          <w:noProof/>
        </w:rPr>
        <w:t>Sustainable Investment Facilitation Agreement</w:t>
      </w:r>
      <w:r w:rsidR="00CC1C86">
        <w:rPr>
          <w:noProof/>
        </w:rPr>
        <w:t xml:space="preserve"> </w:t>
      </w:r>
      <w:r w:rsidR="00CC1C86" w:rsidRPr="00CF3F47">
        <w:rPr>
          <w:noProof/>
        </w:rPr>
        <w:t xml:space="preserve">between the European Union and </w:t>
      </w:r>
      <w:r w:rsidR="00CC1C86">
        <w:rPr>
          <w:noProof/>
        </w:rPr>
        <w:t xml:space="preserve">the Republic of Angola </w:t>
      </w:r>
      <w:r w:rsidR="008462FC" w:rsidRPr="00CF3F47">
        <w:rPr>
          <w:noProof/>
        </w:rPr>
        <w:t>(</w:t>
      </w:r>
      <w:r w:rsidR="00AC2066" w:rsidRPr="00CF3F47">
        <w:rPr>
          <w:noProof/>
        </w:rPr>
        <w:t>'</w:t>
      </w:r>
      <w:r w:rsidR="008462FC" w:rsidRPr="00CF3F47">
        <w:rPr>
          <w:noProof/>
        </w:rPr>
        <w:t>the Agreement') was signed on [XX XXX 2023], subject to its conclusion at a later date.</w:t>
      </w:r>
    </w:p>
    <w:p w14:paraId="5F3DD57B" w14:textId="77777777" w:rsidR="008462FC" w:rsidRPr="00CF3F47" w:rsidRDefault="009F4C17" w:rsidP="009F4C17">
      <w:pPr>
        <w:pStyle w:val="ManualConsidrant"/>
        <w:rPr>
          <w:noProof/>
        </w:rPr>
      </w:pPr>
      <w:r w:rsidRPr="009F4C17">
        <w:rPr>
          <w:noProof/>
        </w:rPr>
        <w:t>(2)</w:t>
      </w:r>
      <w:r w:rsidR="00881CE4">
        <w:rPr>
          <w:noProof/>
        </w:rPr>
        <w:tab/>
      </w:r>
      <w:r w:rsidR="008462FC" w:rsidRPr="00CF3F47">
        <w:rPr>
          <w:noProof/>
        </w:rPr>
        <w:t>The Agreement should be approved on behalf of the Union.</w:t>
      </w:r>
    </w:p>
    <w:p w14:paraId="6233ADDE" w14:textId="080772C1" w:rsidR="008462FC" w:rsidRPr="00CF3F47" w:rsidRDefault="00EC0820" w:rsidP="009F4C17">
      <w:pPr>
        <w:pStyle w:val="ManualConsidrant"/>
        <w:rPr>
          <w:noProof/>
        </w:rPr>
      </w:pPr>
      <w:r>
        <w:rPr>
          <w:noProof/>
        </w:rPr>
        <w:t>(3</w:t>
      </w:r>
      <w:r w:rsidR="009F4C17" w:rsidRPr="00EC0820">
        <w:rPr>
          <w:noProof/>
        </w:rPr>
        <w:t>)</w:t>
      </w:r>
      <w:r w:rsidR="009F4C17" w:rsidRPr="00EC0820">
        <w:rPr>
          <w:noProof/>
        </w:rPr>
        <w:tab/>
      </w:r>
      <w:r w:rsidR="008462FC" w:rsidRPr="00EC0820">
        <w:rPr>
          <w:noProof/>
        </w:rPr>
        <w:t>The Agreement, in accordance with its Article</w:t>
      </w:r>
      <w:r w:rsidRPr="00EC0820">
        <w:rPr>
          <w:noProof/>
        </w:rPr>
        <w:t xml:space="preserve"> 55</w:t>
      </w:r>
      <w:r w:rsidR="008462FC" w:rsidRPr="00EC0820">
        <w:rPr>
          <w:noProof/>
        </w:rPr>
        <w:t>, does not, within the Union, confer rights or impose obligations on persons, other than those created between the Parties under public international law</w:t>
      </w:r>
      <w:r w:rsidR="00D81020">
        <w:rPr>
          <w:noProof/>
        </w:rPr>
        <w:t>,</w:t>
      </w:r>
    </w:p>
    <w:p w14:paraId="73A203D9" w14:textId="77777777" w:rsidR="00C03E25" w:rsidRPr="00CF3F47" w:rsidRDefault="00C03E25" w:rsidP="00C03E25">
      <w:pPr>
        <w:pStyle w:val="Formuledadoption"/>
        <w:rPr>
          <w:noProof/>
        </w:rPr>
      </w:pPr>
      <w:r w:rsidRPr="00CF3F47">
        <w:rPr>
          <w:noProof/>
        </w:rPr>
        <w:t xml:space="preserve">HAS ADOPTED THIS DECISION: </w:t>
      </w:r>
    </w:p>
    <w:p w14:paraId="297A92BF" w14:textId="77777777" w:rsidR="00C03E25" w:rsidRPr="00CF3F47" w:rsidRDefault="00C03E25" w:rsidP="00C03E25">
      <w:pPr>
        <w:pStyle w:val="Titrearticle"/>
        <w:rPr>
          <w:noProof/>
        </w:rPr>
      </w:pPr>
      <w:r w:rsidRPr="00CF3F47">
        <w:rPr>
          <w:noProof/>
        </w:rPr>
        <w:t>Article 1</w:t>
      </w:r>
    </w:p>
    <w:p w14:paraId="5E5C670D" w14:textId="77777777" w:rsidR="004D1ED0" w:rsidRPr="00CF3F47" w:rsidRDefault="004D1ED0" w:rsidP="004D1ED0">
      <w:pPr>
        <w:rPr>
          <w:noProof/>
        </w:rPr>
      </w:pPr>
      <w:r w:rsidRPr="00CF3F47">
        <w:rPr>
          <w:noProof/>
        </w:rPr>
        <w:t xml:space="preserve">The </w:t>
      </w:r>
      <w:r w:rsidR="00EC0820" w:rsidRPr="00FD16B2">
        <w:rPr>
          <w:noProof/>
        </w:rPr>
        <w:t xml:space="preserve">Sustainable Investment Facilitation Agreement </w:t>
      </w:r>
      <w:r w:rsidRPr="00CF3F47">
        <w:rPr>
          <w:noProof/>
        </w:rPr>
        <w:t xml:space="preserve">between the European Union and </w:t>
      </w:r>
      <w:r w:rsidR="00EC0820">
        <w:rPr>
          <w:noProof/>
        </w:rPr>
        <w:t xml:space="preserve">the Republic of Angola </w:t>
      </w:r>
      <w:r w:rsidRPr="00CF3F47">
        <w:rPr>
          <w:noProof/>
        </w:rPr>
        <w:t>(</w:t>
      </w:r>
      <w:r w:rsidR="00E74766" w:rsidRPr="00CF3F47">
        <w:rPr>
          <w:noProof/>
        </w:rPr>
        <w:t>'</w:t>
      </w:r>
      <w:r w:rsidRPr="00CF3F47">
        <w:rPr>
          <w:noProof/>
        </w:rPr>
        <w:t>the Agreement') is hereby approved on behalf of the Union.</w:t>
      </w:r>
    </w:p>
    <w:p w14:paraId="19EA4A5F" w14:textId="77777777" w:rsidR="00C03E25" w:rsidRPr="00CF3F47" w:rsidRDefault="004D1ED0" w:rsidP="004D1ED0">
      <w:pPr>
        <w:rPr>
          <w:noProof/>
        </w:rPr>
      </w:pPr>
      <w:r w:rsidRPr="00CF3F47">
        <w:rPr>
          <w:noProof/>
        </w:rPr>
        <w:t>The text of the Agreement is attached to this Decision.</w:t>
      </w:r>
    </w:p>
    <w:p w14:paraId="4C33E086" w14:textId="77777777" w:rsidR="00921497" w:rsidRPr="00CF3F47" w:rsidRDefault="00921497" w:rsidP="00921497">
      <w:pPr>
        <w:pStyle w:val="Titrearticle"/>
        <w:rPr>
          <w:noProof/>
        </w:rPr>
      </w:pPr>
      <w:r w:rsidRPr="00CF3F47">
        <w:rPr>
          <w:noProof/>
        </w:rPr>
        <w:t xml:space="preserve">Article </w:t>
      </w:r>
      <w:r w:rsidR="00EC0820">
        <w:rPr>
          <w:noProof/>
        </w:rPr>
        <w:t>2</w:t>
      </w:r>
    </w:p>
    <w:p w14:paraId="7D394F7D" w14:textId="77777777" w:rsidR="00921497" w:rsidRPr="00CF3F47" w:rsidRDefault="00921497" w:rsidP="00BE4A52">
      <w:pPr>
        <w:rPr>
          <w:noProof/>
        </w:rPr>
      </w:pPr>
      <w:r w:rsidRPr="00CF3F47">
        <w:rPr>
          <w:noProof/>
        </w:rPr>
        <w:t>The President of the Council shall designate the person empowered to proceed, on behalf of the Union, to the notificat</w:t>
      </w:r>
      <w:r w:rsidR="00936FC3" w:rsidRPr="00CF3F47">
        <w:rPr>
          <w:noProof/>
        </w:rPr>
        <w:t xml:space="preserve">ion provided for in Article </w:t>
      </w:r>
      <w:r w:rsidR="00EC0820">
        <w:rPr>
          <w:noProof/>
        </w:rPr>
        <w:t>57.2</w:t>
      </w:r>
      <w:r w:rsidRPr="00CF3F47">
        <w:rPr>
          <w:noProof/>
        </w:rPr>
        <w:t xml:space="preserve"> of the Agreement, in order to express the consent of the Union to be bound by the Agreement.</w:t>
      </w:r>
    </w:p>
    <w:p w14:paraId="1AAB744F" w14:textId="77777777" w:rsidR="00C03E25" w:rsidRPr="00CF3F47" w:rsidRDefault="00C03E25" w:rsidP="005B7192">
      <w:pPr>
        <w:pStyle w:val="Titrearticle"/>
        <w:rPr>
          <w:noProof/>
        </w:rPr>
      </w:pPr>
      <w:r w:rsidRPr="00CF3F47">
        <w:rPr>
          <w:noProof/>
        </w:rPr>
        <w:t xml:space="preserve">Article </w:t>
      </w:r>
      <w:r w:rsidR="002A2838">
        <w:rPr>
          <w:noProof/>
        </w:rPr>
        <w:t>3</w:t>
      </w:r>
    </w:p>
    <w:p w14:paraId="3E99C4F4" w14:textId="77777777" w:rsidR="00C03E25" w:rsidRPr="00CF3F47" w:rsidRDefault="00C03E25" w:rsidP="005B7192">
      <w:pPr>
        <w:keepNext/>
        <w:keepLines/>
        <w:rPr>
          <w:noProof/>
        </w:rPr>
      </w:pPr>
      <w:r w:rsidRPr="00CF3F47">
        <w:rPr>
          <w:noProof/>
        </w:rPr>
        <w:t xml:space="preserve">This Decision shall enter into force on the </w:t>
      </w:r>
      <w:r w:rsidR="00AE4CCF" w:rsidRPr="007B082B">
        <w:rPr>
          <w:noProof/>
        </w:rPr>
        <w:t>day of its adoption</w:t>
      </w:r>
      <w:r w:rsidR="00235C0B">
        <w:rPr>
          <w:rStyle w:val="FootnoteReference"/>
          <w:noProof/>
        </w:rPr>
        <w:footnoteReference w:id="19"/>
      </w:r>
      <w:r w:rsidR="00AE4CCF" w:rsidRPr="007B082B">
        <w:rPr>
          <w:noProof/>
        </w:rPr>
        <w:t>.</w:t>
      </w:r>
    </w:p>
    <w:p w14:paraId="2C259EB5" w14:textId="53CA699A" w:rsidR="00C03E25" w:rsidRPr="00CF3F47" w:rsidRDefault="003D6589" w:rsidP="005B7192">
      <w:pPr>
        <w:pStyle w:val="Fait"/>
        <w:rPr>
          <w:noProof/>
        </w:rPr>
      </w:pPr>
      <w:r w:rsidRPr="003D6589">
        <w:t>Done at Brussels,</w:t>
      </w:r>
    </w:p>
    <w:p w14:paraId="3A4645F8" w14:textId="77777777" w:rsidR="00C03E25" w:rsidRPr="00CF3F47" w:rsidRDefault="00C03E25" w:rsidP="005B7192">
      <w:pPr>
        <w:pStyle w:val="Institutionquisigne"/>
        <w:rPr>
          <w:noProof/>
        </w:rPr>
      </w:pPr>
      <w:r w:rsidRPr="00CF3F47">
        <w:rPr>
          <w:noProof/>
        </w:rPr>
        <w:tab/>
        <w:t>For the Council</w:t>
      </w:r>
    </w:p>
    <w:p w14:paraId="34F7081F" w14:textId="77777777" w:rsidR="00C03E25" w:rsidRPr="00CF3F47" w:rsidRDefault="00C03E25" w:rsidP="00F21CC6">
      <w:pPr>
        <w:pStyle w:val="Personnequisigne"/>
        <w:rPr>
          <w:noProof/>
        </w:rPr>
      </w:pPr>
      <w:r w:rsidRPr="00CF3F47">
        <w:rPr>
          <w:noProof/>
        </w:rPr>
        <w:tab/>
        <w:t>The President</w:t>
      </w:r>
    </w:p>
    <w:sectPr w:rsidR="00C03E25" w:rsidRPr="00CF3F47" w:rsidSect="00C80A97">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E745E" w14:textId="77777777" w:rsidR="00B20F6D" w:rsidRDefault="00B20F6D" w:rsidP="00C11A07">
      <w:pPr>
        <w:spacing w:before="0" w:after="0"/>
      </w:pPr>
      <w:r>
        <w:separator/>
      </w:r>
    </w:p>
  </w:endnote>
  <w:endnote w:type="continuationSeparator" w:id="0">
    <w:p w14:paraId="644B22FC" w14:textId="77777777" w:rsidR="00B20F6D" w:rsidRDefault="00B20F6D" w:rsidP="00C11A0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modern"/>
    <w:pitch w:val="variable"/>
    <w:sig w:usb0="F7FFAFFF" w:usb1="E9DFFFFF" w:usb2="0000003F" w:usb3="00000000" w:csb0="003F01FF" w:csb1="00000000"/>
  </w:font>
  <w:font w:name="EC Square Sans Pro">
    <w:charset w:val="00"/>
    <w:family w:val="swiss"/>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88A88" w14:textId="00ED8B0F" w:rsidR="00200E48" w:rsidRPr="00C80A97" w:rsidRDefault="00C80A97" w:rsidP="00C80A97">
    <w:pPr>
      <w:pStyle w:val="Footer"/>
      <w:rPr>
        <w:rFonts w:ascii="Arial" w:hAnsi="Arial" w:cs="Arial"/>
        <w:b/>
        <w:sz w:val="48"/>
      </w:rPr>
    </w:pPr>
    <w:r w:rsidRPr="00C80A97">
      <w:rPr>
        <w:rFonts w:ascii="Arial" w:hAnsi="Arial" w:cs="Arial"/>
        <w:b/>
        <w:sz w:val="48"/>
      </w:rPr>
      <w:t>EN</w:t>
    </w:r>
    <w:r w:rsidRPr="00C80A97">
      <w:rPr>
        <w:rFonts w:ascii="Arial" w:hAnsi="Arial" w:cs="Arial"/>
        <w:b/>
        <w:sz w:val="48"/>
      </w:rPr>
      <w:tab/>
    </w:r>
    <w:r w:rsidRPr="00C80A97">
      <w:rPr>
        <w:rFonts w:ascii="Arial" w:hAnsi="Arial" w:cs="Arial"/>
        <w:b/>
        <w:sz w:val="48"/>
      </w:rPr>
      <w:tab/>
    </w:r>
    <w:r w:rsidRPr="00C80A97">
      <w:tab/>
    </w:r>
    <w:r w:rsidRPr="00C80A97">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D0D32" w14:textId="3117AC2E" w:rsidR="00C80A97" w:rsidRPr="00C80A97" w:rsidRDefault="00C80A97" w:rsidP="00C80A97">
    <w:pPr>
      <w:pStyle w:val="Footer"/>
      <w:rPr>
        <w:rFonts w:ascii="Arial" w:hAnsi="Arial" w:cs="Arial"/>
        <w:b/>
        <w:sz w:val="48"/>
      </w:rPr>
    </w:pPr>
    <w:r w:rsidRPr="00C80A97">
      <w:rPr>
        <w:rFonts w:ascii="Arial" w:hAnsi="Arial" w:cs="Arial"/>
        <w:b/>
        <w:sz w:val="48"/>
      </w:rPr>
      <w:t>EN</w:t>
    </w:r>
    <w:r w:rsidRPr="00C80A97">
      <w:rPr>
        <w:rFonts w:ascii="Arial" w:hAnsi="Arial" w:cs="Arial"/>
        <w:b/>
        <w:sz w:val="48"/>
      </w:rPr>
      <w:tab/>
    </w:r>
    <w:r>
      <w:fldChar w:fldCharType="begin"/>
    </w:r>
    <w:r>
      <w:instrText xml:space="preserve"> PAGE  \* MERGEFORMAT </w:instrText>
    </w:r>
    <w:r>
      <w:fldChar w:fldCharType="separate"/>
    </w:r>
    <w:r w:rsidR="005B7192">
      <w:rPr>
        <w:noProof/>
      </w:rPr>
      <w:t>8</w:t>
    </w:r>
    <w:r>
      <w:fldChar w:fldCharType="end"/>
    </w:r>
    <w:r>
      <w:tab/>
    </w:r>
    <w:r w:rsidRPr="00C80A97">
      <w:tab/>
    </w:r>
    <w:r w:rsidRPr="00C80A97">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EDAA2" w14:textId="77777777" w:rsidR="00C80A97" w:rsidRPr="00C80A97" w:rsidRDefault="00C80A97" w:rsidP="00C80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EC999" w14:textId="77777777" w:rsidR="00B20F6D" w:rsidRDefault="00B20F6D" w:rsidP="00C11A07">
      <w:pPr>
        <w:spacing w:before="0" w:after="0"/>
      </w:pPr>
      <w:r>
        <w:separator/>
      </w:r>
    </w:p>
  </w:footnote>
  <w:footnote w:type="continuationSeparator" w:id="0">
    <w:p w14:paraId="66A00922" w14:textId="77777777" w:rsidR="00B20F6D" w:rsidRDefault="00B20F6D" w:rsidP="00C11A07">
      <w:pPr>
        <w:spacing w:before="0" w:after="0"/>
      </w:pPr>
      <w:r>
        <w:continuationSeparator/>
      </w:r>
    </w:p>
  </w:footnote>
  <w:footnote w:id="1">
    <w:p w14:paraId="293C08FA" w14:textId="02A73DBF" w:rsidR="005D3892" w:rsidRDefault="005D3892" w:rsidP="005D3892">
      <w:pPr>
        <w:pStyle w:val="FootnoteText"/>
        <w:jc w:val="left"/>
      </w:pPr>
      <w:r>
        <w:rPr>
          <w:rStyle w:val="FootnoteReference"/>
        </w:rPr>
        <w:footnoteRef/>
      </w:r>
      <w:r>
        <w:tab/>
        <w:t xml:space="preserve">2020 Joint Communication Towards a comprehensive Strategy with Africa, </w:t>
      </w:r>
      <w:r w:rsidRPr="004253A6">
        <w:t>JOIN</w:t>
      </w:r>
      <w:r>
        <w:t>(</w:t>
      </w:r>
      <w:r w:rsidRPr="004253A6">
        <w:t>2020</w:t>
      </w:r>
      <w:r>
        <w:t xml:space="preserve">) </w:t>
      </w:r>
      <w:r w:rsidRPr="004253A6">
        <w:t>4 final</w:t>
      </w:r>
      <w:r>
        <w:t xml:space="preserve"> </w:t>
      </w:r>
      <w:r w:rsidR="00D81020" w:rsidRPr="00D81020">
        <w:t>https://eur-lex.europa.eu/legal-content/EN/TXT/?uri=CELEX%3A52020JC0004</w:t>
      </w:r>
    </w:p>
  </w:footnote>
  <w:footnote w:id="2">
    <w:p w14:paraId="620764E8" w14:textId="77777777" w:rsidR="00CC1C86" w:rsidRDefault="00CC1C86" w:rsidP="00CC1C86">
      <w:pPr>
        <w:pStyle w:val="FootnoteText"/>
      </w:pPr>
      <w:r>
        <w:rPr>
          <w:rStyle w:val="FootnoteReference"/>
        </w:rPr>
        <w:footnoteRef/>
      </w:r>
      <w:r>
        <w:tab/>
        <w:t>https://eeas.europa.eu/headquarters/headquarters-homepage/84859/5th-angola-eu-ministerial-meeting-joint-way-forward_en</w:t>
      </w:r>
    </w:p>
  </w:footnote>
  <w:footnote w:id="3">
    <w:p w14:paraId="50B70214" w14:textId="77777777" w:rsidR="00CC1C86" w:rsidRPr="00152DA1" w:rsidRDefault="00CC1C86" w:rsidP="00CC1C86">
      <w:pPr>
        <w:pStyle w:val="FootnoteText"/>
      </w:pPr>
      <w:r w:rsidRPr="00881CE4">
        <w:rPr>
          <w:rStyle w:val="FootnoteReference"/>
        </w:rPr>
        <w:footnoteRef/>
      </w:r>
      <w:r w:rsidR="00881CE4">
        <w:tab/>
      </w:r>
      <w:r w:rsidRPr="00152DA1">
        <w:t xml:space="preserve">Recommendation for a </w:t>
      </w:r>
      <w:r>
        <w:t>Council Decision</w:t>
      </w:r>
      <w:r w:rsidRPr="00152DA1">
        <w:t xml:space="preserve"> authorising the opening of negotiations with Angola for an agreement on investment facilitation</w:t>
      </w:r>
      <w:r>
        <w:t xml:space="preserve">, </w:t>
      </w:r>
      <w:r w:rsidRPr="00152DA1">
        <w:t>COM</w:t>
      </w:r>
      <w:r w:rsidR="003E401B">
        <w:t>(</w:t>
      </w:r>
      <w:r w:rsidRPr="00152DA1">
        <w:t>2021</w:t>
      </w:r>
      <w:r w:rsidR="003E401B">
        <w:t xml:space="preserve">) </w:t>
      </w:r>
      <w:r w:rsidRPr="00152DA1">
        <w:t>138 final</w:t>
      </w:r>
    </w:p>
  </w:footnote>
  <w:footnote w:id="4">
    <w:p w14:paraId="17D7A564" w14:textId="77777777" w:rsidR="00CC1C86" w:rsidRPr="00152DA1" w:rsidRDefault="00CC1C86" w:rsidP="00CC1C86">
      <w:pPr>
        <w:pStyle w:val="FootnoteText"/>
      </w:pPr>
      <w:r w:rsidRPr="00881CE4">
        <w:rPr>
          <w:rStyle w:val="FootnoteReference"/>
        </w:rPr>
        <w:footnoteRef/>
      </w:r>
      <w:r w:rsidR="00881CE4">
        <w:tab/>
      </w:r>
      <w:r w:rsidRPr="00152DA1">
        <w:t>Council Decision authorising the opening of negotiations with the Republic of Angola for an agreement on investment facilitation, 8441/21, 20 May 2021</w:t>
      </w:r>
    </w:p>
  </w:footnote>
  <w:footnote w:id="5">
    <w:p w14:paraId="46F0A4ED" w14:textId="77777777" w:rsidR="00CC1C86" w:rsidRDefault="00CC1C86" w:rsidP="00CC1C86">
      <w:pPr>
        <w:pStyle w:val="FootnoteText"/>
      </w:pPr>
      <w:r>
        <w:rPr>
          <w:rStyle w:val="FootnoteReference"/>
        </w:rPr>
        <w:footnoteRef/>
      </w:r>
      <w:r>
        <w:tab/>
        <w:t>Article 21(2)(e) TEU</w:t>
      </w:r>
    </w:p>
  </w:footnote>
  <w:footnote w:id="6">
    <w:p w14:paraId="18F3E966" w14:textId="77777777" w:rsidR="00CC1C86" w:rsidRPr="004253A6" w:rsidRDefault="00CC1C86" w:rsidP="00CC1C86">
      <w:pPr>
        <w:pStyle w:val="FootnoteText"/>
      </w:pPr>
      <w:r w:rsidRPr="00881CE4">
        <w:rPr>
          <w:rStyle w:val="FootnoteReference"/>
        </w:rPr>
        <w:footnoteRef/>
      </w:r>
      <w:r w:rsidR="00881CE4">
        <w:tab/>
      </w:r>
      <w:r w:rsidRPr="00B817D7">
        <w:t>Partnership Agreement between the members of the African, Caribbean and Pacific Group of States of the one part, and the European Community and its Member States of the other part, signed in Cotonou on 23 June 2000</w:t>
      </w:r>
    </w:p>
  </w:footnote>
  <w:footnote w:id="7">
    <w:p w14:paraId="604DA49A" w14:textId="77777777" w:rsidR="00CC1C86" w:rsidRPr="00C372FB" w:rsidRDefault="00CC1C86" w:rsidP="00CC1C86">
      <w:pPr>
        <w:pStyle w:val="FootnoteText"/>
      </w:pPr>
      <w:r w:rsidRPr="00881CE4">
        <w:rPr>
          <w:rStyle w:val="FootnoteReference"/>
        </w:rPr>
        <w:footnoteRef/>
      </w:r>
      <w:r w:rsidR="00881CE4">
        <w:tab/>
      </w:r>
      <w:r w:rsidRPr="00C372FB">
        <w:t>Communication from the Commission on a Trade Policy Review - An Open, Sustainable and Assertive Trade Poli</w:t>
      </w:r>
      <w:r>
        <w:t xml:space="preserve">cy, </w:t>
      </w:r>
      <w:r w:rsidR="001776B0">
        <w:t>COM(2021) 66 final</w:t>
      </w:r>
    </w:p>
  </w:footnote>
  <w:footnote w:id="8">
    <w:p w14:paraId="1DB08AC7" w14:textId="574275D7" w:rsidR="0091124C" w:rsidRDefault="0091124C" w:rsidP="0091124C">
      <w:pPr>
        <w:pStyle w:val="FootnoteText"/>
      </w:pPr>
      <w:r w:rsidRPr="0025568A">
        <w:rPr>
          <w:rStyle w:val="FootnoteReference"/>
        </w:rPr>
        <w:footnoteRef/>
      </w:r>
      <w:r w:rsidR="0025568A">
        <w:tab/>
      </w:r>
      <w:r>
        <w:t xml:space="preserve">Communication from the Commission on </w:t>
      </w:r>
      <w:r>
        <w:rPr>
          <w:i/>
        </w:rPr>
        <w:t>A secure and sustainable supply of critical raw materials in support of the twin transition</w:t>
      </w:r>
      <w:r>
        <w:t>, COM(2023) 165 final</w:t>
      </w:r>
    </w:p>
  </w:footnote>
  <w:footnote w:id="9">
    <w:p w14:paraId="18C8BE2D" w14:textId="6B966904" w:rsidR="00CC1C86" w:rsidRDefault="00CC1C86" w:rsidP="00CC1C86">
      <w:pPr>
        <w:pStyle w:val="FootnoteText"/>
      </w:pPr>
      <w:r>
        <w:rPr>
          <w:rStyle w:val="FootnoteReference"/>
        </w:rPr>
        <w:footnoteRef/>
      </w:r>
      <w:r>
        <w:tab/>
      </w:r>
      <w:hyperlink r:id="rId1" w:history="1">
        <w:r w:rsidR="00A66C86" w:rsidRPr="00EB08DB">
          <w:rPr>
            <w:rStyle w:val="Hyperlink"/>
          </w:rPr>
          <w:t>https://policy.trade.ec.europa.eu/consultations/consultation-trade-policy-review_en</w:t>
        </w:r>
      </w:hyperlink>
    </w:p>
  </w:footnote>
  <w:footnote w:id="10">
    <w:p w14:paraId="68347B91" w14:textId="77777777" w:rsidR="00CC1C86" w:rsidRDefault="00CC1C86" w:rsidP="00CC1C86">
      <w:pPr>
        <w:pStyle w:val="FootnoteText"/>
      </w:pPr>
      <w:r>
        <w:rPr>
          <w:rStyle w:val="FootnoteReference"/>
        </w:rPr>
        <w:footnoteRef/>
      </w:r>
      <w:r>
        <w:tab/>
      </w:r>
      <w:hyperlink r:id="rId2" w:history="1">
        <w:r>
          <w:rPr>
            <w:rStyle w:val="Hyperlink"/>
          </w:rPr>
          <w:t>http://ec.europa.eu/trade/trade-policy-and-you/expert-groups/</w:t>
        </w:r>
      </w:hyperlink>
      <w:r>
        <w:t xml:space="preserve"> </w:t>
      </w:r>
    </w:p>
  </w:footnote>
  <w:footnote w:id="11">
    <w:p w14:paraId="407564DC" w14:textId="77777777" w:rsidR="00CC1C86" w:rsidRDefault="00CC1C86" w:rsidP="00CC1C86">
      <w:pPr>
        <w:pStyle w:val="FootnoteText"/>
      </w:pPr>
      <w:r>
        <w:rPr>
          <w:rStyle w:val="FootnoteReference"/>
        </w:rPr>
        <w:footnoteRef/>
      </w:r>
      <w:r>
        <w:tab/>
      </w:r>
      <w:hyperlink r:id="rId3" w:history="1">
        <w:r>
          <w:rPr>
            <w:rStyle w:val="Hyperlink"/>
          </w:rPr>
          <w:t>http://trade.ec.europa.eu/civilsoc/meetdetails.cfm?meet=11531</w:t>
        </w:r>
      </w:hyperlink>
      <w:r>
        <w:t xml:space="preserve"> </w:t>
      </w:r>
    </w:p>
  </w:footnote>
  <w:footnote w:id="12">
    <w:p w14:paraId="72AB1712" w14:textId="77777777" w:rsidR="00CC1C86" w:rsidRPr="004E0F3B" w:rsidRDefault="00CC1C86" w:rsidP="00CC1C86">
      <w:pPr>
        <w:pStyle w:val="FootnoteText"/>
      </w:pPr>
      <w:r w:rsidRPr="00881CE4">
        <w:rPr>
          <w:rStyle w:val="FootnoteReference"/>
        </w:rPr>
        <w:footnoteRef/>
      </w:r>
      <w:r w:rsidR="00881CE4">
        <w:tab/>
      </w:r>
      <w:r w:rsidRPr="004E0F3B">
        <w:t>Workshop "Ways forward for EU-Africa trade and investment relations</w:t>
      </w:r>
      <w:r>
        <w:t>”, 26 October 2022</w:t>
      </w:r>
    </w:p>
  </w:footnote>
  <w:footnote w:id="13">
    <w:p w14:paraId="28A114DC" w14:textId="77777777" w:rsidR="00CC1C86" w:rsidRPr="002B552F" w:rsidRDefault="00CC1C86" w:rsidP="00CC1C86">
      <w:pPr>
        <w:pStyle w:val="FootnoteText"/>
      </w:pPr>
      <w:r w:rsidRPr="00881CE4">
        <w:rPr>
          <w:rStyle w:val="FootnoteReference"/>
        </w:rPr>
        <w:footnoteRef/>
      </w:r>
      <w:r w:rsidR="00881CE4">
        <w:tab/>
      </w:r>
      <w:hyperlink r:id="rId4" w:history="1">
        <w:r w:rsidRPr="004956E5">
          <w:rPr>
            <w:rStyle w:val="Hyperlink"/>
          </w:rPr>
          <w:t>https://policy.trade.ec.europa.eu/eu-trade-relationships-country-and-region/countries-and-regions/southern-african-development-community-sadc/eu-angola-negotiations_en</w:t>
        </w:r>
      </w:hyperlink>
      <w:r>
        <w:t xml:space="preserve"> </w:t>
      </w:r>
    </w:p>
  </w:footnote>
  <w:footnote w:id="14">
    <w:p w14:paraId="46AA178F" w14:textId="77777777" w:rsidR="00CC1C86" w:rsidRPr="007B48FD" w:rsidRDefault="00CC1C86" w:rsidP="00CC1C86">
      <w:pPr>
        <w:pStyle w:val="FootnoteText"/>
      </w:pPr>
      <w:r w:rsidRPr="00881CE4">
        <w:rPr>
          <w:rStyle w:val="FootnoteReference"/>
        </w:rPr>
        <w:footnoteRef/>
      </w:r>
      <w:r w:rsidR="00881CE4">
        <w:tab/>
      </w:r>
      <w:r w:rsidRPr="007B48FD">
        <w:t xml:space="preserve">See UNCTAD, </w:t>
      </w:r>
      <w:r w:rsidRPr="007B48FD">
        <w:rPr>
          <w:i/>
        </w:rPr>
        <w:t>Investment Policy Review of Angola</w:t>
      </w:r>
      <w:r>
        <w:t xml:space="preserve"> </w:t>
      </w:r>
      <w:hyperlink r:id="rId5" w:history="1">
        <w:r w:rsidRPr="00F338C5">
          <w:rPr>
            <w:rStyle w:val="Hyperlink"/>
          </w:rPr>
          <w:t>https://unctad.org/system/files/official-document/diaepcb2019d4_en.pdf</w:t>
        </w:r>
      </w:hyperlink>
      <w:r>
        <w:t xml:space="preserve"> </w:t>
      </w:r>
    </w:p>
  </w:footnote>
  <w:footnote w:id="15">
    <w:p w14:paraId="0656A869" w14:textId="2BAF908C" w:rsidR="00CC1C86" w:rsidRPr="00942161" w:rsidRDefault="00CC1C86" w:rsidP="00CC1C86">
      <w:pPr>
        <w:pStyle w:val="FootnoteText"/>
        <w:jc w:val="left"/>
      </w:pPr>
      <w:r>
        <w:rPr>
          <w:rStyle w:val="FootnoteReference"/>
        </w:rPr>
        <w:footnoteRef/>
      </w:r>
      <w:r>
        <w:tab/>
        <w:t xml:space="preserve">See World Bank, </w:t>
      </w:r>
      <w:r>
        <w:rPr>
          <w:i/>
        </w:rPr>
        <w:t xml:space="preserve">Retention and Expansion of Foreign Direct Investment, Political Risk and Policy Responses </w:t>
      </w:r>
      <w:hyperlink r:id="rId6" w:history="1">
        <w:r w:rsidRPr="00942161">
          <w:rPr>
            <w:rStyle w:val="Hyperlink"/>
          </w:rPr>
          <w:t>http://documents1.worldbank.org/curated/en/387801576142339003/pdf/Political-Risk-and-Policy-Responses.pdf</w:t>
        </w:r>
      </w:hyperlink>
    </w:p>
  </w:footnote>
  <w:footnote w:id="16">
    <w:p w14:paraId="4587875B" w14:textId="77777777" w:rsidR="00CC1C86" w:rsidRPr="007B48FD" w:rsidRDefault="00CC1C86" w:rsidP="00CC1C86">
      <w:pPr>
        <w:pStyle w:val="FootnoteText"/>
      </w:pPr>
      <w:r w:rsidRPr="00881CE4">
        <w:rPr>
          <w:rStyle w:val="FootnoteReference"/>
        </w:rPr>
        <w:footnoteRef/>
      </w:r>
      <w:r w:rsidR="00881CE4">
        <w:tab/>
      </w:r>
      <w:r w:rsidRPr="00942161">
        <w:t xml:space="preserve">See </w:t>
      </w:r>
      <w:r w:rsidRPr="002B552F">
        <w:rPr>
          <w:i/>
        </w:rPr>
        <w:t>Sustainability Impact assessment (SIA) in support of trade negotiations with Angola for EU-SADC EPA accession</w:t>
      </w:r>
      <w:r>
        <w:t xml:space="preserve">, Final Report, December 2021, </w:t>
      </w:r>
      <w:hyperlink r:id="rId7" w:history="1">
        <w:r w:rsidRPr="00FB2CFC">
          <w:rPr>
            <w:rStyle w:val="Hyperlink"/>
          </w:rPr>
          <w:t>https://circabc.europa.eu/ui/group/09242a36-a438-40fd-a7af-fe32e36cbd0e/library/f9babf9b-6d05-475f-a322-1bfc4e5c9982?p=1&amp;n=10&amp;sort=modified_DESC</w:t>
        </w:r>
      </w:hyperlink>
    </w:p>
  </w:footnote>
  <w:footnote w:id="17">
    <w:p w14:paraId="7B608546" w14:textId="77777777" w:rsidR="00C03E25" w:rsidRPr="00DD74D3" w:rsidRDefault="00C03E25" w:rsidP="00C03E25">
      <w:pPr>
        <w:pStyle w:val="FootnoteText"/>
        <w:rPr>
          <w:lang w:val="pl-PL"/>
        </w:rPr>
      </w:pPr>
      <w:r w:rsidRPr="00BE4A52">
        <w:rPr>
          <w:rStyle w:val="FootnoteReference"/>
        </w:rPr>
        <w:footnoteRef/>
      </w:r>
      <w:r w:rsidRPr="00BE4A52">
        <w:rPr>
          <w:lang w:val="pl-PL"/>
        </w:rPr>
        <w:tab/>
        <w:t>OJ C , , p. .</w:t>
      </w:r>
    </w:p>
  </w:footnote>
  <w:footnote w:id="18">
    <w:p w14:paraId="40E5B8C1" w14:textId="77777777" w:rsidR="008462FC" w:rsidRDefault="008462FC" w:rsidP="008462FC">
      <w:pPr>
        <w:pStyle w:val="FootnoteText"/>
      </w:pPr>
      <w:r>
        <w:rPr>
          <w:rStyle w:val="FootnoteReference"/>
        </w:rPr>
        <w:footnoteRef/>
      </w:r>
      <w:r>
        <w:tab/>
        <w:t>[Reference to be inserted]</w:t>
      </w:r>
    </w:p>
  </w:footnote>
  <w:footnote w:id="19">
    <w:p w14:paraId="47ED945C" w14:textId="77777777" w:rsidR="00235C0B" w:rsidRDefault="00235C0B">
      <w:pPr>
        <w:pStyle w:val="FootnoteText"/>
      </w:pPr>
      <w:r>
        <w:rPr>
          <w:rStyle w:val="FootnoteReference"/>
        </w:rPr>
        <w:footnoteRef/>
      </w:r>
      <w:r>
        <w:tab/>
        <w:t xml:space="preserve">The date of entry into force of the Agreement will be published in the </w:t>
      </w:r>
      <w:r>
        <w:rPr>
          <w:i/>
        </w:rPr>
        <w:t>Official Journal of the European Union</w:t>
      </w:r>
      <w:r>
        <w:t xml:space="preserve"> by the General Secretariat of the Council.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DCA29EC"/>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CD92D400"/>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47AACDB2"/>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985ECA38"/>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FF6C888C"/>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06CC33C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AAFE47F0"/>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9274D6DA"/>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347E038C"/>
    <w:multiLevelType w:val="hybridMultilevel"/>
    <w:tmpl w:val="8190EB3E"/>
    <w:lvl w:ilvl="0" w:tplc="ED846C16">
      <w:start w:val="1"/>
      <w:numFmt w:val="bullet"/>
      <w:pStyle w:val="LTTBullet"/>
      <w:lvlText w:val=""/>
      <w:lvlJc w:val="left"/>
      <w:pPr>
        <w:ind w:left="360" w:hanging="360"/>
      </w:pPr>
      <w:rPr>
        <w:rFonts w:ascii="Symbol" w:hAnsi="Symbol" w:hint="default"/>
      </w:rPr>
    </w:lvl>
    <w:lvl w:ilvl="1" w:tplc="7012E70C">
      <w:start w:val="1"/>
      <w:numFmt w:val="bullet"/>
      <w:pStyle w:val="LTTBullet2"/>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2"/>
  </w:num>
  <w:num w:numId="2">
    <w:abstractNumId w:val="7"/>
  </w:num>
  <w:num w:numId="3">
    <w:abstractNumId w:val="5"/>
  </w:num>
  <w:num w:numId="4">
    <w:abstractNumId w:val="4"/>
  </w:num>
  <w:num w:numId="5">
    <w:abstractNumId w:val="3"/>
  </w:num>
  <w:num w:numId="6">
    <w:abstractNumId w:val="6"/>
  </w:num>
  <w:num w:numId="7">
    <w:abstractNumId w:val="2"/>
  </w:num>
  <w:num w:numId="8">
    <w:abstractNumId w:val="1"/>
  </w:num>
  <w:num w:numId="9">
    <w:abstractNumId w:val="0"/>
  </w:num>
  <w:num w:numId="10">
    <w:abstractNumId w:val="16"/>
    <w:lvlOverride w:ilvl="0">
      <w:startOverride w:val="1"/>
    </w:lvlOverride>
  </w:num>
  <w:num w:numId="11">
    <w:abstractNumId w:val="20"/>
  </w:num>
  <w:num w:numId="12">
    <w:abstractNumId w:val="13"/>
  </w:num>
  <w:num w:numId="13">
    <w:abstractNumId w:val="22"/>
  </w:num>
  <w:num w:numId="14">
    <w:abstractNumId w:val="11"/>
  </w:num>
  <w:num w:numId="15">
    <w:abstractNumId w:val="14"/>
  </w:num>
  <w:num w:numId="16">
    <w:abstractNumId w:val="15"/>
  </w:num>
  <w:num w:numId="17">
    <w:abstractNumId w:val="9"/>
  </w:num>
  <w:num w:numId="18">
    <w:abstractNumId w:val="21"/>
  </w:num>
  <w:num w:numId="19">
    <w:abstractNumId w:val="8"/>
  </w:num>
  <w:num w:numId="20">
    <w:abstractNumId w:val="16"/>
  </w:num>
  <w:num w:numId="21">
    <w:abstractNumId w:val="18"/>
  </w:num>
  <w:num w:numId="22">
    <w:abstractNumId w:val="19"/>
  </w:num>
  <w:num w:numId="23">
    <w:abstractNumId w:val="10"/>
  </w:num>
  <w:num w:numId="24">
    <w:abstractNumId w:val="17"/>
  </w:num>
  <w:num w:numId="25">
    <w:abstractNumId w:val="23"/>
  </w:num>
  <w:num w:numId="26">
    <w:abstractNumId w:val="20"/>
  </w:num>
  <w:num w:numId="27">
    <w:abstractNumId w:val="13"/>
  </w:num>
  <w:num w:numId="28">
    <w:abstractNumId w:val="22"/>
  </w:num>
  <w:num w:numId="29">
    <w:abstractNumId w:val="11"/>
  </w:num>
  <w:num w:numId="30">
    <w:abstractNumId w:val="14"/>
  </w:num>
  <w:num w:numId="31">
    <w:abstractNumId w:val="15"/>
  </w:num>
  <w:num w:numId="32">
    <w:abstractNumId w:val="9"/>
  </w:num>
  <w:num w:numId="33">
    <w:abstractNumId w:val="21"/>
  </w:num>
  <w:num w:numId="34">
    <w:abstractNumId w:val="8"/>
  </w:num>
  <w:num w:numId="35">
    <w:abstractNumId w:val="16"/>
  </w:num>
  <w:num w:numId="36">
    <w:abstractNumId w:val="18"/>
  </w:num>
  <w:num w:numId="37">
    <w:abstractNumId w:val="19"/>
  </w:num>
  <w:num w:numId="38">
    <w:abstractNumId w:val="10"/>
  </w:num>
  <w:num w:numId="39">
    <w:abstractNumId w:val="17"/>
  </w:num>
  <w:num w:numId="40">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3-06-09 07:01:41"/>
    <w:docVar w:name="DQCResult_Distribution" w:val="0;0"/>
    <w:docVar w:name="DQCResult_DocumentContent" w:val="0;0"/>
    <w:docVar w:name="DQCResult_DocumentSize"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1"/>
    <w:docVar w:name="LW_CORRIGENDUM" w:val="&lt;UNUSED&gt;"/>
    <w:docVar w:name="LW_COVERPAGE_EXISTS" w:val="True"/>
    <w:docVar w:name="LW_COVERPAGE_GUID" w:val="1F4AAC10-DD4E-493A-9439-05A9592C1EA2"/>
    <w:docVar w:name="LW_COVERPAGE_TYPE" w:val="1"/>
    <w:docVar w:name="LW_CROSSREFERENCE" w:val="&lt;UNUSED&gt;"/>
    <w:docVar w:name="LW_DocType" w:val="COM"/>
    <w:docVar w:name="LW_EMISSION" w:val="16.6.2023"/>
    <w:docVar w:name="LW_EMISSION_ISODATE" w:val="2023-06-16"/>
    <w:docVar w:name="LW_EMISSION_LOCATION" w:val="BRX"/>
    <w:docVar w:name="LW_EMISSION_PREFIX" w:val="Brussels, "/>
    <w:docVar w:name="LW_EMISSION_SUFFIX" w:val=" "/>
    <w:docVar w:name="LW_ID_DOCMODEL" w:val="SJ-019"/>
    <w:docVar w:name="LW_ID_DOCSIGNATURE" w:val="SJ-019"/>
    <w:docVar w:name="LW_ID_DOCSTRUCTURE" w:val="COM/PL/ORG"/>
    <w:docVar w:name="LW_ID_DOCTYPE" w:val="SJ-019"/>
    <w:docVar w:name="LW_ID_EXP.MOTIFS.NEW" w:val="EM_PL_"/>
    <w:docVar w:name="LW_ID_STATUT" w:val="SJ-019"/>
    <w:docVar w:name="LW_INTERETEEE.CP" w:val="&lt;UNUSED&gt;"/>
    <w:docVar w:name="LW_LANGUE" w:val="EN"/>
    <w:docVar w:name="LW_LEVEL_OF_SENSITIVITY" w:val="Standard treatment"/>
    <w:docVar w:name="LW_NOM.INST" w:val="EUROPEAN COMMISSION"/>
    <w:docVar w:name="LW_NOM.INST_JOINTDOC" w:val="&lt;EMPTY&gt;"/>
    <w:docVar w:name="LW_PART_NBR" w:val="1"/>
    <w:docVar w:name="LW_PART_NBR_TOTAL" w:val="1"/>
    <w:docVar w:name="LW_REF.II.NEW.CP" w:val="NLE"/>
    <w:docVar w:name="LW_REF.II.NEW.CP_NUMBER" w:val="0181"/>
    <w:docVar w:name="LW_REF.II.NEW.CP_YEAR" w:val="2023"/>
    <w:docVar w:name="LW_REF.INST.NEW" w:val="COM"/>
    <w:docVar w:name="LW_REF.INST.NEW_ADOPTED" w:val="final"/>
    <w:docVar w:name="LW_REF.INST.NEW_TEXT" w:val="(2023) 313"/>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al for a"/>
    <w:docVar w:name="LW_SUPERTITRE" w:val="&lt;UNUSED&gt;"/>
    <w:docVar w:name="LW_TITRE.OBJ.CP" w:val="on the conclusion of the Sustainable Investment Facilitation Agreement between the European Union and the Republic of Angola"/>
    <w:docVar w:name="LW_TYPE.DOC.CP" w:val="COUNCIL DECISION"/>
    <w:docVar w:name="LwApiVersions" w:val="LW4CoDe 1.23.2.0; LW 8.0, Build 20211117"/>
  </w:docVars>
  <w:rsids>
    <w:rsidRoot w:val="00C11A07"/>
    <w:rsid w:val="00003083"/>
    <w:rsid w:val="0000758E"/>
    <w:rsid w:val="0003150C"/>
    <w:rsid w:val="0004241F"/>
    <w:rsid w:val="00045371"/>
    <w:rsid w:val="00056B0B"/>
    <w:rsid w:val="000A1681"/>
    <w:rsid w:val="000B7A7D"/>
    <w:rsid w:val="000D1B47"/>
    <w:rsid w:val="000D3858"/>
    <w:rsid w:val="000D5109"/>
    <w:rsid w:val="000E1AED"/>
    <w:rsid w:val="000E2158"/>
    <w:rsid w:val="000E50E7"/>
    <w:rsid w:val="000F36B4"/>
    <w:rsid w:val="001107EF"/>
    <w:rsid w:val="0011374C"/>
    <w:rsid w:val="00120224"/>
    <w:rsid w:val="00121D61"/>
    <w:rsid w:val="00131B63"/>
    <w:rsid w:val="001363F9"/>
    <w:rsid w:val="00152894"/>
    <w:rsid w:val="001776B0"/>
    <w:rsid w:val="001927F3"/>
    <w:rsid w:val="00195C4A"/>
    <w:rsid w:val="001A0020"/>
    <w:rsid w:val="001A4020"/>
    <w:rsid w:val="001B0080"/>
    <w:rsid w:val="001B02DB"/>
    <w:rsid w:val="001F0018"/>
    <w:rsid w:val="00200E48"/>
    <w:rsid w:val="00201D0C"/>
    <w:rsid w:val="00203D0D"/>
    <w:rsid w:val="002162E5"/>
    <w:rsid w:val="00226EFD"/>
    <w:rsid w:val="0023131C"/>
    <w:rsid w:val="00235C0B"/>
    <w:rsid w:val="00236196"/>
    <w:rsid w:val="00245BE1"/>
    <w:rsid w:val="00250DAB"/>
    <w:rsid w:val="0025568A"/>
    <w:rsid w:val="00257FED"/>
    <w:rsid w:val="00272ACB"/>
    <w:rsid w:val="00281733"/>
    <w:rsid w:val="0028286C"/>
    <w:rsid w:val="00282C00"/>
    <w:rsid w:val="00287B07"/>
    <w:rsid w:val="002A2838"/>
    <w:rsid w:val="002A45F0"/>
    <w:rsid w:val="002C48BC"/>
    <w:rsid w:val="002C71E8"/>
    <w:rsid w:val="002D2AC7"/>
    <w:rsid w:val="002E190D"/>
    <w:rsid w:val="003005EF"/>
    <w:rsid w:val="00301612"/>
    <w:rsid w:val="003123E2"/>
    <w:rsid w:val="00313097"/>
    <w:rsid w:val="00315270"/>
    <w:rsid w:val="00322654"/>
    <w:rsid w:val="003242A3"/>
    <w:rsid w:val="00326631"/>
    <w:rsid w:val="00334E8A"/>
    <w:rsid w:val="0036614A"/>
    <w:rsid w:val="00367652"/>
    <w:rsid w:val="00395A5E"/>
    <w:rsid w:val="00396ACD"/>
    <w:rsid w:val="003C4A29"/>
    <w:rsid w:val="003D1979"/>
    <w:rsid w:val="003D6589"/>
    <w:rsid w:val="003E401B"/>
    <w:rsid w:val="003F4AA8"/>
    <w:rsid w:val="00403CE6"/>
    <w:rsid w:val="0041556F"/>
    <w:rsid w:val="00422D0B"/>
    <w:rsid w:val="00423BC9"/>
    <w:rsid w:val="00434F89"/>
    <w:rsid w:val="004358B9"/>
    <w:rsid w:val="00437AA5"/>
    <w:rsid w:val="0044529B"/>
    <w:rsid w:val="00445DA5"/>
    <w:rsid w:val="0045763E"/>
    <w:rsid w:val="00480F8F"/>
    <w:rsid w:val="004847C9"/>
    <w:rsid w:val="00484D83"/>
    <w:rsid w:val="00487C84"/>
    <w:rsid w:val="00490DA0"/>
    <w:rsid w:val="00492396"/>
    <w:rsid w:val="00493D97"/>
    <w:rsid w:val="0049538B"/>
    <w:rsid w:val="004A4744"/>
    <w:rsid w:val="004A5887"/>
    <w:rsid w:val="004D1ED0"/>
    <w:rsid w:val="004E19F9"/>
    <w:rsid w:val="004E37F6"/>
    <w:rsid w:val="004E573C"/>
    <w:rsid w:val="005052A9"/>
    <w:rsid w:val="00506D6F"/>
    <w:rsid w:val="00517205"/>
    <w:rsid w:val="00532CCF"/>
    <w:rsid w:val="00542487"/>
    <w:rsid w:val="00542F8A"/>
    <w:rsid w:val="005564F8"/>
    <w:rsid w:val="005609AE"/>
    <w:rsid w:val="00574390"/>
    <w:rsid w:val="00582810"/>
    <w:rsid w:val="00591363"/>
    <w:rsid w:val="00595540"/>
    <w:rsid w:val="005A4B24"/>
    <w:rsid w:val="005A72F3"/>
    <w:rsid w:val="005A78D6"/>
    <w:rsid w:val="005B5FA6"/>
    <w:rsid w:val="005B7192"/>
    <w:rsid w:val="005C141F"/>
    <w:rsid w:val="005D3892"/>
    <w:rsid w:val="005D505C"/>
    <w:rsid w:val="005E1080"/>
    <w:rsid w:val="006013AA"/>
    <w:rsid w:val="0061059B"/>
    <w:rsid w:val="00632609"/>
    <w:rsid w:val="0063633E"/>
    <w:rsid w:val="00656F41"/>
    <w:rsid w:val="0065701F"/>
    <w:rsid w:val="0066035E"/>
    <w:rsid w:val="00663372"/>
    <w:rsid w:val="006654AB"/>
    <w:rsid w:val="00666F62"/>
    <w:rsid w:val="006713D9"/>
    <w:rsid w:val="006733E7"/>
    <w:rsid w:val="00682F75"/>
    <w:rsid w:val="006851D4"/>
    <w:rsid w:val="00685BBA"/>
    <w:rsid w:val="00690494"/>
    <w:rsid w:val="006A1597"/>
    <w:rsid w:val="006A295A"/>
    <w:rsid w:val="006A6037"/>
    <w:rsid w:val="006B39FD"/>
    <w:rsid w:val="006B68D6"/>
    <w:rsid w:val="006D2947"/>
    <w:rsid w:val="006D43C9"/>
    <w:rsid w:val="006E7B4F"/>
    <w:rsid w:val="006F0835"/>
    <w:rsid w:val="006F3F4D"/>
    <w:rsid w:val="006F4150"/>
    <w:rsid w:val="006F7EFE"/>
    <w:rsid w:val="00720274"/>
    <w:rsid w:val="00721BA8"/>
    <w:rsid w:val="00743233"/>
    <w:rsid w:val="00744E20"/>
    <w:rsid w:val="007453AF"/>
    <w:rsid w:val="007532E9"/>
    <w:rsid w:val="00762663"/>
    <w:rsid w:val="00780715"/>
    <w:rsid w:val="007B082B"/>
    <w:rsid w:val="007D0861"/>
    <w:rsid w:val="007E010B"/>
    <w:rsid w:val="00802FC2"/>
    <w:rsid w:val="00804B45"/>
    <w:rsid w:val="00811D0A"/>
    <w:rsid w:val="008462FC"/>
    <w:rsid w:val="0085284F"/>
    <w:rsid w:val="00857BBA"/>
    <w:rsid w:val="00871968"/>
    <w:rsid w:val="00872F80"/>
    <w:rsid w:val="00881CE4"/>
    <w:rsid w:val="00886942"/>
    <w:rsid w:val="008B5C5A"/>
    <w:rsid w:val="008E2694"/>
    <w:rsid w:val="008F6C69"/>
    <w:rsid w:val="0091124C"/>
    <w:rsid w:val="00921497"/>
    <w:rsid w:val="00923521"/>
    <w:rsid w:val="00923EFA"/>
    <w:rsid w:val="00936FC3"/>
    <w:rsid w:val="00940731"/>
    <w:rsid w:val="009503DC"/>
    <w:rsid w:val="0096562E"/>
    <w:rsid w:val="00985CE7"/>
    <w:rsid w:val="00987CE5"/>
    <w:rsid w:val="009957C5"/>
    <w:rsid w:val="009A77FE"/>
    <w:rsid w:val="009B0591"/>
    <w:rsid w:val="009D13B1"/>
    <w:rsid w:val="009F370A"/>
    <w:rsid w:val="009F4C17"/>
    <w:rsid w:val="00A07612"/>
    <w:rsid w:val="00A122E1"/>
    <w:rsid w:val="00A12311"/>
    <w:rsid w:val="00A24B7B"/>
    <w:rsid w:val="00A34296"/>
    <w:rsid w:val="00A37C05"/>
    <w:rsid w:val="00A55456"/>
    <w:rsid w:val="00A565C7"/>
    <w:rsid w:val="00A63047"/>
    <w:rsid w:val="00A66C86"/>
    <w:rsid w:val="00A72123"/>
    <w:rsid w:val="00A75AE5"/>
    <w:rsid w:val="00A8131B"/>
    <w:rsid w:val="00A8147C"/>
    <w:rsid w:val="00A9029F"/>
    <w:rsid w:val="00AA7B7F"/>
    <w:rsid w:val="00AC2066"/>
    <w:rsid w:val="00AC39DB"/>
    <w:rsid w:val="00AC4073"/>
    <w:rsid w:val="00AE4CCF"/>
    <w:rsid w:val="00AF3C24"/>
    <w:rsid w:val="00AF7F07"/>
    <w:rsid w:val="00B20F6D"/>
    <w:rsid w:val="00B31526"/>
    <w:rsid w:val="00B32399"/>
    <w:rsid w:val="00B33D92"/>
    <w:rsid w:val="00B40A7C"/>
    <w:rsid w:val="00B478FB"/>
    <w:rsid w:val="00B50C47"/>
    <w:rsid w:val="00B525CC"/>
    <w:rsid w:val="00B60A5A"/>
    <w:rsid w:val="00B877EC"/>
    <w:rsid w:val="00B879E4"/>
    <w:rsid w:val="00B90695"/>
    <w:rsid w:val="00B93B3D"/>
    <w:rsid w:val="00BA3292"/>
    <w:rsid w:val="00BB5AD8"/>
    <w:rsid w:val="00BD44FE"/>
    <w:rsid w:val="00BE4A52"/>
    <w:rsid w:val="00BF35F0"/>
    <w:rsid w:val="00BF7390"/>
    <w:rsid w:val="00C03E25"/>
    <w:rsid w:val="00C11A07"/>
    <w:rsid w:val="00C17C06"/>
    <w:rsid w:val="00C17FA0"/>
    <w:rsid w:val="00C3731F"/>
    <w:rsid w:val="00C4342C"/>
    <w:rsid w:val="00C54054"/>
    <w:rsid w:val="00C70F73"/>
    <w:rsid w:val="00C72993"/>
    <w:rsid w:val="00C80A97"/>
    <w:rsid w:val="00C917B4"/>
    <w:rsid w:val="00C93A3F"/>
    <w:rsid w:val="00CA2DD0"/>
    <w:rsid w:val="00CC1C86"/>
    <w:rsid w:val="00CC58EA"/>
    <w:rsid w:val="00CE41ED"/>
    <w:rsid w:val="00CE423C"/>
    <w:rsid w:val="00CF3F47"/>
    <w:rsid w:val="00CF6A5B"/>
    <w:rsid w:val="00D03236"/>
    <w:rsid w:val="00D117BD"/>
    <w:rsid w:val="00D26519"/>
    <w:rsid w:val="00D3253F"/>
    <w:rsid w:val="00D3642B"/>
    <w:rsid w:val="00D64CCC"/>
    <w:rsid w:val="00D81020"/>
    <w:rsid w:val="00D92B46"/>
    <w:rsid w:val="00DB4B20"/>
    <w:rsid w:val="00DC2FEA"/>
    <w:rsid w:val="00DD435F"/>
    <w:rsid w:val="00DD7177"/>
    <w:rsid w:val="00E07235"/>
    <w:rsid w:val="00E23945"/>
    <w:rsid w:val="00E33C9F"/>
    <w:rsid w:val="00E41A32"/>
    <w:rsid w:val="00E44BAB"/>
    <w:rsid w:val="00E548E5"/>
    <w:rsid w:val="00E679D7"/>
    <w:rsid w:val="00E738AF"/>
    <w:rsid w:val="00E74766"/>
    <w:rsid w:val="00E971A9"/>
    <w:rsid w:val="00E979AB"/>
    <w:rsid w:val="00EB08DB"/>
    <w:rsid w:val="00EB0A4F"/>
    <w:rsid w:val="00EB4AF1"/>
    <w:rsid w:val="00EC0820"/>
    <w:rsid w:val="00EC39BC"/>
    <w:rsid w:val="00ED2ED1"/>
    <w:rsid w:val="00EE140B"/>
    <w:rsid w:val="00F02F82"/>
    <w:rsid w:val="00F03451"/>
    <w:rsid w:val="00F05918"/>
    <w:rsid w:val="00F21CC6"/>
    <w:rsid w:val="00F25479"/>
    <w:rsid w:val="00F2763A"/>
    <w:rsid w:val="00F42B67"/>
    <w:rsid w:val="00F55866"/>
    <w:rsid w:val="00F55D8D"/>
    <w:rsid w:val="00F72849"/>
    <w:rsid w:val="00F738A1"/>
    <w:rsid w:val="00F94396"/>
    <w:rsid w:val="00FA0D1D"/>
    <w:rsid w:val="00FA381B"/>
    <w:rsid w:val="00FB740F"/>
    <w:rsid w:val="00FC2396"/>
    <w:rsid w:val="00FD1204"/>
    <w:rsid w:val="00FD6383"/>
    <w:rsid w:val="00FF5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81921"/>
    <o:shapelayout v:ext="edit">
      <o:idmap v:ext="edit" data="1"/>
    </o:shapelayout>
  </w:shapeDefaults>
  <w:decimalSymbol w:val=","/>
  <w:listSeparator w:val=";"/>
  <w14:docId w14:val="5B2BD769"/>
  <w15:docId w15:val="{2875CF86-D650-4FF7-9F54-5BB8CE320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3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A75AE5"/>
    <w:pPr>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fr-FR"/>
      <w14:textOutline w14:w="12700" w14:cap="flat" w14:cmpd="sng" w14:algn="ctr">
        <w14:noFill/>
        <w14:prstDash w14:val="solid"/>
        <w14:miter w14:lim="400000"/>
      </w14:textOutline>
    </w:rPr>
  </w:style>
  <w:style w:type="paragraph" w:styleId="ListParagraph">
    <w:name w:val="List Paragraph"/>
    <w:aliases w:val="Dot pt,F5 List Paragraph,List Paragraph1,No Spacing1,List Paragraph Char Char Char,Indicator Text,Numbered Para 1,Bullet Points,MAIN CONTENT,List Paragraph12,OBC Bullet,Colorful List - Accent 11,List Paragraph2,Normal numbered,L,EC"/>
    <w:basedOn w:val="Normal"/>
    <w:link w:val="ListParagraphChar"/>
    <w:uiPriority w:val="34"/>
    <w:qFormat/>
    <w:rsid w:val="00A75AE5"/>
    <w:pPr>
      <w:spacing w:before="0" w:after="200" w:line="276" w:lineRule="auto"/>
      <w:ind w:left="720"/>
      <w:contextualSpacing/>
      <w:jc w:val="left"/>
    </w:pPr>
    <w:rPr>
      <w:rFonts w:asciiTheme="minorHAnsi" w:hAnsiTheme="minorHAnsi" w:cstheme="minorBidi"/>
      <w:sz w:val="22"/>
    </w:rPr>
  </w:style>
  <w:style w:type="character" w:customStyle="1" w:styleId="ListParagraphChar">
    <w:name w:val="List Paragraph Char"/>
    <w:aliases w:val="Dot pt Char,F5 List Paragraph Char,List Paragraph1 Char,No Spacing1 Char,List Paragraph Char Char Char Char,Indicator Text Char,Numbered Para 1 Char,Bullet Points Char,MAIN CONTENT Char,List Paragraph12 Char,OBC Bullet Char,L Char"/>
    <w:basedOn w:val="DefaultParagraphFont"/>
    <w:link w:val="ListParagraph"/>
    <w:uiPriority w:val="34"/>
    <w:qFormat/>
    <w:locked/>
    <w:rsid w:val="00A75AE5"/>
    <w:rPr>
      <w:lang w:val="en-GB"/>
    </w:rPr>
  </w:style>
  <w:style w:type="character" w:customStyle="1" w:styleId="normaltextrun">
    <w:name w:val="normaltextrun"/>
    <w:basedOn w:val="DefaultParagraphFont"/>
    <w:rsid w:val="00A75AE5"/>
  </w:style>
  <w:style w:type="paragraph" w:customStyle="1" w:styleId="Pa5">
    <w:name w:val="Pa5"/>
    <w:basedOn w:val="Normal"/>
    <w:next w:val="Normal"/>
    <w:uiPriority w:val="99"/>
    <w:rsid w:val="007532E9"/>
    <w:pPr>
      <w:autoSpaceDE w:val="0"/>
      <w:autoSpaceDN w:val="0"/>
      <w:adjustRightInd w:val="0"/>
      <w:spacing w:before="0" w:after="0" w:line="201" w:lineRule="atLeast"/>
      <w:jc w:val="left"/>
    </w:pPr>
    <w:rPr>
      <w:rFonts w:ascii="EC Square Sans Pro" w:hAnsi="EC Square Sans Pro" w:cstheme="minorBidi"/>
      <w:szCs w:val="24"/>
    </w:rPr>
  </w:style>
  <w:style w:type="character" w:styleId="CommentReference">
    <w:name w:val="annotation reference"/>
    <w:basedOn w:val="DefaultParagraphFont"/>
    <w:uiPriority w:val="99"/>
    <w:semiHidden/>
    <w:unhideWhenUsed/>
    <w:rsid w:val="000E1AED"/>
    <w:rPr>
      <w:sz w:val="16"/>
      <w:szCs w:val="16"/>
    </w:rPr>
  </w:style>
  <w:style w:type="paragraph" w:styleId="CommentText">
    <w:name w:val="annotation text"/>
    <w:basedOn w:val="Normal"/>
    <w:link w:val="CommentTextChar"/>
    <w:uiPriority w:val="99"/>
    <w:semiHidden/>
    <w:unhideWhenUsed/>
    <w:rsid w:val="000E1AED"/>
    <w:rPr>
      <w:sz w:val="20"/>
      <w:szCs w:val="20"/>
    </w:rPr>
  </w:style>
  <w:style w:type="character" w:customStyle="1" w:styleId="CommentTextChar">
    <w:name w:val="Comment Text Char"/>
    <w:basedOn w:val="DefaultParagraphFont"/>
    <w:link w:val="CommentText"/>
    <w:uiPriority w:val="99"/>
    <w:semiHidden/>
    <w:rsid w:val="000E1AED"/>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E1AED"/>
    <w:rPr>
      <w:b/>
      <w:bCs/>
    </w:rPr>
  </w:style>
  <w:style w:type="character" w:customStyle="1" w:styleId="CommentSubjectChar">
    <w:name w:val="Comment Subject Char"/>
    <w:basedOn w:val="CommentTextChar"/>
    <w:link w:val="CommentSubject"/>
    <w:uiPriority w:val="99"/>
    <w:semiHidden/>
    <w:rsid w:val="000E1AED"/>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0E1A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AED"/>
    <w:rPr>
      <w:rFonts w:ascii="Segoe UI" w:hAnsi="Segoe UI" w:cs="Segoe UI"/>
      <w:sz w:val="18"/>
      <w:szCs w:val="18"/>
      <w:lang w:val="en-GB"/>
    </w:rPr>
  </w:style>
  <w:style w:type="character" w:styleId="Hyperlink">
    <w:name w:val="Hyperlink"/>
    <w:basedOn w:val="DefaultParagraphFont"/>
    <w:uiPriority w:val="99"/>
    <w:unhideWhenUsed/>
    <w:rsid w:val="00FB740F"/>
    <w:rPr>
      <w:color w:val="0000FF" w:themeColor="hyperlink"/>
      <w:u w:val="single"/>
    </w:rPr>
  </w:style>
  <w:style w:type="paragraph" w:customStyle="1" w:styleId="paragraph">
    <w:name w:val="paragraph"/>
    <w:basedOn w:val="Normal"/>
    <w:rsid w:val="00690494"/>
    <w:pPr>
      <w:spacing w:before="100" w:beforeAutospacing="1" w:after="100" w:afterAutospacing="1"/>
      <w:jc w:val="left"/>
    </w:pPr>
    <w:rPr>
      <w:rFonts w:eastAsia="Times New Roman"/>
      <w:szCs w:val="24"/>
      <w:lang w:eastAsia="en-GB"/>
    </w:rPr>
  </w:style>
  <w:style w:type="character" w:customStyle="1" w:styleId="eop">
    <w:name w:val="eop"/>
    <w:basedOn w:val="DefaultParagraphFont"/>
    <w:rsid w:val="00690494"/>
  </w:style>
  <w:style w:type="paragraph" w:customStyle="1" w:styleId="LTTBullet">
    <w:name w:val="LTT Bullet"/>
    <w:basedOn w:val="Normal"/>
    <w:qFormat/>
    <w:rsid w:val="00690494"/>
    <w:pPr>
      <w:numPr>
        <w:numId w:val="1"/>
      </w:numPr>
      <w:spacing w:before="0" w:after="0"/>
      <w:jc w:val="left"/>
    </w:pPr>
    <w:rPr>
      <w:rFonts w:ascii="Calibri" w:eastAsia="Times New Roman" w:hAnsi="Calibri" w:cs="Calibri"/>
      <w:sz w:val="28"/>
      <w:szCs w:val="28"/>
      <w:lang w:eastAsia="en-GB"/>
    </w:rPr>
  </w:style>
  <w:style w:type="paragraph" w:customStyle="1" w:styleId="LTTBullet2">
    <w:name w:val="LTT Bullet 2"/>
    <w:basedOn w:val="LTTBullet"/>
    <w:qFormat/>
    <w:rsid w:val="00690494"/>
    <w:pPr>
      <w:numPr>
        <w:ilvl w:val="1"/>
      </w:numPr>
    </w:pPr>
  </w:style>
  <w:style w:type="paragraph" w:styleId="ListBullet">
    <w:name w:val="List Bullet"/>
    <w:basedOn w:val="Normal"/>
    <w:uiPriority w:val="99"/>
    <w:semiHidden/>
    <w:unhideWhenUsed/>
    <w:rsid w:val="00AE4CCF"/>
    <w:pPr>
      <w:numPr>
        <w:numId w:val="2"/>
      </w:numPr>
      <w:contextualSpacing/>
    </w:pPr>
  </w:style>
  <w:style w:type="paragraph" w:styleId="ListBullet2">
    <w:name w:val="List Bullet 2"/>
    <w:basedOn w:val="Normal"/>
    <w:uiPriority w:val="99"/>
    <w:semiHidden/>
    <w:unhideWhenUsed/>
    <w:rsid w:val="00AE4CCF"/>
    <w:pPr>
      <w:numPr>
        <w:numId w:val="3"/>
      </w:numPr>
      <w:contextualSpacing/>
    </w:pPr>
  </w:style>
  <w:style w:type="paragraph" w:styleId="ListBullet3">
    <w:name w:val="List Bullet 3"/>
    <w:basedOn w:val="Normal"/>
    <w:uiPriority w:val="99"/>
    <w:semiHidden/>
    <w:unhideWhenUsed/>
    <w:rsid w:val="00AE4CCF"/>
    <w:pPr>
      <w:numPr>
        <w:numId w:val="4"/>
      </w:numPr>
      <w:contextualSpacing/>
    </w:pPr>
  </w:style>
  <w:style w:type="paragraph" w:styleId="ListBullet4">
    <w:name w:val="List Bullet 4"/>
    <w:basedOn w:val="Normal"/>
    <w:uiPriority w:val="99"/>
    <w:semiHidden/>
    <w:unhideWhenUsed/>
    <w:rsid w:val="00AE4CCF"/>
    <w:pPr>
      <w:numPr>
        <w:numId w:val="5"/>
      </w:numPr>
      <w:contextualSpacing/>
    </w:pPr>
  </w:style>
  <w:style w:type="paragraph" w:styleId="Caption">
    <w:name w:val="caption"/>
    <w:basedOn w:val="Normal"/>
    <w:next w:val="Normal"/>
    <w:uiPriority w:val="35"/>
    <w:semiHidden/>
    <w:unhideWhenUsed/>
    <w:qFormat/>
    <w:rsid w:val="00315270"/>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315270"/>
    <w:pPr>
      <w:spacing w:after="0"/>
    </w:pPr>
  </w:style>
  <w:style w:type="paragraph" w:styleId="ListNumber">
    <w:name w:val="List Number"/>
    <w:basedOn w:val="Normal"/>
    <w:uiPriority w:val="99"/>
    <w:semiHidden/>
    <w:unhideWhenUsed/>
    <w:rsid w:val="00315270"/>
    <w:pPr>
      <w:numPr>
        <w:numId w:val="6"/>
      </w:numPr>
      <w:contextualSpacing/>
    </w:pPr>
  </w:style>
  <w:style w:type="paragraph" w:styleId="ListNumber2">
    <w:name w:val="List Number 2"/>
    <w:basedOn w:val="Normal"/>
    <w:uiPriority w:val="99"/>
    <w:semiHidden/>
    <w:unhideWhenUsed/>
    <w:rsid w:val="00315270"/>
    <w:pPr>
      <w:numPr>
        <w:numId w:val="7"/>
      </w:numPr>
      <w:contextualSpacing/>
    </w:pPr>
  </w:style>
  <w:style w:type="paragraph" w:styleId="ListNumber3">
    <w:name w:val="List Number 3"/>
    <w:basedOn w:val="Normal"/>
    <w:uiPriority w:val="99"/>
    <w:semiHidden/>
    <w:unhideWhenUsed/>
    <w:rsid w:val="00315270"/>
    <w:pPr>
      <w:numPr>
        <w:numId w:val="8"/>
      </w:numPr>
      <w:contextualSpacing/>
    </w:pPr>
  </w:style>
  <w:style w:type="paragraph" w:styleId="ListNumber4">
    <w:name w:val="List Number 4"/>
    <w:basedOn w:val="Normal"/>
    <w:uiPriority w:val="99"/>
    <w:semiHidden/>
    <w:unhideWhenUsed/>
    <w:rsid w:val="00315270"/>
    <w:pPr>
      <w:numPr>
        <w:numId w:val="9"/>
      </w:numPr>
      <w:contextualSpacing/>
    </w:pPr>
  </w:style>
  <w:style w:type="paragraph" w:styleId="NormalWeb">
    <w:name w:val="Normal (Web)"/>
    <w:basedOn w:val="Normal"/>
    <w:uiPriority w:val="99"/>
    <w:unhideWhenUsed/>
    <w:rsid w:val="00CC1C86"/>
    <w:pPr>
      <w:spacing w:before="100" w:beforeAutospacing="1" w:after="100" w:afterAutospacing="1"/>
      <w:jc w:val="left"/>
    </w:pPr>
    <w:rPr>
      <w:rFonts w:eastAsia="Times New Roman"/>
      <w:szCs w:val="24"/>
      <w:lang w:val="en-IE" w:eastAsia="en-IE"/>
    </w:rPr>
  </w:style>
  <w:style w:type="paragraph" w:styleId="Revision">
    <w:name w:val="Revision"/>
    <w:hidden/>
    <w:uiPriority w:val="99"/>
    <w:semiHidden/>
    <w:rsid w:val="004847C9"/>
    <w:pPr>
      <w:spacing w:after="0" w:line="240" w:lineRule="auto"/>
    </w:pPr>
    <w:rPr>
      <w:rFonts w:ascii="Times New Roman" w:hAnsi="Times New Roman" w:cs="Times New Roman"/>
      <w:sz w:val="24"/>
      <w:lang w:val="en-GB"/>
    </w:rPr>
  </w:style>
  <w:style w:type="character" w:customStyle="1" w:styleId="UnresolvedMention">
    <w:name w:val="Unresolved Mention"/>
    <w:basedOn w:val="DefaultParagraphFont"/>
    <w:uiPriority w:val="99"/>
    <w:semiHidden/>
    <w:unhideWhenUsed/>
    <w:rsid w:val="00A66C86"/>
    <w:rPr>
      <w:color w:val="605E5C"/>
      <w:shd w:val="clear" w:color="auto" w:fill="E1DFDD"/>
    </w:rPr>
  </w:style>
  <w:style w:type="paragraph" w:styleId="Header">
    <w:name w:val="header"/>
    <w:basedOn w:val="Normal"/>
    <w:link w:val="HeaderChar"/>
    <w:uiPriority w:val="99"/>
    <w:unhideWhenUsed/>
    <w:rsid w:val="00C80A97"/>
    <w:pPr>
      <w:tabs>
        <w:tab w:val="center" w:pos="4535"/>
        <w:tab w:val="right" w:pos="9071"/>
      </w:tabs>
      <w:spacing w:before="0"/>
    </w:pPr>
  </w:style>
  <w:style w:type="character" w:customStyle="1" w:styleId="HeaderChar">
    <w:name w:val="Header Char"/>
    <w:basedOn w:val="DefaultParagraphFont"/>
    <w:link w:val="Header"/>
    <w:uiPriority w:val="99"/>
    <w:rsid w:val="00C80A97"/>
    <w:rPr>
      <w:rFonts w:ascii="Times New Roman" w:hAnsi="Times New Roman" w:cs="Times New Roman"/>
      <w:sz w:val="24"/>
      <w:lang w:val="en-GB"/>
    </w:rPr>
  </w:style>
  <w:style w:type="paragraph" w:styleId="Footer">
    <w:name w:val="footer"/>
    <w:basedOn w:val="Normal"/>
    <w:link w:val="FooterChar"/>
    <w:uiPriority w:val="99"/>
    <w:unhideWhenUsed/>
    <w:rsid w:val="00C80A97"/>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C80A97"/>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C80A97"/>
    <w:pPr>
      <w:tabs>
        <w:tab w:val="center" w:pos="7285"/>
        <w:tab w:val="right" w:pos="14003"/>
      </w:tabs>
      <w:spacing w:before="0"/>
    </w:pPr>
  </w:style>
  <w:style w:type="paragraph" w:customStyle="1" w:styleId="FooterLandscape">
    <w:name w:val="FooterLandscape"/>
    <w:basedOn w:val="Normal"/>
    <w:rsid w:val="00C80A97"/>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C80A9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C80A97"/>
    <w:pPr>
      <w:spacing w:before="0"/>
      <w:jc w:val="right"/>
    </w:pPr>
    <w:rPr>
      <w:sz w:val="28"/>
    </w:rPr>
  </w:style>
  <w:style w:type="paragraph" w:customStyle="1" w:styleId="FooterSensitivity">
    <w:name w:val="Footer Sensitivity"/>
    <w:basedOn w:val="Normal"/>
    <w:rsid w:val="00C80A9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6"/>
      </w:numPr>
    </w:pPr>
  </w:style>
  <w:style w:type="paragraph" w:customStyle="1" w:styleId="Tiret1">
    <w:name w:val="Tiret 1"/>
    <w:basedOn w:val="Point1"/>
    <w:pPr>
      <w:numPr>
        <w:numId w:val="27"/>
      </w:numPr>
    </w:pPr>
  </w:style>
  <w:style w:type="paragraph" w:customStyle="1" w:styleId="Tiret2">
    <w:name w:val="Tiret 2"/>
    <w:basedOn w:val="Point2"/>
    <w:pPr>
      <w:numPr>
        <w:numId w:val="28"/>
      </w:numPr>
    </w:pPr>
  </w:style>
  <w:style w:type="paragraph" w:customStyle="1" w:styleId="Tiret3">
    <w:name w:val="Tiret 3"/>
    <w:basedOn w:val="Point3"/>
    <w:pPr>
      <w:numPr>
        <w:numId w:val="29"/>
      </w:numPr>
    </w:pPr>
  </w:style>
  <w:style w:type="paragraph" w:customStyle="1" w:styleId="Tiret4">
    <w:name w:val="Tiret 4"/>
    <w:basedOn w:val="Point4"/>
    <w:pPr>
      <w:numPr>
        <w:numId w:val="30"/>
      </w:numPr>
    </w:pPr>
  </w:style>
  <w:style w:type="paragraph" w:customStyle="1" w:styleId="Tiret5">
    <w:name w:val="Tiret 5"/>
    <w:basedOn w:val="Point5"/>
    <w:pPr>
      <w:numPr>
        <w:numId w:val="3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2"/>
      </w:numPr>
    </w:pPr>
  </w:style>
  <w:style w:type="paragraph" w:customStyle="1" w:styleId="NumPar2">
    <w:name w:val="NumPar 2"/>
    <w:basedOn w:val="Normal"/>
    <w:next w:val="Text1"/>
    <w:pPr>
      <w:numPr>
        <w:ilvl w:val="1"/>
        <w:numId w:val="32"/>
      </w:numPr>
    </w:pPr>
  </w:style>
  <w:style w:type="paragraph" w:customStyle="1" w:styleId="NumPar3">
    <w:name w:val="NumPar 3"/>
    <w:basedOn w:val="Normal"/>
    <w:next w:val="Text1"/>
    <w:pPr>
      <w:numPr>
        <w:ilvl w:val="2"/>
        <w:numId w:val="32"/>
      </w:numPr>
    </w:pPr>
  </w:style>
  <w:style w:type="paragraph" w:customStyle="1" w:styleId="NumPar4">
    <w:name w:val="NumPar 4"/>
    <w:basedOn w:val="Normal"/>
    <w:next w:val="Text1"/>
    <w:pPr>
      <w:numPr>
        <w:ilvl w:val="3"/>
        <w:numId w:val="32"/>
      </w:numPr>
    </w:pPr>
  </w:style>
  <w:style w:type="paragraph" w:customStyle="1" w:styleId="NumPar5">
    <w:name w:val="NumPar 5"/>
    <w:basedOn w:val="Normal"/>
    <w:next w:val="Text2"/>
    <w:pPr>
      <w:numPr>
        <w:ilvl w:val="4"/>
        <w:numId w:val="32"/>
      </w:numPr>
    </w:pPr>
  </w:style>
  <w:style w:type="paragraph" w:customStyle="1" w:styleId="NumPar6">
    <w:name w:val="NumPar 6"/>
    <w:basedOn w:val="Normal"/>
    <w:next w:val="Text2"/>
    <w:pPr>
      <w:numPr>
        <w:ilvl w:val="5"/>
        <w:numId w:val="32"/>
      </w:numPr>
    </w:pPr>
  </w:style>
  <w:style w:type="paragraph" w:customStyle="1" w:styleId="NumPar7">
    <w:name w:val="NumPar 7"/>
    <w:basedOn w:val="Normal"/>
    <w:next w:val="Text2"/>
    <w:pPr>
      <w:numPr>
        <w:ilvl w:val="6"/>
        <w:numId w:val="3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4"/>
      </w:numPr>
    </w:pPr>
  </w:style>
  <w:style w:type="paragraph" w:customStyle="1" w:styleId="Point1number">
    <w:name w:val="Point 1 (number)"/>
    <w:basedOn w:val="Normal"/>
    <w:pPr>
      <w:numPr>
        <w:ilvl w:val="2"/>
        <w:numId w:val="34"/>
      </w:numPr>
    </w:pPr>
  </w:style>
  <w:style w:type="paragraph" w:customStyle="1" w:styleId="Point2number">
    <w:name w:val="Point 2 (number)"/>
    <w:basedOn w:val="Normal"/>
    <w:pPr>
      <w:numPr>
        <w:ilvl w:val="4"/>
        <w:numId w:val="34"/>
      </w:numPr>
    </w:pPr>
  </w:style>
  <w:style w:type="paragraph" w:customStyle="1" w:styleId="Point3number">
    <w:name w:val="Point 3 (number)"/>
    <w:basedOn w:val="Normal"/>
    <w:pPr>
      <w:numPr>
        <w:ilvl w:val="6"/>
        <w:numId w:val="34"/>
      </w:numPr>
    </w:pPr>
  </w:style>
  <w:style w:type="paragraph" w:customStyle="1" w:styleId="Point0letter">
    <w:name w:val="Point 0 (letter)"/>
    <w:basedOn w:val="Normal"/>
    <w:pPr>
      <w:numPr>
        <w:ilvl w:val="1"/>
        <w:numId w:val="34"/>
      </w:numPr>
    </w:pPr>
  </w:style>
  <w:style w:type="paragraph" w:customStyle="1" w:styleId="Point1letter">
    <w:name w:val="Point 1 (letter)"/>
    <w:basedOn w:val="Normal"/>
    <w:pPr>
      <w:numPr>
        <w:ilvl w:val="3"/>
        <w:numId w:val="34"/>
      </w:numPr>
    </w:pPr>
  </w:style>
  <w:style w:type="paragraph" w:customStyle="1" w:styleId="Point2letter">
    <w:name w:val="Point 2 (letter)"/>
    <w:basedOn w:val="Normal"/>
    <w:pPr>
      <w:numPr>
        <w:ilvl w:val="5"/>
        <w:numId w:val="34"/>
      </w:numPr>
    </w:pPr>
  </w:style>
  <w:style w:type="paragraph" w:customStyle="1" w:styleId="Point3letter">
    <w:name w:val="Point 3 (letter)"/>
    <w:basedOn w:val="Normal"/>
    <w:pPr>
      <w:numPr>
        <w:ilvl w:val="7"/>
        <w:numId w:val="34"/>
      </w:numPr>
    </w:pPr>
  </w:style>
  <w:style w:type="paragraph" w:customStyle="1" w:styleId="Point4letter">
    <w:name w:val="Point 4 (letter)"/>
    <w:basedOn w:val="Normal"/>
    <w:pPr>
      <w:numPr>
        <w:ilvl w:val="8"/>
        <w:numId w:val="34"/>
      </w:numPr>
    </w:pPr>
  </w:style>
  <w:style w:type="paragraph" w:customStyle="1" w:styleId="Bullet0">
    <w:name w:val="Bullet 0"/>
    <w:basedOn w:val="Normal"/>
    <w:pPr>
      <w:numPr>
        <w:numId w:val="35"/>
      </w:numPr>
    </w:pPr>
  </w:style>
  <w:style w:type="paragraph" w:customStyle="1" w:styleId="Bullet1">
    <w:name w:val="Bullet 1"/>
    <w:basedOn w:val="Normal"/>
    <w:pPr>
      <w:numPr>
        <w:numId w:val="36"/>
      </w:numPr>
    </w:pPr>
  </w:style>
  <w:style w:type="paragraph" w:customStyle="1" w:styleId="Bullet2">
    <w:name w:val="Bullet 2"/>
    <w:basedOn w:val="Normal"/>
    <w:pPr>
      <w:numPr>
        <w:numId w:val="37"/>
      </w:numPr>
    </w:pPr>
  </w:style>
  <w:style w:type="paragraph" w:customStyle="1" w:styleId="Bullet3">
    <w:name w:val="Bullet 3"/>
    <w:basedOn w:val="Normal"/>
    <w:pPr>
      <w:numPr>
        <w:numId w:val="38"/>
      </w:numPr>
    </w:pPr>
  </w:style>
  <w:style w:type="paragraph" w:customStyle="1" w:styleId="Bullet4">
    <w:name w:val="Bullet 4"/>
    <w:basedOn w:val="Normal"/>
    <w:pPr>
      <w:numPr>
        <w:numId w:val="3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821704">
      <w:bodyDiv w:val="1"/>
      <w:marLeft w:val="0"/>
      <w:marRight w:val="0"/>
      <w:marTop w:val="0"/>
      <w:marBottom w:val="0"/>
      <w:divBdr>
        <w:top w:val="none" w:sz="0" w:space="0" w:color="auto"/>
        <w:left w:val="none" w:sz="0" w:space="0" w:color="auto"/>
        <w:bottom w:val="none" w:sz="0" w:space="0" w:color="auto"/>
        <w:right w:val="none" w:sz="0" w:space="0" w:color="auto"/>
      </w:divBdr>
    </w:div>
    <w:div w:id="811678607">
      <w:bodyDiv w:val="1"/>
      <w:marLeft w:val="0"/>
      <w:marRight w:val="0"/>
      <w:marTop w:val="0"/>
      <w:marBottom w:val="0"/>
      <w:divBdr>
        <w:top w:val="none" w:sz="0" w:space="0" w:color="auto"/>
        <w:left w:val="none" w:sz="0" w:space="0" w:color="auto"/>
        <w:bottom w:val="none" w:sz="0" w:space="0" w:color="auto"/>
        <w:right w:val="none" w:sz="0" w:space="0" w:color="auto"/>
      </w:divBdr>
    </w:div>
    <w:div w:id="1343819211">
      <w:bodyDiv w:val="1"/>
      <w:marLeft w:val="0"/>
      <w:marRight w:val="0"/>
      <w:marTop w:val="0"/>
      <w:marBottom w:val="0"/>
      <w:divBdr>
        <w:top w:val="none" w:sz="0" w:space="0" w:color="auto"/>
        <w:left w:val="none" w:sz="0" w:space="0" w:color="auto"/>
        <w:bottom w:val="none" w:sz="0" w:space="0" w:color="auto"/>
        <w:right w:val="none" w:sz="0" w:space="0" w:color="auto"/>
      </w:divBdr>
    </w:div>
    <w:div w:id="20764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trade.ec.europa.eu/civilsoc/meetdetails.cfm?meet=11531" TargetMode="External"/><Relationship Id="rId7" Type="http://schemas.openxmlformats.org/officeDocument/2006/relationships/hyperlink" Target="https://circabc.europa.eu/ui/group/09242a36-a438-40fd-a7af-fe32e36cbd0e/library/f9babf9b-6d05-475f-a322-1bfc4e5c9982?p=1&amp;n=10&amp;sort=modified_DESC" TargetMode="External"/><Relationship Id="rId2" Type="http://schemas.openxmlformats.org/officeDocument/2006/relationships/hyperlink" Target="http://ec.europa.eu/trade/trade-policy-and-you/expert-groups/" TargetMode="External"/><Relationship Id="rId1" Type="http://schemas.openxmlformats.org/officeDocument/2006/relationships/hyperlink" Target="https://policy.trade.ec.europa.eu/consultations/consultation-trade-policy-review_en" TargetMode="External"/><Relationship Id="rId6" Type="http://schemas.openxmlformats.org/officeDocument/2006/relationships/hyperlink" Target="http://documents1.worldbank.org/curated/en/387801576142339003/pdf/Political-Risk-and-Policy-Responses.pdf" TargetMode="External"/><Relationship Id="rId5" Type="http://schemas.openxmlformats.org/officeDocument/2006/relationships/hyperlink" Target="https://unctad.org/system/files/official-document/diaepcb2019d4_en.pdf" TargetMode="External"/><Relationship Id="rId4" Type="http://schemas.openxmlformats.org/officeDocument/2006/relationships/hyperlink" Target="https://policy.trade.ec.europa.eu/eu-trade-relationships-country-and-region/countries-and-regions/southern-african-development-community-sadc/eu-angola-negotiations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33285A78CCB54F4DA2ECE5FA2B2AF218" ma:contentTypeVersion="0" ma:contentTypeDescription="Create a new document in this library." ma:contentTypeScope="" ma:versionID="196294183f716df4f7a300b4cb38b31d">
  <xsd:schema xmlns:xsd="http://www.w3.org/2001/XMLSchema" xmlns:xs="http://www.w3.org/2001/XMLSchema" xmlns:p="http://schemas.microsoft.com/office/2006/metadata/properties" xmlns:ns2="http://schemas.microsoft.com/sharepoint/v3/fields" xmlns:ns3="39d607b5-3019-4139-86e9-2e131faaffa8" targetNamespace="http://schemas.microsoft.com/office/2006/metadata/properties" ma:root="true" ma:fieldsID="fb27f9a7b8adb2f883d3959b07a48b8c" ns2:_="" ns3:_="">
    <xsd:import namespace="http://schemas.microsoft.com/sharepoint/v3/fields"/>
    <xsd:import namespace="39d607b5-3019-4139-86e9-2e131faaffa8"/>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39d607b5-3019-4139-86e9-2e131faaffa8"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C_Collab_DocumentLanguage xmlns="39d607b5-3019-4139-86e9-2e131faaffa8">EN</EC_Collab_DocumentLanguage>
    <EC_Collab_Status xmlns="39d607b5-3019-4139-86e9-2e131faaffa8">Not Started</EC_Collab_Status>
    <_Status xmlns="http://schemas.microsoft.com/sharepoint/v3/fields">Not Started</_Status>
    <EC_Collab_Reference xmlns="39d607b5-3019-4139-86e9-2e131faaffa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CB8AD-7C59-4651-8F25-A6C4CC79C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39d607b5-3019-4139-86e9-2e131faaf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094450-6F77-4DA9-A9AE-C1A406AE297E}">
  <ds:schemaRefs>
    <ds:schemaRef ds:uri="http://schemas.microsoft.com/sharepoint/v3/contenttype/forms"/>
  </ds:schemaRefs>
</ds:datastoreItem>
</file>

<file path=customXml/itemProps3.xml><?xml version="1.0" encoding="utf-8"?>
<ds:datastoreItem xmlns:ds="http://schemas.openxmlformats.org/officeDocument/2006/customXml" ds:itemID="{FAFE6070-4112-41BA-8472-6DA89A3D68B3}">
  <ds:schemaRefs>
    <ds:schemaRef ds:uri="http://schemas.openxmlformats.org/package/2006/metadata/core-properties"/>
    <ds:schemaRef ds:uri="39d607b5-3019-4139-86e9-2e131faaffa8"/>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microsoft.com/sharepoint/v3/field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28DFE67-F079-4ED3-A622-82C0FD935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4</TotalTime>
  <Pages>9</Pages>
  <Words>2183</Words>
  <Characters>12667</Characters>
  <Application>Microsoft Office Word</Application>
  <DocSecurity>0</DocSecurity>
  <Lines>222</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39</cp:revision>
  <dcterms:created xsi:type="dcterms:W3CDTF">2023-06-07T13:02:00Z</dcterms:created>
  <dcterms:modified xsi:type="dcterms:W3CDTF">2023-06-09T05:01:00Z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8.0.1, Build 20220429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ContentTypeId">
    <vt:lpwstr>0x010100258AA79CEB83498886A3A086811232500033285A78CCB54F4DA2ECE5FA2B2AF218</vt:lpwstr>
  </property>
  <property fmtid="{D5CDD505-2E9C-101B-9397-08002B2CF9AE}" pid="11" name="_CopySource">
    <vt:lpwstr>2. EU-NZ FTA Council Decision on conclusion - for ISC formatted-upd.docx</vt:lpwstr>
  </property>
  <property fmtid="{D5CDD505-2E9C-101B-9397-08002B2CF9AE}" pid="12" name="MSIP_Label_6bd9ddd1-4d20-43f6-abfa-fc3c07406f94_Enabled">
    <vt:lpwstr>true</vt:lpwstr>
  </property>
  <property fmtid="{D5CDD505-2E9C-101B-9397-08002B2CF9AE}" pid="13" name="MSIP_Label_6bd9ddd1-4d20-43f6-abfa-fc3c07406f94_SetDate">
    <vt:lpwstr>2023-03-13T15:24:32Z</vt:lpwstr>
  </property>
  <property fmtid="{D5CDD505-2E9C-101B-9397-08002B2CF9AE}" pid="14" name="MSIP_Label_6bd9ddd1-4d20-43f6-abfa-fc3c07406f94_Method">
    <vt:lpwstr>Standard</vt:lpwstr>
  </property>
  <property fmtid="{D5CDD505-2E9C-101B-9397-08002B2CF9AE}" pid="15" name="MSIP_Label_6bd9ddd1-4d20-43f6-abfa-fc3c07406f94_Name">
    <vt:lpwstr>Commission Use</vt:lpwstr>
  </property>
  <property fmtid="{D5CDD505-2E9C-101B-9397-08002B2CF9AE}" pid="16" name="MSIP_Label_6bd9ddd1-4d20-43f6-abfa-fc3c07406f94_SiteId">
    <vt:lpwstr>b24c8b06-522c-46fe-9080-70926f8dddb1</vt:lpwstr>
  </property>
  <property fmtid="{D5CDD505-2E9C-101B-9397-08002B2CF9AE}" pid="17" name="MSIP_Label_6bd9ddd1-4d20-43f6-abfa-fc3c07406f94_ActionId">
    <vt:lpwstr>fb4423cf-0f56-4298-904e-169b1860e1fd</vt:lpwstr>
  </property>
  <property fmtid="{D5CDD505-2E9C-101B-9397-08002B2CF9AE}" pid="18" name="MSIP_Label_6bd9ddd1-4d20-43f6-abfa-fc3c07406f94_ContentBits">
    <vt:lpwstr>0</vt:lpwstr>
  </property>
  <property fmtid="{D5CDD505-2E9C-101B-9397-08002B2CF9AE}" pid="19" name="DQCStatus">
    <vt:lpwstr>Green (DQC version 03)</vt:lpwstr>
  </property>
  <property name="OP_sanitized" fmtid="{D5CDD505-2E9C-101B-9397-08002B2CF9AE}" pid="20">
    <vt:lpwstr>True</vt:lpwstr>
  </property>
</Properties>
</file>