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7B5C205E-5982-44AD-A277-8DF71DABD4AE" style="width:450.25pt;height:384.2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LIITE I</w:t>
      </w:r>
    </w:p>
    <w:p>
      <w:pPr>
        <w:jc w:val="center"/>
        <w:rPr>
          <w:b/>
          <w:noProof/>
        </w:rPr>
      </w:pPr>
      <w:r>
        <w:rPr>
          <w:b/>
          <w:noProof/>
        </w:rPr>
        <w:t>Unionin valmistetietokannan toiminnot</w:t>
      </w:r>
    </w:p>
    <w:tbl>
      <w:tblPr>
        <w:tblStyle w:val="TableNormal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2888"/>
        <w:gridCol w:w="4930"/>
      </w:tblGrid>
      <w:tr>
        <w:trPr>
          <w:tblHeader/>
        </w:trPr>
        <w:tc>
          <w:tcPr>
            <w:tcW w:w="1487" w:type="dxa"/>
            <w:shd w:val="clear" w:color="auto" w:fill="D9D9D9" w:themeFill="background1" w:themeFillShade="D9"/>
          </w:tcPr>
          <w:p>
            <w:pPr>
              <w:pStyle w:val="TableParagraph"/>
              <w:spacing w:line="307" w:lineRule="auto"/>
              <w:jc w:val="center"/>
              <w:rPr>
                <w:rFonts w:ascii="Times New Roman" w:hAnsi="Times New Roman" w:cs="Times New Roman"/>
                <w:b/>
                <w:noProof/>
                <w:sz w:val="24"/>
                <w:szCs w:val="24"/>
              </w:rPr>
            </w:pPr>
            <w:r>
              <w:rPr>
                <w:rFonts w:ascii="Times New Roman" w:hAnsi="Times New Roman"/>
                <w:b/>
                <w:noProof/>
                <w:sz w:val="24"/>
                <w:szCs w:val="24"/>
              </w:rPr>
              <w:t>Toiminnon tunnus</w:t>
            </w:r>
          </w:p>
        </w:tc>
        <w:tc>
          <w:tcPr>
            <w:tcW w:w="2538" w:type="dxa"/>
            <w:shd w:val="clear" w:color="auto" w:fill="D9D9D9" w:themeFill="background1" w:themeFillShade="D9"/>
          </w:tcPr>
          <w:p>
            <w:pPr>
              <w:pStyle w:val="TableParagraph"/>
              <w:spacing w:before="64"/>
              <w:ind w:left="106"/>
              <w:jc w:val="center"/>
              <w:rPr>
                <w:rFonts w:ascii="Times New Roman" w:hAnsi="Times New Roman" w:cs="Times New Roman"/>
                <w:b/>
                <w:noProof/>
                <w:sz w:val="24"/>
                <w:szCs w:val="24"/>
              </w:rPr>
            </w:pPr>
            <w:r>
              <w:rPr>
                <w:rFonts w:ascii="Times New Roman" w:hAnsi="Times New Roman"/>
                <w:b/>
                <w:noProof/>
                <w:sz w:val="24"/>
                <w:szCs w:val="24"/>
              </w:rPr>
              <w:t>Toiminto</w:t>
            </w:r>
          </w:p>
        </w:tc>
        <w:tc>
          <w:tcPr>
            <w:tcW w:w="0" w:type="auto"/>
            <w:shd w:val="clear" w:color="auto" w:fill="D9D9D9" w:themeFill="background1" w:themeFillShade="D9"/>
          </w:tcPr>
          <w:p>
            <w:pPr>
              <w:pStyle w:val="TableParagraph"/>
              <w:spacing w:before="64"/>
              <w:ind w:left="108"/>
              <w:jc w:val="center"/>
              <w:rPr>
                <w:rFonts w:ascii="Times New Roman" w:hAnsi="Times New Roman" w:cs="Times New Roman"/>
                <w:b/>
                <w:noProof/>
                <w:sz w:val="24"/>
                <w:szCs w:val="24"/>
              </w:rPr>
            </w:pPr>
            <w:r>
              <w:rPr>
                <w:rFonts w:ascii="Times New Roman" w:hAnsi="Times New Roman"/>
                <w:b/>
                <w:noProof/>
                <w:sz w:val="24"/>
                <w:szCs w:val="24"/>
              </w:rPr>
              <w:t>Toiminnon kuvaus</w:t>
            </w:r>
          </w:p>
        </w:tc>
      </w:tr>
      <w:tr>
        <w:tc>
          <w:tcPr>
            <w:tcW w:w="1487" w:type="dxa"/>
            <w:shd w:val="clear" w:color="auto" w:fill="auto"/>
          </w:tcPr>
          <w:p>
            <w:pPr>
              <w:pStyle w:val="TableParagraph"/>
              <w:numPr>
                <w:ilvl w:val="0"/>
                <w:numId w:val="9"/>
              </w:numPr>
              <w:spacing w:before="64"/>
              <w:rPr>
                <w:rFonts w:ascii="Times New Roman" w:hAnsi="Times New Roman" w:cs="Times New Roman"/>
                <w:b/>
                <w:noProof/>
                <w:sz w:val="24"/>
                <w:szCs w:val="24"/>
              </w:rPr>
            </w:pPr>
          </w:p>
        </w:tc>
        <w:tc>
          <w:tcPr>
            <w:tcW w:w="7596" w:type="dxa"/>
            <w:gridSpan w:val="2"/>
            <w:shd w:val="clear" w:color="auto" w:fill="auto"/>
          </w:tcPr>
          <w:p>
            <w:pPr>
              <w:pStyle w:val="TableParagraph"/>
              <w:spacing w:before="64"/>
              <w:ind w:left="108"/>
              <w:rPr>
                <w:rFonts w:ascii="Times New Roman" w:hAnsi="Times New Roman" w:cs="Times New Roman"/>
                <w:b/>
                <w:noProof/>
                <w:sz w:val="24"/>
                <w:szCs w:val="24"/>
              </w:rPr>
            </w:pPr>
            <w:r>
              <w:rPr>
                <w:rFonts w:ascii="Times New Roman" w:hAnsi="Times New Roman"/>
                <w:b/>
                <w:noProof/>
                <w:sz w:val="24"/>
                <w:szCs w:val="24"/>
              </w:rPr>
              <w:t>Uutta valmistetta koskevat tiedot</w:t>
            </w:r>
          </w:p>
        </w:tc>
      </w:tr>
      <w:tr>
        <w:tc>
          <w:tcPr>
            <w:tcW w:w="1487" w:type="dxa"/>
            <w:shd w:val="clear" w:color="auto" w:fill="auto"/>
          </w:tcPr>
          <w:p>
            <w:pPr>
              <w:pStyle w:val="TableParagraph"/>
              <w:numPr>
                <w:ilvl w:val="0"/>
                <w:numId w:val="5"/>
              </w:numPr>
              <w:spacing w:before="71"/>
              <w:rPr>
                <w:rFonts w:ascii="Times New Roman" w:hAnsi="Times New Roman" w:cs="Times New Roman"/>
                <w:noProof/>
                <w:sz w:val="24"/>
                <w:szCs w:val="24"/>
              </w:rPr>
            </w:pPr>
          </w:p>
        </w:tc>
        <w:tc>
          <w:tcPr>
            <w:tcW w:w="2538" w:type="dxa"/>
            <w:shd w:val="clear" w:color="auto" w:fill="auto"/>
          </w:tcPr>
          <w:p>
            <w:pPr>
              <w:pStyle w:val="TableParagraph"/>
              <w:spacing w:before="69" w:line="309" w:lineRule="auto"/>
              <w:ind w:left="106" w:right="601"/>
              <w:rPr>
                <w:rFonts w:ascii="Times New Roman" w:hAnsi="Times New Roman" w:cs="Times New Roman"/>
                <w:noProof/>
                <w:sz w:val="24"/>
                <w:szCs w:val="24"/>
              </w:rPr>
            </w:pPr>
            <w:r>
              <w:rPr>
                <w:rFonts w:ascii="Times New Roman" w:hAnsi="Times New Roman"/>
                <w:noProof/>
                <w:sz w:val="24"/>
                <w:szCs w:val="24"/>
              </w:rPr>
              <w:t>Tee uusi eläinlääkettä koskeva merkintä</w:t>
            </w:r>
          </w:p>
        </w:tc>
        <w:tc>
          <w:tcPr>
            <w:tcW w:w="0" w:type="auto"/>
            <w:shd w:val="clear" w:color="auto" w:fill="auto"/>
          </w:tcPr>
          <w:p>
            <w:pPr>
              <w:pStyle w:val="TableParagraph"/>
              <w:spacing w:before="69" w:line="307" w:lineRule="auto"/>
              <w:ind w:left="108" w:right="91"/>
              <w:rPr>
                <w:rFonts w:ascii="Times New Roman" w:hAnsi="Times New Roman" w:cs="Times New Roman"/>
                <w:noProof/>
                <w:sz w:val="24"/>
                <w:szCs w:val="24"/>
              </w:rPr>
            </w:pPr>
            <w:r>
              <w:rPr>
                <w:rFonts w:ascii="Times New Roman" w:hAnsi="Times New Roman"/>
                <w:noProof/>
                <w:sz w:val="24"/>
                <w:szCs w:val="24"/>
              </w:rPr>
              <w:t>Asianomaisen toimivaltaisen viranomaisen tai tapauksen mukaan komission on voitava tehdä eläinlääkkeitä koskevia uusia merkintöjä, kun asetuksen (EU) 2019/6 III luvun mukaisen myyntiluvan, asetuksen (EU) 2019/6 V luvun mukaisen rekisteröinnin, asetuksen (EU) 2019/6 5 artiklan 6 kohdan mukaisen käyttöluvan tai asetuksen (EU) 2019/6 102 artiklan mukaisen eläinlääkkeiden rinnakkaiskaupan hyväksymistä koskevassa menettelyssä saadaan myönteinen tulos. Näissä merkinnöissä on oltava tässä asetuksessa säädetyt kentät. Tiedot on voitava ladata tämän asetuksen 10 artiklassa tarkoitetussa esitysmuodossa olevasta tietoaineistosta 6 artiklassa säädetyn käyttöliittymän tai 9 artiklan i alakohdassa tarkoitetun sovellusrajapinnan kautta.</w:t>
            </w:r>
          </w:p>
        </w:tc>
      </w:tr>
      <w:tr>
        <w:tc>
          <w:tcPr>
            <w:tcW w:w="1487" w:type="dxa"/>
            <w:shd w:val="clear" w:color="auto" w:fill="auto"/>
          </w:tcPr>
          <w:p>
            <w:pPr>
              <w:pStyle w:val="TableParagraph"/>
              <w:numPr>
                <w:ilvl w:val="0"/>
                <w:numId w:val="5"/>
              </w:numPr>
              <w:spacing w:before="71"/>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248"/>
              <w:rPr>
                <w:rFonts w:ascii="Times New Roman" w:hAnsi="Times New Roman" w:cs="Times New Roman"/>
                <w:noProof/>
                <w:sz w:val="24"/>
                <w:szCs w:val="24"/>
              </w:rPr>
            </w:pPr>
            <w:r>
              <w:rPr>
                <w:rFonts w:ascii="Times New Roman" w:hAnsi="Times New Roman"/>
                <w:noProof/>
                <w:sz w:val="24"/>
                <w:szCs w:val="24"/>
              </w:rPr>
              <w:t>Tee eläinlääkettä koskeva väliaikainen merkintä</w:t>
            </w:r>
          </w:p>
        </w:tc>
        <w:tc>
          <w:tcPr>
            <w:tcW w:w="0" w:type="auto"/>
            <w:shd w:val="clear" w:color="auto" w:fill="auto"/>
          </w:tcPr>
          <w:p>
            <w:pPr>
              <w:pStyle w:val="TableParagraph"/>
              <w:spacing w:before="68" w:line="307" w:lineRule="auto"/>
              <w:ind w:left="108" w:right="113"/>
              <w:rPr>
                <w:rFonts w:ascii="Times New Roman" w:hAnsi="Times New Roman" w:cs="Times New Roman"/>
                <w:noProof/>
                <w:sz w:val="24"/>
                <w:szCs w:val="24"/>
              </w:rPr>
            </w:pPr>
            <w:r>
              <w:rPr>
                <w:rFonts w:ascii="Times New Roman" w:hAnsi="Times New Roman"/>
                <w:noProof/>
                <w:sz w:val="24"/>
                <w:szCs w:val="24"/>
              </w:rPr>
              <w:t>Viitejäsenvaltion on voitava tehdä kaikkien asianomaisten jäsenvaltioiden osalta eläinlääkkeitä koskevia väliaikaisia merkintöjä versionhallintaa varten, jos asetuksen (EU) 2019/6 III luvun 3, 4 ja 5 jaksossa säädetyissä menettelyissä, jotka koskevat hajautettua myyntilupaa tai kansallisten myyntilupien keskinäistä tunnustamista tai myöhempää tunnustamista keskinäisessä tunnustamismenettelyssä ja hajautetussa myyntilupamenettelyssä, saadaan myönteinen tulos, kunnes myyntilupa on myönnetty tietyissä jäsenvaltioissa. Tämän on tuettava myyntiluvan ehtojen muuttamismenettelyjä, ennen kuin myyntilupa on myönnetty tietyissä jäsenvaltioissa, ja varmistettava tietojen laatu. Näissä merkinnöissä on oltava tässä asetuksessa säädetyt kentät. Tiedot on voitava ladata tämän asetuksen 10 artiklassa tarkoitetussa esitysmuodossa olevasta tietoaineistosta 6 artiklassa säädetyn käyttöliittymän tai 9 artiklan i alakohdassa tarkoitetun sovellusrajapinnan kautta.</w:t>
            </w:r>
          </w:p>
        </w:tc>
      </w:tr>
      <w:tr>
        <w:tc>
          <w:tcPr>
            <w:tcW w:w="1487" w:type="dxa"/>
            <w:shd w:val="clear" w:color="auto" w:fill="auto"/>
          </w:tcPr>
          <w:p>
            <w:pPr>
              <w:pStyle w:val="TableParagraph"/>
              <w:numPr>
                <w:ilvl w:val="0"/>
                <w:numId w:val="5"/>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318"/>
              <w:rPr>
                <w:rFonts w:ascii="Times New Roman" w:hAnsi="Times New Roman" w:cs="Times New Roman"/>
                <w:noProof/>
                <w:sz w:val="24"/>
                <w:szCs w:val="24"/>
              </w:rPr>
            </w:pPr>
            <w:r>
              <w:rPr>
                <w:rFonts w:ascii="Times New Roman" w:hAnsi="Times New Roman"/>
                <w:noProof/>
                <w:sz w:val="24"/>
                <w:szCs w:val="24"/>
              </w:rPr>
              <w:t>Toimita eläinlääkkeitä koskevia tietoja ja asiakirjoja valmistetietokannan perustamisvaiheessa</w:t>
            </w:r>
          </w:p>
        </w:tc>
        <w:tc>
          <w:tcPr>
            <w:tcW w:w="0" w:type="auto"/>
            <w:shd w:val="clear" w:color="auto" w:fill="auto"/>
          </w:tcPr>
          <w:p>
            <w:pPr>
              <w:pStyle w:val="TableParagraph"/>
              <w:spacing w:before="70" w:line="307" w:lineRule="auto"/>
              <w:ind w:left="108" w:right="193"/>
              <w:rPr>
                <w:rFonts w:ascii="Times New Roman" w:hAnsi="Times New Roman" w:cs="Times New Roman"/>
                <w:noProof/>
                <w:sz w:val="24"/>
                <w:szCs w:val="24"/>
              </w:rPr>
            </w:pPr>
            <w:r>
              <w:rPr>
                <w:rFonts w:ascii="Times New Roman" w:hAnsi="Times New Roman"/>
                <w:noProof/>
                <w:sz w:val="24"/>
                <w:szCs w:val="24"/>
              </w:rPr>
              <w:t>Toimivaltaisten viranomaisten tai tapauksen mukaan komission on voitava toimittaa sähköisessä muodossa tietoja ja asiakirjoja unionin valmistetietokantaan sen perustamisvaiheessa tässä asetuksessa säädettyjen vaatimusten mukaisesti. Tämä on voitava tehdä massalatauksena käyttöliittymän kautta tai tiedostonsiirtona.</w:t>
            </w:r>
          </w:p>
        </w:tc>
      </w:tr>
      <w:tr>
        <w:tc>
          <w:tcPr>
            <w:tcW w:w="1487" w:type="dxa"/>
            <w:shd w:val="clear" w:color="auto" w:fill="auto"/>
          </w:tcPr>
          <w:p>
            <w:pPr>
              <w:pStyle w:val="TableParagraph"/>
              <w:numPr>
                <w:ilvl w:val="0"/>
                <w:numId w:val="5"/>
              </w:numPr>
              <w:spacing w:before="63"/>
              <w:rPr>
                <w:rFonts w:ascii="Times New Roman" w:hAnsi="Times New Roman" w:cs="Times New Roman"/>
                <w:noProof/>
                <w:sz w:val="24"/>
                <w:szCs w:val="24"/>
              </w:rPr>
            </w:pPr>
          </w:p>
        </w:tc>
        <w:tc>
          <w:tcPr>
            <w:tcW w:w="2538" w:type="dxa"/>
            <w:shd w:val="clear" w:color="auto" w:fill="auto"/>
          </w:tcPr>
          <w:p>
            <w:pPr>
              <w:pStyle w:val="TableParagraph"/>
              <w:spacing w:line="309" w:lineRule="auto"/>
              <w:ind w:left="106" w:right="223"/>
              <w:rPr>
                <w:rFonts w:ascii="Times New Roman" w:hAnsi="Times New Roman" w:cs="Times New Roman"/>
                <w:noProof/>
                <w:sz w:val="24"/>
                <w:szCs w:val="24"/>
              </w:rPr>
            </w:pPr>
            <w:r>
              <w:rPr>
                <w:rFonts w:ascii="Times New Roman" w:hAnsi="Times New Roman"/>
                <w:noProof/>
                <w:sz w:val="24"/>
                <w:szCs w:val="24"/>
              </w:rPr>
              <w:t>Toimita tietoja rinnakkaiskaupattavista eläinlääkkeistä</w:t>
            </w:r>
          </w:p>
        </w:tc>
        <w:tc>
          <w:tcPr>
            <w:tcW w:w="0" w:type="auto"/>
            <w:shd w:val="clear" w:color="auto" w:fill="auto"/>
          </w:tcPr>
          <w:p>
            <w:pPr>
              <w:pStyle w:val="TableParagraph"/>
              <w:spacing w:line="307" w:lineRule="auto"/>
              <w:ind w:left="108" w:right="95"/>
              <w:rPr>
                <w:rFonts w:ascii="Times New Roman" w:hAnsi="Times New Roman" w:cs="Times New Roman"/>
                <w:noProof/>
                <w:sz w:val="24"/>
                <w:szCs w:val="24"/>
              </w:rPr>
            </w:pPr>
            <w:r>
              <w:rPr>
                <w:rFonts w:ascii="Times New Roman" w:hAnsi="Times New Roman"/>
                <w:noProof/>
                <w:sz w:val="24"/>
                <w:szCs w:val="24"/>
              </w:rPr>
              <w:t>Kun on kyse asetuksen (EU) 2019/6 102 artiklassa tarkoitetusta rinnakkaiskaupasta, määräjäsenvaltion toimivaltaisen viranomaisen on voitava toimittaa tiedot rinnakkaiskaupattavista eläinlääkkeistä sähköisessä muodossa unionin valmistetietokantaan tässä asetuksessa säädettyjen vaatimusten mukaisesti.</w:t>
            </w:r>
          </w:p>
        </w:tc>
      </w:tr>
      <w:tr>
        <w:tc>
          <w:tcPr>
            <w:tcW w:w="1487" w:type="dxa"/>
            <w:shd w:val="clear" w:color="auto" w:fill="auto"/>
          </w:tcPr>
          <w:p>
            <w:pPr>
              <w:pStyle w:val="TableParagraph"/>
              <w:numPr>
                <w:ilvl w:val="0"/>
                <w:numId w:val="5"/>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1092"/>
              <w:rPr>
                <w:rFonts w:ascii="Times New Roman" w:hAnsi="Times New Roman" w:cs="Times New Roman"/>
                <w:noProof/>
                <w:sz w:val="24"/>
                <w:szCs w:val="24"/>
              </w:rPr>
            </w:pPr>
            <w:r>
              <w:rPr>
                <w:rFonts w:ascii="Times New Roman" w:hAnsi="Times New Roman"/>
                <w:noProof/>
                <w:sz w:val="24"/>
                <w:szCs w:val="24"/>
              </w:rPr>
              <w:t>Käytä kontrolloituja termejä, aineita koskevia termejä ja organisaatiodataa</w:t>
            </w:r>
          </w:p>
        </w:tc>
        <w:tc>
          <w:tcPr>
            <w:tcW w:w="0" w:type="auto"/>
            <w:shd w:val="clear" w:color="auto" w:fill="auto"/>
          </w:tcPr>
          <w:p>
            <w:pPr>
              <w:pStyle w:val="TableParagraph"/>
              <w:spacing w:before="70" w:line="307" w:lineRule="auto"/>
              <w:ind w:left="108" w:right="268"/>
              <w:rPr>
                <w:rFonts w:ascii="Times New Roman" w:hAnsi="Times New Roman" w:cs="Times New Roman"/>
                <w:noProof/>
                <w:sz w:val="24"/>
                <w:szCs w:val="24"/>
              </w:rPr>
            </w:pPr>
            <w:r>
              <w:rPr>
                <w:rFonts w:ascii="Times New Roman" w:hAnsi="Times New Roman"/>
                <w:noProof/>
                <w:sz w:val="24"/>
                <w:szCs w:val="24"/>
              </w:rPr>
              <w:t>Unionin valmistetietokannassa on käytettävä kontrolloituja termejä, mukaan lukien aineita koskevat termit ja organisaatiodata.</w:t>
            </w:r>
          </w:p>
        </w:tc>
      </w:tr>
      <w:tr>
        <w:tc>
          <w:tcPr>
            <w:tcW w:w="1487" w:type="dxa"/>
            <w:shd w:val="clear" w:color="auto" w:fill="auto"/>
          </w:tcPr>
          <w:p>
            <w:pPr>
              <w:pStyle w:val="TableParagraph"/>
              <w:numPr>
                <w:ilvl w:val="0"/>
                <w:numId w:val="5"/>
              </w:numPr>
              <w:spacing w:before="71"/>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173"/>
              <w:rPr>
                <w:rFonts w:ascii="Times New Roman" w:hAnsi="Times New Roman" w:cs="Times New Roman"/>
                <w:noProof/>
                <w:sz w:val="24"/>
                <w:szCs w:val="24"/>
              </w:rPr>
            </w:pPr>
            <w:r>
              <w:rPr>
                <w:rFonts w:ascii="Times New Roman" w:hAnsi="Times New Roman"/>
                <w:noProof/>
                <w:sz w:val="24"/>
                <w:szCs w:val="24"/>
              </w:rPr>
              <w:t>Käytä johdonmukaisia valmistetietoja, jos menettelyssä, joka koskee hajautettua myyntilupaa tai kansallisten myyntilupien keskinäistä tunnustamista tai myöhempää tunnustamista keskinäisessä tunnustamismenettelyssä ja hajautetussa myyntilupamenettelyssä, saadaan myönteinen tulos.</w:t>
            </w:r>
          </w:p>
        </w:tc>
        <w:tc>
          <w:tcPr>
            <w:tcW w:w="0" w:type="auto"/>
            <w:shd w:val="clear" w:color="auto" w:fill="auto"/>
          </w:tcPr>
          <w:p>
            <w:pPr>
              <w:pStyle w:val="TableParagraph"/>
              <w:spacing w:before="68" w:line="307" w:lineRule="auto"/>
              <w:ind w:left="108" w:right="152"/>
              <w:rPr>
                <w:rFonts w:ascii="Times New Roman" w:hAnsi="Times New Roman" w:cs="Times New Roman"/>
                <w:noProof/>
                <w:sz w:val="24"/>
                <w:szCs w:val="24"/>
              </w:rPr>
            </w:pPr>
            <w:r>
              <w:rPr>
                <w:rFonts w:ascii="Times New Roman" w:hAnsi="Times New Roman"/>
                <w:noProof/>
                <w:sz w:val="24"/>
                <w:szCs w:val="24"/>
              </w:rPr>
              <w:t>Unionin valmistetietokannassa on oltava keinot, joilla varmistetaan niiden tietojen keskinäinen yhdenmukaisuus, jotka esiintyvät useita valmisteita koskevissa merkinnöissä, jos asetuksen (EU) 2019/6 III luvun 3, 4 ja 5 jaksossa säädetyissä menettelyissä, jotka koskevat hajautettua myyntilupaa tai kansallisten myyntilupien keskinäistä tunnustamista tai myöhempää tunnustamista keskinäisessä tunnustamismenettelyssä ja hajautetussa myyntilupamenettelyssä, saadaan myönteinen tulos. Tämän on tuettava myyntiluvan ehtojen muutosten toimittamista. Tähän eivät sisälly tiedot ja asiakirjat, jotka on toimitettu valmistetietokannan perustamisvaiheessa.</w:t>
            </w:r>
          </w:p>
        </w:tc>
      </w:tr>
      <w:tr>
        <w:tc>
          <w:tcPr>
            <w:tcW w:w="1487" w:type="dxa"/>
            <w:shd w:val="clear" w:color="auto" w:fill="auto"/>
          </w:tcPr>
          <w:p>
            <w:pPr>
              <w:pStyle w:val="TableParagraph"/>
              <w:numPr>
                <w:ilvl w:val="0"/>
                <w:numId w:val="5"/>
              </w:numPr>
              <w:spacing w:before="71"/>
              <w:rPr>
                <w:rFonts w:ascii="Times New Roman" w:hAnsi="Times New Roman" w:cs="Times New Roman"/>
                <w:noProof/>
                <w:sz w:val="24"/>
                <w:szCs w:val="24"/>
              </w:rPr>
            </w:pPr>
          </w:p>
        </w:tc>
        <w:tc>
          <w:tcPr>
            <w:tcW w:w="2538" w:type="dxa"/>
            <w:shd w:val="clear" w:color="auto" w:fill="auto"/>
          </w:tcPr>
          <w:p>
            <w:pPr>
              <w:pStyle w:val="TableParagraph"/>
              <w:spacing w:before="71"/>
              <w:ind w:left="106"/>
              <w:rPr>
                <w:rFonts w:ascii="Times New Roman" w:hAnsi="Times New Roman" w:cs="Times New Roman"/>
                <w:noProof/>
                <w:sz w:val="24"/>
                <w:szCs w:val="24"/>
              </w:rPr>
            </w:pPr>
            <w:r>
              <w:rPr>
                <w:rFonts w:ascii="Times New Roman" w:hAnsi="Times New Roman"/>
                <w:noProof/>
                <w:sz w:val="24"/>
                <w:szCs w:val="24"/>
              </w:rPr>
              <w:t>Tietojen validointi</w:t>
            </w:r>
          </w:p>
        </w:tc>
        <w:tc>
          <w:tcPr>
            <w:tcW w:w="0" w:type="auto"/>
            <w:shd w:val="clear" w:color="auto" w:fill="auto"/>
          </w:tcPr>
          <w:p>
            <w:pPr>
              <w:pStyle w:val="TableParagraph"/>
              <w:spacing w:before="68" w:line="309" w:lineRule="auto"/>
              <w:ind w:left="108" w:right="274"/>
              <w:rPr>
                <w:rFonts w:ascii="Times New Roman" w:hAnsi="Times New Roman" w:cs="Times New Roman"/>
                <w:noProof/>
                <w:sz w:val="24"/>
                <w:szCs w:val="24"/>
              </w:rPr>
            </w:pPr>
            <w:r>
              <w:rPr>
                <w:rFonts w:ascii="Times New Roman" w:hAnsi="Times New Roman"/>
                <w:noProof/>
                <w:sz w:val="24"/>
                <w:szCs w:val="24"/>
              </w:rPr>
              <w:t>Unionin valmistetietokannassa on validoitava uusia eläinlääkkeitä koskevat tiedot vertaamalla niitä toimivaltaisten viranomaisten, komission ja lääkeviraston sopimiin arvoihin ja sääntöihin.</w:t>
            </w:r>
          </w:p>
        </w:tc>
      </w:tr>
      <w:tr>
        <w:tc>
          <w:tcPr>
            <w:tcW w:w="1487" w:type="dxa"/>
            <w:shd w:val="clear" w:color="auto" w:fill="auto"/>
          </w:tcPr>
          <w:p>
            <w:pPr>
              <w:pStyle w:val="TableParagraph"/>
              <w:numPr>
                <w:ilvl w:val="0"/>
                <w:numId w:val="5"/>
              </w:numPr>
              <w:spacing w:before="71"/>
              <w:rPr>
                <w:rFonts w:ascii="Times New Roman" w:hAnsi="Times New Roman" w:cs="Times New Roman"/>
                <w:noProof/>
                <w:sz w:val="24"/>
                <w:szCs w:val="24"/>
              </w:rPr>
            </w:pPr>
          </w:p>
        </w:tc>
        <w:tc>
          <w:tcPr>
            <w:tcW w:w="2538" w:type="dxa"/>
            <w:shd w:val="clear" w:color="auto" w:fill="auto"/>
          </w:tcPr>
          <w:p>
            <w:pPr>
              <w:pStyle w:val="TableParagraph"/>
              <w:spacing w:before="69" w:line="309" w:lineRule="auto"/>
              <w:ind w:left="106" w:right="447"/>
              <w:rPr>
                <w:rFonts w:ascii="Times New Roman" w:hAnsi="Times New Roman" w:cs="Times New Roman"/>
                <w:noProof/>
                <w:sz w:val="24"/>
                <w:szCs w:val="24"/>
              </w:rPr>
            </w:pPr>
            <w:r>
              <w:rPr>
                <w:rFonts w:ascii="Times New Roman" w:hAnsi="Times New Roman"/>
                <w:noProof/>
                <w:sz w:val="24"/>
                <w:szCs w:val="24"/>
              </w:rPr>
              <w:t>Toimita tietoaineistoja toimivaltaisten viranomaisten tietokantoihin tehtäviä päivityksiä varten</w:t>
            </w:r>
          </w:p>
        </w:tc>
        <w:tc>
          <w:tcPr>
            <w:tcW w:w="0" w:type="auto"/>
            <w:shd w:val="clear" w:color="auto" w:fill="auto"/>
          </w:tcPr>
          <w:p>
            <w:pPr>
              <w:pStyle w:val="TableParagraph"/>
              <w:spacing w:before="69" w:line="307" w:lineRule="auto"/>
              <w:ind w:left="108" w:right="258"/>
              <w:rPr>
                <w:rFonts w:ascii="Times New Roman" w:hAnsi="Times New Roman" w:cs="Times New Roman"/>
                <w:noProof/>
                <w:sz w:val="24"/>
                <w:szCs w:val="24"/>
              </w:rPr>
            </w:pPr>
            <w:r>
              <w:rPr>
                <w:rFonts w:ascii="Times New Roman" w:hAnsi="Times New Roman"/>
                <w:noProof/>
                <w:sz w:val="24"/>
                <w:szCs w:val="24"/>
              </w:rPr>
              <w:t>Toimivaltaisten viranomaisten on voitava saada päivitetyt tietoaineistot unionin valmistetietokannasta sellaisessa muodossa, että ne voivat syöttää päivityksen omiin tietokantoihinsa.</w:t>
            </w:r>
          </w:p>
        </w:tc>
      </w:tr>
      <w:tr>
        <w:tc>
          <w:tcPr>
            <w:tcW w:w="1487" w:type="dxa"/>
            <w:shd w:val="clear" w:color="auto" w:fill="auto"/>
          </w:tcPr>
          <w:p>
            <w:pPr>
              <w:pStyle w:val="TableParagraph"/>
              <w:numPr>
                <w:ilvl w:val="0"/>
                <w:numId w:val="5"/>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368"/>
              <w:rPr>
                <w:rFonts w:ascii="Times New Roman" w:hAnsi="Times New Roman" w:cs="Times New Roman"/>
                <w:noProof/>
                <w:sz w:val="24"/>
                <w:szCs w:val="24"/>
              </w:rPr>
            </w:pPr>
            <w:r>
              <w:rPr>
                <w:rFonts w:ascii="Times New Roman" w:hAnsi="Times New Roman"/>
                <w:noProof/>
                <w:sz w:val="24"/>
                <w:szCs w:val="24"/>
              </w:rPr>
              <w:t>Anna valmisteelle yksilöllinen tunniste</w:t>
            </w:r>
          </w:p>
        </w:tc>
        <w:tc>
          <w:tcPr>
            <w:tcW w:w="0" w:type="auto"/>
            <w:shd w:val="clear" w:color="auto" w:fill="auto"/>
          </w:tcPr>
          <w:p>
            <w:pPr>
              <w:pStyle w:val="TableParagraph"/>
              <w:spacing w:before="70" w:line="307" w:lineRule="auto"/>
              <w:ind w:left="108" w:right="422"/>
              <w:rPr>
                <w:rFonts w:ascii="Times New Roman" w:hAnsi="Times New Roman" w:cs="Times New Roman"/>
                <w:noProof/>
                <w:sz w:val="24"/>
                <w:szCs w:val="24"/>
              </w:rPr>
            </w:pPr>
            <w:r>
              <w:rPr>
                <w:rFonts w:ascii="Times New Roman" w:hAnsi="Times New Roman"/>
                <w:noProof/>
                <w:sz w:val="24"/>
                <w:szCs w:val="24"/>
              </w:rPr>
              <w:t>Unionin valmistetietokannassa on annettava eläinlääkkeille yksilöllinen tunniste, jotta automatisoitu tietojenvaihto on mahdollista unionin valmistetietokannan ja muiden unionin tai toimivaltaisten viranomaisten tietokantojen välillä.</w:t>
            </w:r>
          </w:p>
        </w:tc>
      </w:tr>
      <w:tr>
        <w:tc>
          <w:tcPr>
            <w:tcW w:w="1487" w:type="dxa"/>
            <w:shd w:val="clear" w:color="auto" w:fill="auto"/>
          </w:tcPr>
          <w:p>
            <w:pPr>
              <w:pStyle w:val="TableParagraph"/>
              <w:numPr>
                <w:ilvl w:val="0"/>
                <w:numId w:val="5"/>
              </w:numPr>
              <w:spacing w:before="63"/>
              <w:rPr>
                <w:rFonts w:ascii="Times New Roman" w:hAnsi="Times New Roman" w:cs="Times New Roman"/>
                <w:noProof/>
                <w:sz w:val="24"/>
                <w:szCs w:val="24"/>
              </w:rPr>
            </w:pPr>
          </w:p>
        </w:tc>
        <w:tc>
          <w:tcPr>
            <w:tcW w:w="2538" w:type="dxa"/>
            <w:shd w:val="clear" w:color="auto" w:fill="auto"/>
          </w:tcPr>
          <w:p>
            <w:pPr>
              <w:pStyle w:val="TableParagraph"/>
              <w:spacing w:line="309" w:lineRule="auto"/>
              <w:ind w:left="106" w:right="596"/>
              <w:rPr>
                <w:rFonts w:ascii="Times New Roman" w:hAnsi="Times New Roman" w:cs="Times New Roman"/>
                <w:noProof/>
                <w:sz w:val="24"/>
                <w:szCs w:val="24"/>
              </w:rPr>
            </w:pPr>
            <w:r>
              <w:rPr>
                <w:rFonts w:ascii="Times New Roman" w:hAnsi="Times New Roman"/>
                <w:noProof/>
                <w:sz w:val="24"/>
                <w:szCs w:val="24"/>
              </w:rPr>
              <w:t>Toimita tietoja unionin lääketurvatietokantaan</w:t>
            </w:r>
          </w:p>
        </w:tc>
        <w:tc>
          <w:tcPr>
            <w:tcW w:w="0" w:type="auto"/>
            <w:shd w:val="clear" w:color="auto" w:fill="auto"/>
          </w:tcPr>
          <w:p>
            <w:pPr>
              <w:pStyle w:val="TableParagraph"/>
              <w:spacing w:line="307" w:lineRule="auto"/>
              <w:ind w:left="108" w:right="174"/>
              <w:rPr>
                <w:rFonts w:ascii="Times New Roman" w:hAnsi="Times New Roman" w:cs="Times New Roman"/>
                <w:noProof/>
                <w:sz w:val="24"/>
                <w:szCs w:val="24"/>
              </w:rPr>
            </w:pPr>
            <w:r>
              <w:rPr>
                <w:rFonts w:ascii="Times New Roman" w:hAnsi="Times New Roman"/>
                <w:noProof/>
                <w:sz w:val="24"/>
                <w:szCs w:val="24"/>
              </w:rPr>
              <w:t>Unionin lääketurvatietokannan on voitava saada unionin valmistetietokannasta eläinlääkkeitä koskevat merkitykselliset tiedot (mukaan lukien myyntimäärät).</w:t>
            </w:r>
          </w:p>
        </w:tc>
      </w:tr>
      <w:tr>
        <w:tc>
          <w:tcPr>
            <w:tcW w:w="1487" w:type="dxa"/>
            <w:shd w:val="clear" w:color="auto" w:fill="auto"/>
          </w:tcPr>
          <w:p>
            <w:pPr>
              <w:pStyle w:val="TableParagraph"/>
              <w:numPr>
                <w:ilvl w:val="0"/>
                <w:numId w:val="9"/>
              </w:numPr>
              <w:spacing w:before="64"/>
              <w:rPr>
                <w:rFonts w:ascii="Times New Roman" w:hAnsi="Times New Roman" w:cs="Times New Roman"/>
                <w:noProof/>
                <w:sz w:val="24"/>
                <w:szCs w:val="24"/>
              </w:rPr>
            </w:pPr>
          </w:p>
        </w:tc>
        <w:tc>
          <w:tcPr>
            <w:tcW w:w="7596" w:type="dxa"/>
            <w:gridSpan w:val="2"/>
            <w:shd w:val="clear" w:color="auto" w:fill="auto"/>
          </w:tcPr>
          <w:p>
            <w:pPr>
              <w:pStyle w:val="CommentText"/>
              <w:spacing w:before="68" w:line="307" w:lineRule="auto"/>
              <w:ind w:left="108" w:right="179"/>
              <w:jc w:val="left"/>
              <w:rPr>
                <w:b/>
                <w:noProof/>
                <w:sz w:val="24"/>
                <w:szCs w:val="24"/>
              </w:rPr>
            </w:pPr>
            <w:r>
              <w:rPr>
                <w:b/>
                <w:noProof/>
                <w:sz w:val="24"/>
                <w:szCs w:val="24"/>
              </w:rPr>
              <w:t>Myyntiluvan myöntämisen jälkeiset muutokset eläinlääkkeitä koskeviin tietoihin</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221"/>
              <w:rPr>
                <w:rFonts w:ascii="Times New Roman" w:hAnsi="Times New Roman" w:cs="Times New Roman"/>
                <w:noProof/>
                <w:sz w:val="24"/>
                <w:szCs w:val="24"/>
              </w:rPr>
            </w:pPr>
            <w:r>
              <w:rPr>
                <w:rFonts w:ascii="Times New Roman" w:hAnsi="Times New Roman"/>
                <w:noProof/>
                <w:sz w:val="24"/>
                <w:szCs w:val="24"/>
              </w:rPr>
              <w:t>Kirjaa myyntiluvan ehtojen muutos, joka ei edellytä arviointia</w:t>
            </w:r>
          </w:p>
        </w:tc>
        <w:tc>
          <w:tcPr>
            <w:tcW w:w="0" w:type="auto"/>
            <w:shd w:val="clear" w:color="auto" w:fill="auto"/>
          </w:tcPr>
          <w:p>
            <w:pPr>
              <w:pStyle w:val="TableParagraph"/>
              <w:spacing w:before="70" w:line="307" w:lineRule="auto"/>
              <w:ind w:left="108" w:right="91"/>
              <w:rPr>
                <w:rFonts w:ascii="Times New Roman" w:hAnsi="Times New Roman" w:cs="Times New Roman"/>
                <w:noProof/>
                <w:sz w:val="24"/>
                <w:szCs w:val="24"/>
              </w:rPr>
            </w:pPr>
            <w:r>
              <w:rPr>
                <w:rFonts w:ascii="Times New Roman" w:hAnsi="Times New Roman"/>
                <w:noProof/>
                <w:sz w:val="24"/>
                <w:szCs w:val="24"/>
              </w:rPr>
              <w:t>Jos myyntiluvan ehtojen muutos sisältyy komission täytäntöönpanoasetuksen (EU) [C(2021) 17] mukaisesti laadittuun luetteloon, myyntiluvan haltijan on voitava tallentaa se unionin valmistetietokantaan.</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183"/>
              <w:rPr>
                <w:rFonts w:ascii="Times New Roman" w:hAnsi="Times New Roman" w:cs="Times New Roman"/>
                <w:noProof/>
                <w:sz w:val="24"/>
                <w:szCs w:val="24"/>
              </w:rPr>
            </w:pPr>
            <w:r>
              <w:rPr>
                <w:rFonts w:ascii="Times New Roman" w:hAnsi="Times New Roman"/>
                <w:noProof/>
                <w:sz w:val="24"/>
                <w:szCs w:val="24"/>
              </w:rPr>
              <w:t>Anna valmistetietoja myyntiluvan ehtojen muuttamismenettelyä varten</w:t>
            </w:r>
          </w:p>
        </w:tc>
        <w:tc>
          <w:tcPr>
            <w:tcW w:w="0" w:type="auto"/>
            <w:shd w:val="clear" w:color="auto" w:fill="auto"/>
          </w:tcPr>
          <w:p>
            <w:pPr>
              <w:pStyle w:val="TableParagraph"/>
              <w:spacing w:before="68" w:line="307" w:lineRule="auto"/>
              <w:ind w:left="108" w:right="99"/>
              <w:rPr>
                <w:rFonts w:ascii="Times New Roman" w:hAnsi="Times New Roman" w:cs="Times New Roman"/>
                <w:noProof/>
                <w:sz w:val="24"/>
                <w:szCs w:val="24"/>
              </w:rPr>
            </w:pPr>
            <w:r>
              <w:rPr>
                <w:rFonts w:ascii="Times New Roman" w:hAnsi="Times New Roman"/>
                <w:noProof/>
                <w:sz w:val="24"/>
                <w:szCs w:val="24"/>
              </w:rPr>
              <w:t>Myyntiluvan haltijoiden on voitava valita myyntiluvan saaneita eläinlääkkeitään koskevista tiedoista merkitykselliset ydintiedot ja siirtää tarvittaessa ne, jotka on tarkoitus muuttaa.</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line="309" w:lineRule="auto"/>
              <w:ind w:left="106" w:right="253"/>
              <w:rPr>
                <w:rFonts w:ascii="Times New Roman" w:hAnsi="Times New Roman" w:cs="Times New Roman"/>
                <w:noProof/>
                <w:sz w:val="24"/>
                <w:szCs w:val="24"/>
              </w:rPr>
            </w:pPr>
            <w:r>
              <w:rPr>
                <w:rFonts w:ascii="Times New Roman" w:hAnsi="Times New Roman"/>
                <w:noProof/>
                <w:sz w:val="24"/>
                <w:szCs w:val="24"/>
              </w:rPr>
              <w:t>Hyväksy tai hylkää myyntiluvan ehtojen muutokset, jotka eivät edellytä arviointia</w:t>
            </w:r>
          </w:p>
        </w:tc>
        <w:tc>
          <w:tcPr>
            <w:tcW w:w="0" w:type="auto"/>
            <w:shd w:val="clear" w:color="auto" w:fill="auto"/>
          </w:tcPr>
          <w:p>
            <w:pPr>
              <w:pStyle w:val="TableParagraph"/>
              <w:spacing w:line="307" w:lineRule="auto"/>
              <w:ind w:left="108" w:right="299"/>
              <w:rPr>
                <w:rFonts w:ascii="Times New Roman" w:hAnsi="Times New Roman" w:cs="Times New Roman"/>
                <w:noProof/>
                <w:sz w:val="24"/>
                <w:szCs w:val="24"/>
              </w:rPr>
            </w:pPr>
            <w:r>
              <w:rPr>
                <w:rFonts w:ascii="Times New Roman" w:hAnsi="Times New Roman"/>
                <w:noProof/>
                <w:sz w:val="24"/>
                <w:szCs w:val="24"/>
              </w:rPr>
              <w:t>Sellaisten myyntiluvan ehtojen muutosten hyväksymisen tai hylkäämisen, jotka eivät edellytä arviointia, on oltava mahdollista ainakin 6 artiklassa säädetyn käyttöliittymän kautta.</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168"/>
              <w:rPr>
                <w:rFonts w:ascii="Times New Roman" w:hAnsi="Times New Roman" w:cs="Times New Roman"/>
                <w:noProof/>
                <w:sz w:val="24"/>
                <w:szCs w:val="24"/>
              </w:rPr>
            </w:pPr>
            <w:r>
              <w:rPr>
                <w:rFonts w:ascii="Times New Roman" w:hAnsi="Times New Roman"/>
                <w:noProof/>
                <w:sz w:val="24"/>
                <w:szCs w:val="24"/>
              </w:rPr>
              <w:t>Ilmoita tietoaineistoon tehdyistä muutoksista</w:t>
            </w:r>
          </w:p>
        </w:tc>
        <w:tc>
          <w:tcPr>
            <w:tcW w:w="0" w:type="auto"/>
            <w:shd w:val="clear" w:color="auto" w:fill="auto"/>
          </w:tcPr>
          <w:p>
            <w:pPr>
              <w:pStyle w:val="TableParagraph"/>
              <w:spacing w:before="68" w:line="307" w:lineRule="auto"/>
              <w:ind w:left="108" w:right="231"/>
              <w:rPr>
                <w:rFonts w:ascii="Times New Roman" w:hAnsi="Times New Roman" w:cs="Times New Roman"/>
                <w:noProof/>
                <w:sz w:val="24"/>
                <w:szCs w:val="24"/>
              </w:rPr>
            </w:pPr>
            <w:r>
              <w:rPr>
                <w:rFonts w:ascii="Times New Roman" w:hAnsi="Times New Roman"/>
                <w:noProof/>
                <w:sz w:val="24"/>
                <w:szCs w:val="24"/>
              </w:rPr>
              <w:t>Toimivaltaisten viranomaisten on voitava saada raportti unionin valmistetietokannassa jo olevien tietoaineistojen muutoshistoriasta. Myyntiluvan haltijoiden on voitava saada raportti omia eläinlääkkeitään koskevien unionin valmistetietokannassa jo olevien tietoaineistojen muutoshistoriasta.</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7" w:lineRule="auto"/>
              <w:ind w:left="106" w:right="303"/>
              <w:rPr>
                <w:rFonts w:ascii="Times New Roman" w:hAnsi="Times New Roman" w:cs="Times New Roman"/>
                <w:noProof/>
                <w:sz w:val="24"/>
                <w:szCs w:val="24"/>
              </w:rPr>
            </w:pPr>
            <w:r>
              <w:rPr>
                <w:rFonts w:ascii="Times New Roman" w:hAnsi="Times New Roman"/>
                <w:noProof/>
                <w:sz w:val="24"/>
                <w:szCs w:val="24"/>
              </w:rPr>
              <w:t>Päivitä unionin valmistetietokanta arviointia edellyttävien myyntiluvan ehtojen muutosten tai myyntilupien siirtojen jälkeen</w:t>
            </w:r>
          </w:p>
        </w:tc>
        <w:tc>
          <w:tcPr>
            <w:tcW w:w="0" w:type="auto"/>
            <w:shd w:val="clear" w:color="auto" w:fill="auto"/>
          </w:tcPr>
          <w:p>
            <w:pPr>
              <w:pStyle w:val="TableParagraph"/>
              <w:spacing w:before="68" w:line="307" w:lineRule="auto"/>
              <w:ind w:left="108" w:right="179"/>
              <w:rPr>
                <w:rFonts w:ascii="Times New Roman" w:hAnsi="Times New Roman" w:cs="Times New Roman"/>
                <w:noProof/>
                <w:sz w:val="24"/>
                <w:szCs w:val="24"/>
              </w:rPr>
            </w:pPr>
            <w:r>
              <w:rPr>
                <w:rFonts w:ascii="Times New Roman" w:hAnsi="Times New Roman"/>
                <w:noProof/>
                <w:sz w:val="24"/>
                <w:szCs w:val="24"/>
              </w:rPr>
              <w:t>Asianomaisten toimivaltaisten viranomaisten on voitava päivittää unionin valmistetietokanta arviointia edellyttävien myyntiluvan ehtojen muutosten jälkeen, jos tämä vaikuttaa niiden vastuulla olevia eläinlääkkeitä koskeviin valmistetietokannassa jo oleviin tietoaineistoihin. Tähän sisältyy myyntilupien siirto.</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9" w:line="309" w:lineRule="auto"/>
              <w:ind w:left="106" w:right="751"/>
              <w:rPr>
                <w:rFonts w:ascii="Times New Roman" w:hAnsi="Times New Roman" w:cs="Times New Roman"/>
                <w:noProof/>
                <w:sz w:val="24"/>
                <w:szCs w:val="24"/>
              </w:rPr>
            </w:pPr>
            <w:r>
              <w:rPr>
                <w:rFonts w:ascii="Times New Roman" w:hAnsi="Times New Roman"/>
                <w:noProof/>
                <w:sz w:val="24"/>
                <w:szCs w:val="24"/>
              </w:rPr>
              <w:t>Kerää myyntimäärät</w:t>
            </w:r>
          </w:p>
        </w:tc>
        <w:tc>
          <w:tcPr>
            <w:tcW w:w="0" w:type="auto"/>
            <w:shd w:val="clear" w:color="auto" w:fill="auto"/>
          </w:tcPr>
          <w:p>
            <w:pPr>
              <w:pStyle w:val="TableParagraph"/>
              <w:spacing w:before="69" w:line="307" w:lineRule="auto"/>
              <w:ind w:left="108" w:right="89"/>
              <w:rPr>
                <w:rFonts w:ascii="Times New Roman" w:hAnsi="Times New Roman" w:cs="Times New Roman"/>
                <w:noProof/>
                <w:sz w:val="24"/>
                <w:szCs w:val="24"/>
              </w:rPr>
            </w:pPr>
            <w:r>
              <w:rPr>
                <w:rFonts w:ascii="Times New Roman" w:hAnsi="Times New Roman"/>
                <w:noProof/>
                <w:sz w:val="24"/>
                <w:szCs w:val="24"/>
              </w:rPr>
              <w:t>Asetuksen (EU) 2019/6 5 artiklan 6 kohdassa tarkoitettujen eläinlääkkeiden osalta asetuksen (EU) 2019/6 III luvun mukaisesti myönnetyn myyntiluvan haltijoiden ja asetuksen (EU) 2019/6 V luvun mukaisesti myönnetyn homeopaattisen eläinlääkkeen rekisteröinnin haltijoiden on voitava kirjata unionin valmistetietokantaan kunkin eläinlääkkeensä vuosittainen myyntimäärä asianmukaisella tarkkuustasolla.</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891"/>
              <w:rPr>
                <w:rFonts w:ascii="Times New Roman" w:hAnsi="Times New Roman" w:cs="Times New Roman"/>
                <w:noProof/>
                <w:sz w:val="24"/>
                <w:szCs w:val="24"/>
              </w:rPr>
            </w:pPr>
            <w:r>
              <w:rPr>
                <w:rFonts w:ascii="Times New Roman" w:hAnsi="Times New Roman"/>
                <w:noProof/>
                <w:sz w:val="24"/>
                <w:szCs w:val="24"/>
              </w:rPr>
              <w:t>Ilmoita myyntimäärät analysointia varten</w:t>
            </w:r>
          </w:p>
        </w:tc>
        <w:tc>
          <w:tcPr>
            <w:tcW w:w="0" w:type="auto"/>
            <w:shd w:val="clear" w:color="auto" w:fill="auto"/>
          </w:tcPr>
          <w:p>
            <w:pPr>
              <w:pStyle w:val="TableParagraph"/>
              <w:spacing w:before="68" w:line="309" w:lineRule="auto"/>
              <w:ind w:left="108" w:right="567"/>
              <w:rPr>
                <w:rFonts w:ascii="Times New Roman" w:hAnsi="Times New Roman" w:cs="Times New Roman"/>
                <w:noProof/>
                <w:sz w:val="24"/>
                <w:szCs w:val="24"/>
              </w:rPr>
            </w:pPr>
            <w:r>
              <w:rPr>
                <w:rFonts w:ascii="Times New Roman" w:hAnsi="Times New Roman"/>
                <w:noProof/>
                <w:sz w:val="24"/>
                <w:szCs w:val="24"/>
              </w:rPr>
              <w:t>Unionin valmistetietokannasta on voitava saada tietoja eläinlääkkeiden myyntimääristä analysointia varten.</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725"/>
              <w:rPr>
                <w:rFonts w:ascii="Times New Roman" w:hAnsi="Times New Roman" w:cs="Times New Roman"/>
                <w:noProof/>
                <w:sz w:val="24"/>
                <w:szCs w:val="24"/>
              </w:rPr>
            </w:pPr>
            <w:r>
              <w:rPr>
                <w:rFonts w:ascii="Times New Roman" w:hAnsi="Times New Roman"/>
                <w:noProof/>
                <w:sz w:val="24"/>
                <w:szCs w:val="24"/>
              </w:rPr>
              <w:t>Kirjaa saatavuutta koskevia tietoja</w:t>
            </w:r>
          </w:p>
        </w:tc>
        <w:tc>
          <w:tcPr>
            <w:tcW w:w="0" w:type="auto"/>
            <w:shd w:val="clear" w:color="auto" w:fill="auto"/>
          </w:tcPr>
          <w:p>
            <w:pPr>
              <w:pStyle w:val="TableParagraph"/>
              <w:spacing w:before="68" w:line="307" w:lineRule="auto"/>
              <w:ind w:left="108" w:right="150"/>
              <w:rPr>
                <w:rFonts w:ascii="Times New Roman" w:hAnsi="Times New Roman" w:cs="Times New Roman"/>
                <w:noProof/>
                <w:sz w:val="24"/>
                <w:szCs w:val="24"/>
              </w:rPr>
            </w:pPr>
            <w:r>
              <w:rPr>
                <w:rFonts w:ascii="Times New Roman" w:hAnsi="Times New Roman"/>
                <w:noProof/>
                <w:sz w:val="24"/>
                <w:szCs w:val="24"/>
              </w:rPr>
              <w:t>Myyntiluvan haltijoiden on voitava kirjata ja päivittää kunkin myyntiluvan saaneen eläinlääkkeensä saatavuutta koskevat tiedot asianmukaisella tarkkuustasolla kussakin asianomaisessa jäsenvaltiossa. Toimivaltaisten viranomaisten on myös voitava kirjata ja päivittää nämä tiedot vastuullaan olevista eläinlääkkeistä omissa jäsenvaltioissaan.</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505"/>
              <w:rPr>
                <w:rFonts w:ascii="Times New Roman" w:hAnsi="Times New Roman" w:cs="Times New Roman"/>
                <w:noProof/>
                <w:sz w:val="24"/>
                <w:szCs w:val="24"/>
              </w:rPr>
            </w:pPr>
            <w:r>
              <w:rPr>
                <w:rFonts w:ascii="Times New Roman" w:hAnsi="Times New Roman"/>
                <w:noProof/>
                <w:sz w:val="24"/>
                <w:szCs w:val="24"/>
              </w:rPr>
              <w:t>Kirjaa myyntiluvan tila</w:t>
            </w:r>
          </w:p>
        </w:tc>
        <w:tc>
          <w:tcPr>
            <w:tcW w:w="0" w:type="auto"/>
            <w:shd w:val="clear" w:color="auto" w:fill="auto"/>
          </w:tcPr>
          <w:p>
            <w:pPr>
              <w:pStyle w:val="TableParagraph"/>
              <w:spacing w:before="70" w:line="307" w:lineRule="auto"/>
              <w:ind w:left="108" w:right="581"/>
              <w:rPr>
                <w:rFonts w:ascii="Times New Roman" w:hAnsi="Times New Roman" w:cs="Times New Roman"/>
                <w:noProof/>
                <w:sz w:val="24"/>
                <w:szCs w:val="24"/>
              </w:rPr>
            </w:pPr>
            <w:r>
              <w:rPr>
                <w:rFonts w:ascii="Times New Roman" w:hAnsi="Times New Roman"/>
                <w:noProof/>
                <w:sz w:val="24"/>
                <w:szCs w:val="24"/>
              </w:rPr>
              <w:t>Toimivaltaisten viranomaisten on voitava kirjata ja päivittää vastuullaan olevien eläinlääkkeiden myyntiluvan tila. Myyntiluvan haltijoiden on voitava päivittää eläinlääkkeidensä myyntiluvan tila, jos kyseiset myyntiluvat keskeytetään tai peruutetaan.</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70" w:line="307" w:lineRule="auto"/>
              <w:ind w:left="106" w:right="462"/>
              <w:rPr>
                <w:rFonts w:ascii="Times New Roman" w:hAnsi="Times New Roman" w:cs="Times New Roman"/>
                <w:noProof/>
                <w:sz w:val="24"/>
                <w:szCs w:val="24"/>
              </w:rPr>
            </w:pPr>
            <w:r>
              <w:rPr>
                <w:rFonts w:ascii="Times New Roman" w:hAnsi="Times New Roman"/>
                <w:noProof/>
                <w:sz w:val="24"/>
                <w:szCs w:val="24"/>
              </w:rPr>
              <w:t>Käsittele myyntiluvan myöntämisen jälkeisiä muutoksia rinnakkain</w:t>
            </w:r>
          </w:p>
        </w:tc>
        <w:tc>
          <w:tcPr>
            <w:tcW w:w="0" w:type="auto"/>
            <w:shd w:val="clear" w:color="auto" w:fill="auto"/>
          </w:tcPr>
          <w:p>
            <w:pPr>
              <w:pStyle w:val="TableParagraph"/>
              <w:spacing w:before="70" w:line="307" w:lineRule="auto"/>
              <w:ind w:left="108" w:right="101"/>
              <w:rPr>
                <w:rFonts w:ascii="Times New Roman" w:hAnsi="Times New Roman" w:cs="Times New Roman"/>
                <w:noProof/>
                <w:sz w:val="24"/>
                <w:szCs w:val="24"/>
              </w:rPr>
            </w:pPr>
            <w:r>
              <w:rPr>
                <w:rFonts w:ascii="Times New Roman" w:hAnsi="Times New Roman"/>
                <w:noProof/>
                <w:sz w:val="24"/>
                <w:szCs w:val="24"/>
              </w:rPr>
              <w:t>Unionin valmistetietokannan on tuettava myyntiluvan myöntämisen jälkeisten muutosten rinnakkaista käsittelyä.</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7" w:lineRule="auto"/>
              <w:ind w:left="108" w:right="172"/>
              <w:rPr>
                <w:rFonts w:ascii="Times New Roman" w:hAnsi="Times New Roman" w:cs="Times New Roman"/>
                <w:noProof/>
                <w:sz w:val="24"/>
                <w:szCs w:val="24"/>
              </w:rPr>
            </w:pPr>
            <w:r>
              <w:rPr>
                <w:rFonts w:ascii="Times New Roman" w:hAnsi="Times New Roman"/>
                <w:noProof/>
                <w:sz w:val="24"/>
                <w:szCs w:val="24"/>
              </w:rPr>
              <w:t>Linkitä myyntiluvan ehtojen muutokset useisiin myyntilupiin</w:t>
            </w:r>
          </w:p>
        </w:tc>
        <w:tc>
          <w:tcPr>
            <w:tcW w:w="0" w:type="auto"/>
            <w:shd w:val="clear" w:color="auto" w:fill="auto"/>
          </w:tcPr>
          <w:p>
            <w:pPr>
              <w:pStyle w:val="TableParagraph"/>
              <w:spacing w:before="68" w:line="307" w:lineRule="auto"/>
              <w:ind w:left="108" w:right="172"/>
              <w:rPr>
                <w:rFonts w:ascii="Times New Roman" w:hAnsi="Times New Roman" w:cs="Times New Roman"/>
                <w:noProof/>
                <w:sz w:val="24"/>
                <w:szCs w:val="24"/>
              </w:rPr>
            </w:pPr>
            <w:r>
              <w:rPr>
                <w:rFonts w:ascii="Times New Roman" w:hAnsi="Times New Roman"/>
                <w:noProof/>
                <w:sz w:val="24"/>
                <w:szCs w:val="24"/>
              </w:rPr>
              <w:t>Unionin valmistetietokannassa on voitava linkittää yksittäinen myyntiluvan ehtojen muutos rajoittamattomaan määrään myyntilupia.</w:t>
            </w:r>
          </w:p>
        </w:tc>
      </w:tr>
      <w:tr>
        <w:tc>
          <w:tcPr>
            <w:tcW w:w="1487" w:type="dxa"/>
            <w:shd w:val="clear" w:color="auto" w:fill="auto"/>
          </w:tcPr>
          <w:p>
            <w:pPr>
              <w:pStyle w:val="TableParagraph"/>
              <w:numPr>
                <w:ilvl w:val="0"/>
                <w:numId w:val="6"/>
              </w:numPr>
              <w:spacing w:before="72"/>
              <w:rPr>
                <w:rFonts w:ascii="Times New Roman" w:hAnsi="Times New Roman" w:cs="Times New Roman"/>
                <w:noProof/>
                <w:sz w:val="24"/>
                <w:szCs w:val="24"/>
              </w:rPr>
            </w:pPr>
          </w:p>
        </w:tc>
        <w:tc>
          <w:tcPr>
            <w:tcW w:w="2538" w:type="dxa"/>
            <w:shd w:val="clear" w:color="auto" w:fill="auto"/>
          </w:tcPr>
          <w:p>
            <w:pPr>
              <w:pStyle w:val="CommentText"/>
              <w:spacing w:before="68" w:line="309" w:lineRule="auto"/>
              <w:ind w:left="106" w:right="741"/>
              <w:rPr>
                <w:noProof/>
                <w:sz w:val="24"/>
                <w:szCs w:val="24"/>
              </w:rPr>
            </w:pPr>
            <w:r>
              <w:rPr>
                <w:noProof/>
                <w:sz w:val="24"/>
                <w:szCs w:val="24"/>
              </w:rPr>
              <w:t>Syötä tietojen muutosehdotuksia</w:t>
            </w:r>
          </w:p>
        </w:tc>
        <w:tc>
          <w:tcPr>
            <w:tcW w:w="0" w:type="auto"/>
            <w:shd w:val="clear" w:color="auto" w:fill="auto"/>
          </w:tcPr>
          <w:p>
            <w:pPr>
              <w:pStyle w:val="CommentText"/>
              <w:spacing w:before="68" w:line="307" w:lineRule="auto"/>
              <w:ind w:left="108" w:right="172"/>
              <w:rPr>
                <w:noProof/>
                <w:sz w:val="24"/>
                <w:szCs w:val="24"/>
              </w:rPr>
            </w:pPr>
            <w:r>
              <w:rPr>
                <w:noProof/>
                <w:sz w:val="24"/>
                <w:szCs w:val="24"/>
              </w:rPr>
              <w:t>Myyntiluvan haltijoiden on voitava syöttää muutosehdotuksia eläinlääkkeitänsä koskeviin, unionin valmistetietokannassa jo oleviin tietoaineistoihin kirjatessaan myyntiluvan ehtojen muutoksia, jotka eivät edellytä arviointia.</w:t>
            </w:r>
          </w:p>
        </w:tc>
      </w:tr>
      <w:tr>
        <w:tc>
          <w:tcPr>
            <w:tcW w:w="1487" w:type="dxa"/>
            <w:shd w:val="clear" w:color="auto" w:fill="auto"/>
          </w:tcPr>
          <w:p>
            <w:pPr>
              <w:pStyle w:val="TableParagraph"/>
              <w:numPr>
                <w:ilvl w:val="0"/>
                <w:numId w:val="9"/>
              </w:numPr>
              <w:spacing w:before="64"/>
              <w:rPr>
                <w:rFonts w:ascii="Times New Roman" w:hAnsi="Times New Roman" w:cs="Times New Roman"/>
                <w:b/>
                <w:noProof/>
                <w:sz w:val="24"/>
                <w:szCs w:val="24"/>
              </w:rPr>
            </w:pPr>
          </w:p>
        </w:tc>
        <w:tc>
          <w:tcPr>
            <w:tcW w:w="7596" w:type="dxa"/>
            <w:gridSpan w:val="2"/>
            <w:shd w:val="clear" w:color="auto" w:fill="auto"/>
          </w:tcPr>
          <w:p>
            <w:pPr>
              <w:pStyle w:val="CommentText"/>
              <w:spacing w:before="68" w:line="307" w:lineRule="auto"/>
              <w:ind w:left="108" w:right="172"/>
              <w:rPr>
                <w:b/>
                <w:noProof/>
                <w:sz w:val="24"/>
                <w:szCs w:val="24"/>
              </w:rPr>
            </w:pPr>
            <w:r>
              <w:rPr>
                <w:b/>
                <w:noProof/>
                <w:sz w:val="24"/>
                <w:szCs w:val="24"/>
              </w:rPr>
              <w:t>Pääsynhallinta</w:t>
            </w:r>
          </w:p>
        </w:tc>
      </w:tr>
      <w:tr>
        <w:tc>
          <w:tcPr>
            <w:tcW w:w="1487" w:type="dxa"/>
            <w:shd w:val="clear" w:color="auto" w:fill="auto"/>
          </w:tcPr>
          <w:p>
            <w:pPr>
              <w:pStyle w:val="TableParagraph"/>
              <w:numPr>
                <w:ilvl w:val="0"/>
                <w:numId w:val="7"/>
              </w:numPr>
              <w:spacing w:before="72"/>
              <w:rPr>
                <w:rFonts w:ascii="Times New Roman" w:hAnsi="Times New Roman" w:cs="Times New Roman"/>
                <w:noProof/>
                <w:sz w:val="24"/>
                <w:szCs w:val="24"/>
              </w:rPr>
            </w:pPr>
          </w:p>
        </w:tc>
        <w:tc>
          <w:tcPr>
            <w:tcW w:w="2538" w:type="dxa"/>
            <w:shd w:val="clear" w:color="auto" w:fill="auto"/>
          </w:tcPr>
          <w:p>
            <w:pPr>
              <w:pStyle w:val="TableParagraph"/>
              <w:spacing w:before="71"/>
              <w:ind w:left="106"/>
              <w:rPr>
                <w:rFonts w:ascii="Times New Roman" w:hAnsi="Times New Roman" w:cs="Times New Roman"/>
                <w:noProof/>
                <w:sz w:val="24"/>
                <w:szCs w:val="24"/>
              </w:rPr>
            </w:pPr>
            <w:r>
              <w:rPr>
                <w:rFonts w:ascii="Times New Roman" w:hAnsi="Times New Roman"/>
                <w:noProof/>
                <w:sz w:val="24"/>
                <w:szCs w:val="24"/>
              </w:rPr>
              <w:t>Yleisön pääsy tietoihin</w:t>
            </w:r>
          </w:p>
        </w:tc>
        <w:tc>
          <w:tcPr>
            <w:tcW w:w="0" w:type="auto"/>
            <w:shd w:val="clear" w:color="auto" w:fill="auto"/>
          </w:tcPr>
          <w:p>
            <w:pPr>
              <w:pStyle w:val="TableParagraph"/>
              <w:spacing w:before="68" w:line="309" w:lineRule="auto"/>
              <w:ind w:left="108" w:right="272"/>
              <w:rPr>
                <w:rFonts w:ascii="Times New Roman" w:hAnsi="Times New Roman" w:cs="Times New Roman"/>
                <w:noProof/>
                <w:sz w:val="24"/>
                <w:szCs w:val="24"/>
              </w:rPr>
            </w:pPr>
            <w:r>
              <w:rPr>
                <w:rFonts w:ascii="Times New Roman" w:hAnsi="Times New Roman"/>
                <w:noProof/>
                <w:sz w:val="24"/>
                <w:szCs w:val="24"/>
              </w:rPr>
              <w:t>Yleisön on voitava hakea ja katsella julkisesti saatavilla olevia tietoja.</w:t>
            </w:r>
          </w:p>
        </w:tc>
      </w:tr>
      <w:tr>
        <w:tc>
          <w:tcPr>
            <w:tcW w:w="1487" w:type="dxa"/>
            <w:shd w:val="clear" w:color="auto" w:fill="auto"/>
          </w:tcPr>
          <w:p>
            <w:pPr>
              <w:pStyle w:val="TableParagraph"/>
              <w:numPr>
                <w:ilvl w:val="0"/>
                <w:numId w:val="7"/>
              </w:numPr>
              <w:spacing w:before="72"/>
              <w:rPr>
                <w:rFonts w:ascii="Times New Roman" w:hAnsi="Times New Roman" w:cs="Times New Roman"/>
                <w:noProof/>
                <w:sz w:val="24"/>
                <w:szCs w:val="24"/>
              </w:rPr>
            </w:pPr>
          </w:p>
        </w:tc>
        <w:tc>
          <w:tcPr>
            <w:tcW w:w="2538" w:type="dxa"/>
            <w:shd w:val="clear" w:color="auto" w:fill="auto"/>
          </w:tcPr>
          <w:p>
            <w:pPr>
              <w:pStyle w:val="TableParagraph"/>
              <w:spacing w:before="71"/>
              <w:ind w:left="106"/>
              <w:rPr>
                <w:rFonts w:ascii="Times New Roman" w:hAnsi="Times New Roman" w:cs="Times New Roman"/>
                <w:noProof/>
                <w:sz w:val="24"/>
                <w:szCs w:val="24"/>
              </w:rPr>
            </w:pPr>
            <w:r>
              <w:rPr>
                <w:rFonts w:ascii="Times New Roman" w:hAnsi="Times New Roman"/>
                <w:noProof/>
                <w:sz w:val="24"/>
                <w:szCs w:val="24"/>
              </w:rPr>
              <w:t>Myyntiluvan haltijan pääsy tietoihin</w:t>
            </w:r>
          </w:p>
        </w:tc>
        <w:tc>
          <w:tcPr>
            <w:tcW w:w="0" w:type="auto"/>
            <w:shd w:val="clear" w:color="auto" w:fill="auto"/>
          </w:tcPr>
          <w:p>
            <w:pPr>
              <w:pStyle w:val="TableParagraph"/>
              <w:spacing w:before="68" w:line="307" w:lineRule="auto"/>
              <w:ind w:left="108" w:right="143"/>
              <w:rPr>
                <w:rFonts w:ascii="Times New Roman" w:hAnsi="Times New Roman" w:cs="Times New Roman"/>
                <w:noProof/>
                <w:sz w:val="24"/>
                <w:szCs w:val="24"/>
              </w:rPr>
            </w:pPr>
            <w:r>
              <w:rPr>
                <w:rFonts w:ascii="Times New Roman" w:hAnsi="Times New Roman"/>
                <w:noProof/>
                <w:sz w:val="24"/>
                <w:szCs w:val="24"/>
              </w:rPr>
              <w:t>Myyntiluvan haltijoiden on voitava päästä (lukuoikeus) kaikkiin eläinlääkkeitään koskeviin tietoihin turvallisen käyttäjäntunnistuksen ja pääsynvalvonnan jälkeen. Niiden on myös voitava päästä (kirjoitusoikeus) valikoituihin eläinlääkettään koskeviin tietoihin turvallisen käyttäjäntunnistuksen ja pääsynvalvonnan jälkeen voidakseen täyttää asetuksessa (EU) 2019/6 säädetyt markkinoille saattamisen jälkeiset velvoitteensa.</w:t>
            </w:r>
          </w:p>
        </w:tc>
      </w:tr>
      <w:tr>
        <w:tc>
          <w:tcPr>
            <w:tcW w:w="1487" w:type="dxa"/>
            <w:shd w:val="clear" w:color="auto" w:fill="auto"/>
          </w:tcPr>
          <w:p>
            <w:pPr>
              <w:pStyle w:val="TableParagraph"/>
              <w:numPr>
                <w:ilvl w:val="0"/>
                <w:numId w:val="7"/>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361"/>
              <w:rPr>
                <w:rFonts w:ascii="Times New Roman" w:hAnsi="Times New Roman" w:cs="Times New Roman"/>
                <w:noProof/>
                <w:sz w:val="24"/>
                <w:szCs w:val="24"/>
              </w:rPr>
            </w:pPr>
            <w:r>
              <w:rPr>
                <w:rFonts w:ascii="Times New Roman" w:hAnsi="Times New Roman"/>
                <w:noProof/>
                <w:sz w:val="24"/>
                <w:szCs w:val="24"/>
              </w:rPr>
              <w:t>Toimivaltaisten viranomaisten lukuoikeus</w:t>
            </w:r>
          </w:p>
        </w:tc>
        <w:tc>
          <w:tcPr>
            <w:tcW w:w="0" w:type="auto"/>
            <w:shd w:val="clear" w:color="auto" w:fill="auto"/>
          </w:tcPr>
          <w:p>
            <w:pPr>
              <w:pStyle w:val="TableParagraph"/>
              <w:spacing w:before="68" w:line="307" w:lineRule="auto"/>
              <w:ind w:left="108" w:right="156"/>
              <w:rPr>
                <w:rFonts w:ascii="Times New Roman" w:hAnsi="Times New Roman" w:cs="Times New Roman"/>
                <w:noProof/>
                <w:sz w:val="24"/>
                <w:szCs w:val="24"/>
              </w:rPr>
            </w:pPr>
            <w:r>
              <w:rPr>
                <w:rFonts w:ascii="Times New Roman" w:hAnsi="Times New Roman"/>
                <w:noProof/>
                <w:sz w:val="24"/>
                <w:szCs w:val="24"/>
              </w:rPr>
              <w:t>Toimivaltaisten viranomaisten superkäyttäjien tai valvottujen käyttäjien on voitava päästä (lukuoikeus) kaikkiin unionin valmistetietokannan sisältämiin tietoihin turvallisen käyttäjäntunnistuksen ja pääsynvalvonnan jälkeen.</w:t>
            </w:r>
          </w:p>
        </w:tc>
      </w:tr>
      <w:tr>
        <w:tc>
          <w:tcPr>
            <w:tcW w:w="1487" w:type="dxa"/>
            <w:shd w:val="clear" w:color="auto" w:fill="auto"/>
          </w:tcPr>
          <w:p>
            <w:pPr>
              <w:pStyle w:val="TableParagraph"/>
              <w:numPr>
                <w:ilvl w:val="0"/>
                <w:numId w:val="7"/>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361"/>
              <w:rPr>
                <w:rFonts w:ascii="Times New Roman" w:hAnsi="Times New Roman" w:cs="Times New Roman"/>
                <w:noProof/>
                <w:sz w:val="24"/>
                <w:szCs w:val="24"/>
              </w:rPr>
            </w:pPr>
            <w:r>
              <w:rPr>
                <w:rFonts w:ascii="Times New Roman" w:hAnsi="Times New Roman"/>
                <w:noProof/>
                <w:sz w:val="24"/>
                <w:szCs w:val="24"/>
              </w:rPr>
              <w:t>Toimivaltaisten viranomaisten kirjoitusoikeus</w:t>
            </w:r>
          </w:p>
        </w:tc>
        <w:tc>
          <w:tcPr>
            <w:tcW w:w="0" w:type="auto"/>
            <w:shd w:val="clear" w:color="auto" w:fill="auto"/>
          </w:tcPr>
          <w:p>
            <w:pPr>
              <w:pStyle w:val="TableParagraph"/>
              <w:spacing w:before="68" w:line="307" w:lineRule="auto"/>
              <w:ind w:left="108" w:right="413"/>
              <w:rPr>
                <w:rFonts w:ascii="Times New Roman" w:hAnsi="Times New Roman" w:cs="Times New Roman"/>
                <w:noProof/>
                <w:sz w:val="24"/>
                <w:szCs w:val="24"/>
              </w:rPr>
            </w:pPr>
            <w:r>
              <w:rPr>
                <w:rFonts w:ascii="Times New Roman" w:hAnsi="Times New Roman"/>
                <w:noProof/>
                <w:sz w:val="24"/>
                <w:szCs w:val="24"/>
              </w:rPr>
              <w:t>Toimivaltaisten viranomaisten superkäyttäjien tai valvottujen käyttäjien on voitava päästä (kirjoitusoikeus) vastuullaan olevia eläinlääkkeitä koskeviin tietoihin turvallisen käyttäjäntunnistuksen ja pääsynvalvonnan jälkeen.</w:t>
            </w:r>
          </w:p>
        </w:tc>
      </w:tr>
      <w:tr>
        <w:tc>
          <w:tcPr>
            <w:tcW w:w="1487" w:type="dxa"/>
            <w:shd w:val="clear" w:color="auto" w:fill="auto"/>
          </w:tcPr>
          <w:p>
            <w:pPr>
              <w:pStyle w:val="TableParagraph"/>
              <w:numPr>
                <w:ilvl w:val="0"/>
                <w:numId w:val="7"/>
              </w:numPr>
              <w:spacing w:before="72"/>
              <w:rPr>
                <w:rFonts w:ascii="Times New Roman" w:hAnsi="Times New Roman" w:cs="Times New Roman"/>
                <w:noProof/>
                <w:sz w:val="24"/>
                <w:szCs w:val="24"/>
              </w:rPr>
            </w:pPr>
          </w:p>
        </w:tc>
        <w:tc>
          <w:tcPr>
            <w:tcW w:w="2538" w:type="dxa"/>
            <w:shd w:val="clear" w:color="auto" w:fill="auto"/>
          </w:tcPr>
          <w:p>
            <w:pPr>
              <w:pStyle w:val="TableParagraph"/>
              <w:spacing w:before="71"/>
              <w:ind w:left="106"/>
              <w:rPr>
                <w:rFonts w:ascii="Times New Roman" w:hAnsi="Times New Roman" w:cs="Times New Roman"/>
                <w:noProof/>
                <w:sz w:val="24"/>
                <w:szCs w:val="24"/>
              </w:rPr>
            </w:pPr>
            <w:r>
              <w:rPr>
                <w:rFonts w:ascii="Times New Roman" w:hAnsi="Times New Roman"/>
                <w:noProof/>
                <w:sz w:val="24"/>
                <w:szCs w:val="24"/>
              </w:rPr>
              <w:t>Valvottujen käyttäjien käyttöoikeuksien hallinta</w:t>
            </w:r>
          </w:p>
        </w:tc>
        <w:tc>
          <w:tcPr>
            <w:tcW w:w="0" w:type="auto"/>
            <w:shd w:val="clear" w:color="auto" w:fill="auto"/>
          </w:tcPr>
          <w:p>
            <w:pPr>
              <w:pStyle w:val="TableParagraph"/>
              <w:spacing w:before="68" w:line="309" w:lineRule="auto"/>
              <w:ind w:left="108" w:right="106"/>
              <w:rPr>
                <w:rFonts w:ascii="Times New Roman" w:hAnsi="Times New Roman" w:cs="Times New Roman"/>
                <w:noProof/>
                <w:sz w:val="24"/>
                <w:szCs w:val="24"/>
              </w:rPr>
            </w:pPr>
            <w:r>
              <w:rPr>
                <w:rFonts w:ascii="Times New Roman" w:hAnsi="Times New Roman"/>
                <w:noProof/>
                <w:sz w:val="24"/>
                <w:szCs w:val="24"/>
              </w:rPr>
              <w:t>Superkäyttäjien on voitava hallita niiden valvottujen käyttäjien pääsyä, jotka käsittelevät eläinlääkkeitä koskevia tietoja superkäyttäjien puolesta.</w:t>
            </w:r>
          </w:p>
        </w:tc>
      </w:tr>
      <w:tr>
        <w:tc>
          <w:tcPr>
            <w:tcW w:w="1487" w:type="dxa"/>
            <w:shd w:val="clear" w:color="auto" w:fill="auto"/>
          </w:tcPr>
          <w:p>
            <w:pPr>
              <w:pStyle w:val="TableParagraph"/>
              <w:numPr>
                <w:ilvl w:val="0"/>
                <w:numId w:val="9"/>
              </w:numPr>
              <w:spacing w:before="64"/>
              <w:rPr>
                <w:rFonts w:ascii="Times New Roman" w:hAnsi="Times New Roman" w:cs="Times New Roman"/>
                <w:b/>
                <w:noProof/>
                <w:sz w:val="24"/>
                <w:szCs w:val="24"/>
              </w:rPr>
            </w:pPr>
          </w:p>
        </w:tc>
        <w:tc>
          <w:tcPr>
            <w:tcW w:w="7596" w:type="dxa"/>
            <w:gridSpan w:val="2"/>
            <w:shd w:val="clear" w:color="auto" w:fill="auto"/>
          </w:tcPr>
          <w:p>
            <w:pPr>
              <w:pStyle w:val="CommentText"/>
              <w:spacing w:line="309" w:lineRule="auto"/>
              <w:ind w:left="108" w:right="381"/>
              <w:rPr>
                <w:noProof/>
                <w:sz w:val="24"/>
                <w:szCs w:val="24"/>
              </w:rPr>
            </w:pPr>
            <w:r>
              <w:rPr>
                <w:b/>
                <w:noProof/>
                <w:sz w:val="24"/>
                <w:szCs w:val="24"/>
              </w:rPr>
              <w:t>Toimita tietoja superkäyttäjille ja valvotuille käyttäjille</w:t>
            </w:r>
          </w:p>
        </w:tc>
      </w:tr>
      <w:tr>
        <w:tc>
          <w:tcPr>
            <w:tcW w:w="1487" w:type="dxa"/>
            <w:shd w:val="clear" w:color="auto" w:fill="auto"/>
          </w:tcPr>
          <w:p>
            <w:pPr>
              <w:pStyle w:val="TableParagraph"/>
              <w:numPr>
                <w:ilvl w:val="0"/>
                <w:numId w:val="8"/>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09" w:lineRule="auto"/>
              <w:ind w:left="106" w:right="133"/>
              <w:rPr>
                <w:rFonts w:ascii="Times New Roman" w:hAnsi="Times New Roman" w:cs="Times New Roman"/>
                <w:noProof/>
                <w:sz w:val="24"/>
                <w:szCs w:val="24"/>
                <w:highlight w:val="yellow"/>
              </w:rPr>
            </w:pPr>
            <w:r>
              <w:rPr>
                <w:rFonts w:ascii="Times New Roman" w:hAnsi="Times New Roman"/>
                <w:noProof/>
                <w:sz w:val="24"/>
                <w:szCs w:val="24"/>
              </w:rPr>
              <w:t>Muutoksista ilmoittaminen toimivaltaisille viranomaisille</w:t>
            </w:r>
          </w:p>
        </w:tc>
        <w:tc>
          <w:tcPr>
            <w:tcW w:w="0" w:type="auto"/>
            <w:shd w:val="clear" w:color="auto" w:fill="auto"/>
          </w:tcPr>
          <w:p>
            <w:pPr>
              <w:pStyle w:val="TableParagraph"/>
              <w:spacing w:before="68" w:line="307" w:lineRule="auto"/>
              <w:ind w:left="108" w:right="193"/>
              <w:rPr>
                <w:rFonts w:ascii="Times New Roman" w:hAnsi="Times New Roman" w:cs="Times New Roman"/>
                <w:noProof/>
                <w:sz w:val="24"/>
                <w:szCs w:val="24"/>
              </w:rPr>
            </w:pPr>
            <w:r>
              <w:rPr>
                <w:rFonts w:ascii="Times New Roman" w:hAnsi="Times New Roman"/>
                <w:noProof/>
                <w:sz w:val="24"/>
                <w:szCs w:val="24"/>
              </w:rPr>
              <w:t>Toimivaltaisille viranomaisille on ilmoitettava automaattisesti seuraavista:</w:t>
            </w:r>
          </w:p>
          <w:p>
            <w:pPr>
              <w:pStyle w:val="TableParagraph"/>
              <w:numPr>
                <w:ilvl w:val="0"/>
                <w:numId w:val="10"/>
              </w:numPr>
              <w:spacing w:before="68" w:line="307" w:lineRule="auto"/>
              <w:ind w:right="193"/>
              <w:rPr>
                <w:rFonts w:ascii="Times New Roman" w:hAnsi="Times New Roman" w:cs="Times New Roman"/>
                <w:noProof/>
                <w:sz w:val="24"/>
                <w:szCs w:val="24"/>
              </w:rPr>
            </w:pPr>
            <w:r>
              <w:rPr>
                <w:rFonts w:ascii="Times New Roman" w:hAnsi="Times New Roman"/>
                <w:noProof/>
                <w:sz w:val="24"/>
                <w:szCs w:val="24"/>
              </w:rPr>
              <w:t>muutokset, joita myyntiluvan haltijat tekevät vastuullaan olevia eläinlääkkeitä koskeviin unionin valmistetietokannassa oleviin tietoaineistoihin;</w:t>
            </w:r>
          </w:p>
          <w:p>
            <w:pPr>
              <w:pStyle w:val="TableParagraph"/>
              <w:numPr>
                <w:ilvl w:val="0"/>
                <w:numId w:val="10"/>
              </w:numPr>
              <w:spacing w:before="68" w:line="307" w:lineRule="auto"/>
              <w:ind w:right="193"/>
              <w:rPr>
                <w:rFonts w:ascii="Times New Roman" w:hAnsi="Times New Roman" w:cs="Times New Roman"/>
                <w:noProof/>
                <w:sz w:val="24"/>
                <w:szCs w:val="24"/>
              </w:rPr>
            </w:pPr>
            <w:r>
              <w:rPr>
                <w:rFonts w:ascii="Times New Roman" w:hAnsi="Times New Roman"/>
                <w:noProof/>
                <w:sz w:val="24"/>
                <w:szCs w:val="24"/>
              </w:rPr>
              <w:t>myyntiluvan ehtojen muutokset, jotka eivät edellytä arviointia ja jotka on kirjattu unionin valmistetietokantaan niiden vastuulla olevien eläinlääkkeiden osalta;</w:t>
            </w:r>
          </w:p>
          <w:p>
            <w:pPr>
              <w:pStyle w:val="TableParagraph"/>
              <w:numPr>
                <w:ilvl w:val="0"/>
                <w:numId w:val="10"/>
              </w:numPr>
              <w:spacing w:before="68" w:line="307" w:lineRule="auto"/>
              <w:ind w:right="193"/>
              <w:rPr>
                <w:rFonts w:ascii="Times New Roman" w:hAnsi="Times New Roman" w:cs="Times New Roman"/>
                <w:noProof/>
                <w:sz w:val="24"/>
                <w:szCs w:val="24"/>
              </w:rPr>
            </w:pPr>
            <w:r>
              <w:rPr>
                <w:rFonts w:ascii="Times New Roman" w:hAnsi="Times New Roman"/>
                <w:noProof/>
                <w:sz w:val="24"/>
                <w:szCs w:val="24"/>
              </w:rPr>
              <w:t>sellaisten myyntiluvan ehtojen muutosten tulokset, jotka eivät edellytä arviointia ja jotka viitejäsenvaltiot ovat kirjanneet vastuullaan olevien eläinlääkkeiden osalta;</w:t>
            </w:r>
          </w:p>
          <w:p>
            <w:pPr>
              <w:pStyle w:val="TableParagraph"/>
              <w:numPr>
                <w:ilvl w:val="0"/>
                <w:numId w:val="10"/>
              </w:numPr>
              <w:spacing w:before="68" w:line="307" w:lineRule="auto"/>
              <w:ind w:right="193"/>
              <w:rPr>
                <w:rFonts w:ascii="Times New Roman" w:hAnsi="Times New Roman" w:cs="Times New Roman"/>
                <w:noProof/>
                <w:sz w:val="24"/>
                <w:szCs w:val="24"/>
              </w:rPr>
            </w:pPr>
            <w:r>
              <w:rPr>
                <w:rFonts w:ascii="Times New Roman" w:hAnsi="Times New Roman"/>
                <w:noProof/>
                <w:sz w:val="24"/>
                <w:szCs w:val="24"/>
              </w:rPr>
              <w:t>päivitykset, jotka muut toimivaltaiset viranomaiset tai lääkevirasto ovat tehneet osana toimenpiteitä, joilla saatetaan päätökseen arviointia edellyttäviä myyntiluvan ehtojen muutoksia koskevat menettelyt, vastuullaan olevia eläinlääkkeitä koskeviin unionin valmistetietokannassa oleviin tietoaineistoihin; ja</w:t>
            </w:r>
          </w:p>
          <w:p>
            <w:pPr>
              <w:pStyle w:val="TableParagraph"/>
              <w:numPr>
                <w:ilvl w:val="0"/>
                <w:numId w:val="10"/>
              </w:numPr>
              <w:spacing w:before="68" w:line="307" w:lineRule="auto"/>
              <w:ind w:right="193"/>
              <w:rPr>
                <w:rFonts w:ascii="Times New Roman" w:hAnsi="Times New Roman" w:cs="Times New Roman"/>
                <w:noProof/>
                <w:sz w:val="24"/>
                <w:szCs w:val="24"/>
              </w:rPr>
            </w:pPr>
            <w:r>
              <w:rPr>
                <w:rFonts w:ascii="Times New Roman" w:hAnsi="Times New Roman"/>
                <w:noProof/>
                <w:sz w:val="24"/>
                <w:szCs w:val="24"/>
              </w:rPr>
              <w:t>kaikki muutokset, jotka koskevat keskitetyn myyntiluvan saaneita valmisteita.</w:t>
            </w:r>
          </w:p>
        </w:tc>
      </w:tr>
      <w:tr>
        <w:tc>
          <w:tcPr>
            <w:tcW w:w="1487" w:type="dxa"/>
            <w:shd w:val="clear" w:color="auto" w:fill="auto"/>
          </w:tcPr>
          <w:p>
            <w:pPr>
              <w:pStyle w:val="TableParagraph"/>
              <w:numPr>
                <w:ilvl w:val="0"/>
                <w:numId w:val="8"/>
              </w:numPr>
              <w:spacing w:before="72"/>
              <w:rPr>
                <w:rFonts w:ascii="Times New Roman" w:hAnsi="Times New Roman" w:cs="Times New Roman"/>
                <w:noProof/>
                <w:sz w:val="24"/>
                <w:szCs w:val="24"/>
              </w:rPr>
            </w:pPr>
          </w:p>
        </w:tc>
        <w:tc>
          <w:tcPr>
            <w:tcW w:w="2538" w:type="dxa"/>
            <w:shd w:val="clear" w:color="auto" w:fill="auto"/>
          </w:tcPr>
          <w:p>
            <w:pPr>
              <w:pStyle w:val="TableParagraph"/>
              <w:spacing w:before="68" w:line="312" w:lineRule="auto"/>
              <w:ind w:left="106" w:right="316"/>
              <w:rPr>
                <w:rFonts w:ascii="Times New Roman" w:hAnsi="Times New Roman" w:cs="Times New Roman"/>
                <w:noProof/>
                <w:sz w:val="24"/>
                <w:szCs w:val="24"/>
              </w:rPr>
            </w:pPr>
            <w:r>
              <w:rPr>
                <w:rFonts w:ascii="Times New Roman" w:hAnsi="Times New Roman"/>
                <w:noProof/>
                <w:sz w:val="24"/>
                <w:szCs w:val="24"/>
              </w:rPr>
              <w:t>Muutoksista ilmoittaminen myyntiluvan haltijoille</w:t>
            </w:r>
          </w:p>
        </w:tc>
        <w:tc>
          <w:tcPr>
            <w:tcW w:w="0" w:type="auto"/>
            <w:shd w:val="clear" w:color="auto" w:fill="auto"/>
          </w:tcPr>
          <w:p>
            <w:pPr>
              <w:pStyle w:val="TableParagraph"/>
              <w:spacing w:before="68" w:line="307" w:lineRule="auto"/>
              <w:ind w:left="108" w:right="169"/>
              <w:rPr>
                <w:rFonts w:ascii="Times New Roman" w:hAnsi="Times New Roman" w:cs="Times New Roman"/>
                <w:noProof/>
                <w:sz w:val="24"/>
                <w:szCs w:val="24"/>
              </w:rPr>
            </w:pPr>
            <w:r>
              <w:rPr>
                <w:rFonts w:ascii="Times New Roman" w:hAnsi="Times New Roman"/>
                <w:noProof/>
                <w:sz w:val="24"/>
                <w:szCs w:val="24"/>
              </w:rPr>
              <w:t>Myyntiluvan haltijoille on ilmoitettava automaattisesti kaikista asianomaisten toimivaltaisten viranomaisten, lääkeviraston tai tapauksen mukaan komission tekemistä muutoksista kyseisten myyntiluvan haltijoiden eläinlääkkeitä koskeviin unionin valmistetietokannassa oleviin tietoaineistoihin. Myyntiluvan haltijoille on ilmoitettava automaattisesti myös niistä eläinlääkkeiden myyntiluvan ehtojen muutosten tuloksista, jotka eivät edellytä arviointia ja jotka asianomainen toimivaltainen viranomainen tai tapauksen mukaan komissio on kirjannut.</w:t>
            </w:r>
          </w:p>
        </w:tc>
      </w:tr>
      <w:tr>
        <w:tc>
          <w:tcPr>
            <w:tcW w:w="1487" w:type="dxa"/>
            <w:shd w:val="clear" w:color="auto" w:fill="auto"/>
          </w:tcPr>
          <w:p>
            <w:pPr>
              <w:pStyle w:val="TableParagraph"/>
              <w:numPr>
                <w:ilvl w:val="0"/>
                <w:numId w:val="8"/>
              </w:numPr>
              <w:spacing w:before="72"/>
              <w:rPr>
                <w:rFonts w:ascii="Times New Roman" w:hAnsi="Times New Roman" w:cs="Times New Roman"/>
                <w:noProof/>
                <w:sz w:val="24"/>
                <w:szCs w:val="24"/>
              </w:rPr>
            </w:pPr>
          </w:p>
        </w:tc>
        <w:tc>
          <w:tcPr>
            <w:tcW w:w="2538" w:type="dxa"/>
            <w:shd w:val="clear" w:color="auto" w:fill="auto"/>
          </w:tcPr>
          <w:p>
            <w:pPr>
              <w:pStyle w:val="TableParagraph"/>
              <w:spacing w:before="71"/>
              <w:ind w:left="106"/>
              <w:rPr>
                <w:rFonts w:ascii="Times New Roman" w:hAnsi="Times New Roman" w:cs="Times New Roman"/>
                <w:noProof/>
                <w:sz w:val="24"/>
                <w:szCs w:val="24"/>
              </w:rPr>
            </w:pPr>
            <w:r>
              <w:rPr>
                <w:rFonts w:ascii="Times New Roman" w:hAnsi="Times New Roman"/>
                <w:noProof/>
                <w:sz w:val="24"/>
                <w:szCs w:val="24"/>
              </w:rPr>
              <w:t>Hae rajoitettuja tietoja</w:t>
            </w:r>
          </w:p>
        </w:tc>
        <w:tc>
          <w:tcPr>
            <w:tcW w:w="0" w:type="auto"/>
            <w:shd w:val="clear" w:color="auto" w:fill="auto"/>
          </w:tcPr>
          <w:p>
            <w:pPr>
              <w:pStyle w:val="TableParagraph"/>
              <w:spacing w:before="68" w:line="307" w:lineRule="auto"/>
              <w:ind w:left="108" w:right="206"/>
              <w:rPr>
                <w:rFonts w:ascii="Times New Roman" w:hAnsi="Times New Roman" w:cs="Times New Roman"/>
                <w:noProof/>
                <w:sz w:val="24"/>
                <w:szCs w:val="24"/>
              </w:rPr>
            </w:pPr>
            <w:r>
              <w:rPr>
                <w:rFonts w:ascii="Times New Roman" w:hAnsi="Times New Roman"/>
                <w:noProof/>
                <w:sz w:val="24"/>
                <w:szCs w:val="24"/>
              </w:rPr>
              <w:t>Superkäyttäjien ja valvottujen käyttäjien on voitava hakea rajoitettuja tietoja unionin valmistetietokannasta käyttöoikeuksiensa mukaisesti ja siirtää hakutulokset.</w:t>
            </w:r>
          </w:p>
        </w:tc>
      </w:tr>
    </w:tbl>
    <w:p>
      <w:pPr>
        <w:rPr>
          <w:noProof/>
        </w:rPr>
      </w:pPr>
    </w:p>
    <w:p>
      <w:pPr>
        <w:rPr>
          <w:noProof/>
        </w:rPr>
        <w:sectPr>
          <w:footerReference w:type="default" r:id="rId16"/>
          <w:footerReference w:type="first" r:id="rId17"/>
          <w:pgSz w:w="11907" w:h="16839"/>
          <w:pgMar w:top="1134" w:right="1417" w:bottom="1134" w:left="1417" w:header="709" w:footer="709" w:gutter="0"/>
          <w:cols w:space="720"/>
          <w:docGrid w:linePitch="360"/>
        </w:sectPr>
      </w:pPr>
    </w:p>
    <w:p>
      <w:pPr>
        <w:pStyle w:val="Annexetitre"/>
        <w:rPr>
          <w:noProof/>
        </w:rPr>
      </w:pPr>
      <w:r>
        <w:rPr>
          <w:noProof/>
        </w:rPr>
        <w:t>LIITE II</w:t>
      </w:r>
    </w:p>
    <w:p>
      <w:pPr>
        <w:jc w:val="center"/>
        <w:rPr>
          <w:b/>
          <w:noProof/>
        </w:rPr>
      </w:pPr>
      <w:r>
        <w:rPr>
          <w:b/>
          <w:noProof/>
        </w:rPr>
        <w:t>Tietokentät, joihin kirjataan asetuksen (EU) 2019/6 55 artiklan 2 kohdassa tarkoitetut tiedot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2332"/>
        <w:gridCol w:w="3069"/>
        <w:gridCol w:w="2220"/>
      </w:tblGrid>
      <w:tr>
        <w:trPr>
          <w:trHeight w:val="87"/>
          <w:tblHeader/>
        </w:trPr>
        <w:tc>
          <w:tcPr>
            <w:tcW w:w="898" w:type="pct"/>
            <w:shd w:val="clear" w:color="auto" w:fill="D9D9D9" w:themeFill="background1" w:themeFillShade="D9"/>
          </w:tcPr>
          <w:p>
            <w:pPr>
              <w:autoSpaceDE w:val="0"/>
              <w:autoSpaceDN w:val="0"/>
              <w:adjustRightInd w:val="0"/>
              <w:spacing w:after="0"/>
              <w:jc w:val="center"/>
              <w:rPr>
                <w:b/>
                <w:bCs/>
                <w:noProof/>
                <w:szCs w:val="24"/>
              </w:rPr>
            </w:pPr>
            <w:r>
              <w:rPr>
                <w:b/>
                <w:bCs/>
                <w:noProof/>
                <w:szCs w:val="24"/>
              </w:rPr>
              <w:t>Tietokentän tunnus</w:t>
            </w:r>
          </w:p>
        </w:tc>
        <w:tc>
          <w:tcPr>
            <w:tcW w:w="1255" w:type="pct"/>
            <w:shd w:val="clear" w:color="auto" w:fill="D9D9D9" w:themeFill="background1" w:themeFillShade="D9"/>
          </w:tcPr>
          <w:p>
            <w:pPr>
              <w:autoSpaceDE w:val="0"/>
              <w:autoSpaceDN w:val="0"/>
              <w:adjustRightInd w:val="0"/>
              <w:spacing w:after="0"/>
              <w:jc w:val="center"/>
              <w:rPr>
                <w:noProof/>
                <w:szCs w:val="24"/>
              </w:rPr>
            </w:pPr>
            <w:r>
              <w:rPr>
                <w:b/>
                <w:bCs/>
                <w:noProof/>
                <w:szCs w:val="24"/>
              </w:rPr>
              <w:t>Tietokenttä</w:t>
            </w:r>
          </w:p>
        </w:tc>
        <w:tc>
          <w:tcPr>
            <w:tcW w:w="1652" w:type="pct"/>
            <w:shd w:val="clear" w:color="auto" w:fill="D9D9D9" w:themeFill="background1" w:themeFillShade="D9"/>
          </w:tcPr>
          <w:p>
            <w:pPr>
              <w:autoSpaceDE w:val="0"/>
              <w:autoSpaceDN w:val="0"/>
              <w:adjustRightInd w:val="0"/>
              <w:spacing w:after="0"/>
              <w:jc w:val="center"/>
              <w:rPr>
                <w:noProof/>
                <w:szCs w:val="24"/>
              </w:rPr>
            </w:pPr>
            <w:r>
              <w:rPr>
                <w:b/>
                <w:bCs/>
                <w:noProof/>
                <w:szCs w:val="24"/>
              </w:rPr>
              <w:t>Kuvaus</w:t>
            </w:r>
          </w:p>
        </w:tc>
        <w:tc>
          <w:tcPr>
            <w:tcW w:w="1195" w:type="pct"/>
            <w:shd w:val="clear" w:color="auto" w:fill="D9D9D9" w:themeFill="background1" w:themeFillShade="D9"/>
          </w:tcPr>
          <w:p>
            <w:pPr>
              <w:autoSpaceDE w:val="0"/>
              <w:autoSpaceDN w:val="0"/>
              <w:adjustRightInd w:val="0"/>
              <w:spacing w:after="0"/>
              <w:jc w:val="center"/>
              <w:rPr>
                <w:noProof/>
                <w:szCs w:val="24"/>
              </w:rPr>
            </w:pPr>
            <w:r>
              <w:rPr>
                <w:b/>
                <w:bCs/>
                <w:noProof/>
                <w:szCs w:val="24"/>
              </w:rPr>
              <w:t>Esitysmuoto</w:t>
            </w:r>
          </w:p>
        </w:tc>
      </w:tr>
      <w:tr>
        <w:trPr>
          <w:trHeight w:val="87"/>
        </w:trPr>
        <w:tc>
          <w:tcPr>
            <w:tcW w:w="898" w:type="pct"/>
          </w:tcPr>
          <w:p>
            <w:pPr>
              <w:pStyle w:val="TableParagraph"/>
              <w:numPr>
                <w:ilvl w:val="0"/>
                <w:numId w:val="16"/>
              </w:numPr>
              <w:spacing w:before="64"/>
              <w:rPr>
                <w:b/>
                <w:bCs/>
                <w:noProof/>
                <w:szCs w:val="24"/>
              </w:rPr>
            </w:pPr>
          </w:p>
        </w:tc>
        <w:tc>
          <w:tcPr>
            <w:tcW w:w="4102" w:type="pct"/>
            <w:gridSpan w:val="3"/>
          </w:tcPr>
          <w:p>
            <w:pPr>
              <w:autoSpaceDE w:val="0"/>
              <w:autoSpaceDN w:val="0"/>
              <w:adjustRightInd w:val="0"/>
              <w:spacing w:after="0"/>
              <w:rPr>
                <w:noProof/>
                <w:szCs w:val="24"/>
              </w:rPr>
            </w:pPr>
            <w:r>
              <w:rPr>
                <w:b/>
                <w:bCs/>
                <w:noProof/>
                <w:szCs w:val="24"/>
              </w:rPr>
              <w:t>Kaikki eläinlääkkeet</w:t>
            </w:r>
          </w:p>
        </w:tc>
      </w:tr>
      <w:tr>
        <w:trPr>
          <w:trHeight w:val="440"/>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Valmisteen alue</w:t>
            </w:r>
          </w:p>
        </w:tc>
        <w:tc>
          <w:tcPr>
            <w:tcW w:w="1652" w:type="pct"/>
          </w:tcPr>
          <w:p>
            <w:pPr>
              <w:autoSpaceDE w:val="0"/>
              <w:autoSpaceDN w:val="0"/>
              <w:adjustRightInd w:val="0"/>
              <w:spacing w:after="0"/>
              <w:rPr>
                <w:noProof/>
                <w:szCs w:val="24"/>
              </w:rPr>
            </w:pPr>
            <w:r>
              <w:rPr>
                <w:noProof/>
              </w:rPr>
              <w:t>Maininta siitä, että kyseessä on eläinlääke, jotta erotetaan toisistaan eläinlääkkeet ja ihmisille tarkoitetut lääkkeet.</w:t>
            </w:r>
          </w:p>
        </w:tc>
        <w:tc>
          <w:tcPr>
            <w:tcW w:w="1195" w:type="pct"/>
          </w:tcPr>
          <w:p>
            <w:pPr>
              <w:autoSpaceDE w:val="0"/>
              <w:autoSpaceDN w:val="0"/>
              <w:adjustRightInd w:val="0"/>
              <w:spacing w:after="0"/>
              <w:rPr>
                <w:noProof/>
                <w:szCs w:val="24"/>
              </w:rPr>
            </w:pPr>
            <w:r>
              <w:rPr>
                <w:noProof/>
              </w:rPr>
              <w:t>Kontrolloidut termit</w:t>
            </w:r>
          </w:p>
        </w:tc>
      </w:tr>
      <w:tr>
        <w:trPr>
          <w:trHeight w:val="440"/>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Valmistetyyppi</w:t>
            </w:r>
          </w:p>
        </w:tc>
        <w:tc>
          <w:tcPr>
            <w:tcW w:w="1652" w:type="pct"/>
          </w:tcPr>
          <w:p>
            <w:pPr>
              <w:autoSpaceDE w:val="0"/>
              <w:autoSpaceDN w:val="0"/>
              <w:adjustRightInd w:val="0"/>
              <w:spacing w:after="0"/>
              <w:rPr>
                <w:noProof/>
                <w:szCs w:val="24"/>
              </w:rPr>
            </w:pPr>
            <w:r>
              <w:rPr>
                <w:noProof/>
              </w:rPr>
              <w:t>Tehdään ero seuraavien välillä: myyntiluvan saaneet eläinlääkkeet, rekisteröidyt homeopaattiset eläinlääkkeet, eläinlääkkeet, joiden käyttö on sallittua jäsenvaltiossa asetuksen (EU) 2019/6 5 artiklan 6 kohdan mukaisesti tai jotka on vapautettu direktiivin 2001/82/EY 5–8 artiklan säännöksistä mainitun direktiivin 4 artiklan 2 kohdan mukaisesti, tapauksen mukaan, ja rinnakkaiskaupattavat eläinlääkkeet.</w:t>
            </w:r>
          </w:p>
        </w:tc>
        <w:tc>
          <w:tcPr>
            <w:tcW w:w="1195" w:type="pct"/>
          </w:tcPr>
          <w:p>
            <w:pPr>
              <w:autoSpaceDE w:val="0"/>
              <w:autoSpaceDN w:val="0"/>
              <w:adjustRightInd w:val="0"/>
              <w:spacing w:after="0"/>
              <w:rPr>
                <w:noProof/>
                <w:szCs w:val="24"/>
              </w:rPr>
            </w:pPr>
            <w:r>
              <w:rPr>
                <w:noProof/>
              </w:rPr>
              <w:t>Kontrolloidut termit</w:t>
            </w:r>
          </w:p>
        </w:tc>
      </w:tr>
      <w:tr>
        <w:trPr>
          <w:trHeight w:val="649"/>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Valmisteen nimi</w:t>
            </w:r>
          </w:p>
        </w:tc>
        <w:tc>
          <w:tcPr>
            <w:tcW w:w="1652" w:type="pct"/>
          </w:tcPr>
          <w:p>
            <w:pPr>
              <w:autoSpaceDE w:val="0"/>
              <w:autoSpaceDN w:val="0"/>
              <w:adjustRightInd w:val="0"/>
              <w:spacing w:after="0"/>
              <w:rPr>
                <w:noProof/>
                <w:szCs w:val="24"/>
              </w:rPr>
            </w:pPr>
            <w:r>
              <w:rPr>
                <w:noProof/>
              </w:rPr>
              <w:t>Eläinlääkkeen nimi siinä muodossa kuin se on hyväksytty unionissa tai jäsenvaltiossa.</w:t>
            </w:r>
          </w:p>
        </w:tc>
        <w:tc>
          <w:tcPr>
            <w:tcW w:w="1195" w:type="pct"/>
          </w:tcPr>
          <w:p>
            <w:pPr>
              <w:autoSpaceDE w:val="0"/>
              <w:autoSpaceDN w:val="0"/>
              <w:adjustRightInd w:val="0"/>
              <w:spacing w:after="0"/>
              <w:rPr>
                <w:noProof/>
                <w:szCs w:val="24"/>
              </w:rPr>
            </w:pPr>
            <w:r>
              <w:rPr>
                <w:noProof/>
              </w:rPr>
              <w:t>Vapaamuotoinen teksti</w:t>
            </w:r>
          </w:p>
        </w:tc>
      </w:tr>
      <w:tr>
        <w:trPr>
          <w:trHeight w:val="87"/>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Vaikuttava(t) aine(et)</w:t>
            </w:r>
          </w:p>
        </w:tc>
        <w:tc>
          <w:tcPr>
            <w:tcW w:w="1652" w:type="pct"/>
          </w:tcPr>
          <w:p>
            <w:pPr>
              <w:autoSpaceDE w:val="0"/>
              <w:autoSpaceDN w:val="0"/>
              <w:adjustRightInd w:val="0"/>
              <w:spacing w:after="0"/>
              <w:rPr>
                <w:noProof/>
                <w:szCs w:val="24"/>
              </w:rPr>
            </w:pPr>
            <w:r>
              <w:rPr>
                <w:noProof/>
              </w:rPr>
              <w:t>Vaikuttavan aineen nimi / vaikuttavien aineiden nimet.</w:t>
            </w:r>
          </w:p>
        </w:tc>
        <w:tc>
          <w:tcPr>
            <w:tcW w:w="1195" w:type="pct"/>
          </w:tcPr>
          <w:p>
            <w:pPr>
              <w:autoSpaceDE w:val="0"/>
              <w:autoSpaceDN w:val="0"/>
              <w:adjustRightInd w:val="0"/>
              <w:spacing w:after="0"/>
              <w:rPr>
                <w:noProof/>
                <w:szCs w:val="24"/>
              </w:rPr>
            </w:pPr>
            <w:r>
              <w:rPr>
                <w:noProof/>
              </w:rPr>
              <w:t>Aineita koskevat kontrolloidut termit</w:t>
            </w:r>
          </w:p>
        </w:tc>
      </w:tr>
      <w:tr>
        <w:trPr>
          <w:trHeight w:val="1070"/>
        </w:trPr>
        <w:tc>
          <w:tcPr>
            <w:tcW w:w="898" w:type="pct"/>
            <w:vMerge w:val="restart"/>
          </w:tcPr>
          <w:p>
            <w:pPr>
              <w:pStyle w:val="ListParagraph"/>
              <w:numPr>
                <w:ilvl w:val="0"/>
                <w:numId w:val="17"/>
              </w:numPr>
              <w:autoSpaceDE w:val="0"/>
              <w:autoSpaceDN w:val="0"/>
              <w:adjustRightInd w:val="0"/>
              <w:spacing w:after="0"/>
              <w:rPr>
                <w:noProof/>
                <w:szCs w:val="24"/>
              </w:rPr>
            </w:pPr>
          </w:p>
        </w:tc>
        <w:tc>
          <w:tcPr>
            <w:tcW w:w="1255" w:type="pct"/>
            <w:vMerge w:val="restart"/>
          </w:tcPr>
          <w:p>
            <w:pPr>
              <w:autoSpaceDE w:val="0"/>
              <w:autoSpaceDN w:val="0"/>
              <w:adjustRightInd w:val="0"/>
              <w:spacing w:after="0"/>
              <w:rPr>
                <w:noProof/>
                <w:szCs w:val="24"/>
              </w:rPr>
            </w:pPr>
            <w:r>
              <w:rPr>
                <w:noProof/>
              </w:rPr>
              <w:t>Vahvuus/koostumus</w:t>
            </w:r>
          </w:p>
        </w:tc>
        <w:tc>
          <w:tcPr>
            <w:tcW w:w="1652" w:type="pct"/>
          </w:tcPr>
          <w:p>
            <w:pPr>
              <w:autoSpaceDE w:val="0"/>
              <w:autoSpaceDN w:val="0"/>
              <w:adjustRightInd w:val="0"/>
              <w:spacing w:after="0"/>
              <w:rPr>
                <w:noProof/>
                <w:szCs w:val="24"/>
              </w:rPr>
            </w:pPr>
            <w:r>
              <w:rPr>
                <w:noProof/>
              </w:rPr>
              <w:t>Eläinlääkkeen sisältämien vaikuttavien aineiden pitoisuus, joka ilmaistaan määrällisesti annosyksikköä, tilavuusyksikköä tai painoyksikköä kohti lääkemuodon mukaan.</w:t>
            </w:r>
          </w:p>
        </w:tc>
        <w:tc>
          <w:tcPr>
            <w:tcW w:w="1195" w:type="pct"/>
          </w:tcPr>
          <w:p>
            <w:pPr>
              <w:autoSpaceDE w:val="0"/>
              <w:autoSpaceDN w:val="0"/>
              <w:adjustRightInd w:val="0"/>
              <w:spacing w:after="0"/>
              <w:rPr>
                <w:noProof/>
                <w:szCs w:val="24"/>
              </w:rPr>
            </w:pPr>
            <w:r>
              <w:rPr>
                <w:noProof/>
              </w:rPr>
              <w:t>Strukturoitu data</w:t>
            </w:r>
          </w:p>
        </w:tc>
      </w:tr>
      <w:tr>
        <w:trPr>
          <w:trHeight w:val="1070"/>
        </w:trPr>
        <w:tc>
          <w:tcPr>
            <w:tcW w:w="898" w:type="pct"/>
            <w:vMerge/>
          </w:tcPr>
          <w:p>
            <w:pPr>
              <w:pStyle w:val="ListParagraph"/>
              <w:numPr>
                <w:ilvl w:val="0"/>
                <w:numId w:val="17"/>
              </w:numPr>
              <w:autoSpaceDE w:val="0"/>
              <w:autoSpaceDN w:val="0"/>
              <w:adjustRightInd w:val="0"/>
              <w:spacing w:after="0"/>
              <w:rPr>
                <w:noProof/>
                <w:szCs w:val="24"/>
              </w:rPr>
            </w:pPr>
          </w:p>
        </w:tc>
        <w:tc>
          <w:tcPr>
            <w:tcW w:w="1255" w:type="pct"/>
            <w:vMerge/>
          </w:tcPr>
          <w:p>
            <w:pPr>
              <w:autoSpaceDE w:val="0"/>
              <w:autoSpaceDN w:val="0"/>
              <w:adjustRightInd w:val="0"/>
              <w:spacing w:after="0"/>
              <w:rPr>
                <w:noProof/>
                <w:szCs w:val="24"/>
              </w:rPr>
            </w:pPr>
          </w:p>
        </w:tc>
        <w:tc>
          <w:tcPr>
            <w:tcW w:w="1652" w:type="pct"/>
          </w:tcPr>
          <w:p>
            <w:pPr>
              <w:autoSpaceDE w:val="0"/>
              <w:autoSpaceDN w:val="0"/>
              <w:adjustRightInd w:val="0"/>
              <w:spacing w:after="0"/>
              <w:rPr>
                <w:noProof/>
                <w:szCs w:val="24"/>
              </w:rPr>
            </w:pPr>
            <w:r>
              <w:rPr>
                <w:noProof/>
              </w:rPr>
              <w:t>Immunologisten eläinlääkkeiden biologinen aktiivisuus, voimakkuus tai titteri.</w:t>
            </w:r>
          </w:p>
        </w:tc>
        <w:tc>
          <w:tcPr>
            <w:tcW w:w="1195" w:type="pct"/>
          </w:tcPr>
          <w:p>
            <w:pPr>
              <w:autoSpaceDE w:val="0"/>
              <w:autoSpaceDN w:val="0"/>
              <w:adjustRightInd w:val="0"/>
              <w:spacing w:after="0"/>
              <w:rPr>
                <w:noProof/>
                <w:szCs w:val="24"/>
              </w:rPr>
            </w:pPr>
            <w:r>
              <w:rPr>
                <w:noProof/>
              </w:rPr>
              <w:t>Strukturoitu data tai, jos se ei perustelluista syistä ole mahdollista, vapaamuotoinen teksti</w:t>
            </w:r>
          </w:p>
        </w:tc>
      </w:tr>
      <w:tr>
        <w:trPr>
          <w:trHeight w:val="87"/>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Valmistuspaikat</w:t>
            </w:r>
          </w:p>
        </w:tc>
        <w:tc>
          <w:tcPr>
            <w:tcW w:w="1652" w:type="pct"/>
          </w:tcPr>
          <w:p>
            <w:pPr>
              <w:autoSpaceDE w:val="0"/>
              <w:autoSpaceDN w:val="0"/>
              <w:adjustRightInd w:val="0"/>
              <w:spacing w:after="0"/>
              <w:rPr>
                <w:noProof/>
                <w:szCs w:val="24"/>
              </w:rPr>
            </w:pPr>
            <w:r>
              <w:rPr>
                <w:noProof/>
              </w:rPr>
              <w:t>Luettelo eläinlääkkeen valmistuspaikoista</w:t>
            </w:r>
          </w:p>
        </w:tc>
        <w:tc>
          <w:tcPr>
            <w:tcW w:w="1195" w:type="pct"/>
          </w:tcPr>
          <w:p>
            <w:pPr>
              <w:autoSpaceDE w:val="0"/>
              <w:autoSpaceDN w:val="0"/>
              <w:adjustRightInd w:val="0"/>
              <w:spacing w:after="0"/>
              <w:rPr>
                <w:noProof/>
                <w:szCs w:val="24"/>
              </w:rPr>
            </w:pPr>
            <w:r>
              <w:rPr>
                <w:noProof/>
              </w:rPr>
              <w:t>Kontrolloitu organisaatiodata</w:t>
            </w:r>
          </w:p>
        </w:tc>
      </w:tr>
      <w:tr>
        <w:trPr>
          <w:trHeight w:val="439"/>
        </w:trPr>
        <w:tc>
          <w:tcPr>
            <w:tcW w:w="898" w:type="pct"/>
          </w:tcPr>
          <w:p>
            <w:pPr>
              <w:pStyle w:val="ListParagraph"/>
              <w:numPr>
                <w:ilvl w:val="0"/>
                <w:numId w:val="17"/>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Asiakirjat</w:t>
            </w:r>
          </w:p>
        </w:tc>
        <w:tc>
          <w:tcPr>
            <w:tcW w:w="1652" w:type="pct"/>
          </w:tcPr>
          <w:p>
            <w:pPr>
              <w:autoSpaceDE w:val="0"/>
              <w:autoSpaceDN w:val="0"/>
              <w:adjustRightInd w:val="0"/>
              <w:spacing w:after="0"/>
              <w:rPr>
                <w:noProof/>
                <w:szCs w:val="24"/>
              </w:rPr>
            </w:pPr>
            <w:r>
              <w:rPr>
                <w:noProof/>
              </w:rPr>
              <w:t>Eläinlääkkeen valmistetiedostoon liitettävät asiakirjat, mukaan lukien asiakirjatyypin valinta (valmisteyhteenveto, pakkausseloste, pakkausmerkinnät ja arviointiraportti).</w:t>
            </w:r>
          </w:p>
        </w:tc>
        <w:tc>
          <w:tcPr>
            <w:tcW w:w="1195" w:type="pct"/>
          </w:tcPr>
          <w:p>
            <w:pPr>
              <w:autoSpaceDE w:val="0"/>
              <w:autoSpaceDN w:val="0"/>
              <w:adjustRightInd w:val="0"/>
              <w:spacing w:after="0"/>
              <w:rPr>
                <w:noProof/>
                <w:szCs w:val="24"/>
              </w:rPr>
            </w:pPr>
            <w:r>
              <w:rPr>
                <w:noProof/>
              </w:rPr>
              <w:t>Kontrolloidut termit asiakirjatyypeille ja tässä asetuksessa vahvistetussa muodossa ladatuille asiakirjoille</w:t>
            </w:r>
          </w:p>
        </w:tc>
      </w:tr>
      <w:tr>
        <w:trPr>
          <w:trHeight w:val="87"/>
        </w:trPr>
        <w:tc>
          <w:tcPr>
            <w:tcW w:w="898" w:type="pct"/>
          </w:tcPr>
          <w:p>
            <w:pPr>
              <w:pStyle w:val="TableParagraph"/>
              <w:numPr>
                <w:ilvl w:val="0"/>
                <w:numId w:val="16"/>
              </w:numPr>
              <w:spacing w:before="64"/>
              <w:rPr>
                <w:b/>
                <w:bCs/>
                <w:noProof/>
                <w:szCs w:val="24"/>
              </w:rPr>
            </w:pPr>
          </w:p>
        </w:tc>
        <w:tc>
          <w:tcPr>
            <w:tcW w:w="4102" w:type="pct"/>
            <w:gridSpan w:val="3"/>
          </w:tcPr>
          <w:p>
            <w:pPr>
              <w:autoSpaceDE w:val="0"/>
              <w:autoSpaceDN w:val="0"/>
              <w:adjustRightInd w:val="0"/>
              <w:spacing w:after="0"/>
              <w:rPr>
                <w:noProof/>
                <w:szCs w:val="24"/>
              </w:rPr>
            </w:pPr>
            <w:r>
              <w:rPr>
                <w:b/>
                <w:bCs/>
                <w:noProof/>
                <w:szCs w:val="24"/>
              </w:rPr>
              <w:t>Ainoastaan myyntiluvan saaneet eläinlääkkeet</w:t>
            </w:r>
          </w:p>
        </w:tc>
      </w:tr>
      <w:tr>
        <w:trPr>
          <w:trHeight w:val="300"/>
        </w:trPr>
        <w:tc>
          <w:tcPr>
            <w:tcW w:w="898" w:type="pct"/>
          </w:tcPr>
          <w:p>
            <w:pPr>
              <w:pStyle w:val="ListParagraph"/>
              <w:numPr>
                <w:ilvl w:val="0"/>
                <w:numId w:val="22"/>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Markkinoille saattamisen päivämäärät</w:t>
            </w:r>
          </w:p>
        </w:tc>
        <w:tc>
          <w:tcPr>
            <w:tcW w:w="1652" w:type="pct"/>
          </w:tcPr>
          <w:p>
            <w:pPr>
              <w:autoSpaceDE w:val="0"/>
              <w:autoSpaceDN w:val="0"/>
              <w:adjustRightInd w:val="0"/>
              <w:spacing w:after="0"/>
              <w:rPr>
                <w:noProof/>
                <w:szCs w:val="24"/>
              </w:rPr>
            </w:pPr>
            <w:r>
              <w:rPr>
                <w:noProof/>
              </w:rPr>
              <w:t>Päivämäärät, jolloin eläinlääke on saatettu markkinoille kussakin jäsenvaltiossa.</w:t>
            </w:r>
          </w:p>
        </w:tc>
        <w:tc>
          <w:tcPr>
            <w:tcW w:w="1195" w:type="pct"/>
          </w:tcPr>
          <w:p>
            <w:pPr>
              <w:autoSpaceDE w:val="0"/>
              <w:autoSpaceDN w:val="0"/>
              <w:adjustRightInd w:val="0"/>
              <w:spacing w:after="0"/>
              <w:rPr>
                <w:noProof/>
                <w:szCs w:val="24"/>
              </w:rPr>
            </w:pPr>
            <w:r>
              <w:rPr>
                <w:noProof/>
              </w:rPr>
              <w:t>Päivämäärä</w:t>
            </w:r>
          </w:p>
        </w:tc>
      </w:tr>
      <w:tr>
        <w:trPr>
          <w:trHeight w:val="299"/>
        </w:trPr>
        <w:tc>
          <w:tcPr>
            <w:tcW w:w="898" w:type="pct"/>
          </w:tcPr>
          <w:p>
            <w:pPr>
              <w:pStyle w:val="ListParagraph"/>
              <w:numPr>
                <w:ilvl w:val="0"/>
                <w:numId w:val="22"/>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Vuosittainen myyntimäärä</w:t>
            </w:r>
          </w:p>
        </w:tc>
        <w:tc>
          <w:tcPr>
            <w:tcW w:w="1652" w:type="pct"/>
          </w:tcPr>
          <w:p>
            <w:pPr>
              <w:autoSpaceDE w:val="0"/>
              <w:autoSpaceDN w:val="0"/>
              <w:adjustRightInd w:val="0"/>
              <w:spacing w:after="0"/>
              <w:rPr>
                <w:noProof/>
                <w:szCs w:val="24"/>
              </w:rPr>
            </w:pPr>
            <w:r>
              <w:rPr>
                <w:noProof/>
              </w:rPr>
              <w:t>Eläinlääkkeiden vuosittainen myyntimäärä.</w:t>
            </w:r>
          </w:p>
        </w:tc>
        <w:tc>
          <w:tcPr>
            <w:tcW w:w="1195" w:type="pct"/>
          </w:tcPr>
          <w:p>
            <w:pPr>
              <w:autoSpaceDE w:val="0"/>
              <w:autoSpaceDN w:val="0"/>
              <w:adjustRightInd w:val="0"/>
              <w:spacing w:after="0"/>
              <w:rPr>
                <w:noProof/>
                <w:szCs w:val="24"/>
              </w:rPr>
            </w:pPr>
            <w:r>
              <w:rPr>
                <w:noProof/>
              </w:rPr>
              <w:t>Strukturoitu data</w:t>
            </w:r>
          </w:p>
        </w:tc>
      </w:tr>
      <w:tr>
        <w:trPr>
          <w:trHeight w:val="299"/>
        </w:trPr>
        <w:tc>
          <w:tcPr>
            <w:tcW w:w="898" w:type="pct"/>
          </w:tcPr>
          <w:p>
            <w:pPr>
              <w:pStyle w:val="ListParagraph"/>
              <w:numPr>
                <w:ilvl w:val="0"/>
                <w:numId w:val="22"/>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Saatavuustilanteen päivämäärä</w:t>
            </w:r>
          </w:p>
        </w:tc>
        <w:tc>
          <w:tcPr>
            <w:tcW w:w="1652" w:type="pct"/>
          </w:tcPr>
          <w:p>
            <w:pPr>
              <w:autoSpaceDE w:val="0"/>
              <w:autoSpaceDN w:val="0"/>
              <w:adjustRightInd w:val="0"/>
              <w:spacing w:after="0"/>
              <w:rPr>
                <w:noProof/>
                <w:szCs w:val="24"/>
              </w:rPr>
            </w:pPr>
            <w:r>
              <w:rPr>
                <w:noProof/>
              </w:rPr>
              <w:t>Markkinoille saattamista koskevan tilanteen päivämäärä.</w:t>
            </w:r>
          </w:p>
        </w:tc>
        <w:tc>
          <w:tcPr>
            <w:tcW w:w="1195" w:type="pct"/>
          </w:tcPr>
          <w:p>
            <w:pPr>
              <w:autoSpaceDE w:val="0"/>
              <w:autoSpaceDN w:val="0"/>
              <w:adjustRightInd w:val="0"/>
              <w:spacing w:after="0"/>
              <w:rPr>
                <w:noProof/>
                <w:szCs w:val="24"/>
              </w:rPr>
            </w:pPr>
            <w:r>
              <w:rPr>
                <w:noProof/>
              </w:rPr>
              <w:t>Päivämäärä</w:t>
            </w:r>
          </w:p>
        </w:tc>
      </w:tr>
      <w:tr>
        <w:trPr>
          <w:trHeight w:val="300"/>
        </w:trPr>
        <w:tc>
          <w:tcPr>
            <w:tcW w:w="898" w:type="pct"/>
          </w:tcPr>
          <w:p>
            <w:pPr>
              <w:pStyle w:val="ListParagraph"/>
              <w:numPr>
                <w:ilvl w:val="0"/>
                <w:numId w:val="22"/>
              </w:numPr>
              <w:autoSpaceDE w:val="0"/>
              <w:autoSpaceDN w:val="0"/>
              <w:adjustRightInd w:val="0"/>
              <w:spacing w:after="0"/>
              <w:rPr>
                <w:noProof/>
                <w:szCs w:val="24"/>
              </w:rPr>
            </w:pPr>
          </w:p>
        </w:tc>
        <w:tc>
          <w:tcPr>
            <w:tcW w:w="1255" w:type="pct"/>
          </w:tcPr>
          <w:p>
            <w:pPr>
              <w:autoSpaceDE w:val="0"/>
              <w:autoSpaceDN w:val="0"/>
              <w:adjustRightInd w:val="0"/>
              <w:spacing w:after="0"/>
              <w:rPr>
                <w:noProof/>
                <w:szCs w:val="24"/>
              </w:rPr>
            </w:pPr>
            <w:r>
              <w:rPr>
                <w:noProof/>
              </w:rPr>
              <w:t>Saatavuustilanne</w:t>
            </w:r>
          </w:p>
        </w:tc>
        <w:tc>
          <w:tcPr>
            <w:tcW w:w="1652" w:type="pct"/>
          </w:tcPr>
          <w:p>
            <w:pPr>
              <w:autoSpaceDE w:val="0"/>
              <w:autoSpaceDN w:val="0"/>
              <w:adjustRightInd w:val="0"/>
              <w:spacing w:after="0"/>
              <w:rPr>
                <w:noProof/>
                <w:szCs w:val="24"/>
              </w:rPr>
            </w:pPr>
            <w:r>
              <w:rPr>
                <w:noProof/>
              </w:rPr>
              <w:t>Markkinoille saattaminen: valmiste on saatavilla markkinoilla, tilanne jäsenvaltioittain.</w:t>
            </w:r>
          </w:p>
        </w:tc>
        <w:tc>
          <w:tcPr>
            <w:tcW w:w="1195" w:type="pct"/>
          </w:tcPr>
          <w:p>
            <w:pPr>
              <w:autoSpaceDE w:val="0"/>
              <w:autoSpaceDN w:val="0"/>
              <w:adjustRightInd w:val="0"/>
              <w:spacing w:after="0"/>
              <w:rPr>
                <w:noProof/>
                <w:szCs w:val="24"/>
              </w:rPr>
            </w:pPr>
            <w:r>
              <w:rPr>
                <w:noProof/>
              </w:rPr>
              <w:t>Kontrolloidut termit</w:t>
            </w:r>
          </w:p>
        </w:tc>
      </w:tr>
    </w:tbl>
    <w:p>
      <w:pPr>
        <w:rPr>
          <w:noProof/>
        </w:rPr>
      </w:pPr>
    </w:p>
    <w:p>
      <w:pPr>
        <w:rPr>
          <w:noProof/>
        </w:rPr>
        <w:sectPr>
          <w:pgSz w:w="11907" w:h="16839"/>
          <w:pgMar w:top="1134" w:right="1417" w:bottom="1134" w:left="1417" w:header="709" w:footer="709" w:gutter="0"/>
          <w:cols w:space="720"/>
          <w:docGrid w:linePitch="360"/>
        </w:sectPr>
      </w:pPr>
    </w:p>
    <w:p>
      <w:pPr>
        <w:pStyle w:val="Annexetitre"/>
        <w:rPr>
          <w:noProof/>
        </w:rPr>
      </w:pPr>
      <w:r>
        <w:rPr>
          <w:noProof/>
        </w:rPr>
        <w:t>LIITE III</w:t>
      </w:r>
    </w:p>
    <w:p>
      <w:pPr>
        <w:jc w:val="center"/>
        <w:rPr>
          <w:b/>
          <w:noProof/>
        </w:rPr>
      </w:pPr>
      <w:r>
        <w:rPr>
          <w:b/>
          <w:noProof/>
        </w:rPr>
        <w:t>Unionin valmistetietokantaan asetuksen (EU) 2019/6 55 artiklan 2 kohdassa tarkoitettujen tietojen lisäksi sisällytettävät tietokentät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2296"/>
        <w:gridCol w:w="3603"/>
        <w:gridCol w:w="1933"/>
      </w:tblGrid>
      <w:tr>
        <w:trPr>
          <w:trHeight w:val="87"/>
          <w:tblHeader/>
        </w:trPr>
        <w:tc>
          <w:tcPr>
            <w:tcW w:w="896" w:type="pct"/>
            <w:shd w:val="clear" w:color="auto" w:fill="D9D9D9" w:themeFill="background1" w:themeFillShade="D9"/>
          </w:tcPr>
          <w:p>
            <w:pPr>
              <w:autoSpaceDE w:val="0"/>
              <w:autoSpaceDN w:val="0"/>
              <w:adjustRightInd w:val="0"/>
              <w:spacing w:after="0"/>
              <w:jc w:val="center"/>
              <w:rPr>
                <w:b/>
                <w:bCs/>
                <w:noProof/>
                <w:szCs w:val="24"/>
              </w:rPr>
            </w:pPr>
            <w:r>
              <w:rPr>
                <w:b/>
                <w:bCs/>
                <w:noProof/>
                <w:szCs w:val="24"/>
              </w:rPr>
              <w:t>Tietokentän tunnus</w:t>
            </w:r>
          </w:p>
        </w:tc>
        <w:tc>
          <w:tcPr>
            <w:tcW w:w="1299" w:type="pct"/>
            <w:shd w:val="clear" w:color="auto" w:fill="D9D9D9" w:themeFill="background1" w:themeFillShade="D9"/>
          </w:tcPr>
          <w:p>
            <w:pPr>
              <w:autoSpaceDE w:val="0"/>
              <w:autoSpaceDN w:val="0"/>
              <w:adjustRightInd w:val="0"/>
              <w:spacing w:after="0"/>
              <w:jc w:val="center"/>
              <w:rPr>
                <w:b/>
                <w:noProof/>
                <w:szCs w:val="24"/>
              </w:rPr>
            </w:pPr>
            <w:r>
              <w:rPr>
                <w:b/>
                <w:bCs/>
                <w:noProof/>
                <w:szCs w:val="24"/>
              </w:rPr>
              <w:t>Tietokenttä</w:t>
            </w:r>
          </w:p>
        </w:tc>
        <w:tc>
          <w:tcPr>
            <w:tcW w:w="1579" w:type="pct"/>
            <w:shd w:val="clear" w:color="auto" w:fill="D9D9D9" w:themeFill="background1" w:themeFillShade="D9"/>
          </w:tcPr>
          <w:p>
            <w:pPr>
              <w:autoSpaceDE w:val="0"/>
              <w:autoSpaceDN w:val="0"/>
              <w:adjustRightInd w:val="0"/>
              <w:spacing w:after="0"/>
              <w:jc w:val="center"/>
              <w:rPr>
                <w:noProof/>
                <w:szCs w:val="24"/>
              </w:rPr>
            </w:pPr>
            <w:r>
              <w:rPr>
                <w:b/>
                <w:bCs/>
                <w:noProof/>
                <w:szCs w:val="24"/>
              </w:rPr>
              <w:t>Kuvaus</w:t>
            </w:r>
          </w:p>
        </w:tc>
        <w:tc>
          <w:tcPr>
            <w:tcW w:w="1226" w:type="pct"/>
            <w:shd w:val="clear" w:color="auto" w:fill="D9D9D9" w:themeFill="background1" w:themeFillShade="D9"/>
          </w:tcPr>
          <w:p>
            <w:pPr>
              <w:autoSpaceDE w:val="0"/>
              <w:autoSpaceDN w:val="0"/>
              <w:adjustRightInd w:val="0"/>
              <w:spacing w:after="0"/>
              <w:jc w:val="center"/>
              <w:rPr>
                <w:noProof/>
                <w:szCs w:val="24"/>
              </w:rPr>
            </w:pPr>
            <w:r>
              <w:rPr>
                <w:b/>
                <w:bCs/>
                <w:noProof/>
                <w:szCs w:val="24"/>
              </w:rPr>
              <w:t>Esitysmuoto</w:t>
            </w:r>
          </w:p>
        </w:tc>
      </w:tr>
      <w:tr>
        <w:trPr>
          <w:trHeight w:val="300"/>
        </w:trPr>
        <w:tc>
          <w:tcPr>
            <w:tcW w:w="896" w:type="pct"/>
          </w:tcPr>
          <w:p>
            <w:pPr>
              <w:pStyle w:val="TableParagraph"/>
              <w:numPr>
                <w:ilvl w:val="0"/>
                <w:numId w:val="16"/>
              </w:numPr>
              <w:spacing w:before="64"/>
              <w:rPr>
                <w:noProof/>
                <w:szCs w:val="24"/>
              </w:rPr>
            </w:pPr>
          </w:p>
        </w:tc>
        <w:tc>
          <w:tcPr>
            <w:tcW w:w="4104" w:type="pct"/>
            <w:gridSpan w:val="3"/>
          </w:tcPr>
          <w:p>
            <w:pPr>
              <w:autoSpaceDE w:val="0"/>
              <w:autoSpaceDN w:val="0"/>
              <w:adjustRightInd w:val="0"/>
              <w:spacing w:after="0"/>
              <w:rPr>
                <w:noProof/>
                <w:szCs w:val="24"/>
              </w:rPr>
            </w:pPr>
            <w:r>
              <w:rPr>
                <w:b/>
                <w:bCs/>
                <w:noProof/>
                <w:szCs w:val="24"/>
              </w:rPr>
              <w:t>Kaikki eläinlääkkeet</w:t>
            </w:r>
          </w:p>
        </w:tc>
      </w:tr>
      <w:tr>
        <w:trPr>
          <w:trHeight w:val="300"/>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Pysyvä tunniste</w:t>
            </w:r>
          </w:p>
        </w:tc>
        <w:tc>
          <w:tcPr>
            <w:tcW w:w="1579" w:type="pct"/>
          </w:tcPr>
          <w:p>
            <w:pPr>
              <w:autoSpaceDE w:val="0"/>
              <w:autoSpaceDN w:val="0"/>
              <w:adjustRightInd w:val="0"/>
              <w:spacing w:after="0"/>
              <w:rPr>
                <w:noProof/>
                <w:szCs w:val="24"/>
              </w:rPr>
            </w:pPr>
            <w:r>
              <w:rPr>
                <w:noProof/>
              </w:rPr>
              <w:t>Eläinlääkkeen yksilöllinen tunniste unionin valmistetietokannassa.</w:t>
            </w:r>
          </w:p>
        </w:tc>
        <w:tc>
          <w:tcPr>
            <w:tcW w:w="1226" w:type="pct"/>
          </w:tcPr>
          <w:p>
            <w:pPr>
              <w:autoSpaceDE w:val="0"/>
              <w:autoSpaceDN w:val="0"/>
              <w:adjustRightInd w:val="0"/>
              <w:spacing w:after="0"/>
              <w:rPr>
                <w:noProof/>
                <w:szCs w:val="24"/>
              </w:rPr>
            </w:pPr>
            <w:r>
              <w:rPr>
                <w:noProof/>
              </w:rPr>
              <w:t>Strukturoitu data</w:t>
            </w:r>
          </w:p>
        </w:tc>
      </w:tr>
      <w:tr>
        <w:trPr>
          <w:trHeight w:val="649"/>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Valmisteen tunniste</w:t>
            </w:r>
          </w:p>
        </w:tc>
        <w:tc>
          <w:tcPr>
            <w:tcW w:w="1579" w:type="pct"/>
          </w:tcPr>
          <w:p>
            <w:pPr>
              <w:autoSpaceDE w:val="0"/>
              <w:autoSpaceDN w:val="0"/>
              <w:adjustRightInd w:val="0"/>
              <w:spacing w:after="0"/>
              <w:rPr>
                <w:noProof/>
                <w:szCs w:val="24"/>
              </w:rPr>
            </w:pPr>
            <w:r>
              <w:rPr>
                <w:noProof/>
              </w:rPr>
              <w:t>Sama yksilöllinen tunniste samoille eläinlääkkeille kaikissa jäsenvaltioissa, jotta voidaan ryhmitellä eläinlääkkeet, joille on myönnetty myyntilupa hajautetun menettelyn, keskinäisen tunnustamismenettelyn tai myöhempää tunnustamista koskevan menettelyn mukaisesti tai joiden valmisteyhteenvedot on yhdenmukaistettu.</w:t>
            </w:r>
          </w:p>
        </w:tc>
        <w:tc>
          <w:tcPr>
            <w:tcW w:w="1226" w:type="pct"/>
          </w:tcPr>
          <w:p>
            <w:pPr>
              <w:autoSpaceDE w:val="0"/>
              <w:autoSpaceDN w:val="0"/>
              <w:adjustRightInd w:val="0"/>
              <w:spacing w:after="0"/>
              <w:rPr>
                <w:noProof/>
                <w:szCs w:val="24"/>
              </w:rPr>
            </w:pPr>
            <w:r>
              <w:rPr>
                <w:noProof/>
              </w:rPr>
              <w:t>Strukturoitu data</w:t>
            </w:r>
          </w:p>
        </w:tc>
      </w:tr>
      <w:tr>
        <w:trPr>
          <w:trHeight w:val="649"/>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Valmisteen omistaja</w:t>
            </w:r>
          </w:p>
        </w:tc>
        <w:tc>
          <w:tcPr>
            <w:tcW w:w="1579" w:type="pct"/>
          </w:tcPr>
          <w:p>
            <w:pPr>
              <w:autoSpaceDE w:val="0"/>
              <w:autoSpaceDN w:val="0"/>
              <w:adjustRightInd w:val="0"/>
              <w:spacing w:after="0"/>
              <w:rPr>
                <w:noProof/>
                <w:szCs w:val="24"/>
              </w:rPr>
            </w:pPr>
            <w:r>
              <w:rPr>
                <w:noProof/>
              </w:rPr>
              <w:t>Eläinlääkkeen myyntiluvan tai homeopaattisen eläinlääkkeen rekisteröinnin haltija, asetuksen (EU) 2019/6 5 artiklan 6 kohdassa tarkoitetun eläinlääkkeen haltija tai sellaisen eläinlääkkeen haltija, joka on vapautettu direktiivin 2001/82/EY 5–8 artiklan säännöksistä mainitun direktiivin 4 artiklan 2 kohdan mukaisesti, tapauksen mukaan.</w:t>
            </w:r>
          </w:p>
        </w:tc>
        <w:tc>
          <w:tcPr>
            <w:tcW w:w="1226" w:type="pct"/>
          </w:tcPr>
          <w:p>
            <w:pPr>
              <w:autoSpaceDE w:val="0"/>
              <w:autoSpaceDN w:val="0"/>
              <w:adjustRightInd w:val="0"/>
              <w:spacing w:after="0"/>
              <w:rPr>
                <w:noProof/>
                <w:szCs w:val="24"/>
              </w:rPr>
            </w:pPr>
            <w:r>
              <w:rPr>
                <w:noProof/>
              </w:rPr>
              <w:t>Kontrolloitu organisaatiodata</w:t>
            </w:r>
          </w:p>
        </w:tc>
      </w:tr>
      <w:tr>
        <w:trPr>
          <w:trHeight w:val="300"/>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Myyntiluvan tila</w:t>
            </w:r>
          </w:p>
        </w:tc>
        <w:tc>
          <w:tcPr>
            <w:tcW w:w="1579" w:type="pct"/>
          </w:tcPr>
          <w:p>
            <w:pPr>
              <w:autoSpaceDE w:val="0"/>
              <w:autoSpaceDN w:val="0"/>
              <w:adjustRightInd w:val="0"/>
              <w:spacing w:after="0"/>
              <w:rPr>
                <w:noProof/>
                <w:szCs w:val="24"/>
              </w:rPr>
            </w:pPr>
            <w:r>
              <w:rPr>
                <w:noProof/>
              </w:rPr>
              <w:t>Eläinlääkkeen myyntiluvan tila</w:t>
            </w:r>
          </w:p>
        </w:tc>
        <w:tc>
          <w:tcPr>
            <w:tcW w:w="1226" w:type="pct"/>
          </w:tcPr>
          <w:p>
            <w:pPr>
              <w:autoSpaceDE w:val="0"/>
              <w:autoSpaceDN w:val="0"/>
              <w:adjustRightInd w:val="0"/>
              <w:spacing w:after="0"/>
              <w:rPr>
                <w:noProof/>
                <w:szCs w:val="24"/>
              </w:rPr>
            </w:pPr>
            <w:r>
              <w:rPr>
                <w:noProof/>
              </w:rPr>
              <w:t>Kontrolloidut termit</w:t>
            </w:r>
          </w:p>
        </w:tc>
      </w:tr>
      <w:tr>
        <w:trPr>
          <w:trHeight w:val="300"/>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Myyntiluvan tilan muuttumispäivä</w:t>
            </w:r>
          </w:p>
        </w:tc>
        <w:tc>
          <w:tcPr>
            <w:tcW w:w="1579" w:type="pct"/>
          </w:tcPr>
          <w:p>
            <w:pPr>
              <w:autoSpaceDE w:val="0"/>
              <w:autoSpaceDN w:val="0"/>
              <w:adjustRightInd w:val="0"/>
              <w:spacing w:after="0"/>
              <w:rPr>
                <w:noProof/>
                <w:szCs w:val="24"/>
              </w:rPr>
            </w:pPr>
            <w:r>
              <w:rPr>
                <w:noProof/>
              </w:rPr>
              <w:t>Päivämäärä, jona myyntiluvan tila muuttui.</w:t>
            </w:r>
          </w:p>
        </w:tc>
        <w:tc>
          <w:tcPr>
            <w:tcW w:w="1226" w:type="pct"/>
          </w:tcPr>
          <w:p>
            <w:pPr>
              <w:autoSpaceDE w:val="0"/>
              <w:autoSpaceDN w:val="0"/>
              <w:adjustRightInd w:val="0"/>
              <w:spacing w:after="0"/>
              <w:rPr>
                <w:noProof/>
                <w:szCs w:val="24"/>
              </w:rPr>
            </w:pPr>
            <w:r>
              <w:rPr>
                <w:noProof/>
              </w:rPr>
              <w:t>Päivämäärä</w:t>
            </w:r>
          </w:p>
        </w:tc>
      </w:tr>
      <w:tr>
        <w:trPr>
          <w:trHeight w:val="300"/>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highlight w:val="green"/>
              </w:rPr>
            </w:pPr>
            <w:r>
              <w:rPr>
                <w:noProof/>
              </w:rPr>
              <w:t>Antoreitti</w:t>
            </w:r>
          </w:p>
        </w:tc>
        <w:tc>
          <w:tcPr>
            <w:tcW w:w="1579" w:type="pct"/>
          </w:tcPr>
          <w:p>
            <w:pPr>
              <w:autoSpaceDE w:val="0"/>
              <w:autoSpaceDN w:val="0"/>
              <w:adjustRightInd w:val="0"/>
              <w:spacing w:after="0"/>
              <w:rPr>
                <w:noProof/>
                <w:szCs w:val="24"/>
                <w:highlight w:val="green"/>
              </w:rPr>
            </w:pPr>
            <w:r>
              <w:rPr>
                <w:noProof/>
              </w:rPr>
              <w:t>Antoreitit.</w:t>
            </w:r>
          </w:p>
        </w:tc>
        <w:tc>
          <w:tcPr>
            <w:tcW w:w="1226" w:type="pct"/>
          </w:tcPr>
          <w:p>
            <w:pPr>
              <w:autoSpaceDE w:val="0"/>
              <w:autoSpaceDN w:val="0"/>
              <w:adjustRightInd w:val="0"/>
              <w:spacing w:after="0"/>
              <w:rPr>
                <w:noProof/>
                <w:szCs w:val="24"/>
                <w:highlight w:val="green"/>
              </w:rPr>
            </w:pPr>
            <w:r>
              <w:rPr>
                <w:noProof/>
              </w:rPr>
              <w:t>Kontrolloidut termit</w:t>
            </w:r>
          </w:p>
        </w:tc>
      </w:tr>
      <w:tr>
        <w:trPr>
          <w:trHeight w:val="87"/>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Lääkemuoto</w:t>
            </w:r>
          </w:p>
        </w:tc>
        <w:tc>
          <w:tcPr>
            <w:tcW w:w="1579" w:type="pct"/>
          </w:tcPr>
          <w:p>
            <w:pPr>
              <w:autoSpaceDE w:val="0"/>
              <w:autoSpaceDN w:val="0"/>
              <w:adjustRightInd w:val="0"/>
              <w:spacing w:after="0"/>
              <w:rPr>
                <w:noProof/>
                <w:szCs w:val="24"/>
              </w:rPr>
            </w:pPr>
            <w:r>
              <w:rPr>
                <w:noProof/>
              </w:rPr>
              <w:t>Eläinlääkkeen lääkemuoto.</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Kohde-eläinlaji</w:t>
            </w:r>
          </w:p>
        </w:tc>
        <w:tc>
          <w:tcPr>
            <w:tcW w:w="1579" w:type="pct"/>
          </w:tcPr>
          <w:p>
            <w:pPr>
              <w:autoSpaceDE w:val="0"/>
              <w:autoSpaceDN w:val="0"/>
              <w:adjustRightInd w:val="0"/>
              <w:spacing w:after="0"/>
              <w:rPr>
                <w:noProof/>
                <w:szCs w:val="24"/>
              </w:rPr>
            </w:pPr>
            <w:r>
              <w:rPr>
                <w:noProof/>
              </w:rPr>
              <w:t>Kohde-eläinlajit.</w:t>
            </w:r>
          </w:p>
        </w:tc>
        <w:tc>
          <w:tcPr>
            <w:tcW w:w="1226" w:type="pct"/>
          </w:tcPr>
          <w:p>
            <w:pPr>
              <w:autoSpaceDE w:val="0"/>
              <w:autoSpaceDN w:val="0"/>
              <w:adjustRightInd w:val="0"/>
              <w:spacing w:after="0"/>
              <w:rPr>
                <w:noProof/>
                <w:szCs w:val="24"/>
              </w:rPr>
            </w:pPr>
            <w:r>
              <w:rPr>
                <w:noProof/>
              </w:rPr>
              <w:t>Kontrolloidut termit</w:t>
            </w:r>
          </w:p>
        </w:tc>
      </w:tr>
      <w:tr>
        <w:trPr>
          <w:trHeight w:val="300"/>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ATCvet-koodi</w:t>
            </w:r>
          </w:p>
        </w:tc>
        <w:tc>
          <w:tcPr>
            <w:tcW w:w="1579" w:type="pct"/>
          </w:tcPr>
          <w:p>
            <w:pPr>
              <w:autoSpaceDE w:val="0"/>
              <w:autoSpaceDN w:val="0"/>
              <w:adjustRightInd w:val="0"/>
              <w:spacing w:after="0"/>
              <w:rPr>
                <w:noProof/>
                <w:szCs w:val="24"/>
              </w:rPr>
            </w:pPr>
            <w:r>
              <w:rPr>
                <w:noProof/>
              </w:rPr>
              <w:t>Anatomis-terapeuttis-kemiallinen koodi.</w:t>
            </w:r>
          </w:p>
        </w:tc>
        <w:tc>
          <w:tcPr>
            <w:tcW w:w="1226" w:type="pct"/>
          </w:tcPr>
          <w:p>
            <w:pPr>
              <w:autoSpaceDE w:val="0"/>
              <w:autoSpaceDN w:val="0"/>
              <w:adjustRightInd w:val="0"/>
              <w:spacing w:after="0"/>
              <w:rPr>
                <w:noProof/>
                <w:szCs w:val="24"/>
              </w:rPr>
            </w:pPr>
            <w:r>
              <w:rPr>
                <w:noProof/>
              </w:rPr>
              <w:t>Kontrolloidut termit</w:t>
            </w:r>
          </w:p>
        </w:tc>
      </w:tr>
      <w:tr>
        <w:trPr>
          <w:trHeight w:val="228"/>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 xml:space="preserve">Varoaika </w:t>
            </w:r>
          </w:p>
        </w:tc>
        <w:tc>
          <w:tcPr>
            <w:tcW w:w="1579" w:type="pct"/>
          </w:tcPr>
          <w:p>
            <w:pPr>
              <w:autoSpaceDE w:val="0"/>
              <w:autoSpaceDN w:val="0"/>
              <w:adjustRightInd w:val="0"/>
              <w:spacing w:after="0"/>
              <w:rPr>
                <w:noProof/>
                <w:szCs w:val="24"/>
              </w:rPr>
            </w:pPr>
            <w:r>
              <w:rPr>
                <w:noProof/>
              </w:rPr>
              <w:t>Varoaika lajia, antoreittiä ja elintarviketta kohti. Ainoastaan elintarviketuotantoeläimille tarkoitetut eläinlääkkeet.</w:t>
            </w:r>
          </w:p>
        </w:tc>
        <w:tc>
          <w:tcPr>
            <w:tcW w:w="1226" w:type="pct"/>
          </w:tcPr>
          <w:p>
            <w:pPr>
              <w:autoSpaceDE w:val="0"/>
              <w:autoSpaceDN w:val="0"/>
              <w:adjustRightInd w:val="0"/>
              <w:spacing w:after="0"/>
              <w:rPr>
                <w:noProof/>
                <w:szCs w:val="24"/>
              </w:rPr>
            </w:pPr>
            <w:r>
              <w:rPr>
                <w:noProof/>
              </w:rPr>
              <w:t>Strukturoitu data tai, jos se ei perustelluista syistä ole mahdollista, vapaamuotoinen teksti</w:t>
            </w:r>
          </w:p>
        </w:tc>
      </w:tr>
      <w:tr>
        <w:trPr>
          <w:trHeight w:val="104"/>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PSMF-numero</w:t>
            </w:r>
            <w:r>
              <w:rPr>
                <w:rStyle w:val="FootnoteReference"/>
                <w:noProof/>
                <w:szCs w:val="24"/>
              </w:rPr>
              <w:footnoteReference w:id="2"/>
            </w:r>
            <w:r>
              <w:rPr>
                <w:noProof/>
              </w:rPr>
              <w:t xml:space="preserve"> </w:t>
            </w:r>
          </w:p>
        </w:tc>
        <w:tc>
          <w:tcPr>
            <w:tcW w:w="1579" w:type="pct"/>
          </w:tcPr>
          <w:p>
            <w:pPr>
              <w:autoSpaceDE w:val="0"/>
              <w:autoSpaceDN w:val="0"/>
              <w:adjustRightInd w:val="0"/>
              <w:spacing w:after="0"/>
              <w:rPr>
                <w:noProof/>
                <w:szCs w:val="24"/>
              </w:rPr>
            </w:pPr>
            <w:r>
              <w:rPr>
                <w:noProof/>
              </w:rPr>
              <w:t>Lääketurvajärjestelmän kantatiedoston viitenumero. Tieto on tallennettava unionin valmistetietokantaan ja toimitettava unionin lääketurvatietokantaan; näiden kahden tietokannan on oltava yhteen liitettyjä asetuksen (EU) 2019/6 74 artiklan 2 kohdan mukaisesti.</w:t>
            </w:r>
          </w:p>
        </w:tc>
        <w:tc>
          <w:tcPr>
            <w:tcW w:w="1226" w:type="pct"/>
          </w:tcPr>
          <w:p>
            <w:pPr>
              <w:autoSpaceDE w:val="0"/>
              <w:autoSpaceDN w:val="0"/>
              <w:adjustRightInd w:val="0"/>
              <w:spacing w:after="0"/>
              <w:rPr>
                <w:noProof/>
                <w:szCs w:val="24"/>
              </w:rPr>
            </w:pPr>
            <w:r>
              <w:rPr>
                <w:noProof/>
              </w:rPr>
              <w:t>Vapaamuotoinen teksti</w:t>
            </w:r>
          </w:p>
        </w:tc>
      </w:tr>
      <w:tr>
        <w:trPr>
          <w:trHeight w:val="104"/>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PSMF:n sijainti</w:t>
            </w:r>
          </w:p>
        </w:tc>
        <w:tc>
          <w:tcPr>
            <w:tcW w:w="1579" w:type="pct"/>
          </w:tcPr>
          <w:p>
            <w:pPr>
              <w:autoSpaceDE w:val="0"/>
              <w:autoSpaceDN w:val="0"/>
              <w:adjustRightInd w:val="0"/>
              <w:spacing w:after="0"/>
              <w:rPr>
                <w:noProof/>
                <w:szCs w:val="24"/>
              </w:rPr>
            </w:pPr>
            <w:r>
              <w:rPr>
                <w:noProof/>
              </w:rPr>
              <w:t>Lääketurvajärjestelmän kantatiedoston sijaintipaikka. Tieto on tallennettava unionin valmistetietokantaan ja toimitettava unionin lääketurvatietokantaan; näiden kahden tietokannan on oltava yhteen liitettyjä asetuksen (EU) 2019/6 74 artiklan 2 kohdan mukaisesti.</w:t>
            </w:r>
          </w:p>
        </w:tc>
        <w:tc>
          <w:tcPr>
            <w:tcW w:w="1226" w:type="pct"/>
          </w:tcPr>
          <w:p>
            <w:pPr>
              <w:autoSpaceDE w:val="0"/>
              <w:autoSpaceDN w:val="0"/>
              <w:adjustRightInd w:val="0"/>
              <w:spacing w:after="0"/>
              <w:rPr>
                <w:noProof/>
                <w:szCs w:val="24"/>
              </w:rPr>
            </w:pPr>
            <w:r>
              <w:rPr>
                <w:noProof/>
              </w:rPr>
              <w:t>Kontrolloitu organisaatiodata</w:t>
            </w:r>
          </w:p>
        </w:tc>
      </w:tr>
      <w:tr>
        <w:trPr>
          <w:trHeight w:val="104"/>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QPPV:n</w:t>
            </w:r>
            <w:r>
              <w:rPr>
                <w:rStyle w:val="FootnoteReference"/>
                <w:noProof/>
                <w:szCs w:val="24"/>
              </w:rPr>
              <w:footnoteReference w:id="3"/>
            </w:r>
            <w:r>
              <w:rPr>
                <w:noProof/>
              </w:rPr>
              <w:t xml:space="preserve"> nimi</w:t>
            </w:r>
          </w:p>
        </w:tc>
        <w:tc>
          <w:tcPr>
            <w:tcW w:w="1579" w:type="pct"/>
          </w:tcPr>
          <w:p>
            <w:pPr>
              <w:autoSpaceDE w:val="0"/>
              <w:autoSpaceDN w:val="0"/>
              <w:adjustRightInd w:val="0"/>
              <w:spacing w:after="0"/>
              <w:rPr>
                <w:noProof/>
                <w:szCs w:val="24"/>
              </w:rPr>
            </w:pPr>
            <w:r>
              <w:rPr>
                <w:noProof/>
              </w:rPr>
              <w:t>Lääketurvatoiminnasta vastaavan kelpoisuusehdot täyttävän henkilön nimi. Tieto on tallennettava unionin valmistetietokantaan ja toimitettava unionin lääketurvatietokantaan; näiden kahden tietokannan on oltava yhteen liitettyjä asetuksen (EU) 2019/6 74 artiklan 2 kohdan mukaisesti.</w:t>
            </w:r>
          </w:p>
        </w:tc>
        <w:tc>
          <w:tcPr>
            <w:tcW w:w="1226" w:type="pct"/>
          </w:tcPr>
          <w:p>
            <w:pPr>
              <w:autoSpaceDE w:val="0"/>
              <w:autoSpaceDN w:val="0"/>
              <w:adjustRightInd w:val="0"/>
              <w:spacing w:after="0"/>
              <w:rPr>
                <w:noProof/>
                <w:szCs w:val="24"/>
              </w:rPr>
            </w:pPr>
            <w:r>
              <w:rPr>
                <w:noProof/>
              </w:rPr>
              <w:t>Vapaamuotoinen teksti</w:t>
            </w:r>
          </w:p>
        </w:tc>
      </w:tr>
      <w:tr>
        <w:trPr>
          <w:trHeight w:val="104"/>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QPPV:n sijainti</w:t>
            </w:r>
          </w:p>
        </w:tc>
        <w:tc>
          <w:tcPr>
            <w:tcW w:w="1579" w:type="pct"/>
          </w:tcPr>
          <w:p>
            <w:pPr>
              <w:autoSpaceDE w:val="0"/>
              <w:autoSpaceDN w:val="0"/>
              <w:adjustRightInd w:val="0"/>
              <w:spacing w:after="0"/>
              <w:rPr>
                <w:noProof/>
                <w:szCs w:val="24"/>
              </w:rPr>
            </w:pPr>
            <w:r>
              <w:rPr>
                <w:noProof/>
              </w:rPr>
              <w:t>Kelpoisuusehdot täyttävän lääketurvatoiminnasta vastaavan henkilön sijaintipaikka. Tieto on tallennettava unionin valmistetietokantaan ja toimitettava unionin lääketurvatietokantaan; näiden kahden tietokannan on oltava yhteen liitettyjä asetuksen (EU) 2019/6 74 artiklan 2 kohdan mukaisesti.</w:t>
            </w:r>
          </w:p>
        </w:tc>
        <w:tc>
          <w:tcPr>
            <w:tcW w:w="1226" w:type="pct"/>
          </w:tcPr>
          <w:p>
            <w:pPr>
              <w:autoSpaceDE w:val="0"/>
              <w:autoSpaceDN w:val="0"/>
              <w:adjustRightInd w:val="0"/>
              <w:spacing w:after="0"/>
              <w:rPr>
                <w:noProof/>
                <w:szCs w:val="24"/>
              </w:rPr>
            </w:pPr>
            <w:r>
              <w:rPr>
                <w:noProof/>
              </w:rPr>
              <w:t>Kontrolloitu organisaatiodata</w:t>
            </w:r>
          </w:p>
        </w:tc>
      </w:tr>
      <w:tr>
        <w:trPr>
          <w:trHeight w:val="87"/>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Pakkauksen kuvaus</w:t>
            </w:r>
          </w:p>
        </w:tc>
        <w:tc>
          <w:tcPr>
            <w:tcW w:w="1579" w:type="pct"/>
          </w:tcPr>
          <w:p>
            <w:pPr>
              <w:autoSpaceDE w:val="0"/>
              <w:autoSpaceDN w:val="0"/>
              <w:adjustRightInd w:val="0"/>
              <w:spacing w:after="0"/>
              <w:rPr>
                <w:noProof/>
                <w:szCs w:val="24"/>
              </w:rPr>
            </w:pPr>
            <w:r>
              <w:rPr>
                <w:noProof/>
              </w:rPr>
              <w:t>Pakkauskoot.</w:t>
            </w:r>
          </w:p>
        </w:tc>
        <w:tc>
          <w:tcPr>
            <w:tcW w:w="1226" w:type="pct"/>
          </w:tcPr>
          <w:p>
            <w:pPr>
              <w:autoSpaceDE w:val="0"/>
              <w:autoSpaceDN w:val="0"/>
              <w:adjustRightInd w:val="0"/>
              <w:spacing w:after="0"/>
              <w:rPr>
                <w:noProof/>
                <w:szCs w:val="24"/>
              </w:rPr>
            </w:pPr>
            <w:r>
              <w:rPr>
                <w:noProof/>
              </w:rPr>
              <w:t>Vapaamuotoinen teksti pakkauksen kuvaukseen ja strukturoitu data pakkauskokojen ilmaisemiseen</w:t>
            </w:r>
          </w:p>
        </w:tc>
      </w:tr>
      <w:tr>
        <w:trPr>
          <w:trHeight w:val="299"/>
        </w:trPr>
        <w:tc>
          <w:tcPr>
            <w:tcW w:w="896" w:type="pct"/>
          </w:tcPr>
          <w:p>
            <w:pPr>
              <w:pStyle w:val="ListParagraph"/>
              <w:numPr>
                <w:ilvl w:val="0"/>
                <w:numId w:val="18"/>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Määräämisstatus</w:t>
            </w:r>
          </w:p>
        </w:tc>
        <w:tc>
          <w:tcPr>
            <w:tcW w:w="1579" w:type="pct"/>
          </w:tcPr>
          <w:p>
            <w:pPr>
              <w:autoSpaceDE w:val="0"/>
              <w:autoSpaceDN w:val="0"/>
              <w:adjustRightInd w:val="0"/>
              <w:spacing w:after="0"/>
              <w:rPr>
                <w:noProof/>
                <w:szCs w:val="24"/>
              </w:rPr>
            </w:pPr>
            <w:r>
              <w:rPr>
                <w:noProof/>
              </w:rPr>
              <w:t>Eläinlääkkeiden luokittelu: reseptilääke tai ilman lääkemääräystä saatava lääke.</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TableParagraph"/>
              <w:numPr>
                <w:ilvl w:val="0"/>
                <w:numId w:val="16"/>
              </w:numPr>
              <w:spacing w:before="64"/>
              <w:rPr>
                <w:b/>
                <w:bCs/>
                <w:noProof/>
                <w:szCs w:val="24"/>
              </w:rPr>
            </w:pPr>
          </w:p>
        </w:tc>
        <w:tc>
          <w:tcPr>
            <w:tcW w:w="4104" w:type="pct"/>
            <w:gridSpan w:val="3"/>
          </w:tcPr>
          <w:p>
            <w:pPr>
              <w:autoSpaceDE w:val="0"/>
              <w:autoSpaceDN w:val="0"/>
              <w:adjustRightInd w:val="0"/>
              <w:spacing w:after="0"/>
              <w:rPr>
                <w:b/>
                <w:noProof/>
                <w:szCs w:val="24"/>
              </w:rPr>
            </w:pPr>
            <w:r>
              <w:rPr>
                <w:b/>
                <w:bCs/>
                <w:noProof/>
                <w:szCs w:val="24"/>
              </w:rPr>
              <w:t>Ensimmäistä myyntilupaa koskevat menettelytiedot</w:t>
            </w:r>
          </w:p>
        </w:tc>
      </w:tr>
      <w:tr>
        <w:trPr>
          <w:trHeight w:val="300"/>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Lupamenettelyn tyyppi</w:t>
            </w:r>
          </w:p>
        </w:tc>
        <w:tc>
          <w:tcPr>
            <w:tcW w:w="1579" w:type="pct"/>
          </w:tcPr>
          <w:p>
            <w:pPr>
              <w:autoSpaceDE w:val="0"/>
              <w:autoSpaceDN w:val="0"/>
              <w:adjustRightInd w:val="0"/>
              <w:spacing w:after="0"/>
              <w:rPr>
                <w:noProof/>
                <w:szCs w:val="24"/>
              </w:rPr>
            </w:pPr>
            <w:r>
              <w:rPr>
                <w:noProof/>
              </w:rPr>
              <w:t>Myyntiluvan hyväksymismenettelyn tyyppi.</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Lupamenettelyn numero</w:t>
            </w:r>
          </w:p>
        </w:tc>
        <w:tc>
          <w:tcPr>
            <w:tcW w:w="1579" w:type="pct"/>
          </w:tcPr>
          <w:p>
            <w:pPr>
              <w:autoSpaceDE w:val="0"/>
              <w:autoSpaceDN w:val="0"/>
              <w:adjustRightInd w:val="0"/>
              <w:spacing w:after="0"/>
              <w:rPr>
                <w:noProof/>
                <w:szCs w:val="24"/>
              </w:rPr>
            </w:pPr>
            <w:r>
              <w:rPr>
                <w:noProof/>
              </w:rPr>
              <w:t>Ensimmäistä myyntilupaa koskevan hyväksymismenettelyn numero.</w:t>
            </w:r>
          </w:p>
        </w:tc>
        <w:tc>
          <w:tcPr>
            <w:tcW w:w="1226" w:type="pct"/>
          </w:tcPr>
          <w:p>
            <w:pPr>
              <w:autoSpaceDE w:val="0"/>
              <w:autoSpaceDN w:val="0"/>
              <w:adjustRightInd w:val="0"/>
              <w:spacing w:after="0"/>
              <w:rPr>
                <w:noProof/>
                <w:szCs w:val="24"/>
              </w:rPr>
            </w:pPr>
            <w:r>
              <w:rPr>
                <w:noProof/>
              </w:rPr>
              <w:t>Strukturoitu data tai, jos se ei perustelluista syistä ole mahdollista, vapaamuotoinen teksti</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Myyntiluvan päivämäärä</w:t>
            </w:r>
          </w:p>
        </w:tc>
        <w:tc>
          <w:tcPr>
            <w:tcW w:w="1579" w:type="pct"/>
          </w:tcPr>
          <w:p>
            <w:pPr>
              <w:autoSpaceDE w:val="0"/>
              <w:autoSpaceDN w:val="0"/>
              <w:adjustRightInd w:val="0"/>
              <w:spacing w:after="0"/>
              <w:rPr>
                <w:noProof/>
                <w:szCs w:val="24"/>
              </w:rPr>
            </w:pPr>
            <w:r>
              <w:rPr>
                <w:noProof/>
              </w:rPr>
              <w:t>Ensimmäisen myyntiluvan myöntämispäivä.</w:t>
            </w:r>
          </w:p>
        </w:tc>
        <w:tc>
          <w:tcPr>
            <w:tcW w:w="1226" w:type="pct"/>
          </w:tcPr>
          <w:p>
            <w:pPr>
              <w:autoSpaceDE w:val="0"/>
              <w:autoSpaceDN w:val="0"/>
              <w:adjustRightInd w:val="0"/>
              <w:spacing w:after="0"/>
              <w:rPr>
                <w:noProof/>
                <w:szCs w:val="24"/>
              </w:rPr>
            </w:pPr>
            <w:r>
              <w:rPr>
                <w:noProof/>
              </w:rPr>
              <w:t>Päivämäärä</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Luvan myöntänyt maa</w:t>
            </w:r>
          </w:p>
        </w:tc>
        <w:tc>
          <w:tcPr>
            <w:tcW w:w="1579" w:type="pct"/>
          </w:tcPr>
          <w:p>
            <w:pPr>
              <w:autoSpaceDE w:val="0"/>
              <w:autoSpaceDN w:val="0"/>
              <w:adjustRightInd w:val="0"/>
              <w:spacing w:after="0"/>
              <w:rPr>
                <w:noProof/>
                <w:szCs w:val="24"/>
              </w:rPr>
            </w:pPr>
            <w:r>
              <w:rPr>
                <w:noProof/>
              </w:rPr>
              <w:t>Maa, jossa myyntilupa on myönnetty, mukaan lukien tapauksen mukaan Euroopan unioni.</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Viitejäsenvaltio</w:t>
            </w:r>
          </w:p>
        </w:tc>
        <w:tc>
          <w:tcPr>
            <w:tcW w:w="1579" w:type="pct"/>
          </w:tcPr>
          <w:p>
            <w:pPr>
              <w:autoSpaceDE w:val="0"/>
              <w:autoSpaceDN w:val="0"/>
              <w:adjustRightInd w:val="0"/>
              <w:spacing w:after="0"/>
              <w:rPr>
                <w:noProof/>
                <w:szCs w:val="24"/>
              </w:rPr>
            </w:pPr>
            <w:r>
              <w:rPr>
                <w:noProof/>
              </w:rPr>
              <w:t>Viitejäsenvaltion nimi. Ainoastaan menettelyssä, joka koskee hajautettua myyntilupaa tai kansallisten myyntilupien keskinäistä tunnustamista tai myöhempää tunnustamista keskinäisessä tunnustamismenettelyssä ja hajautetussa myyntilupamenettelyssä.</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Osallistuvat jäsenvaltiot</w:t>
            </w:r>
          </w:p>
        </w:tc>
        <w:tc>
          <w:tcPr>
            <w:tcW w:w="1579" w:type="pct"/>
          </w:tcPr>
          <w:p>
            <w:pPr>
              <w:autoSpaceDE w:val="0"/>
              <w:autoSpaceDN w:val="0"/>
              <w:adjustRightInd w:val="0"/>
              <w:spacing w:after="0"/>
              <w:rPr>
                <w:noProof/>
                <w:szCs w:val="24"/>
              </w:rPr>
            </w:pPr>
            <w:r>
              <w:rPr>
                <w:noProof/>
              </w:rPr>
              <w:t>Osallistuvien jäsenvaltioiden nimet. Ainoastaan menettelyssä, joka koskee hajautettua myyntilupaa tai kansallisten myyntilupien keskinäistä tunnustamista tai myöhempää tunnustamista keskinäisessä tunnustamismenettelyssä ja hajautetussa myyntilupamenettelyssä.</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Oikeusperusta</w:t>
            </w:r>
          </w:p>
        </w:tc>
        <w:tc>
          <w:tcPr>
            <w:tcW w:w="1579" w:type="pct"/>
          </w:tcPr>
          <w:p>
            <w:pPr>
              <w:autoSpaceDE w:val="0"/>
              <w:autoSpaceDN w:val="0"/>
              <w:adjustRightInd w:val="0"/>
              <w:spacing w:after="0"/>
              <w:rPr>
                <w:noProof/>
                <w:szCs w:val="24"/>
              </w:rPr>
            </w:pPr>
            <w:r>
              <w:rPr>
                <w:noProof/>
              </w:rPr>
              <w:t>Myyntiluvan oikeusperusta, mukaan lukien esimerkiksi hybridi-, rinnakkais- ja yhdistelmäeläinlääkkeet, tietoiseen suostumukseen tai kirjallisuustietoihin perustuvat hakemukset sekä suppeita markkinoita koskevat ja poikkeuksellisissa olosuhteissa myönnettävät myyntiluvat.</w:t>
            </w:r>
          </w:p>
        </w:tc>
        <w:tc>
          <w:tcPr>
            <w:tcW w:w="1226" w:type="pct"/>
          </w:tcPr>
          <w:p>
            <w:pPr>
              <w:autoSpaceDE w:val="0"/>
              <w:autoSpaceDN w:val="0"/>
              <w:adjustRightInd w:val="0"/>
              <w:spacing w:after="0"/>
              <w:rPr>
                <w:noProof/>
                <w:szCs w:val="24"/>
              </w:rPr>
            </w:pPr>
            <w:r>
              <w:rPr>
                <w:noProof/>
              </w:rPr>
              <w:t>Kontrolloidut termit</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Lupanumero</w:t>
            </w:r>
          </w:p>
        </w:tc>
        <w:tc>
          <w:tcPr>
            <w:tcW w:w="1579" w:type="pct"/>
          </w:tcPr>
          <w:p>
            <w:pPr>
              <w:pStyle w:val="ListParagraph"/>
              <w:numPr>
                <w:ilvl w:val="0"/>
                <w:numId w:val="11"/>
              </w:numPr>
              <w:autoSpaceDE w:val="0"/>
              <w:autoSpaceDN w:val="0"/>
              <w:adjustRightInd w:val="0"/>
              <w:spacing w:after="0"/>
              <w:rPr>
                <w:noProof/>
                <w:szCs w:val="24"/>
              </w:rPr>
            </w:pPr>
            <w:r>
              <w:rPr>
                <w:noProof/>
              </w:rPr>
              <w:t>Myyntiluvan saaneiden eläinlääkkeiden myyntiluvan numero.</w:t>
            </w:r>
          </w:p>
          <w:p>
            <w:pPr>
              <w:pStyle w:val="ListParagraph"/>
              <w:numPr>
                <w:ilvl w:val="0"/>
                <w:numId w:val="11"/>
              </w:numPr>
              <w:autoSpaceDE w:val="0"/>
              <w:autoSpaceDN w:val="0"/>
              <w:adjustRightInd w:val="0"/>
              <w:spacing w:after="0"/>
              <w:rPr>
                <w:noProof/>
                <w:szCs w:val="24"/>
              </w:rPr>
            </w:pPr>
            <w:r>
              <w:rPr>
                <w:noProof/>
              </w:rPr>
              <w:t>Rekisteröityjen homeopaattisten eläinlääkkeiden rekisteröintinumero.</w:t>
            </w:r>
          </w:p>
          <w:p>
            <w:pPr>
              <w:pStyle w:val="ListParagraph"/>
              <w:numPr>
                <w:ilvl w:val="0"/>
                <w:numId w:val="11"/>
              </w:numPr>
              <w:autoSpaceDE w:val="0"/>
              <w:autoSpaceDN w:val="0"/>
              <w:adjustRightInd w:val="0"/>
              <w:spacing w:after="0"/>
              <w:rPr>
                <w:noProof/>
                <w:szCs w:val="24"/>
              </w:rPr>
            </w:pPr>
            <w:r>
              <w:rPr>
                <w:noProof/>
              </w:rPr>
              <w:t>Ilmoituksen numero niiden eläinlääkkeiden osalta, joiden käyttö on sallittua jäsenvaltiossa asetuksen (EU) 2019/6 5 artiklan 6 kohdan mukaisesti tai jotka on vapautettu direktiivin 2001/82/EY 5–8 artiklan säännöksistä mainitun direktiivin 4 artiklan 2 kohdan mukaisesti, tapauksen mukaan.</w:t>
            </w:r>
          </w:p>
          <w:p>
            <w:pPr>
              <w:pStyle w:val="ListParagraph"/>
              <w:numPr>
                <w:ilvl w:val="0"/>
                <w:numId w:val="11"/>
              </w:numPr>
              <w:autoSpaceDE w:val="0"/>
              <w:autoSpaceDN w:val="0"/>
              <w:adjustRightInd w:val="0"/>
              <w:spacing w:after="0"/>
              <w:rPr>
                <w:noProof/>
                <w:szCs w:val="24"/>
              </w:rPr>
            </w:pPr>
            <w:r>
              <w:rPr>
                <w:noProof/>
              </w:rPr>
              <w:t>Rinnakkaiskaupattavien eläinlääkkeiden myyntiluvan numero.</w:t>
            </w:r>
          </w:p>
        </w:tc>
        <w:tc>
          <w:tcPr>
            <w:tcW w:w="1226" w:type="pct"/>
          </w:tcPr>
          <w:p>
            <w:pPr>
              <w:autoSpaceDE w:val="0"/>
              <w:autoSpaceDN w:val="0"/>
              <w:adjustRightInd w:val="0"/>
              <w:spacing w:after="0"/>
              <w:rPr>
                <w:noProof/>
                <w:szCs w:val="24"/>
              </w:rPr>
            </w:pPr>
            <w:r>
              <w:rPr>
                <w:noProof/>
              </w:rPr>
              <w:t>Vapaamuotoinen teksti</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Viitevalmisteen tunniste</w:t>
            </w:r>
          </w:p>
        </w:tc>
        <w:tc>
          <w:tcPr>
            <w:tcW w:w="1579" w:type="pct"/>
          </w:tcPr>
          <w:p>
            <w:pPr>
              <w:autoSpaceDE w:val="0"/>
              <w:autoSpaceDN w:val="0"/>
              <w:adjustRightInd w:val="0"/>
              <w:spacing w:after="0"/>
              <w:rPr>
                <w:noProof/>
                <w:szCs w:val="24"/>
              </w:rPr>
            </w:pPr>
            <w:r>
              <w:rPr>
                <w:noProof/>
              </w:rPr>
              <w:t>Myyntiluvan saaneen viitevalmisteen tunniste, jos oikeusperustaa koskevassa kentässä viitataan hybridi-, rinnakkais- tai yhdistelmäeläinlääkkeisiin sekä tietoiseen suostumukseen perustuviin hakemuksiin. Rinnakkaiskaupattavien eläinlääkkeiden osalta niiden eläinlääkkeiden tunniste, joilla on yhteinen alkuperä määräjäsenvaltiossa.</w:t>
            </w:r>
          </w:p>
        </w:tc>
        <w:tc>
          <w:tcPr>
            <w:tcW w:w="1226" w:type="pct"/>
          </w:tcPr>
          <w:p>
            <w:pPr>
              <w:autoSpaceDE w:val="0"/>
              <w:autoSpaceDN w:val="0"/>
              <w:adjustRightInd w:val="0"/>
              <w:spacing w:after="0"/>
              <w:rPr>
                <w:noProof/>
                <w:szCs w:val="24"/>
              </w:rPr>
            </w:pPr>
            <w:r>
              <w:rPr>
                <w:noProof/>
              </w:rPr>
              <w:t>Tunniste</w:t>
            </w:r>
          </w:p>
        </w:tc>
      </w:tr>
      <w:tr>
        <w:trPr>
          <w:trHeight w:val="87"/>
        </w:trPr>
        <w:tc>
          <w:tcPr>
            <w:tcW w:w="896" w:type="pct"/>
          </w:tcPr>
          <w:p>
            <w:pPr>
              <w:pStyle w:val="ListParagraph"/>
              <w:numPr>
                <w:ilvl w:val="0"/>
                <w:numId w:val="19"/>
              </w:numPr>
              <w:autoSpaceDE w:val="0"/>
              <w:autoSpaceDN w:val="0"/>
              <w:adjustRightInd w:val="0"/>
              <w:spacing w:after="0"/>
              <w:rPr>
                <w:noProof/>
                <w:szCs w:val="24"/>
              </w:rPr>
            </w:pPr>
          </w:p>
        </w:tc>
        <w:tc>
          <w:tcPr>
            <w:tcW w:w="1299" w:type="pct"/>
          </w:tcPr>
          <w:p>
            <w:pPr>
              <w:autoSpaceDE w:val="0"/>
              <w:autoSpaceDN w:val="0"/>
              <w:adjustRightInd w:val="0"/>
              <w:spacing w:after="0"/>
              <w:rPr>
                <w:noProof/>
                <w:szCs w:val="24"/>
              </w:rPr>
            </w:pPr>
            <w:r>
              <w:rPr>
                <w:noProof/>
              </w:rPr>
              <w:t>Lähdevalmisteen tunniste</w:t>
            </w:r>
          </w:p>
        </w:tc>
        <w:tc>
          <w:tcPr>
            <w:tcW w:w="1579" w:type="pct"/>
          </w:tcPr>
          <w:p>
            <w:pPr>
              <w:autoSpaceDE w:val="0"/>
              <w:autoSpaceDN w:val="0"/>
              <w:adjustRightInd w:val="0"/>
              <w:spacing w:after="0"/>
              <w:rPr>
                <w:noProof/>
                <w:szCs w:val="24"/>
              </w:rPr>
            </w:pPr>
            <w:r>
              <w:rPr>
                <w:noProof/>
              </w:rPr>
              <w:t>Rinnakkaiskaupattavien eläinlääkkeiden osalta niiden eläinlääkkeiden tunniste, joilla on yhteinen alkuperä lähtöjäsenvaltiossa.</w:t>
            </w:r>
          </w:p>
        </w:tc>
        <w:tc>
          <w:tcPr>
            <w:tcW w:w="1226" w:type="pct"/>
          </w:tcPr>
          <w:p>
            <w:pPr>
              <w:autoSpaceDE w:val="0"/>
              <w:autoSpaceDN w:val="0"/>
              <w:adjustRightInd w:val="0"/>
              <w:spacing w:after="0"/>
              <w:rPr>
                <w:noProof/>
                <w:szCs w:val="24"/>
              </w:rPr>
            </w:pPr>
            <w:r>
              <w:rPr>
                <w:noProof/>
              </w:rPr>
              <w:t>Tunniste</w:t>
            </w:r>
          </w:p>
        </w:tc>
      </w:tr>
      <w:tr>
        <w:trPr>
          <w:trHeight w:val="229"/>
        </w:trPr>
        <w:tc>
          <w:tcPr>
            <w:tcW w:w="896" w:type="pct"/>
          </w:tcPr>
          <w:p>
            <w:pPr>
              <w:pStyle w:val="TableParagraph"/>
              <w:numPr>
                <w:ilvl w:val="0"/>
                <w:numId w:val="16"/>
              </w:numPr>
              <w:spacing w:before="64"/>
              <w:rPr>
                <w:b/>
                <w:bCs/>
                <w:noProof/>
                <w:color w:val="000000"/>
                <w:szCs w:val="24"/>
              </w:rPr>
            </w:pPr>
          </w:p>
        </w:tc>
        <w:tc>
          <w:tcPr>
            <w:tcW w:w="4098" w:type="pct"/>
            <w:gridSpan w:val="3"/>
          </w:tcPr>
          <w:p>
            <w:pPr>
              <w:autoSpaceDE w:val="0"/>
              <w:autoSpaceDN w:val="0"/>
              <w:adjustRightInd w:val="0"/>
              <w:spacing w:after="0"/>
              <w:rPr>
                <w:b/>
                <w:noProof/>
                <w:color w:val="000000"/>
                <w:szCs w:val="24"/>
              </w:rPr>
            </w:pPr>
            <w:r>
              <w:rPr>
                <w:b/>
                <w:noProof/>
                <w:color w:val="000000"/>
                <w:szCs w:val="24"/>
              </w:rPr>
              <w:t xml:space="preserve">Myyntiluvan myöntämisen jälkeisiä muutoksia koskevat menettelytiedot </w:t>
            </w:r>
            <w:r>
              <w:rPr>
                <w:b/>
                <w:i/>
                <w:iCs/>
                <w:noProof/>
                <w:color w:val="000000"/>
                <w:szCs w:val="24"/>
              </w:rPr>
              <w:t>(useita kenttiä, ainakin jokaisesta myyntiluvan ehtojen muutoksesta, joka ei edellytä arviointia)</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Toimittamistunniste</w:t>
            </w:r>
          </w:p>
        </w:tc>
        <w:tc>
          <w:tcPr>
            <w:tcW w:w="1579" w:type="pct"/>
          </w:tcPr>
          <w:p>
            <w:pPr>
              <w:autoSpaceDE w:val="0"/>
              <w:autoSpaceDN w:val="0"/>
              <w:adjustRightInd w:val="0"/>
              <w:spacing w:after="0"/>
              <w:rPr>
                <w:noProof/>
                <w:color w:val="000000"/>
                <w:szCs w:val="24"/>
              </w:rPr>
            </w:pPr>
            <w:r>
              <w:rPr>
                <w:noProof/>
                <w:color w:val="000000"/>
                <w:szCs w:val="24"/>
              </w:rPr>
              <w:t>Toimittamisjärjestelmän luoma tunniste.</w:t>
            </w:r>
          </w:p>
        </w:tc>
        <w:tc>
          <w:tcPr>
            <w:tcW w:w="1220" w:type="pct"/>
          </w:tcPr>
          <w:p>
            <w:pPr>
              <w:autoSpaceDE w:val="0"/>
              <w:autoSpaceDN w:val="0"/>
              <w:adjustRightInd w:val="0"/>
              <w:spacing w:after="0"/>
              <w:rPr>
                <w:noProof/>
                <w:color w:val="000000"/>
                <w:szCs w:val="24"/>
              </w:rPr>
            </w:pPr>
            <w:r>
              <w:rPr>
                <w:noProof/>
                <w:color w:val="000000"/>
                <w:szCs w:val="24"/>
              </w:rPr>
              <w:t>Strukturoitu data</w:t>
            </w:r>
          </w:p>
        </w:tc>
      </w:tr>
      <w:tr>
        <w:trPr>
          <w:trHeight w:val="299"/>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Lupamenettelyn numero</w:t>
            </w:r>
          </w:p>
        </w:tc>
        <w:tc>
          <w:tcPr>
            <w:tcW w:w="1579" w:type="pct"/>
          </w:tcPr>
          <w:p>
            <w:pPr>
              <w:autoSpaceDE w:val="0"/>
              <w:autoSpaceDN w:val="0"/>
              <w:adjustRightInd w:val="0"/>
              <w:spacing w:after="0"/>
              <w:rPr>
                <w:noProof/>
                <w:color w:val="000000"/>
                <w:szCs w:val="24"/>
              </w:rPr>
            </w:pPr>
            <w:r>
              <w:rPr>
                <w:noProof/>
              </w:rPr>
              <w:t>Lupamenettelyn numero seuraavista: keskitettyä, hajautettua tai kansallista myyntilupaa koskeva menettely, kansallisten myyntilupien keskinäistä tunnustamista koskeva menettely tai myöhempi tunnustaminen keskinäisessä tunnustamismenettelyssä ja hajautetussa myyntilupamenettelyssä.</w:t>
            </w:r>
          </w:p>
        </w:tc>
        <w:tc>
          <w:tcPr>
            <w:tcW w:w="1220" w:type="pct"/>
          </w:tcPr>
          <w:p>
            <w:pPr>
              <w:autoSpaceDE w:val="0"/>
              <w:autoSpaceDN w:val="0"/>
              <w:adjustRightInd w:val="0"/>
              <w:spacing w:after="0"/>
              <w:rPr>
                <w:noProof/>
                <w:color w:val="000000"/>
                <w:szCs w:val="24"/>
              </w:rPr>
            </w:pPr>
            <w:r>
              <w:rPr>
                <w:noProof/>
                <w:sz w:val="23"/>
                <w:szCs w:val="23"/>
              </w:rPr>
              <w:t>Strukturoitu data tai, jos se ei ole mahdollista, vapaamuotoinen teksti</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Vastuuviranomainen</w:t>
            </w:r>
          </w:p>
        </w:tc>
        <w:tc>
          <w:tcPr>
            <w:tcW w:w="1579" w:type="pct"/>
          </w:tcPr>
          <w:p>
            <w:pPr>
              <w:autoSpaceDE w:val="0"/>
              <w:autoSpaceDN w:val="0"/>
              <w:adjustRightInd w:val="0"/>
              <w:spacing w:after="0"/>
              <w:rPr>
                <w:noProof/>
                <w:color w:val="000000"/>
                <w:szCs w:val="24"/>
              </w:rPr>
            </w:pPr>
            <w:r>
              <w:rPr>
                <w:noProof/>
                <w:color w:val="000000"/>
                <w:szCs w:val="24"/>
              </w:rPr>
              <w:t>Jäsenvaltio ja toimivaltainen viranomainen.</w:t>
            </w:r>
          </w:p>
        </w:tc>
        <w:tc>
          <w:tcPr>
            <w:tcW w:w="1220" w:type="pct"/>
          </w:tcPr>
          <w:p>
            <w:pPr>
              <w:autoSpaceDE w:val="0"/>
              <w:autoSpaceDN w:val="0"/>
              <w:adjustRightInd w:val="0"/>
              <w:spacing w:after="0"/>
              <w:rPr>
                <w:noProof/>
                <w:color w:val="000000"/>
                <w:szCs w:val="24"/>
              </w:rPr>
            </w:pPr>
            <w:r>
              <w:rPr>
                <w:noProof/>
                <w:color w:val="000000"/>
                <w:szCs w:val="24"/>
              </w:rPr>
              <w:t>Kontrolloidut termit</w:t>
            </w:r>
          </w:p>
        </w:tc>
      </w:tr>
      <w:tr>
        <w:trPr>
          <w:trHeight w:val="299"/>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Myyntiluvan ehtojen muutoksen luokituskoodi</w:t>
            </w:r>
          </w:p>
        </w:tc>
        <w:tc>
          <w:tcPr>
            <w:tcW w:w="1579" w:type="pct"/>
          </w:tcPr>
          <w:p>
            <w:pPr>
              <w:autoSpaceDE w:val="0"/>
              <w:autoSpaceDN w:val="0"/>
              <w:adjustRightInd w:val="0"/>
              <w:spacing w:after="0"/>
              <w:rPr>
                <w:noProof/>
                <w:color w:val="000000"/>
                <w:szCs w:val="24"/>
              </w:rPr>
            </w:pPr>
            <w:r>
              <w:rPr>
                <w:noProof/>
                <w:color w:val="000000"/>
                <w:szCs w:val="24"/>
              </w:rPr>
              <w:t>Myyntiluvan ehtojen muutoksen luokituskoodi.</w:t>
            </w:r>
          </w:p>
        </w:tc>
        <w:tc>
          <w:tcPr>
            <w:tcW w:w="1220" w:type="pct"/>
          </w:tcPr>
          <w:p>
            <w:pPr>
              <w:autoSpaceDE w:val="0"/>
              <w:autoSpaceDN w:val="0"/>
              <w:adjustRightInd w:val="0"/>
              <w:spacing w:after="0"/>
              <w:rPr>
                <w:noProof/>
                <w:color w:val="000000"/>
                <w:szCs w:val="24"/>
              </w:rPr>
            </w:pPr>
            <w:r>
              <w:rPr>
                <w:noProof/>
                <w:color w:val="000000"/>
                <w:szCs w:val="24"/>
              </w:rPr>
              <w:t>Kontrolloidut termit</w:t>
            </w:r>
          </w:p>
        </w:tc>
      </w:tr>
      <w:tr>
        <w:trPr>
          <w:trHeight w:val="299"/>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Toimittamiseen liittyvä kommentti</w:t>
            </w:r>
          </w:p>
        </w:tc>
        <w:tc>
          <w:tcPr>
            <w:tcW w:w="1579" w:type="pct"/>
          </w:tcPr>
          <w:p>
            <w:pPr>
              <w:autoSpaceDE w:val="0"/>
              <w:autoSpaceDN w:val="0"/>
              <w:adjustRightInd w:val="0"/>
              <w:spacing w:after="0"/>
              <w:rPr>
                <w:noProof/>
                <w:color w:val="000000"/>
                <w:szCs w:val="24"/>
              </w:rPr>
            </w:pPr>
            <w:r>
              <w:rPr>
                <w:noProof/>
                <w:color w:val="000000"/>
                <w:szCs w:val="24"/>
              </w:rPr>
              <w:t>Valmisteen omistajan kommentti toimittamisen yhteydessä.</w:t>
            </w:r>
          </w:p>
        </w:tc>
        <w:tc>
          <w:tcPr>
            <w:tcW w:w="1220" w:type="pct"/>
          </w:tcPr>
          <w:p>
            <w:pPr>
              <w:autoSpaceDE w:val="0"/>
              <w:autoSpaceDN w:val="0"/>
              <w:adjustRightInd w:val="0"/>
              <w:spacing w:after="0"/>
              <w:rPr>
                <w:noProof/>
                <w:color w:val="000000"/>
                <w:szCs w:val="24"/>
              </w:rPr>
            </w:pPr>
            <w:r>
              <w:rPr>
                <w:noProof/>
                <w:color w:val="000000"/>
                <w:szCs w:val="24"/>
              </w:rPr>
              <w:t>Vapaamuotoinen teksti</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Täytäntöönpanopäivä</w:t>
            </w:r>
          </w:p>
        </w:tc>
        <w:tc>
          <w:tcPr>
            <w:tcW w:w="1579" w:type="pct"/>
          </w:tcPr>
          <w:p>
            <w:pPr>
              <w:autoSpaceDE w:val="0"/>
              <w:autoSpaceDN w:val="0"/>
              <w:adjustRightInd w:val="0"/>
              <w:spacing w:after="0"/>
              <w:rPr>
                <w:noProof/>
                <w:color w:val="000000"/>
                <w:szCs w:val="24"/>
              </w:rPr>
            </w:pPr>
            <w:r>
              <w:rPr>
                <w:noProof/>
                <w:color w:val="000000"/>
                <w:szCs w:val="24"/>
              </w:rPr>
              <w:t>Päivä, jona myyntiluvan ehtojen muutos, joka ei edellytä arviointia, pantiin täytäntöön.</w:t>
            </w:r>
          </w:p>
        </w:tc>
        <w:tc>
          <w:tcPr>
            <w:tcW w:w="1220" w:type="pct"/>
          </w:tcPr>
          <w:p>
            <w:pPr>
              <w:autoSpaceDE w:val="0"/>
              <w:autoSpaceDN w:val="0"/>
              <w:adjustRightInd w:val="0"/>
              <w:spacing w:after="0"/>
              <w:rPr>
                <w:noProof/>
                <w:color w:val="000000"/>
                <w:szCs w:val="24"/>
              </w:rPr>
            </w:pPr>
            <w:r>
              <w:rPr>
                <w:noProof/>
                <w:color w:val="000000"/>
                <w:szCs w:val="24"/>
              </w:rPr>
              <w:t>Päivämäärä</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Toimittamispäivä</w:t>
            </w:r>
          </w:p>
        </w:tc>
        <w:tc>
          <w:tcPr>
            <w:tcW w:w="1579" w:type="pct"/>
          </w:tcPr>
          <w:p>
            <w:pPr>
              <w:autoSpaceDE w:val="0"/>
              <w:autoSpaceDN w:val="0"/>
              <w:adjustRightInd w:val="0"/>
              <w:spacing w:after="0"/>
              <w:rPr>
                <w:noProof/>
                <w:color w:val="000000"/>
                <w:szCs w:val="24"/>
              </w:rPr>
            </w:pPr>
            <w:r>
              <w:rPr>
                <w:noProof/>
                <w:color w:val="000000"/>
                <w:szCs w:val="24"/>
              </w:rPr>
              <w:t>Toimittamisjärjestelmän luoma toimittamispäivä.</w:t>
            </w:r>
          </w:p>
        </w:tc>
        <w:tc>
          <w:tcPr>
            <w:tcW w:w="1220" w:type="pct"/>
          </w:tcPr>
          <w:p>
            <w:pPr>
              <w:autoSpaceDE w:val="0"/>
              <w:autoSpaceDN w:val="0"/>
              <w:adjustRightInd w:val="0"/>
              <w:spacing w:after="0"/>
              <w:rPr>
                <w:noProof/>
                <w:color w:val="000000"/>
                <w:szCs w:val="24"/>
              </w:rPr>
            </w:pPr>
            <w:r>
              <w:rPr>
                <w:noProof/>
                <w:color w:val="000000"/>
                <w:szCs w:val="24"/>
              </w:rPr>
              <w:t>Päivämäärä</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Päätös</w:t>
            </w:r>
          </w:p>
        </w:tc>
        <w:tc>
          <w:tcPr>
            <w:tcW w:w="1579" w:type="pct"/>
          </w:tcPr>
          <w:p>
            <w:pPr>
              <w:autoSpaceDE w:val="0"/>
              <w:autoSpaceDN w:val="0"/>
              <w:adjustRightInd w:val="0"/>
              <w:spacing w:after="0"/>
              <w:rPr>
                <w:noProof/>
                <w:color w:val="000000"/>
                <w:szCs w:val="24"/>
              </w:rPr>
            </w:pPr>
            <w:r>
              <w:rPr>
                <w:noProof/>
                <w:color w:val="000000"/>
                <w:szCs w:val="24"/>
              </w:rPr>
              <w:t>Hyväksyminen tai hylkääminen.</w:t>
            </w:r>
          </w:p>
        </w:tc>
        <w:tc>
          <w:tcPr>
            <w:tcW w:w="1220" w:type="pct"/>
          </w:tcPr>
          <w:p>
            <w:pPr>
              <w:autoSpaceDE w:val="0"/>
              <w:autoSpaceDN w:val="0"/>
              <w:adjustRightInd w:val="0"/>
              <w:spacing w:after="0"/>
              <w:rPr>
                <w:noProof/>
                <w:color w:val="000000"/>
                <w:szCs w:val="24"/>
              </w:rPr>
            </w:pPr>
            <w:r>
              <w:rPr>
                <w:noProof/>
                <w:color w:val="000000"/>
                <w:szCs w:val="24"/>
              </w:rPr>
              <w:t>Kontrolloidut termit</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Päätöksen päivämäärä</w:t>
            </w:r>
          </w:p>
        </w:tc>
        <w:tc>
          <w:tcPr>
            <w:tcW w:w="1579" w:type="pct"/>
          </w:tcPr>
          <w:p>
            <w:pPr>
              <w:autoSpaceDE w:val="0"/>
              <w:autoSpaceDN w:val="0"/>
              <w:adjustRightInd w:val="0"/>
              <w:spacing w:after="0"/>
              <w:rPr>
                <w:noProof/>
                <w:color w:val="000000"/>
                <w:szCs w:val="24"/>
              </w:rPr>
            </w:pPr>
            <w:r>
              <w:rPr>
                <w:noProof/>
                <w:color w:val="000000"/>
                <w:szCs w:val="24"/>
              </w:rPr>
              <w:t>Päivä, jona päätös tehtiin.</w:t>
            </w:r>
          </w:p>
        </w:tc>
        <w:tc>
          <w:tcPr>
            <w:tcW w:w="1220" w:type="pct"/>
          </w:tcPr>
          <w:p>
            <w:pPr>
              <w:autoSpaceDE w:val="0"/>
              <w:autoSpaceDN w:val="0"/>
              <w:adjustRightInd w:val="0"/>
              <w:spacing w:after="0"/>
              <w:rPr>
                <w:noProof/>
                <w:color w:val="000000"/>
                <w:szCs w:val="24"/>
              </w:rPr>
            </w:pPr>
            <w:r>
              <w:rPr>
                <w:noProof/>
                <w:color w:val="000000"/>
                <w:szCs w:val="24"/>
              </w:rPr>
              <w:t>Päivämäärä</w:t>
            </w:r>
          </w:p>
        </w:tc>
      </w:tr>
      <w:tr>
        <w:trPr>
          <w:trHeight w:val="87"/>
        </w:trPr>
        <w:tc>
          <w:tcPr>
            <w:tcW w:w="896" w:type="pct"/>
          </w:tcPr>
          <w:p>
            <w:pPr>
              <w:pStyle w:val="ListParagraph"/>
              <w:numPr>
                <w:ilvl w:val="0"/>
                <w:numId w:val="20"/>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Päätöksen tekijä</w:t>
            </w:r>
          </w:p>
        </w:tc>
        <w:tc>
          <w:tcPr>
            <w:tcW w:w="1579" w:type="pct"/>
          </w:tcPr>
          <w:p>
            <w:pPr>
              <w:autoSpaceDE w:val="0"/>
              <w:autoSpaceDN w:val="0"/>
              <w:adjustRightInd w:val="0"/>
              <w:spacing w:after="0"/>
              <w:rPr>
                <w:noProof/>
                <w:color w:val="000000"/>
                <w:szCs w:val="24"/>
              </w:rPr>
            </w:pPr>
            <w:r>
              <w:rPr>
                <w:noProof/>
                <w:color w:val="000000"/>
                <w:szCs w:val="24"/>
              </w:rPr>
              <w:t>Päätöksen tekevä toimivaltainen viranomainen tai komissio.</w:t>
            </w:r>
          </w:p>
        </w:tc>
        <w:tc>
          <w:tcPr>
            <w:tcW w:w="1220" w:type="pct"/>
          </w:tcPr>
          <w:p>
            <w:pPr>
              <w:autoSpaceDE w:val="0"/>
              <w:autoSpaceDN w:val="0"/>
              <w:adjustRightInd w:val="0"/>
              <w:spacing w:after="0"/>
              <w:rPr>
                <w:noProof/>
                <w:color w:val="000000"/>
                <w:szCs w:val="24"/>
              </w:rPr>
            </w:pPr>
            <w:r>
              <w:rPr>
                <w:noProof/>
                <w:color w:val="000000"/>
                <w:szCs w:val="24"/>
              </w:rPr>
              <w:t>Kontrolloidut termit</w:t>
            </w:r>
          </w:p>
        </w:tc>
      </w:tr>
      <w:tr>
        <w:trPr>
          <w:trHeight w:val="87"/>
        </w:trPr>
        <w:tc>
          <w:tcPr>
            <w:tcW w:w="896" w:type="pct"/>
          </w:tcPr>
          <w:p>
            <w:pPr>
              <w:pStyle w:val="TableParagraph"/>
              <w:numPr>
                <w:ilvl w:val="0"/>
                <w:numId w:val="16"/>
              </w:numPr>
              <w:spacing w:before="64"/>
              <w:rPr>
                <w:b/>
                <w:bCs/>
                <w:noProof/>
                <w:szCs w:val="24"/>
              </w:rPr>
            </w:pPr>
          </w:p>
        </w:tc>
        <w:tc>
          <w:tcPr>
            <w:tcW w:w="4098" w:type="pct"/>
            <w:gridSpan w:val="3"/>
          </w:tcPr>
          <w:p>
            <w:pPr>
              <w:autoSpaceDE w:val="0"/>
              <w:autoSpaceDN w:val="0"/>
              <w:adjustRightInd w:val="0"/>
              <w:spacing w:after="0"/>
              <w:rPr>
                <w:noProof/>
                <w:color w:val="000000"/>
                <w:szCs w:val="24"/>
              </w:rPr>
            </w:pPr>
            <w:r>
              <w:rPr>
                <w:b/>
                <w:bCs/>
                <w:noProof/>
                <w:szCs w:val="24"/>
              </w:rPr>
              <w:t xml:space="preserve">Ainoastaan rinnakkaiskaupattavat eläinlääkkeet </w:t>
            </w:r>
          </w:p>
        </w:tc>
      </w:tr>
      <w:tr>
        <w:trPr>
          <w:trHeight w:val="87"/>
        </w:trPr>
        <w:tc>
          <w:tcPr>
            <w:tcW w:w="896" w:type="pct"/>
          </w:tcPr>
          <w:p>
            <w:pPr>
              <w:pStyle w:val="ListParagraph"/>
              <w:numPr>
                <w:ilvl w:val="0"/>
                <w:numId w:val="21"/>
              </w:numPr>
              <w:autoSpaceDE w:val="0"/>
              <w:autoSpaceDN w:val="0"/>
              <w:adjustRightInd w:val="0"/>
              <w:spacing w:after="0"/>
              <w:rPr>
                <w:noProof/>
                <w:szCs w:val="24"/>
              </w:rPr>
            </w:pPr>
          </w:p>
        </w:tc>
        <w:tc>
          <w:tcPr>
            <w:tcW w:w="1299" w:type="pct"/>
          </w:tcPr>
          <w:p>
            <w:pPr>
              <w:autoSpaceDE w:val="0"/>
              <w:autoSpaceDN w:val="0"/>
              <w:adjustRightInd w:val="0"/>
              <w:spacing w:after="0"/>
              <w:rPr>
                <w:b/>
                <w:bCs/>
                <w:noProof/>
                <w:szCs w:val="24"/>
              </w:rPr>
            </w:pPr>
            <w:r>
              <w:rPr>
                <w:noProof/>
                <w:color w:val="000000"/>
                <w:szCs w:val="24"/>
              </w:rPr>
              <w:t>Lähtömaan tukkukauppias</w:t>
            </w:r>
          </w:p>
        </w:tc>
        <w:tc>
          <w:tcPr>
            <w:tcW w:w="1579" w:type="pct"/>
          </w:tcPr>
          <w:p>
            <w:pPr>
              <w:autoSpaceDE w:val="0"/>
              <w:autoSpaceDN w:val="0"/>
              <w:adjustRightInd w:val="0"/>
              <w:spacing w:after="0"/>
              <w:rPr>
                <w:noProof/>
                <w:color w:val="000000"/>
                <w:szCs w:val="24"/>
              </w:rPr>
            </w:pPr>
            <w:r>
              <w:rPr>
                <w:noProof/>
              </w:rPr>
              <w:t>Tukkukauppias, joka tarjoaa rinnakkaiskaupattavaa eläinlääkettä lähtöjäsenvaltiossa.</w:t>
            </w:r>
          </w:p>
        </w:tc>
        <w:tc>
          <w:tcPr>
            <w:tcW w:w="1220" w:type="pct"/>
          </w:tcPr>
          <w:p>
            <w:pPr>
              <w:autoSpaceDE w:val="0"/>
              <w:autoSpaceDN w:val="0"/>
              <w:adjustRightInd w:val="0"/>
              <w:spacing w:after="0"/>
              <w:rPr>
                <w:noProof/>
                <w:color w:val="000000"/>
                <w:szCs w:val="24"/>
              </w:rPr>
            </w:pPr>
            <w:r>
              <w:rPr>
                <w:noProof/>
                <w:color w:val="000000"/>
                <w:szCs w:val="24"/>
              </w:rPr>
              <w:t>Kontrolloitu organisaatiodata</w:t>
            </w:r>
          </w:p>
        </w:tc>
      </w:tr>
      <w:tr>
        <w:trPr>
          <w:trHeight w:val="87"/>
        </w:trPr>
        <w:tc>
          <w:tcPr>
            <w:tcW w:w="896" w:type="pct"/>
          </w:tcPr>
          <w:p>
            <w:pPr>
              <w:pStyle w:val="ListParagraph"/>
              <w:numPr>
                <w:ilvl w:val="0"/>
                <w:numId w:val="21"/>
              </w:numPr>
              <w:autoSpaceDE w:val="0"/>
              <w:autoSpaceDN w:val="0"/>
              <w:adjustRightInd w:val="0"/>
              <w:spacing w:after="0"/>
              <w:rPr>
                <w:noProof/>
                <w:szCs w:val="24"/>
              </w:rPr>
            </w:pPr>
          </w:p>
        </w:tc>
        <w:tc>
          <w:tcPr>
            <w:tcW w:w="1299" w:type="pct"/>
          </w:tcPr>
          <w:p>
            <w:pPr>
              <w:autoSpaceDE w:val="0"/>
              <w:autoSpaceDN w:val="0"/>
              <w:adjustRightInd w:val="0"/>
              <w:spacing w:after="0"/>
              <w:rPr>
                <w:noProof/>
                <w:color w:val="000000"/>
                <w:szCs w:val="24"/>
              </w:rPr>
            </w:pPr>
            <w:r>
              <w:rPr>
                <w:noProof/>
                <w:color w:val="000000"/>
                <w:szCs w:val="24"/>
              </w:rPr>
              <w:t>Määrämaan tukkukauppias</w:t>
            </w:r>
          </w:p>
        </w:tc>
        <w:tc>
          <w:tcPr>
            <w:tcW w:w="1579" w:type="pct"/>
          </w:tcPr>
          <w:p>
            <w:pPr>
              <w:autoSpaceDE w:val="0"/>
              <w:autoSpaceDN w:val="0"/>
              <w:adjustRightInd w:val="0"/>
              <w:spacing w:after="0"/>
              <w:rPr>
                <w:noProof/>
                <w:color w:val="000000"/>
                <w:szCs w:val="24"/>
              </w:rPr>
            </w:pPr>
            <w:r>
              <w:rPr>
                <w:noProof/>
                <w:color w:val="000000"/>
                <w:szCs w:val="24"/>
              </w:rPr>
              <w:t>Tukkukauppias, joka rinnakkaiskauppaa eläinlääkettä määräjäsenvaltiossa.</w:t>
            </w:r>
          </w:p>
        </w:tc>
        <w:tc>
          <w:tcPr>
            <w:tcW w:w="1220" w:type="pct"/>
          </w:tcPr>
          <w:p>
            <w:pPr>
              <w:autoSpaceDE w:val="0"/>
              <w:autoSpaceDN w:val="0"/>
              <w:adjustRightInd w:val="0"/>
              <w:spacing w:after="0"/>
              <w:rPr>
                <w:noProof/>
                <w:color w:val="000000"/>
                <w:szCs w:val="24"/>
              </w:rPr>
            </w:pPr>
            <w:r>
              <w:rPr>
                <w:noProof/>
                <w:color w:val="000000"/>
                <w:szCs w:val="24"/>
              </w:rPr>
              <w:t>Kontrolloitu organisaatiodata</w:t>
            </w:r>
          </w:p>
        </w:tc>
      </w:tr>
    </w:tbl>
    <w:p>
      <w:pPr>
        <w:rPr>
          <w:noProof/>
        </w:rPr>
      </w:pPr>
    </w:p>
    <w:sectPr>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rPr>
        <w:rFonts w:ascii="Arial" w:hAnsi="Arial" w:cs="Arial"/>
        <w:b/>
        <w:sz w:val="48"/>
      </w:rPr>
      <w:tab/>
    </w:r>
    <w:r>
      <w:tab/>
    </w:r>
    <w:r>
      <w:rPr>
        <w:rFonts w:ascii="Arial" w:hAnsi="Arial" w:cs="Arial"/>
        <w:b/>
        <w:sz w:val="48"/>
      </w:rPr>
      <w:t>FI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FI</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FI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PSMF = lääketurvajärjestelmän kantatiedosto (Pharmacovigilance System Master File).</w:t>
      </w:r>
    </w:p>
  </w:footnote>
  <w:footnote w:id="3">
    <w:p>
      <w:pPr>
        <w:pStyle w:val="FootnoteText"/>
      </w:pPr>
      <w:r>
        <w:rPr>
          <w:rStyle w:val="FootnoteReference"/>
        </w:rPr>
        <w:footnoteRef/>
      </w:r>
      <w:r>
        <w:tab/>
        <w:t>QPPV = lääketurvatoiminnasta vastaava kelpoisuusehdot täyttävä henkilö (Qualified Person Responsible for Pharmacovigilance).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9802FDAE"/>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3E524570"/>
    <w:lvl w:ilvl="0">
      <w:start w:val="1"/>
      <w:numFmt w:val="decimal"/>
      <w:pStyle w:val="ListNumber3"/>
      <w:lvlText w:val="%1."/>
      <w:lvlJc w:val="left"/>
      <w:pPr>
        <w:tabs>
          <w:tab w:val="num" w:pos="926"/>
        </w:tabs>
        <w:ind w:left="926" w:hanging="360"/>
      </w:pPr>
    </w:lvl>
  </w:abstractNum>
  <w:abstractNum w:abstractNumId="2">
    <w:nsid w:val="FFFFFF7F"/>
    <w:multiLevelType w:val="singleLevel"/>
    <w:tmpl w:val="2B5A9FF8"/>
    <w:lvl w:ilvl="0">
      <w:start w:val="1"/>
      <w:numFmt w:val="decimal"/>
      <w:pStyle w:val="ListNumber2"/>
      <w:lvlText w:val="%1."/>
      <w:lvlJc w:val="left"/>
      <w:pPr>
        <w:tabs>
          <w:tab w:val="num" w:pos="643"/>
        </w:tabs>
        <w:ind w:left="643" w:hanging="360"/>
      </w:pPr>
    </w:lvl>
  </w:abstractNum>
  <w:abstractNum w:abstractNumId="3">
    <w:nsid w:val="FFFFFF81"/>
    <w:multiLevelType w:val="singleLevel"/>
    <w:tmpl w:val="DE748E6E"/>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2F8C53F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97B2061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5107E36"/>
    <w:lvl w:ilvl="0">
      <w:start w:val="1"/>
      <w:numFmt w:val="decimal"/>
      <w:pStyle w:val="ListNumber"/>
      <w:lvlText w:val="%1."/>
      <w:lvlJc w:val="left"/>
      <w:pPr>
        <w:tabs>
          <w:tab w:val="num" w:pos="360"/>
        </w:tabs>
        <w:ind w:left="360" w:hanging="360"/>
      </w:pPr>
    </w:lvl>
  </w:abstractNum>
  <w:abstractNum w:abstractNumId="7">
    <w:nsid w:val="FFFFFF89"/>
    <w:multiLevelType w:val="singleLevel"/>
    <w:tmpl w:val="69BAA1D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3A56DE6"/>
    <w:multiLevelType w:val="hybridMultilevel"/>
    <w:tmpl w:val="C602F702"/>
    <w:lvl w:ilvl="0" w:tplc="61381A2E">
      <w:start w:val="1"/>
      <w:numFmt w:val="decimal"/>
      <w:suff w:val="nothing"/>
      <w:lvlText w:val="3.%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9">
    <w:nsid w:val="0B172BC7"/>
    <w:multiLevelType w:val="hybridMultilevel"/>
    <w:tmpl w:val="749AC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B80525A"/>
    <w:multiLevelType w:val="hybridMultilevel"/>
    <w:tmpl w:val="DB806B54"/>
    <w:lvl w:ilvl="0" w:tplc="47785896">
      <w:start w:val="1"/>
      <w:numFmt w:val="decimal"/>
      <w:suff w:val="nothing"/>
      <w:lvlText w:val="5.%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11">
    <w:nsid w:val="16A9113A"/>
    <w:multiLevelType w:val="hybridMultilevel"/>
    <w:tmpl w:val="C17AD6E0"/>
    <w:lvl w:ilvl="0" w:tplc="81180364">
      <w:start w:val="1"/>
      <w:numFmt w:val="decimal"/>
      <w:suff w:val="nothing"/>
      <w:lvlText w:val="2.%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12">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3">
    <w:nsid w:val="1F1812B8"/>
    <w:multiLevelType w:val="hybridMultilevel"/>
    <w:tmpl w:val="6EB8242A"/>
    <w:lvl w:ilvl="0" w:tplc="B80AE3E6">
      <w:start w:val="1"/>
      <w:numFmt w:val="decimal"/>
      <w:suff w:val="nothing"/>
      <w:lvlText w:val="2.%1"/>
      <w:lvlJc w:val="left"/>
      <w:pPr>
        <w:ind w:left="1526" w:hanging="1418"/>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1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88709CE"/>
    <w:multiLevelType w:val="hybridMultilevel"/>
    <w:tmpl w:val="BC3E3550"/>
    <w:lvl w:ilvl="0" w:tplc="5546C10E">
      <w:start w:val="1"/>
      <w:numFmt w:val="decimal"/>
      <w:suff w:val="nothing"/>
      <w:lvlText w:val="4.%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16">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7">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8">
    <w:nsid w:val="33A9125B"/>
    <w:multiLevelType w:val="hybridMultilevel"/>
    <w:tmpl w:val="5D1C6922"/>
    <w:lvl w:ilvl="0" w:tplc="CB26F54A">
      <w:start w:val="1"/>
      <w:numFmt w:val="decimal"/>
      <w:suff w:val="nothing"/>
      <w:lvlText w:val="1.%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1">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2">
    <w:nsid w:val="51E4580C"/>
    <w:multiLevelType w:val="hybridMultilevel"/>
    <w:tmpl w:val="2D5A4B4E"/>
    <w:lvl w:ilvl="0" w:tplc="B1F454C2">
      <w:start w:val="1"/>
      <w:numFmt w:val="decimal"/>
      <w:suff w:val="nothing"/>
      <w:lvlText w:val="6.%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23">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4">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5">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1722435"/>
    <w:multiLevelType w:val="hybridMultilevel"/>
    <w:tmpl w:val="43F6807E"/>
    <w:lvl w:ilvl="0" w:tplc="C0CA90C2">
      <w:start w:val="1"/>
      <w:numFmt w:val="decimal"/>
      <w:suff w:val="nothing"/>
      <w:lvlText w:val="%1."/>
      <w:lvlJc w:val="left"/>
      <w:pPr>
        <w:ind w:left="0" w:firstLine="108"/>
      </w:pPr>
      <w:rPr>
        <w:rFonts w:hint="default"/>
        <w:b/>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8">
    <w:nsid w:val="61913C1F"/>
    <w:multiLevelType w:val="hybridMultilevel"/>
    <w:tmpl w:val="3DAC5544"/>
    <w:lvl w:ilvl="0" w:tplc="15F84F14">
      <w:start w:val="1"/>
      <w:numFmt w:val="decimal"/>
      <w:suff w:val="nothing"/>
      <w:lvlText w:val="3.%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2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1">
    <w:nsid w:val="68F01D40"/>
    <w:multiLevelType w:val="hybridMultilevel"/>
    <w:tmpl w:val="98D6E3E8"/>
    <w:lvl w:ilvl="0" w:tplc="E9AE7CE6">
      <w:start w:val="1"/>
      <w:numFmt w:val="decimal"/>
      <w:suff w:val="nothing"/>
      <w:lvlText w:val="%1."/>
      <w:lvlJc w:val="left"/>
      <w:pPr>
        <w:ind w:left="0" w:firstLine="108"/>
      </w:pPr>
      <w:rPr>
        <w:rFonts w:ascii="Times New Roman" w:hAnsi="Times New Roman" w:cs="Times New Roman" w:hint="default"/>
        <w:b/>
        <w:sz w:val="24"/>
        <w:szCs w:val="24"/>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2">
    <w:nsid w:val="6CED1F37"/>
    <w:multiLevelType w:val="hybridMultilevel"/>
    <w:tmpl w:val="555AE908"/>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3">
    <w:nsid w:val="6FD16F21"/>
    <w:multiLevelType w:val="hybridMultilevel"/>
    <w:tmpl w:val="0F349B46"/>
    <w:lvl w:ilvl="0" w:tplc="CB26F54A">
      <w:start w:val="1"/>
      <w:numFmt w:val="decimal"/>
      <w:suff w:val="nothing"/>
      <w:lvlText w:val="1.%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34">
    <w:nsid w:val="758E231D"/>
    <w:multiLevelType w:val="hybridMultilevel"/>
    <w:tmpl w:val="7DF0F5E0"/>
    <w:lvl w:ilvl="0" w:tplc="A5EE1712">
      <w:start w:val="1"/>
      <w:numFmt w:val="decimal"/>
      <w:suff w:val="nothing"/>
      <w:lvlText w:val="4.%1"/>
      <w:lvlJc w:val="left"/>
      <w:pPr>
        <w:ind w:left="675" w:hanging="567"/>
      </w:pPr>
      <w:rPr>
        <w:rFonts w:hint="default"/>
      </w:rPr>
    </w:lvl>
    <w:lvl w:ilvl="1" w:tplc="08090019" w:tentative="1">
      <w:start w:val="1"/>
      <w:numFmt w:val="lowerLetter"/>
      <w:lvlText w:val="%2."/>
      <w:lvlJc w:val="left"/>
      <w:pPr>
        <w:ind w:left="1543" w:hanging="360"/>
      </w:pPr>
    </w:lvl>
    <w:lvl w:ilvl="2" w:tplc="0809001B" w:tentative="1">
      <w:start w:val="1"/>
      <w:numFmt w:val="lowerRoman"/>
      <w:lvlText w:val="%3."/>
      <w:lvlJc w:val="right"/>
      <w:pPr>
        <w:ind w:left="2263" w:hanging="180"/>
      </w:pPr>
    </w:lvl>
    <w:lvl w:ilvl="3" w:tplc="0809000F" w:tentative="1">
      <w:start w:val="1"/>
      <w:numFmt w:val="decimal"/>
      <w:lvlText w:val="%4."/>
      <w:lvlJc w:val="left"/>
      <w:pPr>
        <w:ind w:left="2983" w:hanging="360"/>
      </w:pPr>
    </w:lvl>
    <w:lvl w:ilvl="4" w:tplc="08090019" w:tentative="1">
      <w:start w:val="1"/>
      <w:numFmt w:val="lowerLetter"/>
      <w:lvlText w:val="%5."/>
      <w:lvlJc w:val="left"/>
      <w:pPr>
        <w:ind w:left="3703" w:hanging="360"/>
      </w:pPr>
    </w:lvl>
    <w:lvl w:ilvl="5" w:tplc="0809001B" w:tentative="1">
      <w:start w:val="1"/>
      <w:numFmt w:val="lowerRoman"/>
      <w:lvlText w:val="%6."/>
      <w:lvlJc w:val="right"/>
      <w:pPr>
        <w:ind w:left="4423" w:hanging="180"/>
      </w:pPr>
    </w:lvl>
    <w:lvl w:ilvl="6" w:tplc="0809000F" w:tentative="1">
      <w:start w:val="1"/>
      <w:numFmt w:val="decimal"/>
      <w:lvlText w:val="%7."/>
      <w:lvlJc w:val="left"/>
      <w:pPr>
        <w:ind w:left="5143" w:hanging="360"/>
      </w:pPr>
    </w:lvl>
    <w:lvl w:ilvl="7" w:tplc="08090019" w:tentative="1">
      <w:start w:val="1"/>
      <w:numFmt w:val="lowerLetter"/>
      <w:lvlText w:val="%8."/>
      <w:lvlJc w:val="left"/>
      <w:pPr>
        <w:ind w:left="5863" w:hanging="360"/>
      </w:pPr>
    </w:lvl>
    <w:lvl w:ilvl="8" w:tplc="0809001B" w:tentative="1">
      <w:start w:val="1"/>
      <w:numFmt w:val="lowerRoman"/>
      <w:lvlText w:val="%9."/>
      <w:lvlJc w:val="right"/>
      <w:pPr>
        <w:ind w:left="6583" w:hanging="180"/>
      </w:pPr>
    </w:lvl>
  </w:abstractNum>
  <w:abstractNum w:abstractNumId="35">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33"/>
  </w:num>
  <w:num w:numId="6">
    <w:abstractNumId w:val="13"/>
  </w:num>
  <w:num w:numId="7">
    <w:abstractNumId w:val="28"/>
  </w:num>
  <w:num w:numId="8">
    <w:abstractNumId w:val="15"/>
  </w:num>
  <w:num w:numId="9">
    <w:abstractNumId w:val="27"/>
  </w:num>
  <w:num w:numId="10">
    <w:abstractNumId w:val="32"/>
  </w:num>
  <w:num w:numId="11">
    <w:abstractNumId w:val="9"/>
  </w:num>
  <w:num w:numId="12">
    <w:abstractNumId w:val="6"/>
  </w:num>
  <w:num w:numId="13">
    <w:abstractNumId w:val="2"/>
  </w:num>
  <w:num w:numId="14">
    <w:abstractNumId w:val="1"/>
  </w:num>
  <w:num w:numId="15">
    <w:abstractNumId w:val="0"/>
  </w:num>
  <w:num w:numId="16">
    <w:abstractNumId w:val="31"/>
  </w:num>
  <w:num w:numId="17">
    <w:abstractNumId w:val="18"/>
  </w:num>
  <w:num w:numId="18">
    <w:abstractNumId w:val="8"/>
  </w:num>
  <w:num w:numId="19">
    <w:abstractNumId w:val="34"/>
  </w:num>
  <w:num w:numId="20">
    <w:abstractNumId w:val="10"/>
  </w:num>
  <w:num w:numId="21">
    <w:abstractNumId w:val="22"/>
  </w:num>
  <w:num w:numId="22">
    <w:abstractNumId w:val="11"/>
  </w:num>
  <w:num w:numId="23">
    <w:abstractNumId w:val="26"/>
  </w:num>
  <w:num w:numId="24">
    <w:abstractNumId w:val="19"/>
  </w:num>
  <w:num w:numId="25">
    <w:abstractNumId w:val="30"/>
  </w:num>
  <w:num w:numId="26">
    <w:abstractNumId w:val="17"/>
  </w:num>
  <w:num w:numId="27">
    <w:abstractNumId w:val="20"/>
  </w:num>
  <w:num w:numId="28">
    <w:abstractNumId w:val="14"/>
  </w:num>
  <w:num w:numId="29">
    <w:abstractNumId w:val="29"/>
  </w:num>
  <w:num w:numId="30">
    <w:abstractNumId w:val="12"/>
  </w:num>
  <w:num w:numId="31">
    <w:abstractNumId w:val="21"/>
  </w:num>
  <w:num w:numId="32">
    <w:abstractNumId w:val="24"/>
  </w:num>
  <w:num w:numId="33">
    <w:abstractNumId w:val="25"/>
  </w:num>
  <w:num w:numId="34">
    <w:abstractNumId w:val="16"/>
  </w:num>
  <w:num w:numId="35">
    <w:abstractNumId w:val="23"/>
  </w:num>
  <w:num w:numId="36">
    <w:abstractNumId w:val="35"/>
  </w:num>
  <w:num w:numId="37">
    <w:abstractNumId w:val="26"/>
  </w:num>
  <w:num w:numId="38">
    <w:abstractNumId w:val="19"/>
  </w:num>
  <w:num w:numId="39">
    <w:abstractNumId w:val="30"/>
  </w:num>
  <w:num w:numId="40">
    <w:abstractNumId w:val="17"/>
  </w:num>
  <w:num w:numId="41">
    <w:abstractNumId w:val="20"/>
  </w:num>
  <w:num w:numId="42">
    <w:abstractNumId w:val="14"/>
  </w:num>
  <w:num w:numId="43">
    <w:abstractNumId w:val="29"/>
  </w:num>
  <w:num w:numId="44">
    <w:abstractNumId w:val="12"/>
  </w:num>
  <w:num w:numId="45">
    <w:abstractNumId w:val="21"/>
  </w:num>
  <w:num w:numId="46">
    <w:abstractNumId w:val="24"/>
  </w:num>
  <w:num w:numId="47">
    <w:abstractNumId w:val="25"/>
  </w:num>
  <w:num w:numId="48">
    <w:abstractNumId w:val="16"/>
  </w:num>
  <w:num w:numId="49">
    <w:abstractNumId w:val="23"/>
  </w:num>
  <w:num w:numId="50">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hideSpellingErrors/>
  <w:hideGrammaticalErrors/>
  <w:attachedTemplate r:id="rId1"/>
  <w:revisionView w:markup="0"/>
  <w:defaultTabStop w:val="720"/>
  <w:hyphenationZone w:val="425"/>
  <w:characterSpacingControl w:val="doNotCompress"/>
  <w:hdrShapeDefaults>
    <o:shapedefaults v:ext="edit" spidmax="573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1-08 11:05:15"/>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ACCOMPAGNANT" w:val="asiakirjaan"/>
    <w:docVar w:name="LW_ACCOMPAGNANT.CP" w:val="asiakirjaan"/>
    <w:docVar w:name="LW_ANNEX_NBR_FIRST" w:val="1"/>
    <w:docVar w:name="LW_ANNEX_NBR_LAST" w:val="3"/>
    <w:docVar w:name="LW_ANNEX_UNIQUE" w:val="0"/>
    <w:docVar w:name="LW_CORRIGENDUM" w:val="&lt;UNUSED&gt;"/>
    <w:docVar w:name="LW_COVERPAGE_EXISTS" w:val="True"/>
    <w:docVar w:name="LW_COVERPAGE_GUID" w:val="7B5C205E-5982-44AD-A277-8DF71DABD4AE"/>
    <w:docVar w:name="LW_COVERPAGE_TYPE" w:val="1"/>
    <w:docVar w:name="LW_CROSSREFERENCE" w:val="&lt;UNUSED&gt;"/>
    <w:docVar w:name="LW_DocType" w:val="ANNEX"/>
    <w:docVar w:name="LW_EMISSION" w:val="8.1.2021"/>
    <w:docVar w:name="LW_EMISSION_ISODATE" w:val="2021-01-08"/>
    <w:docVar w:name="LW_EMISSION_LOCATION" w:val="BRX"/>
    <w:docVar w:name="LW_EMISSION_PREFIX" w:val="Bryssel "/>
    <w:docVar w:name="LW_EMISSION_SUFFIX" w:val=" "/>
    <w:docVar w:name="LW_ID_DOCSTRUCTURE" w:val="COM/ANNEX"/>
    <w:docVar w:name="LW_ID_DOCTYPE" w:val="SG-068"/>
    <w:docVar w:name="LW_LANGUE" w:val="FI"/>
    <w:docVar w:name="LW_LEVEL_OF_SENSITIVITY" w:val="Standard treatment"/>
    <w:docVar w:name="LW_NOM.INST" w:val="EUROOPAN KOMISSIO"/>
    <w:docVar w:name="LW_NOM.INST_JOINTDOC" w:val="&lt;EMPTY&gt;"/>
    <w:docVar w:name="LW_OBJETACTEPRINCIPAL" w:val="eläinlääkkeitä koskevaan unionin tietokantaan (unionin valmistetietokanta) liittyvistä tarvittavista toimenpiteistä ja käytännön järjestelyistä"/>
    <w:docVar w:name="LW_OBJETACTEPRINCIPAL.CP" w:val="eläinlääkkeitä koskevaan unionin tietokantaan (unionin valmistetietokanta) liittyvistä tarvittavista toimenpiteistä ja käytännön järjestelyistä"/>
    <w:docVar w:name="LW_PART_NBR" w:val="&lt;UNUSED&gt;"/>
    <w:docVar w:name="LW_PART_NBR_TOTAL" w:val="&lt;UNUSED&gt;"/>
    <w:docVar w:name="LW_REF.INST.NEW" w:val="C"/>
    <w:docVar w:name="LW_REF.INST.NEW_ADOPTED" w:val="final"/>
    <w:docVar w:name="LW_REF.INST.NEW_TEXT" w:val="(2021) 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LIITTEET"/>
    <w:docVar w:name="LW_TYPE.DOC.CP" w:val="LIITTEET"/>
    <w:docVar w:name="LW_TYPEACTEPRINCIPAL" w:val="Komission täytäntöönpanoasetus (EU) \u8230?/."/>
    <w:docVar w:name="LW_TYPEACTEPRINCIPAL.CP" w:val="Komission täytäntöönpanoasetus (EU) \u8230?/."/>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fi-FI"/>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fi-FI"/>
    </w:rPr>
  </w:style>
  <w:style w:type="paragraph" w:customStyle="1" w:styleId="TableParagraph">
    <w:name w:val="Table Paragraph"/>
    <w:basedOn w:val="Normal"/>
    <w:uiPriority w:val="1"/>
    <w:qFormat/>
    <w:pPr>
      <w:widowControl w:val="0"/>
      <w:autoSpaceDE w:val="0"/>
      <w:autoSpaceDN w:val="0"/>
      <w:spacing w:before="61" w:after="0"/>
      <w:ind w:left="103"/>
      <w:jc w:val="left"/>
    </w:pPr>
    <w:rPr>
      <w:rFonts w:ascii="Verdana" w:eastAsia="Verdana" w:hAnsi="Verdana" w:cs="Verdana"/>
      <w:sz w:val="22"/>
      <w:lang w:eastAsia="en-GB" w:bidi="en-GB"/>
    </w:rPr>
  </w:style>
  <w:style w:type="table" w:customStyle="1" w:styleId="TableNormal1">
    <w:name w:val="Table Normal1"/>
    <w:uiPriority w:val="2"/>
    <w:semiHidden/>
    <w:unhideWhenUsed/>
    <w:qFormat/>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fi-FI"/>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fi-FI"/>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NoSpacing">
    <w:name w:val="No Spacing"/>
    <w:basedOn w:val="Normal"/>
    <w:link w:val="NoSpacingChar"/>
    <w:uiPriority w:val="1"/>
    <w:qFormat/>
    <w:pPr>
      <w:spacing w:before="0" w:after="0"/>
      <w:jc w:val="left"/>
    </w:pPr>
    <w:rPr>
      <w:rFonts w:ascii="Arial" w:hAnsi="Arial"/>
      <w:sz w:val="22"/>
      <w:szCs w:val="32"/>
      <w:lang w:bidi="en-US"/>
    </w:rPr>
  </w:style>
  <w:style w:type="character" w:customStyle="1" w:styleId="NoSpacingChar">
    <w:name w:val="No Spacing Char"/>
    <w:basedOn w:val="DefaultParagraphFont"/>
    <w:link w:val="NoSpacing"/>
    <w:uiPriority w:val="1"/>
    <w:rPr>
      <w:rFonts w:ascii="Arial" w:hAnsi="Arial" w:cs="Times New Roman"/>
      <w:szCs w:val="32"/>
      <w:lang w:val="fi-FI" w:bidi="en-US"/>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2"/>
      </w:numPr>
      <w:contextualSpacing/>
    </w:pPr>
  </w:style>
  <w:style w:type="paragraph" w:styleId="ListNumber2">
    <w:name w:val="List Number 2"/>
    <w:basedOn w:val="Normal"/>
    <w:uiPriority w:val="99"/>
    <w:semiHidden/>
    <w:unhideWhenUsed/>
    <w:pPr>
      <w:numPr>
        <w:numId w:val="13"/>
      </w:numPr>
      <w:contextualSpacing/>
    </w:pPr>
  </w:style>
  <w:style w:type="paragraph" w:styleId="ListNumber3">
    <w:name w:val="List Number 3"/>
    <w:basedOn w:val="Normal"/>
    <w:uiPriority w:val="99"/>
    <w:semiHidden/>
    <w:unhideWhenUsed/>
    <w:pPr>
      <w:numPr>
        <w:numId w:val="14"/>
      </w:numPr>
      <w:contextualSpacing/>
    </w:pPr>
  </w:style>
  <w:style w:type="paragraph" w:styleId="ListNumber4">
    <w:name w:val="List Number 4"/>
    <w:basedOn w:val="Normal"/>
    <w:uiPriority w:val="99"/>
    <w:semiHidden/>
    <w:unhideWhenUsed/>
    <w:pPr>
      <w:numPr>
        <w:numId w:val="15"/>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fi-FI"/>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fi-F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fi-FI"/>
    </w:rPr>
  </w:style>
  <w:style w:type="paragraph" w:styleId="Heading1">
    <w:name w:val="heading 1"/>
    <w:basedOn w:val="Normal"/>
    <w:next w:val="Text1"/>
    <w:link w:val="Heading1Char"/>
    <w:uiPriority w:val="9"/>
    <w:qFormat/>
    <w:pPr>
      <w:keepNext/>
      <w:numPr>
        <w:numId w:val="43"/>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3"/>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3"/>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3"/>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fi-FI"/>
    </w:rPr>
  </w:style>
  <w:style w:type="paragraph" w:customStyle="1" w:styleId="TableParagraph">
    <w:name w:val="Table Paragraph"/>
    <w:basedOn w:val="Normal"/>
    <w:uiPriority w:val="1"/>
    <w:qFormat/>
    <w:pPr>
      <w:widowControl w:val="0"/>
      <w:autoSpaceDE w:val="0"/>
      <w:autoSpaceDN w:val="0"/>
      <w:spacing w:before="61" w:after="0"/>
      <w:ind w:left="103"/>
      <w:jc w:val="left"/>
    </w:pPr>
    <w:rPr>
      <w:rFonts w:ascii="Verdana" w:eastAsia="Verdana" w:hAnsi="Verdana" w:cs="Verdana"/>
      <w:sz w:val="22"/>
      <w:lang w:eastAsia="en-GB" w:bidi="en-GB"/>
    </w:rPr>
  </w:style>
  <w:style w:type="table" w:customStyle="1" w:styleId="TableNormal1">
    <w:name w:val="Table Normal1"/>
    <w:uiPriority w:val="2"/>
    <w:semiHidden/>
    <w:unhideWhenUsed/>
    <w:qFormat/>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fi-FI"/>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fi-FI"/>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NoSpacing">
    <w:name w:val="No Spacing"/>
    <w:basedOn w:val="Normal"/>
    <w:link w:val="NoSpacingChar"/>
    <w:uiPriority w:val="1"/>
    <w:qFormat/>
    <w:pPr>
      <w:spacing w:before="0" w:after="0"/>
      <w:jc w:val="left"/>
    </w:pPr>
    <w:rPr>
      <w:rFonts w:ascii="Arial" w:hAnsi="Arial"/>
      <w:sz w:val="22"/>
      <w:szCs w:val="32"/>
      <w:lang w:bidi="en-US"/>
    </w:rPr>
  </w:style>
  <w:style w:type="character" w:customStyle="1" w:styleId="NoSpacingChar">
    <w:name w:val="No Spacing Char"/>
    <w:basedOn w:val="DefaultParagraphFont"/>
    <w:link w:val="NoSpacing"/>
    <w:uiPriority w:val="1"/>
    <w:rPr>
      <w:rFonts w:ascii="Arial" w:hAnsi="Arial" w:cs="Times New Roman"/>
      <w:szCs w:val="32"/>
      <w:lang w:val="fi-FI" w:bidi="en-US"/>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12"/>
      </w:numPr>
      <w:contextualSpacing/>
    </w:pPr>
  </w:style>
  <w:style w:type="paragraph" w:styleId="ListNumber2">
    <w:name w:val="List Number 2"/>
    <w:basedOn w:val="Normal"/>
    <w:uiPriority w:val="99"/>
    <w:semiHidden/>
    <w:unhideWhenUsed/>
    <w:pPr>
      <w:numPr>
        <w:numId w:val="13"/>
      </w:numPr>
      <w:contextualSpacing/>
    </w:pPr>
  </w:style>
  <w:style w:type="paragraph" w:styleId="ListNumber3">
    <w:name w:val="List Number 3"/>
    <w:basedOn w:val="Normal"/>
    <w:uiPriority w:val="99"/>
    <w:semiHidden/>
    <w:unhideWhenUsed/>
    <w:pPr>
      <w:numPr>
        <w:numId w:val="14"/>
      </w:numPr>
      <w:contextualSpacing/>
    </w:pPr>
  </w:style>
  <w:style w:type="paragraph" w:styleId="ListNumber4">
    <w:name w:val="List Number 4"/>
    <w:basedOn w:val="Normal"/>
    <w:uiPriority w:val="99"/>
    <w:semiHidden/>
    <w:unhideWhenUsed/>
    <w:pPr>
      <w:numPr>
        <w:numId w:val="15"/>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fi-FI"/>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fi-FI"/>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7"/>
      </w:numPr>
    </w:pPr>
  </w:style>
  <w:style w:type="paragraph" w:customStyle="1" w:styleId="Tiret1">
    <w:name w:val="Tiret 1"/>
    <w:basedOn w:val="Point1"/>
    <w:pPr>
      <w:numPr>
        <w:numId w:val="38"/>
      </w:numPr>
    </w:pPr>
  </w:style>
  <w:style w:type="paragraph" w:customStyle="1" w:styleId="Tiret2">
    <w:name w:val="Tiret 2"/>
    <w:basedOn w:val="Point2"/>
    <w:pPr>
      <w:numPr>
        <w:numId w:val="39"/>
      </w:numPr>
    </w:pPr>
  </w:style>
  <w:style w:type="paragraph" w:customStyle="1" w:styleId="Tiret3">
    <w:name w:val="Tiret 3"/>
    <w:basedOn w:val="Point3"/>
    <w:pPr>
      <w:numPr>
        <w:numId w:val="40"/>
      </w:numPr>
    </w:pPr>
  </w:style>
  <w:style w:type="paragraph" w:customStyle="1" w:styleId="Tiret4">
    <w:name w:val="Tiret 4"/>
    <w:basedOn w:val="Point4"/>
    <w:pPr>
      <w:numPr>
        <w:numId w:val="41"/>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2"/>
      </w:numPr>
    </w:pPr>
  </w:style>
  <w:style w:type="paragraph" w:customStyle="1" w:styleId="NumPar2">
    <w:name w:val="NumPar 2"/>
    <w:basedOn w:val="Normal"/>
    <w:next w:val="Text1"/>
    <w:pPr>
      <w:numPr>
        <w:ilvl w:val="1"/>
        <w:numId w:val="42"/>
      </w:numPr>
    </w:pPr>
  </w:style>
  <w:style w:type="paragraph" w:customStyle="1" w:styleId="NumPar3">
    <w:name w:val="NumPar 3"/>
    <w:basedOn w:val="Normal"/>
    <w:next w:val="Text1"/>
    <w:pPr>
      <w:numPr>
        <w:ilvl w:val="2"/>
        <w:numId w:val="42"/>
      </w:numPr>
    </w:pPr>
  </w:style>
  <w:style w:type="paragraph" w:customStyle="1" w:styleId="NumPar4">
    <w:name w:val="NumPar 4"/>
    <w:basedOn w:val="Normal"/>
    <w:next w:val="Text1"/>
    <w:pPr>
      <w:numPr>
        <w:ilvl w:val="3"/>
        <w:numId w:val="42"/>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4"/>
      </w:numPr>
    </w:pPr>
  </w:style>
  <w:style w:type="paragraph" w:customStyle="1" w:styleId="Point1number">
    <w:name w:val="Point 1 (number)"/>
    <w:basedOn w:val="Normal"/>
    <w:pPr>
      <w:numPr>
        <w:ilvl w:val="2"/>
        <w:numId w:val="44"/>
      </w:numPr>
    </w:pPr>
  </w:style>
  <w:style w:type="paragraph" w:customStyle="1" w:styleId="Point2number">
    <w:name w:val="Point 2 (number)"/>
    <w:basedOn w:val="Normal"/>
    <w:pPr>
      <w:numPr>
        <w:ilvl w:val="4"/>
        <w:numId w:val="44"/>
      </w:numPr>
    </w:pPr>
  </w:style>
  <w:style w:type="paragraph" w:customStyle="1" w:styleId="Point3number">
    <w:name w:val="Point 3 (number)"/>
    <w:basedOn w:val="Normal"/>
    <w:pPr>
      <w:numPr>
        <w:ilvl w:val="6"/>
        <w:numId w:val="44"/>
      </w:numPr>
    </w:pPr>
  </w:style>
  <w:style w:type="paragraph" w:customStyle="1" w:styleId="Point0letter">
    <w:name w:val="Point 0 (letter)"/>
    <w:basedOn w:val="Normal"/>
    <w:pPr>
      <w:numPr>
        <w:ilvl w:val="1"/>
        <w:numId w:val="44"/>
      </w:numPr>
    </w:pPr>
  </w:style>
  <w:style w:type="paragraph" w:customStyle="1" w:styleId="Point1letter">
    <w:name w:val="Point 1 (letter)"/>
    <w:basedOn w:val="Normal"/>
    <w:pPr>
      <w:numPr>
        <w:ilvl w:val="3"/>
        <w:numId w:val="44"/>
      </w:numPr>
    </w:pPr>
  </w:style>
  <w:style w:type="paragraph" w:customStyle="1" w:styleId="Point2letter">
    <w:name w:val="Point 2 (letter)"/>
    <w:basedOn w:val="Normal"/>
    <w:pPr>
      <w:numPr>
        <w:ilvl w:val="5"/>
        <w:numId w:val="44"/>
      </w:numPr>
    </w:pPr>
  </w:style>
  <w:style w:type="paragraph" w:customStyle="1" w:styleId="Point3letter">
    <w:name w:val="Point 3 (letter)"/>
    <w:basedOn w:val="Normal"/>
    <w:pPr>
      <w:numPr>
        <w:ilvl w:val="7"/>
        <w:numId w:val="44"/>
      </w:numPr>
    </w:pPr>
  </w:style>
  <w:style w:type="paragraph" w:customStyle="1" w:styleId="Point4letter">
    <w:name w:val="Point 4 (letter)"/>
    <w:basedOn w:val="Normal"/>
    <w:pPr>
      <w:numPr>
        <w:ilvl w:val="8"/>
        <w:numId w:val="44"/>
      </w:numPr>
    </w:pPr>
  </w:style>
  <w:style w:type="paragraph" w:customStyle="1" w:styleId="Bullet0">
    <w:name w:val="Bullet 0"/>
    <w:basedOn w:val="Normal"/>
    <w:pPr>
      <w:numPr>
        <w:numId w:val="45"/>
      </w:numPr>
    </w:pPr>
  </w:style>
  <w:style w:type="paragraph" w:customStyle="1" w:styleId="Bullet1">
    <w:name w:val="Bullet 1"/>
    <w:basedOn w:val="Normal"/>
    <w:pPr>
      <w:numPr>
        <w:numId w:val="46"/>
      </w:numPr>
    </w:pPr>
  </w:style>
  <w:style w:type="paragraph" w:customStyle="1" w:styleId="Bullet2">
    <w:name w:val="Bullet 2"/>
    <w:basedOn w:val="Normal"/>
    <w:pPr>
      <w:numPr>
        <w:numId w:val="47"/>
      </w:numPr>
    </w:pPr>
  </w:style>
  <w:style w:type="paragraph" w:customStyle="1" w:styleId="Bullet3">
    <w:name w:val="Bullet 3"/>
    <w:basedOn w:val="Normal"/>
    <w:pPr>
      <w:numPr>
        <w:numId w:val="48"/>
      </w:numPr>
    </w:pPr>
  </w:style>
  <w:style w:type="paragraph" w:customStyle="1" w:styleId="Bullet4">
    <w:name w:val="Bullet 4"/>
    <w:basedOn w:val="Normal"/>
    <w:pPr>
      <w:numPr>
        <w:numId w:val="49"/>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0"/>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2066E-C225-4E7C-B637-43C644AD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17</Pages>
  <Words>2130</Words>
  <Characters>18982</Characters>
  <Application>Microsoft Office Word</Application>
  <DocSecurity>0</DocSecurity>
  <Lines>903</Lines>
  <Paragraphs>363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17</cp:revision>
  <dcterms:created xsi:type="dcterms:W3CDTF">2020-12-23T14:38:00Z</dcterms:created>
  <dcterms:modified xsi:type="dcterms:W3CDTF">2021-01-08T10:05:00Z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7.0.8.0</vt:lpwstr>
  </property>
  <property fmtid="{D5CDD505-2E9C-101B-9397-08002B2CF9AE}" pid="4" name="Last edited using">
    <vt:lpwstr>LW 7.0, Build 20190717</vt:lpwstr>
  </property>
  <property fmtid="{D5CDD505-2E9C-101B-9397-08002B2CF9AE}" pid="5" name="Created using">
    <vt:lpwstr>LW 7.0, Build 20190717</vt:lpwstr>
  </property>
  <property fmtid="{D5CDD505-2E9C-101B-9397-08002B2CF9AE}" pid="6" name="First annex">
    <vt:lpwstr>1</vt:lpwstr>
  </property>
  <property fmtid="{D5CDD505-2E9C-101B-9397-08002B2CF9AE}" pid="7" name="Last annex">
    <vt:lpwstr>3</vt:lpwstr>
  </property>
  <property fmtid="{D5CDD505-2E9C-101B-9397-08002B2CF9AE}" pid="8" name="Unique annex">
    <vt:lpwstr>0</vt:lpwstr>
  </property>
  <property fmtid="{D5CDD505-2E9C-101B-9397-08002B2CF9AE}" pid="9" name="Part">
    <vt:lpwstr>&lt;UNUSED&gt;</vt:lpwstr>
  </property>
  <property fmtid="{D5CDD505-2E9C-101B-9397-08002B2CF9AE}" pid="10" name="Total parts">
    <vt:lpwstr>&lt;UNUSED&gt;</vt:lpwstr>
  </property>
  <property fmtid="{D5CDD505-2E9C-101B-9397-08002B2CF9AE}" pid="11" name="Level of sensitivity">
    <vt:lpwstr>Standard treatment</vt:lpwstr>
  </property>
  <property fmtid="{D5CDD505-2E9C-101B-9397-08002B2CF9AE}" pid="12" name="LWTemplateID">
    <vt:lpwstr>SG-068</vt:lpwstr>
  </property>
  <property fmtid="{D5CDD505-2E9C-101B-9397-08002B2CF9AE}" pid="13" name="DQCStatus">
    <vt:lpwstr>Green (DQC version 03)</vt:lpwstr>
  </property>
  <property name="OP_sanitized" fmtid="{D5CDD505-2E9C-101B-9397-08002B2CF9AE}" pid="14">
    <vt:lpwstr>True</vt:lpwstr>
  </property>
</Properties>
</file>