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4C07F0953F2644CA8C5A2A5C5D2BAF70" style="width:450.8pt;height:365.85pt">
            <v:imagedata r:id="rId9" o:title=""/>
          </v:shape>
        </w:pict>
      </w:r>
    </w:p>
    <w:p>
      <w:pPr>
        <w:rPr>
          <w:noProof/>
        </w:rPr>
        <w:sectPr>
          <w:footerReference w:type="default" r:id="rId10"/>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ОБЯСНИТЕЛЕН МЕМОРАНДУМ</w:t>
      </w:r>
    </w:p>
    <w:p>
      <w:pPr>
        <w:pStyle w:val="ManualHeading1"/>
        <w:rPr>
          <w:noProof/>
        </w:rPr>
      </w:pPr>
      <w:r>
        <w:rPr>
          <w:noProof/>
        </w:rPr>
        <w:t>1.</w:t>
      </w:r>
      <w:r>
        <w:rPr>
          <w:noProof/>
        </w:rPr>
        <w:tab/>
        <w:t>КОНТЕКСТ НА ПРЕДЛОЖЕНИEТО</w:t>
      </w:r>
    </w:p>
    <w:p>
      <w:pPr>
        <w:pStyle w:val="ManualHeading2"/>
        <w:rPr>
          <w:rFonts w:eastAsia="Arial Unicode MS"/>
          <w:noProof/>
        </w:rPr>
      </w:pPr>
      <w:r>
        <w:rPr>
          <w:noProof/>
        </w:rPr>
        <w:tab/>
        <w:t>Основания и цели на предложението</w:t>
      </w:r>
    </w:p>
    <w:p>
      <w:pPr>
        <w:rPr>
          <w:rFonts w:eastAsia="Times New Roman"/>
          <w:noProof/>
          <w:szCs w:val="24"/>
        </w:rPr>
      </w:pPr>
      <w:r>
        <w:rPr>
          <w:noProof/>
        </w:rPr>
        <w:t>Реакторът с висока плътност на неутронния поток се използва от Комисията по силата на споразумението между Евратом и Нидерландия от 25 юли 1961 г. Това споразумение е подписано за срок от 99 години. За изпълнението му, на 31 октомври 1962 г. двете страни сключиха дългосрочен договор за наем за 99 години, който предоставя вещни права in rem („bail emphytéotique“).</w:t>
      </w:r>
    </w:p>
    <w:p>
      <w:pPr>
        <w:rPr>
          <w:rFonts w:eastAsia="Times New Roman"/>
          <w:noProof/>
          <w:szCs w:val="24"/>
        </w:rPr>
      </w:pPr>
      <w:r>
        <w:rPr>
          <w:noProof/>
        </w:rPr>
        <w:t xml:space="preserve">HFR играе важна роля в Европейския съюз. Главната цел на допълнителната изследователска програма за HFR е да се осигури постоянен и надежден неутронен поток за експериментални цели. Проучваните области са: наука за ядрените материали и горива с цел да се подобри безопасността на ядрените реактори (както за ядрено делене, така и ядрен синтез), проучвания по стареенето на реактора и управлението на жизнения му цикъл, изследване в областта на авангардните горивни цикли и управлението на отпадъците. HFR действа също така като съоръжение за обучение на докторанти и стипендианти с докторска степен, които извършват изследователската си дейност по национални или европейски програми. </w:t>
      </w:r>
    </w:p>
    <w:p>
      <w:pPr>
        <w:rPr>
          <w:rFonts w:eastAsia="Times New Roman"/>
          <w:noProof/>
          <w:szCs w:val="24"/>
        </w:rPr>
      </w:pPr>
      <w:r>
        <w:rPr>
          <w:noProof/>
        </w:rPr>
        <w:t>Реакторът се използва също така и за търговско производство на радиоизотопи, което покрива повече от 60 % от 10-те милиона медицински диагностики, извършвани всяка година в Европа. Той е доставчик с основно значение за европейските радиофармацевтични дружества в тази област. Освен това, поради местонахождението си в Европа, продукцията на реактора бързо достига до европейските медицински центрове. Това е от основно значение за най-често използваните краткоживеещи изотопи.</w:t>
      </w:r>
    </w:p>
    <w:p>
      <w:pPr>
        <w:rPr>
          <w:rFonts w:eastAsia="Times New Roman"/>
          <w:noProof/>
          <w:szCs w:val="24"/>
        </w:rPr>
      </w:pPr>
      <w:r>
        <w:rPr>
          <w:noProof/>
        </w:rPr>
        <w:t xml:space="preserve">Експлоатацията на реактора с висока плътност на неутронния поток (High Flux Reactor — „HFR“) на Общността беше поддържана от редица допълнителни изследователски програми. </w:t>
      </w:r>
    </w:p>
    <w:p>
      <w:pPr>
        <w:rPr>
          <w:rFonts w:eastAsia="Times New Roman"/>
          <w:noProof/>
          <w:szCs w:val="24"/>
        </w:rPr>
      </w:pPr>
      <w:r>
        <w:rPr>
          <w:noProof/>
        </w:rPr>
        <w:t xml:space="preserve">На 13 ноември 2012 г. Съветът прие четиригодишна (2012—2015 г.) допълнителна изследователска програма (Решение 2012/709/Евратом на Съвета — ОВ L 321/59, 20.11.2012 г.), която да се изпълнява от Съвместният изследователски център (JRC) от името на Европейската общност за атомна енергия във връзка с експлоатацията на реактора, разположен на площадката на JRC в Петен, Нидерландия. Вноските за допълнителната изследователска програма за 2012—2015 г. бяха от три участващи държави членки: Нидерландия, Франция и Белгия, с общ бюджет от 31,4 млн. EUR за четиригодишния период. Тази сума включваше средствата за годишните вноски за фонда за извеждане от експлоатация на реактора. Тази допълнителна изследователска програма  изтече на 31 декември 2015 г. </w:t>
      </w:r>
    </w:p>
    <w:p>
      <w:pPr>
        <w:rPr>
          <w:rFonts w:eastAsia="Times New Roman"/>
          <w:noProof/>
          <w:szCs w:val="24"/>
        </w:rPr>
      </w:pPr>
      <w:r>
        <w:rPr>
          <w:noProof/>
        </w:rPr>
        <w:t xml:space="preserve">Настоящото предложение за решение на Съвета се отнася за нова четиригодишна програма за експлоатацията на HFR (2016—2019 г.), основана на изследователските дейности на Nuclear Research and consultancy Group — NRG (Нидерландия) и Commissariat à l’énergie atomique et aux énergies алтернативи — CEA (Франция). Вноските за допълнителната изследователска програма за 2016—2019 г. ще бъдат в размер на 30,2 млн. EUR през четиригодишния период, при условие че HFR продължи да бъде в редовна експлоатация и поддръжка. Тази сума ще включва средствата за годишните вноски за фонда за извеждане от експлоатация на реактора. Ако през периода 2016—2019 г., преди обявяването на консервация в безопасно състояние, </w:t>
      </w:r>
      <w:r>
        <w:rPr>
          <w:noProof/>
        </w:rPr>
        <w:lastRenderedPageBreak/>
        <w:t xml:space="preserve">операторът NRG издаде до националните органи по безопасността официално уведомление за окончателно спиране, плащанията, които остава да бъдат извършени, както и поканите от страна на Комисията за внасяне на средства, ще бъдат суспендирани. </w:t>
      </w:r>
    </w:p>
    <w:p>
      <w:pPr>
        <w:pStyle w:val="ManualHeading2"/>
        <w:rPr>
          <w:rFonts w:eastAsia="Arial Unicode MS"/>
          <w:noProof/>
          <w:color w:val="000000"/>
          <w:u w:color="000000"/>
          <w:bdr w:val="nil"/>
        </w:rPr>
      </w:pPr>
      <w:r>
        <w:rPr>
          <w:noProof/>
          <w:color w:val="000000"/>
          <w:u w:color="000000"/>
          <w:bdr w:val="nil"/>
        </w:rPr>
        <w:t>•</w:t>
      </w:r>
      <w:r>
        <w:rPr>
          <w:noProof/>
        </w:rPr>
        <w:tab/>
        <w:t>Съгласуваност със съществуващите разпоредби в тази област на политиката</w:t>
      </w:r>
    </w:p>
    <w:p>
      <w:pPr>
        <w:pBdr>
          <w:top w:val="nil"/>
          <w:left w:val="nil"/>
          <w:bottom w:val="nil"/>
          <w:right w:val="nil"/>
          <w:between w:val="nil"/>
          <w:bar w:val="nil"/>
        </w:pBdr>
        <w:spacing w:before="0" w:after="240"/>
        <w:rPr>
          <w:rFonts w:eastAsia="Times New Roman"/>
          <w:noProof/>
          <w:szCs w:val="24"/>
        </w:rPr>
      </w:pPr>
      <w:r>
        <w:t xml:space="preserve"> </w:t>
      </w:r>
      <w:r>
        <w:rPr>
          <w:noProof/>
        </w:rPr>
        <w:t>не се прилага</w:t>
      </w:r>
    </w:p>
    <w:p>
      <w:pPr>
        <w:pStyle w:val="ManualHeading2"/>
        <w:rPr>
          <w:rFonts w:eastAsia="Arial Unicode MS"/>
          <w:noProof/>
        </w:rPr>
      </w:pPr>
      <w:r>
        <w:rPr>
          <w:noProof/>
          <w:color w:val="000000"/>
          <w:u w:color="000000"/>
          <w:bdr w:val="nil"/>
        </w:rPr>
        <w:t>•</w:t>
      </w:r>
      <w:r>
        <w:rPr>
          <w:noProof/>
        </w:rPr>
        <w:tab/>
        <w:t>Съгласуваност с другите политики на Съюза</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pStyle w:val="ManualHeading1"/>
        <w:rPr>
          <w:noProof/>
        </w:rPr>
      </w:pPr>
      <w:r>
        <w:rPr>
          <w:noProof/>
        </w:rPr>
        <w:t>2.</w:t>
      </w:r>
      <w:r>
        <w:rPr>
          <w:noProof/>
        </w:rPr>
        <w:tab/>
        <w:t>ПРАВНО ОСНОВАНИЕ, СУБСИДИАРНОСТ И ПРОПОРЦИОНАЛНОСТ</w:t>
      </w:r>
    </w:p>
    <w:p>
      <w:pPr>
        <w:pStyle w:val="ManualHeading2"/>
        <w:rPr>
          <w:rFonts w:eastAsia="Arial Unicode MS"/>
          <w:noProof/>
          <w:u w:color="000000"/>
          <w:bdr w:val="nil"/>
        </w:rPr>
      </w:pPr>
      <w:r>
        <w:rPr>
          <w:noProof/>
        </w:rPr>
        <w:t>•</w:t>
      </w:r>
      <w:r>
        <w:rPr>
          <w:noProof/>
        </w:rPr>
        <w:tab/>
        <w:t>Правно основание</w:t>
      </w:r>
    </w:p>
    <w:p>
      <w:pPr>
        <w:rPr>
          <w:rFonts w:eastAsia="Times New Roman"/>
          <w:noProof/>
          <w:szCs w:val="24"/>
        </w:rPr>
      </w:pPr>
      <w:r>
        <w:rPr>
          <w:noProof/>
        </w:rPr>
        <w:t>Предложението се основава на член 7 от Договора за Евратом.</w:t>
      </w:r>
    </w:p>
    <w:p>
      <w:pPr>
        <w:pStyle w:val="ManualHeading2"/>
        <w:rPr>
          <w:rFonts w:eastAsia="Arial Unicode MS"/>
          <w:noProof/>
          <w:u w:color="000000"/>
          <w:bdr w:val="nil"/>
        </w:rPr>
      </w:pPr>
      <w:r>
        <w:rPr>
          <w:noProof/>
        </w:rPr>
        <w:t>•</w:t>
      </w:r>
      <w:r>
        <w:rPr>
          <w:noProof/>
        </w:rPr>
        <w:tab/>
        <w:t xml:space="preserve">Субсидиарност (при неизключителна компетентност) </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pStyle w:val="ManualHeading2"/>
        <w:rPr>
          <w:rFonts w:eastAsia="Arial Unicode MS"/>
          <w:noProof/>
          <w:u w:color="000000"/>
          <w:bdr w:val="nil"/>
        </w:rPr>
      </w:pPr>
      <w:r>
        <w:rPr>
          <w:noProof/>
        </w:rPr>
        <w:t>•</w:t>
      </w:r>
      <w:r>
        <w:rPr>
          <w:noProof/>
        </w:rPr>
        <w:tab/>
        <w:t>Пропорционалност</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pStyle w:val="ManualHeading2"/>
        <w:rPr>
          <w:rFonts w:eastAsia="Arial Unicode MS"/>
          <w:noProof/>
          <w:u w:color="000000"/>
          <w:bdr w:val="nil"/>
        </w:rPr>
      </w:pPr>
      <w:r>
        <w:rPr>
          <w:noProof/>
        </w:rPr>
        <w:t>•</w:t>
      </w:r>
      <w:r>
        <w:rPr>
          <w:noProof/>
        </w:rPr>
        <w:tab/>
        <w:t>Избор на инструмент</w:t>
      </w:r>
    </w:p>
    <w:p>
      <w:pPr>
        <w:pBdr>
          <w:top w:val="nil"/>
          <w:left w:val="nil"/>
          <w:bottom w:val="nil"/>
          <w:right w:val="nil"/>
          <w:between w:val="nil"/>
          <w:bar w:val="nil"/>
        </w:pBdr>
        <w:spacing w:before="0" w:after="240"/>
        <w:rPr>
          <w:rFonts w:eastAsia="Times New Roman"/>
          <w:noProof/>
          <w:szCs w:val="24"/>
        </w:rPr>
      </w:pPr>
      <w:r>
        <w:rPr>
          <w:noProof/>
        </w:rPr>
        <w:t xml:space="preserve"> не се прилага</w:t>
      </w:r>
    </w:p>
    <w:p>
      <w:pPr>
        <w:pStyle w:val="ManualHeading1"/>
        <w:rPr>
          <w:noProof/>
        </w:rPr>
      </w:pPr>
      <w:r>
        <w:rPr>
          <w:noProof/>
        </w:rPr>
        <w:t>3.</w:t>
      </w:r>
      <w:r>
        <w:rPr>
          <w:noProof/>
        </w:rPr>
        <w:tab/>
        <w:t>РЕЗУЛТАТИ ОТ ПОСЛЕДВАЩИТЕ ОЦЕНКИ, КОНСУЛТАЦИИ СЪС ЗАИНТЕРЕСОВАНИТЕ СТРАНИ И ОЦЕНКИ НА ВЪЗДЕЙСТВИЕТО</w:t>
      </w:r>
    </w:p>
    <w:p>
      <w:pPr>
        <w:pStyle w:val="ManualHeading2"/>
        <w:rPr>
          <w:rFonts w:eastAsia="Arial Unicode MS"/>
          <w:noProof/>
          <w:u w:color="000000"/>
          <w:bdr w:val="nil"/>
        </w:rPr>
      </w:pPr>
      <w:r>
        <w:rPr>
          <w:noProof/>
        </w:rPr>
        <w:t>•</w:t>
      </w:r>
      <w:r>
        <w:rPr>
          <w:noProof/>
        </w:rPr>
        <w:tab/>
        <w:t>Последващи оценки/проверки за пригодност на действащото законодателство</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pStyle w:val="ManualHeading2"/>
        <w:rPr>
          <w:rFonts w:eastAsia="Arial Unicode MS"/>
          <w:noProof/>
          <w:u w:color="000000"/>
          <w:bdr w:val="nil"/>
        </w:rPr>
      </w:pPr>
      <w:r>
        <w:rPr>
          <w:noProof/>
        </w:rPr>
        <w:t>•</w:t>
      </w:r>
      <w:r>
        <w:rPr>
          <w:noProof/>
        </w:rPr>
        <w:tab/>
        <w:t>Консултации със заинтересованите страни</w:t>
      </w:r>
    </w:p>
    <w:p>
      <w:pPr>
        <w:rPr>
          <w:rFonts w:eastAsia="Times New Roman"/>
          <w:noProof/>
          <w:szCs w:val="24"/>
        </w:rPr>
      </w:pPr>
      <w:r>
        <w:rPr>
          <w:noProof/>
        </w:rPr>
        <w:t>Сред държавите членки, с които бяха проведени консултации с оглед на техните изследователски дейности в ядрената област, две държави членки (Нидерландия и Франция) се съгласиха да допринесат за финансирането на HFR.</w:t>
      </w:r>
    </w:p>
    <w:p>
      <w:pPr>
        <w:pStyle w:val="ManualHeading2"/>
        <w:rPr>
          <w:rFonts w:eastAsia="Arial Unicode MS"/>
          <w:noProof/>
          <w:u w:color="000000"/>
          <w:bdr w:val="nil"/>
        </w:rPr>
      </w:pPr>
      <w:r>
        <w:rPr>
          <w:noProof/>
        </w:rPr>
        <w:t>•</w:t>
      </w:r>
      <w:r>
        <w:rPr>
          <w:noProof/>
        </w:rPr>
        <w:tab/>
        <w:t>Събиране и използване на експертни становища</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pStyle w:val="ManualHeading2"/>
        <w:rPr>
          <w:rFonts w:eastAsia="Arial Unicode MS"/>
          <w:noProof/>
          <w:u w:color="000000"/>
          <w:bdr w:val="nil"/>
        </w:rPr>
      </w:pPr>
      <w:r>
        <w:rPr>
          <w:noProof/>
        </w:rPr>
        <w:t>•</w:t>
      </w:r>
      <w:r>
        <w:rPr>
          <w:noProof/>
        </w:rPr>
        <w:tab/>
        <w:t>Оценка на въздействието</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pStyle w:val="ManualHeading2"/>
        <w:rPr>
          <w:rFonts w:eastAsia="Arial Unicode MS"/>
          <w:noProof/>
          <w:u w:color="000000"/>
          <w:bdr w:val="nil"/>
        </w:rPr>
      </w:pPr>
      <w:r>
        <w:rPr>
          <w:noProof/>
        </w:rPr>
        <w:t>•</w:t>
      </w:r>
      <w:r>
        <w:rPr>
          <w:noProof/>
        </w:rPr>
        <w:tab/>
        <w:t>Пригодност и опростяване на законодателството</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pStyle w:val="ManualHeading2"/>
        <w:rPr>
          <w:rFonts w:eastAsia="Arial Unicode MS"/>
          <w:noProof/>
          <w:u w:color="000000"/>
          <w:bdr w:val="nil"/>
        </w:rPr>
      </w:pPr>
      <w:r>
        <w:rPr>
          <w:noProof/>
        </w:rPr>
        <w:t>•</w:t>
      </w:r>
      <w:r>
        <w:rPr>
          <w:noProof/>
        </w:rPr>
        <w:tab/>
        <w:t>Основни права</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pStyle w:val="ManualHeading1"/>
        <w:rPr>
          <w:noProof/>
        </w:rPr>
      </w:pPr>
      <w:r>
        <w:rPr>
          <w:noProof/>
        </w:rPr>
        <w:t>4.</w:t>
      </w:r>
      <w:r>
        <w:rPr>
          <w:noProof/>
        </w:rPr>
        <w:tab/>
        <w:t>ОТРАЖЕНИЕ ВЪРХУ БЮДЖЕТА</w:t>
      </w:r>
    </w:p>
    <w:p>
      <w:pPr>
        <w:rPr>
          <w:rFonts w:eastAsia="Times New Roman"/>
          <w:noProof/>
          <w:szCs w:val="24"/>
        </w:rPr>
      </w:pPr>
      <w:r>
        <w:rPr>
          <w:noProof/>
        </w:rPr>
        <w:t>Във финансовия отчет за тази нова допълнителна програма е посочен приносът, който ще бъде осигурен от две участващи държави членки, а именно Нидерландия и Франция. Вноските от тези две държави членки възлизат на 30,2 млн. EUR за периода 2016—2019 г. Тази сума, плюс очаквания търговски приход, осигурява достатъчен оперативен бюджет, за да се балансират прогнозните разходи за реактора за периода 2016—2019 г. Следва да се отбележи, че бюджетът включва средства за извеждането от експлоатация на реактора, както и за разходи, свързани с общото подпомагане на HFR, помощни съоръжения, застраховки и управление на отработеното гориво:</w:t>
      </w:r>
    </w:p>
    <w:p>
      <w:pPr>
        <w:rPr>
          <w:rFonts w:eastAsia="Times New Roman"/>
          <w:noProof/>
          <w:szCs w:val="24"/>
        </w:rPr>
      </w:pPr>
      <w:r>
        <w:rPr>
          <w:noProof/>
        </w:rPr>
        <w:t>Комисията потвърждава декларацията, вписана в протокола от заседанието на Съвета от 27 юни 1996 г., с която заяви, че „на основата на адекватно финансиране HFR може да допринесе за изпълнението на програми на Общността, независимо дали те се реализират в контекста на рамковите програми или не. Това участие може да се осъществи или на конкурентен принцип, или чрез услуги за облъчване, предоставяни на институти на JRC при провеждането на съответните им дейности“. Това означава, че Комисията няма да допринася към експлоатационните разходи на HFR с финансови средства от своя институционален бюджет, включително всякакви разходи по поддръжката или ремонта на реактора.</w:t>
      </w:r>
    </w:p>
    <w:p>
      <w:pPr>
        <w:pStyle w:val="ManualHeading1"/>
        <w:rPr>
          <w:noProof/>
        </w:rPr>
      </w:pPr>
      <w:r>
        <w:rPr>
          <w:noProof/>
        </w:rPr>
        <w:t>5.</w:t>
      </w:r>
      <w:r>
        <w:rPr>
          <w:noProof/>
        </w:rPr>
        <w:tab/>
        <w:t>ДРУГИ ЕЛЕМЕНТИ</w:t>
      </w:r>
    </w:p>
    <w:p>
      <w:pPr>
        <w:pStyle w:val="ManualHeading2"/>
        <w:rPr>
          <w:rFonts w:eastAsia="Arial Unicode MS"/>
          <w:noProof/>
          <w:u w:color="000000"/>
          <w:bdr w:val="nil"/>
        </w:rPr>
      </w:pPr>
      <w:r>
        <w:rPr>
          <w:noProof/>
        </w:rPr>
        <w:t>•</w:t>
      </w:r>
      <w:r>
        <w:rPr>
          <w:noProof/>
        </w:rPr>
        <w:tab/>
        <w:t>Планове за изпълнение и механизъм за мониторинг, оценка и докладване</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pStyle w:val="ManualHeading2"/>
        <w:rPr>
          <w:rFonts w:eastAsia="Arial Unicode MS"/>
          <w:noProof/>
          <w:u w:color="000000"/>
          <w:bdr w:val="nil"/>
        </w:rPr>
      </w:pPr>
      <w:r>
        <w:rPr>
          <w:noProof/>
        </w:rPr>
        <w:t>•</w:t>
      </w:r>
      <w:r>
        <w:rPr>
          <w:noProof/>
        </w:rPr>
        <w:tab/>
        <w:t>Подробно разяснение на специалните разпоредби на предложението</w:t>
      </w:r>
    </w:p>
    <w:p>
      <w:pPr>
        <w:pBdr>
          <w:top w:val="nil"/>
          <w:left w:val="nil"/>
          <w:bottom w:val="nil"/>
          <w:right w:val="nil"/>
          <w:between w:val="nil"/>
          <w:bar w:val="nil"/>
        </w:pBdr>
        <w:spacing w:before="0" w:after="240"/>
        <w:rPr>
          <w:rFonts w:eastAsia="Times New Roman"/>
          <w:noProof/>
          <w:szCs w:val="24"/>
        </w:rPr>
      </w:pPr>
      <w:r>
        <w:rPr>
          <w:noProof/>
        </w:rPr>
        <w:t>не се прилага</w:t>
      </w:r>
    </w:p>
    <w:p>
      <w:pPr>
        <w:rPr>
          <w:noProof/>
        </w:rPr>
        <w:sectPr>
          <w:footerReference w:type="default" r:id="rId11"/>
          <w:footerReference w:type="first" r:id="rId12"/>
          <w:pgSz w:w="11907" w:h="16839"/>
          <w:pgMar w:top="1134" w:right="1417" w:bottom="1134" w:left="1417" w:header="709" w:footer="709" w:gutter="0"/>
          <w:cols w:space="708"/>
          <w:docGrid w:linePitch="360"/>
        </w:sectPr>
      </w:pPr>
    </w:p>
    <w:p>
      <w:pPr>
        <w:pStyle w:val="Rfrenceinterinstitutionnelle"/>
        <w:rPr>
          <w:noProof/>
        </w:rPr>
      </w:pPr>
      <w:r>
        <w:rPr>
          <w:noProof/>
        </w:rPr>
        <w:t>2017/0036 (NLE)</w:t>
      </w:r>
    </w:p>
    <w:p>
      <w:pPr>
        <w:pStyle w:val="Statut"/>
        <w:rPr>
          <w:noProof/>
        </w:rPr>
      </w:pPr>
      <w:r>
        <w:rPr>
          <w:noProof/>
        </w:rPr>
        <w:t>Предложение за</w:t>
      </w:r>
    </w:p>
    <w:p>
      <w:pPr>
        <w:pStyle w:val="Typedudocument"/>
        <w:rPr>
          <w:noProof/>
        </w:rPr>
      </w:pPr>
      <w:r>
        <w:rPr>
          <w:noProof/>
        </w:rPr>
        <w:t>РЕШЕНИЕ НА СЪВЕТА</w:t>
      </w:r>
    </w:p>
    <w:p>
      <w:pPr>
        <w:pStyle w:val="Titreobjet"/>
        <w:rPr>
          <w:noProof/>
        </w:rPr>
      </w:pPr>
      <w:r>
        <w:rPr>
          <w:noProof/>
        </w:rPr>
        <w:t>за приемането на допълнителната изследователска програма за Реактора с висока плътност на неутронния поток за 2016—2019 година, за изпълнение от Съвместния изследователски център за Европейската общност за атомна енергия</w:t>
      </w:r>
    </w:p>
    <w:p>
      <w:pPr>
        <w:pStyle w:val="Institutionquiagit"/>
        <w:rPr>
          <w:noProof/>
        </w:rPr>
      </w:pPr>
      <w:r>
        <w:rPr>
          <w:noProof/>
        </w:rPr>
        <w:t>СЪВЕТЪТ НА ЕВРОПЕЙСКИЯ СЪЮЗ,</w:t>
      </w:r>
    </w:p>
    <w:p>
      <w:pPr>
        <w:rPr>
          <w:noProof/>
        </w:rPr>
      </w:pPr>
      <w:r>
        <w:rPr>
          <w:noProof/>
        </w:rPr>
        <w:t>като взе предвид Договора за създаване на Европейската общност за атомна енергия, и по-специално член 7 от него,</w:t>
      </w:r>
    </w:p>
    <w:p>
      <w:pPr>
        <w:rPr>
          <w:noProof/>
        </w:rPr>
      </w:pPr>
      <w:r>
        <w:rPr>
          <w:noProof/>
        </w:rPr>
        <w:t xml:space="preserve">като взе предвид предложението на Европейската комисия, </w:t>
      </w:r>
    </w:p>
    <w:p>
      <w:pPr>
        <w:rPr>
          <w:noProof/>
        </w:rPr>
      </w:pPr>
      <w:r>
        <w:rPr>
          <w:noProof/>
        </w:rPr>
        <w:t>след консултации с Научния и технически комитет</w:t>
      </w:r>
      <w:r>
        <w:rPr>
          <w:rStyle w:val="FootnoteReference"/>
          <w:noProof/>
        </w:rPr>
        <w:footnoteReference w:id="1"/>
      </w:r>
      <w:r>
        <w:rPr>
          <w:noProof/>
        </w:rPr>
        <w:t>,</w:t>
      </w:r>
    </w:p>
    <w:p>
      <w:pPr>
        <w:rPr>
          <w:noProof/>
        </w:rPr>
      </w:pPr>
      <w:r>
        <w:rPr>
          <w:noProof/>
        </w:rPr>
        <w:t>като има предвид, че:</w:t>
      </w:r>
    </w:p>
    <w:p>
      <w:pPr>
        <w:pStyle w:val="ManualConsidrant"/>
        <w:rPr>
          <w:noProof/>
        </w:rPr>
      </w:pPr>
      <w:r>
        <w:t>(1)</w:t>
      </w:r>
      <w:r>
        <w:tab/>
      </w:r>
      <w:r>
        <w:rPr>
          <w:noProof/>
        </w:rPr>
        <w:t>В рамките на Европейското научноизследователско пространство реакторът с висока плътност на неутронния поток в Петен (наричан по-нататък „HFR“) беше, и ще продължи още известно време да бъде важно средство на разположение на Общността, което да допринася за науките за материалите и за изпитването на материалите, за ядрената медицина и за изследванията за безопасността на реакторите в областта на ядрената енергетика.</w:t>
      </w:r>
    </w:p>
    <w:p>
      <w:pPr>
        <w:pStyle w:val="ManualConsidrant"/>
        <w:rPr>
          <w:noProof/>
        </w:rPr>
      </w:pPr>
      <w:r>
        <w:t>(2)</w:t>
      </w:r>
      <w:r>
        <w:tab/>
      </w:r>
      <w:r>
        <w:rPr>
          <w:noProof/>
        </w:rPr>
        <w:t>Експлоатацията на HFR беше подпомагана с поредица от допълнителни изследователски програми, последната от които — Решение 2012/709/Евратом на Съвета от 13 ноември 2012 г. за приемането на допълнителната изследователска програма за Реактора с висока плътност на неутронния поток за 2012—2015 г. за изпълнение от Съвместния изследователски център за Европейската общност за атомна енергия</w:t>
      </w:r>
      <w:r>
        <w:rPr>
          <w:rStyle w:val="FootnoteReference"/>
          <w:noProof/>
        </w:rPr>
        <w:footnoteReference w:id="2"/>
      </w:r>
      <w:r>
        <w:rPr>
          <w:noProof/>
        </w:rPr>
        <w:t xml:space="preserve"> — изтече на 31 декември 2015 г. </w:t>
      </w:r>
    </w:p>
    <w:p>
      <w:pPr>
        <w:pStyle w:val="ManualConsidrant"/>
        <w:rPr>
          <w:noProof/>
        </w:rPr>
      </w:pPr>
      <w:r>
        <w:t>(3)</w:t>
      </w:r>
      <w:r>
        <w:tab/>
      </w:r>
      <w:r>
        <w:rPr>
          <w:noProof/>
        </w:rPr>
        <w:t>Експлоатацията на HFR продължи през цялата 2016 г. без допълнителна изследователска програма, докато се изчакват преговорите между субектите, упълномощени от финансиращите държави членки. Тъй като тези усилия доведоха до споразумение между двата упоменати национални субекта, посочени в съображение 6), е необходимо да се осигури продължаване на финансовата подкрепа по нова допълнителна изследователска програма.</w:t>
      </w:r>
    </w:p>
    <w:p>
      <w:pPr>
        <w:pStyle w:val="ManualConsidrant"/>
        <w:rPr>
          <w:noProof/>
        </w:rPr>
      </w:pPr>
      <w:r>
        <w:t>(4)</w:t>
      </w:r>
      <w:r>
        <w:tab/>
      </w:r>
      <w:r>
        <w:rPr>
          <w:noProof/>
        </w:rPr>
        <w:t xml:space="preserve">За да се осигури последователност между допълнителните изследователски програми, както и гладко функциониране на допълнителната изследователска програма за HFR за периода 2016—2019 г., настоящото решение следва да се прилага от 1 януари 2016 г. Част от вноските по настоящата допълнителна програма следва също така да покрият разходите, направени през 2016 г. </w:t>
      </w:r>
    </w:p>
    <w:p>
      <w:pPr>
        <w:pStyle w:val="ManualConsidrant"/>
        <w:rPr>
          <w:noProof/>
        </w:rPr>
      </w:pPr>
      <w:r>
        <w:t>(5)</w:t>
      </w:r>
      <w:r>
        <w:tab/>
      </w:r>
      <w:r>
        <w:rPr>
          <w:noProof/>
        </w:rPr>
        <w:t>Предвид продължаващата необходимост от HFR като незаменима инфраструктура за изследванията на Общността в областта на подобряването на безопасността на ядрените реактори, здравеопазването, включително разработването на медицински изотопи, за да се отговори на въпросите на медицинските изследвания, ядрения синтез, фундаменталните изследвания, обучението и управлението на отпадъците, включително възможността за изучаване на поведението във връзка с безопасността на ядрените горива за реакторните системи, представляващи интерес за Европа, неговата експлоатация следва да продължи по настоящата допълнителна изследователска програма до края на 2019 г.</w:t>
      </w:r>
    </w:p>
    <w:p>
      <w:pPr>
        <w:pStyle w:val="ManualConsidrant"/>
        <w:rPr>
          <w:noProof/>
        </w:rPr>
      </w:pPr>
      <w:r>
        <w:t>(6)</w:t>
      </w:r>
      <w:r>
        <w:tab/>
      </w:r>
      <w:r>
        <w:rPr>
          <w:noProof/>
        </w:rPr>
        <w:t xml:space="preserve">Поради особения интерес на Nuclear Research and consultancy Group — NRG (Нидерландия) и Commissariat à l’énergie atomique et aux énergies alternatives — CEA (Франция) към способностите на HFR за облъчване, те постигнаха споразумение и изцяло ще финансират тази програма с вноски в общия бюджет на Европейския съюз под формата на целеви приходи, </w:t>
      </w:r>
    </w:p>
    <w:p>
      <w:pPr>
        <w:pStyle w:val="ManualConsidrant"/>
        <w:rPr>
          <w:noProof/>
        </w:rPr>
      </w:pPr>
      <w:r>
        <w:t>(7)</w:t>
      </w:r>
      <w:r>
        <w:tab/>
      </w:r>
      <w:r>
        <w:rPr>
          <w:noProof/>
        </w:rPr>
        <w:t xml:space="preserve">Целта на вноските е да се финансира експлоатацията на HFR, с цел да се подпомага изпълнението на изследователската програма; като такава, тя се основава на допускането за нормална експлоатация и поддръжка на HFR. Официално уведомление за окончателно спиране от оператора NRG до националните органи по безопасността, преди обявяването на консервацията в безопасно състояние, ще суспендира плащанията, които остават да бъдат извършени, както и поканите от страна на Комисията за внасяне на средства, </w:t>
      </w:r>
    </w:p>
    <w:p>
      <w:pPr>
        <w:pStyle w:val="Formuledadoption"/>
        <w:rPr>
          <w:noProof/>
        </w:rPr>
      </w:pPr>
      <w:r>
        <w:rPr>
          <w:noProof/>
        </w:rPr>
        <w:t xml:space="preserve">ПРИЕ НАСТОЯЩОТО РЕШЕНИЕ: </w:t>
      </w:r>
    </w:p>
    <w:p>
      <w:pPr>
        <w:pStyle w:val="Titrearticle"/>
        <w:rPr>
          <w:noProof/>
        </w:rPr>
      </w:pPr>
      <w:r>
        <w:rPr>
          <w:noProof/>
        </w:rPr>
        <w:t>Член 1</w:t>
      </w:r>
    </w:p>
    <w:p>
      <w:pPr>
        <w:rPr>
          <w:noProof/>
        </w:rPr>
      </w:pPr>
      <w:r>
        <w:rPr>
          <w:noProof/>
        </w:rPr>
        <w:t>Допълнителната изследователска програма за експлоатация на HFR (наричана по-нататък „програмата“), чиито цели са определени в приложение I, се приема за срок от четири години, считано от 1 януари 2016 г.</w:t>
      </w:r>
    </w:p>
    <w:p>
      <w:pPr>
        <w:pStyle w:val="Titrearticle"/>
        <w:rPr>
          <w:noProof/>
        </w:rPr>
      </w:pPr>
      <w:r>
        <w:rPr>
          <w:noProof/>
        </w:rPr>
        <w:t>Член 2</w:t>
      </w:r>
    </w:p>
    <w:p>
      <w:pPr>
        <w:rPr>
          <w:noProof/>
        </w:rPr>
      </w:pPr>
      <w:r>
        <w:rPr>
          <w:noProof/>
        </w:rPr>
        <w:t>Разходите по изпълнението на програмата, размерът на които се оценява на 30,2 EUR, се финансират изцяло от вноски от NRG (Нидерландия) и CEA (Франция). Тази сума подробно е разписана в приложение II. Този принос се счита за целеви приход в съответствие с член 21, параграф 2 от Регламент (ЕО, Евратом) № 966/2012 на Съвета</w:t>
      </w:r>
      <w:r>
        <w:rPr>
          <w:rStyle w:val="FootnoteReference"/>
          <w:noProof/>
        </w:rPr>
        <w:footnoteReference w:id="3"/>
      </w:r>
      <w:r>
        <w:rPr>
          <w:noProof/>
        </w:rPr>
        <w:t xml:space="preserve">. </w:t>
      </w:r>
    </w:p>
    <w:p>
      <w:pPr>
        <w:rPr>
          <w:noProof/>
        </w:rPr>
      </w:pPr>
    </w:p>
    <w:p>
      <w:pPr>
        <w:pStyle w:val="Titrearticle"/>
        <w:rPr>
          <w:noProof/>
        </w:rPr>
      </w:pPr>
      <w:r>
        <w:rPr>
          <w:noProof/>
        </w:rPr>
        <w:t>Член 3</w:t>
      </w:r>
    </w:p>
    <w:p>
      <w:pPr>
        <w:pStyle w:val="ManualNumPar1"/>
        <w:rPr>
          <w:noProof/>
        </w:rPr>
      </w:pPr>
      <w:r>
        <w:t>1.</w:t>
      </w:r>
      <w:r>
        <w:tab/>
      </w:r>
      <w:r>
        <w:rPr>
          <w:noProof/>
        </w:rPr>
        <w:t>За управлението на програмата отговаря Комисията. За тази цел тя използва услугите на Съвместния изследователски център.</w:t>
      </w:r>
    </w:p>
    <w:p>
      <w:pPr>
        <w:pStyle w:val="ManualNumPar1"/>
        <w:rPr>
          <w:noProof/>
        </w:rPr>
      </w:pPr>
      <w:r>
        <w:t>2.</w:t>
      </w:r>
      <w:r>
        <w:tab/>
      </w:r>
      <w:r>
        <w:rPr>
          <w:noProof/>
        </w:rPr>
        <w:t>Съветът на гуверньорите на Съвместния изследователски център се информира редовно за изпълнението на програмата.</w:t>
      </w:r>
    </w:p>
    <w:p>
      <w:pPr>
        <w:pStyle w:val="Titrearticle"/>
        <w:rPr>
          <w:noProof/>
        </w:rPr>
      </w:pPr>
      <w:r>
        <w:rPr>
          <w:noProof/>
        </w:rPr>
        <w:t>Член 4</w:t>
      </w:r>
    </w:p>
    <w:p>
      <w:pPr>
        <w:rPr>
          <w:noProof/>
        </w:rPr>
      </w:pPr>
      <w:r>
        <w:rPr>
          <w:noProof/>
        </w:rPr>
        <w:t>Официално уведомление за окончателно спиране от оператора NRG до националните органи по безопасността (преди обявяването на консервацията в безопасно състояние) ще суспендира плащанията, които остават да бъдат извършени, както и поканите от страна на Комисията за внасяне на средства.</w:t>
      </w:r>
    </w:p>
    <w:p>
      <w:pPr>
        <w:pStyle w:val="Titrearticle"/>
        <w:rPr>
          <w:noProof/>
        </w:rPr>
      </w:pPr>
      <w:r>
        <w:rPr>
          <w:noProof/>
        </w:rPr>
        <w:t>Член 5</w:t>
      </w:r>
    </w:p>
    <w:p>
      <w:pPr>
        <w:pStyle w:val="Default"/>
        <w:rPr>
          <w:rFonts w:ascii="Times New Roman" w:hAnsi="Times New Roman" w:cs="Times New Roman"/>
          <w:noProof/>
        </w:rPr>
      </w:pPr>
      <w:r>
        <w:rPr>
          <w:rFonts w:ascii="Times New Roman" w:hAnsi="Times New Roman"/>
          <w:noProof/>
        </w:rPr>
        <w:t>Комисията представя на Европейския парламент и на Съвета окончателен доклад за изпълнението на настоящото решение.</w:t>
      </w:r>
    </w:p>
    <w:p>
      <w:pPr>
        <w:pStyle w:val="Titrearticle"/>
        <w:keepNext w:val="0"/>
        <w:rPr>
          <w:noProof/>
        </w:rPr>
      </w:pPr>
      <w:r>
        <w:rPr>
          <w:noProof/>
        </w:rPr>
        <w:t>Член 6</w:t>
      </w:r>
    </w:p>
    <w:p>
      <w:pPr>
        <w:keepLines/>
        <w:rPr>
          <w:noProof/>
        </w:rPr>
      </w:pPr>
      <w:r>
        <w:rPr>
          <w:noProof/>
        </w:rPr>
        <w:t xml:space="preserve">Настоящото решение влиза в сила в деня на публикуването му в </w:t>
      </w:r>
      <w:r>
        <w:rPr>
          <w:i/>
          <w:noProof/>
        </w:rPr>
        <w:t>Официален вестник на Европейския съюз</w:t>
      </w:r>
      <w:r>
        <w:rPr>
          <w:noProof/>
        </w:rPr>
        <w:t>.</w:t>
      </w:r>
    </w:p>
    <w:p>
      <w:pPr>
        <w:keepLines/>
        <w:rPr>
          <w:noProof/>
        </w:rPr>
      </w:pPr>
    </w:p>
    <w:p>
      <w:pPr>
        <w:keepLines/>
        <w:rPr>
          <w:noProof/>
        </w:rPr>
      </w:pPr>
      <w:r>
        <w:rPr>
          <w:noProof/>
        </w:rPr>
        <w:t>Прилага се от 1 януари 2016 г.</w:t>
      </w:r>
    </w:p>
    <w:p>
      <w:pPr>
        <w:pStyle w:val="Titrearticle"/>
        <w:rPr>
          <w:noProof/>
        </w:rPr>
      </w:pPr>
      <w:r>
        <w:rPr>
          <w:noProof/>
        </w:rPr>
        <w:t>Член 6</w:t>
      </w:r>
    </w:p>
    <w:p>
      <w:pPr>
        <w:rPr>
          <w:noProof/>
        </w:rPr>
      </w:pPr>
      <w:r>
        <w:rPr>
          <w:noProof/>
        </w:rPr>
        <w:t>Адресати на настоящото решение са държавите членки.</w:t>
      </w:r>
    </w:p>
    <w:p>
      <w:pPr>
        <w:pStyle w:val="Fait"/>
        <w:rPr>
          <w:noProof/>
        </w:rPr>
      </w:pPr>
      <w:r>
        <w:rPr>
          <w:noProof/>
        </w:rPr>
        <w:t>Съставено в Брюксел на  година.</w:t>
      </w:r>
    </w:p>
    <w:p>
      <w:pPr>
        <w:pStyle w:val="Institutionquisigne"/>
        <w:rPr>
          <w:noProof/>
        </w:rPr>
      </w:pPr>
      <w:r>
        <w:rPr>
          <w:noProof/>
        </w:rPr>
        <w:tab/>
        <w:t>За Съвета</w:t>
      </w:r>
    </w:p>
    <w:p>
      <w:pPr>
        <w:pStyle w:val="Personnequisigne"/>
        <w:rPr>
          <w:noProof/>
        </w:rPr>
      </w:pPr>
      <w:r>
        <w:rPr>
          <w:noProof/>
        </w:rPr>
        <w:tab/>
        <w:t>Председател</w:t>
      </w:r>
    </w:p>
    <w:p>
      <w:pPr>
        <w:pStyle w:val="Fichefinanciretitre"/>
        <w:pageBreakBefore/>
        <w:rPr>
          <w:noProof/>
        </w:rPr>
      </w:pPr>
      <w:r>
        <w:rPr>
          <w:noProof/>
        </w:rPr>
        <w:t xml:space="preserve">ЗАКОНОДАТЕЛНА ФИНАНСОВА ОБОСНОВКА </w:t>
      </w:r>
    </w:p>
    <w:p>
      <w:pPr>
        <w:pStyle w:val="ManualHeading1"/>
        <w:rPr>
          <w:noProof/>
        </w:rPr>
      </w:pPr>
      <w:r>
        <w:rPr>
          <w:noProof/>
        </w:rPr>
        <w:t>1.</w:t>
      </w:r>
      <w:r>
        <w:rPr>
          <w:noProof/>
        </w:rPr>
        <w:tab/>
        <w:t xml:space="preserve">РАМКА НА ПРЕДЛОЖЕНИЕТО/ИНИЦИАТИВАТА </w:t>
      </w:r>
    </w:p>
    <w:p>
      <w:pPr>
        <w:pStyle w:val="ManualHeading2"/>
        <w:rPr>
          <w:b w:val="0"/>
          <w:noProof/>
        </w:rPr>
      </w:pPr>
      <w:r>
        <w:rPr>
          <w:noProof/>
        </w:rPr>
        <w:tab/>
      </w:r>
      <w:r>
        <w:rPr>
          <w:b w:val="0"/>
          <w:noProof/>
        </w:rPr>
        <w:t>1.1.</w:t>
      </w:r>
      <w:r>
        <w:rPr>
          <w:noProof/>
        </w:rPr>
        <w:tab/>
      </w:r>
      <w:r>
        <w:rPr>
          <w:b w:val="0"/>
          <w:noProof/>
        </w:rPr>
        <w:t xml:space="preserve">Наименование на предложението/инициативата </w:t>
      </w:r>
    </w:p>
    <w:p>
      <w:pPr>
        <w:pStyle w:val="ManualHeading2"/>
        <w:rPr>
          <w:b w:val="0"/>
          <w:noProof/>
        </w:rPr>
      </w:pPr>
      <w:r>
        <w:rPr>
          <w:noProof/>
        </w:rPr>
        <w:tab/>
      </w:r>
      <w:r>
        <w:rPr>
          <w:b w:val="0"/>
          <w:noProof/>
        </w:rPr>
        <w:t>1.2.</w:t>
      </w:r>
      <w:r>
        <w:rPr>
          <w:noProof/>
        </w:rPr>
        <w:tab/>
      </w:r>
      <w:r>
        <w:rPr>
          <w:b w:val="0"/>
          <w:noProof/>
        </w:rPr>
        <w:t>Съответни области на политиката в структурата на УД/БД</w:t>
      </w:r>
    </w:p>
    <w:p>
      <w:pPr>
        <w:pStyle w:val="ManualHeading2"/>
        <w:rPr>
          <w:b w:val="0"/>
          <w:noProof/>
        </w:rPr>
      </w:pPr>
      <w:r>
        <w:rPr>
          <w:noProof/>
        </w:rPr>
        <w:tab/>
      </w:r>
      <w:r>
        <w:rPr>
          <w:b w:val="0"/>
          <w:noProof/>
        </w:rPr>
        <w:t>1.3.</w:t>
      </w:r>
      <w:r>
        <w:rPr>
          <w:noProof/>
        </w:rPr>
        <w:tab/>
      </w:r>
      <w:r>
        <w:rPr>
          <w:b w:val="0"/>
          <w:noProof/>
        </w:rPr>
        <w:t xml:space="preserve">Естество на предложението/инициативата </w:t>
      </w:r>
    </w:p>
    <w:p>
      <w:pPr>
        <w:pStyle w:val="ManualHeading2"/>
        <w:rPr>
          <w:b w:val="0"/>
          <w:noProof/>
        </w:rPr>
      </w:pPr>
      <w:r>
        <w:rPr>
          <w:noProof/>
        </w:rPr>
        <w:tab/>
      </w:r>
      <w:r>
        <w:rPr>
          <w:b w:val="0"/>
          <w:noProof/>
        </w:rPr>
        <w:t>1.4.</w:t>
      </w:r>
      <w:r>
        <w:rPr>
          <w:noProof/>
        </w:rPr>
        <w:tab/>
      </w:r>
      <w:r>
        <w:rPr>
          <w:b w:val="0"/>
          <w:noProof/>
        </w:rPr>
        <w:t xml:space="preserve">Цели </w:t>
      </w:r>
    </w:p>
    <w:p>
      <w:pPr>
        <w:pStyle w:val="ManualHeading2"/>
        <w:rPr>
          <w:b w:val="0"/>
          <w:noProof/>
        </w:rPr>
      </w:pPr>
      <w:r>
        <w:rPr>
          <w:noProof/>
        </w:rPr>
        <w:tab/>
      </w:r>
      <w:r>
        <w:rPr>
          <w:b w:val="0"/>
          <w:noProof/>
        </w:rPr>
        <w:t>1.5.</w:t>
      </w:r>
      <w:r>
        <w:rPr>
          <w:noProof/>
        </w:rPr>
        <w:tab/>
      </w:r>
      <w:r>
        <w:rPr>
          <w:b w:val="0"/>
          <w:noProof/>
        </w:rPr>
        <w:t xml:space="preserve">Мотиви за предложението/инициативата </w:t>
      </w:r>
    </w:p>
    <w:p>
      <w:pPr>
        <w:pStyle w:val="ManualHeading2"/>
        <w:rPr>
          <w:b w:val="0"/>
          <w:noProof/>
        </w:rPr>
      </w:pPr>
      <w:r>
        <w:rPr>
          <w:noProof/>
        </w:rPr>
        <w:tab/>
      </w:r>
      <w:r>
        <w:rPr>
          <w:b w:val="0"/>
          <w:noProof/>
        </w:rPr>
        <w:t>1.6.</w:t>
      </w:r>
      <w:r>
        <w:rPr>
          <w:noProof/>
        </w:rPr>
        <w:tab/>
      </w:r>
      <w:r>
        <w:rPr>
          <w:b w:val="0"/>
          <w:noProof/>
        </w:rPr>
        <w:t xml:space="preserve">Срок на действие и финансово отражение </w:t>
      </w:r>
    </w:p>
    <w:p>
      <w:pPr>
        <w:pStyle w:val="ManualHeading2"/>
        <w:rPr>
          <w:b w:val="0"/>
          <w:noProof/>
        </w:rPr>
      </w:pPr>
      <w:r>
        <w:rPr>
          <w:noProof/>
        </w:rPr>
        <w:tab/>
      </w:r>
      <w:r>
        <w:rPr>
          <w:b w:val="0"/>
          <w:noProof/>
        </w:rPr>
        <w:t>1.7.</w:t>
      </w:r>
      <w:r>
        <w:rPr>
          <w:noProof/>
        </w:rPr>
        <w:tab/>
      </w:r>
      <w:r>
        <w:rPr>
          <w:b w:val="0"/>
          <w:noProof/>
        </w:rPr>
        <w:t xml:space="preserve">Планирани методи на управление </w:t>
      </w:r>
    </w:p>
    <w:p>
      <w:pPr>
        <w:pStyle w:val="ManualHeading1"/>
        <w:rPr>
          <w:noProof/>
        </w:rPr>
      </w:pPr>
      <w:r>
        <w:rPr>
          <w:noProof/>
        </w:rPr>
        <w:t>2.</w:t>
      </w:r>
      <w:r>
        <w:rPr>
          <w:noProof/>
        </w:rPr>
        <w:tab/>
        <w:t xml:space="preserve">МЕРКИ ЗА УПРАВЛЕНИЕ </w:t>
      </w:r>
    </w:p>
    <w:p>
      <w:pPr>
        <w:pStyle w:val="ManualHeading2"/>
        <w:rPr>
          <w:b w:val="0"/>
          <w:noProof/>
        </w:rPr>
      </w:pPr>
      <w:r>
        <w:rPr>
          <w:noProof/>
        </w:rPr>
        <w:tab/>
      </w:r>
      <w:r>
        <w:rPr>
          <w:b w:val="0"/>
          <w:noProof/>
        </w:rPr>
        <w:t>2.1.</w:t>
      </w:r>
      <w:r>
        <w:rPr>
          <w:noProof/>
        </w:rPr>
        <w:tab/>
      </w:r>
      <w:r>
        <w:rPr>
          <w:b w:val="0"/>
          <w:noProof/>
        </w:rPr>
        <w:t xml:space="preserve">Правила за мониторинг и докладване </w:t>
      </w:r>
    </w:p>
    <w:p>
      <w:pPr>
        <w:pStyle w:val="ManualHeading2"/>
        <w:rPr>
          <w:b w:val="0"/>
          <w:noProof/>
        </w:rPr>
      </w:pPr>
      <w:r>
        <w:rPr>
          <w:noProof/>
        </w:rPr>
        <w:tab/>
      </w:r>
      <w:r>
        <w:rPr>
          <w:b w:val="0"/>
          <w:noProof/>
        </w:rPr>
        <w:t>2.2.</w:t>
      </w:r>
      <w:r>
        <w:rPr>
          <w:noProof/>
        </w:rPr>
        <w:tab/>
      </w:r>
      <w:r>
        <w:rPr>
          <w:b w:val="0"/>
          <w:noProof/>
        </w:rPr>
        <w:t xml:space="preserve">Система за управление и контрол </w:t>
      </w:r>
    </w:p>
    <w:p>
      <w:pPr>
        <w:pStyle w:val="ManualHeading2"/>
        <w:rPr>
          <w:b w:val="0"/>
          <w:noProof/>
        </w:rPr>
      </w:pPr>
      <w:r>
        <w:rPr>
          <w:noProof/>
        </w:rPr>
        <w:tab/>
      </w:r>
      <w:r>
        <w:rPr>
          <w:b w:val="0"/>
          <w:noProof/>
        </w:rPr>
        <w:t>2.3.</w:t>
      </w:r>
      <w:r>
        <w:rPr>
          <w:noProof/>
        </w:rPr>
        <w:tab/>
      </w:r>
      <w:r>
        <w:rPr>
          <w:b w:val="0"/>
          <w:noProof/>
        </w:rPr>
        <w:t xml:space="preserve">Мерки за предотвратяване на измами и нередности </w:t>
      </w:r>
    </w:p>
    <w:p>
      <w:pPr>
        <w:pStyle w:val="ManualHeading1"/>
        <w:rPr>
          <w:noProof/>
        </w:rPr>
      </w:pPr>
      <w:r>
        <w:rPr>
          <w:noProof/>
        </w:rPr>
        <w:t>3.</w:t>
      </w:r>
      <w:r>
        <w:rPr>
          <w:noProof/>
        </w:rPr>
        <w:tab/>
        <w:t xml:space="preserve">ОЧАКВАНО ФИНАНСОВО ОТРАЖЕНИЕ НА ПРЕДЛОЖЕНИЕТО/ИНИЦИАТИВАТА </w:t>
      </w:r>
    </w:p>
    <w:p>
      <w:pPr>
        <w:pStyle w:val="ManualHeading2"/>
        <w:rPr>
          <w:b w:val="0"/>
          <w:noProof/>
        </w:rPr>
      </w:pPr>
      <w:r>
        <w:rPr>
          <w:noProof/>
        </w:rPr>
        <w:tab/>
      </w:r>
      <w:r>
        <w:rPr>
          <w:b w:val="0"/>
          <w:noProof/>
        </w:rPr>
        <w:t>3.1.</w:t>
      </w:r>
      <w:r>
        <w:rPr>
          <w:noProof/>
        </w:rPr>
        <w:tab/>
      </w:r>
      <w:r>
        <w:rPr>
          <w:b w:val="0"/>
          <w:noProof/>
        </w:rPr>
        <w:t xml:space="preserve">Съответни функции от многогодишната финансова рамка и разходни бюджетни редове </w:t>
      </w:r>
    </w:p>
    <w:p>
      <w:pPr>
        <w:pStyle w:val="ManualHeading2"/>
        <w:rPr>
          <w:noProof/>
        </w:rPr>
      </w:pPr>
      <w:r>
        <w:rPr>
          <w:noProof/>
        </w:rPr>
        <w:tab/>
      </w:r>
      <w:r>
        <w:rPr>
          <w:b w:val="0"/>
          <w:noProof/>
        </w:rPr>
        <w:t>3.2.</w:t>
      </w:r>
      <w:r>
        <w:rPr>
          <w:noProof/>
        </w:rPr>
        <w:tab/>
      </w:r>
      <w:r>
        <w:rPr>
          <w:b w:val="0"/>
          <w:noProof/>
        </w:rPr>
        <w:t>Очаквано отражение върху разходите</w:t>
      </w:r>
      <w:r>
        <w:rPr>
          <w:noProof/>
        </w:rPr>
        <w:t xml:space="preserve"> </w:t>
      </w:r>
    </w:p>
    <w:p>
      <w:pPr>
        <w:pStyle w:val="ManualHeading3"/>
        <w:rPr>
          <w:noProof/>
        </w:rPr>
      </w:pPr>
      <w:r>
        <w:rPr>
          <w:noProof/>
        </w:rPr>
        <w:tab/>
        <w:t>3.2.1.</w:t>
      </w:r>
      <w:r>
        <w:rPr>
          <w:noProof/>
        </w:rPr>
        <w:tab/>
        <w:t xml:space="preserve">Обобщение на очакваното отражение върху разходите </w:t>
      </w:r>
    </w:p>
    <w:p>
      <w:pPr>
        <w:pStyle w:val="ManualHeading3"/>
        <w:rPr>
          <w:noProof/>
        </w:rPr>
      </w:pPr>
      <w:r>
        <w:rPr>
          <w:noProof/>
        </w:rPr>
        <w:tab/>
        <w:t>3.2.2.</w:t>
      </w:r>
      <w:r>
        <w:rPr>
          <w:noProof/>
        </w:rPr>
        <w:tab/>
        <w:t xml:space="preserve">Очаквано отражение върху бюджетните кредити за оперативни разходи </w:t>
      </w:r>
    </w:p>
    <w:p>
      <w:pPr>
        <w:pStyle w:val="ManualHeading3"/>
        <w:rPr>
          <w:noProof/>
        </w:rPr>
      </w:pPr>
      <w:r>
        <w:rPr>
          <w:noProof/>
        </w:rPr>
        <w:tab/>
        <w:t>3.2.3.</w:t>
      </w:r>
      <w:r>
        <w:rPr>
          <w:noProof/>
        </w:rPr>
        <w:tab/>
        <w:t>Очаквано отражение върху бюджетните кредити за административни разходи</w:t>
      </w:r>
    </w:p>
    <w:p>
      <w:pPr>
        <w:pStyle w:val="ManualHeading3"/>
        <w:rPr>
          <w:noProof/>
        </w:rPr>
      </w:pPr>
      <w:r>
        <w:rPr>
          <w:noProof/>
        </w:rPr>
        <w:tab/>
        <w:t>3.2.4.</w:t>
      </w:r>
      <w:r>
        <w:rPr>
          <w:noProof/>
        </w:rPr>
        <w:tab/>
        <w:t>Съвместимост с настоящата многогодишна финансова рамка</w:t>
      </w:r>
    </w:p>
    <w:p>
      <w:pPr>
        <w:pStyle w:val="ManualHeading3"/>
        <w:rPr>
          <w:noProof/>
        </w:rPr>
      </w:pPr>
      <w:r>
        <w:rPr>
          <w:noProof/>
        </w:rPr>
        <w:tab/>
        <w:t>3.2.5.</w:t>
      </w:r>
      <w:r>
        <w:rPr>
          <w:noProof/>
        </w:rPr>
        <w:tab/>
        <w:t xml:space="preserve">Участие на трети страни във финансирането </w:t>
      </w:r>
    </w:p>
    <w:p>
      <w:pPr>
        <w:pStyle w:val="ManualHeading2"/>
        <w:jc w:val="left"/>
        <w:rPr>
          <w:rFonts w:eastAsia="Times New Roman"/>
          <w:noProof/>
          <w:szCs w:val="24"/>
        </w:rPr>
        <w:sectPr>
          <w:pgSz w:w="12240" w:h="15840" w:code="1"/>
          <w:pgMar w:top="794" w:right="907" w:bottom="851" w:left="1361" w:header="510" w:footer="454" w:gutter="0"/>
          <w:pgNumType w:start="1"/>
          <w:cols w:space="708"/>
          <w:rtlGutter/>
          <w:docGrid w:linePitch="360"/>
        </w:sectPr>
      </w:pPr>
      <w:r>
        <w:rPr>
          <w:noProof/>
        </w:rPr>
        <w:tab/>
      </w:r>
      <w:r>
        <w:rPr>
          <w:b w:val="0"/>
          <w:noProof/>
        </w:rPr>
        <w:t>3.3.</w:t>
      </w:r>
      <w:r>
        <w:rPr>
          <w:noProof/>
        </w:rPr>
        <w:tab/>
      </w:r>
      <w:r>
        <w:rPr>
          <w:b w:val="0"/>
          <w:noProof/>
        </w:rPr>
        <w:t>Очаквано отражение върху приходите</w:t>
      </w:r>
    </w:p>
    <w:p>
      <w:pPr>
        <w:jc w:val="center"/>
        <w:rPr>
          <w:rFonts w:eastAsia="Times New Roman"/>
          <w:b/>
          <w:noProof/>
          <w:szCs w:val="24"/>
          <w:u w:val="single"/>
        </w:rPr>
      </w:pPr>
      <w:r>
        <w:rPr>
          <w:b/>
          <w:noProof/>
          <w:u w:val="single"/>
        </w:rPr>
        <w:t>ЗАКОНОДАТЕЛНА ФИНАНСОВА ОБОСНОВКА ЗА ПРЕДЛОЖЕНИЕТО</w:t>
      </w:r>
    </w:p>
    <w:p>
      <w:pPr>
        <w:keepNext/>
        <w:tabs>
          <w:tab w:val="num" w:pos="850"/>
        </w:tabs>
        <w:spacing w:before="360"/>
        <w:ind w:left="850" w:hanging="850"/>
        <w:outlineLvl w:val="0"/>
        <w:rPr>
          <w:rFonts w:eastAsia="Times New Roman"/>
          <w:b/>
          <w:bCs/>
          <w:smallCaps/>
          <w:noProof/>
          <w:szCs w:val="28"/>
        </w:rPr>
      </w:pPr>
      <w:r>
        <w:rPr>
          <w:b/>
          <w:smallCaps/>
          <w:noProof/>
        </w:rPr>
        <w:t xml:space="preserve">РАМКА НА ПРЕДЛОЖЕНИЕТО/ИНИЦИАТИВАТА </w:t>
      </w:r>
    </w:p>
    <w:p>
      <w:pPr>
        <w:keepNext/>
        <w:numPr>
          <w:ilvl w:val="1"/>
          <w:numId w:val="0"/>
        </w:numPr>
        <w:tabs>
          <w:tab w:val="num" w:pos="850"/>
        </w:tabs>
        <w:ind w:left="850" w:hanging="850"/>
        <w:outlineLvl w:val="1"/>
        <w:rPr>
          <w:rFonts w:eastAsia="Times New Roman"/>
          <w:b/>
          <w:bCs/>
          <w:noProof/>
          <w:szCs w:val="26"/>
        </w:rPr>
      </w:pPr>
      <w:r>
        <w:rPr>
          <w:b/>
          <w:noProof/>
        </w:rPr>
        <w:t xml:space="preserve">Наименование на предложението/инициативата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Допълнителната изследователска програма за Реактора с висока плътност на неутронния поток за 2016—2019 г. за изпълнение от Съвместния изследователски център за Европейската общност за атомна енергия</w:t>
      </w:r>
    </w:p>
    <w:p>
      <w:pPr>
        <w:keepNext/>
        <w:numPr>
          <w:ilvl w:val="1"/>
          <w:numId w:val="0"/>
        </w:numPr>
        <w:tabs>
          <w:tab w:val="num" w:pos="850"/>
        </w:tabs>
        <w:ind w:left="850" w:hanging="850"/>
        <w:outlineLvl w:val="1"/>
        <w:rPr>
          <w:rFonts w:eastAsia="Times New Roman"/>
          <w:b/>
          <w:bCs/>
          <w:noProof/>
          <w:szCs w:val="26"/>
        </w:rPr>
      </w:pPr>
      <w:r>
        <w:rPr>
          <w:b/>
          <w:noProof/>
        </w:rPr>
        <w:t xml:space="preserve">Съответни области на политиката в структурата на УД/БД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Дял 10:</w:t>
      </w:r>
      <w:r>
        <w:rPr>
          <w:noProof/>
        </w:rPr>
        <w:tab/>
      </w:r>
      <w:r>
        <w:rPr>
          <w:noProof/>
        </w:rPr>
        <w:tab/>
        <w:t>Пряка изследователска дейност</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Глава 10 04:</w:t>
      </w:r>
      <w:r>
        <w:rPr>
          <w:noProof/>
        </w:rPr>
        <w:tab/>
        <w:t>Други дейности на Съвместния изследователски център (JRC)</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Статия 10 04 04:</w:t>
      </w:r>
      <w:r>
        <w:rPr>
          <w:noProof/>
        </w:rPr>
        <w:tab/>
        <w:t>Експлоатация на реактора с висока плътност на потока (HFR)</w:t>
      </w:r>
    </w:p>
    <w:p>
      <w:pPr>
        <w:keepNext/>
        <w:numPr>
          <w:ilvl w:val="1"/>
          <w:numId w:val="0"/>
        </w:numPr>
        <w:tabs>
          <w:tab w:val="num" w:pos="850"/>
        </w:tabs>
        <w:ind w:left="850" w:hanging="850"/>
        <w:outlineLvl w:val="1"/>
        <w:rPr>
          <w:rFonts w:eastAsia="Times New Roman"/>
          <w:b/>
          <w:bCs/>
          <w:noProof/>
          <w:szCs w:val="26"/>
        </w:rPr>
      </w:pPr>
      <w:r>
        <w:rPr>
          <w:b/>
          <w:noProof/>
        </w:rPr>
        <w:t xml:space="preserve">Естество на предложението/инициативата </w:t>
      </w:r>
    </w:p>
    <w:p>
      <w:pPr>
        <w:ind w:left="850"/>
        <w:rPr>
          <w:rFonts w:eastAsia="Times New Roman"/>
          <w:b/>
          <w:noProof/>
          <w:szCs w:val="24"/>
        </w:rPr>
      </w:pPr>
      <w:r>
        <w:rPr>
          <w:rFonts w:eastAsia="Times New Roman"/>
          <w:noProof/>
          <w:szCs w:val="24"/>
        </w:rPr>
        <w:sym w:font="Wingdings" w:char="F078"/>
      </w:r>
      <w:r>
        <w:rPr>
          <w:b/>
          <w:i/>
          <w:noProof/>
        </w:rPr>
        <w:t xml:space="preserve"> </w:t>
      </w:r>
      <w:r>
        <w:rPr>
          <w:noProof/>
        </w:rPr>
        <w:t xml:space="preserve">Предложението/инициативата е във връзка с </w:t>
      </w:r>
      <w:r>
        <w:rPr>
          <w:b/>
          <w:noProof/>
        </w:rPr>
        <w:t xml:space="preserve">нова дейност </w:t>
      </w:r>
    </w:p>
    <w:p>
      <w:pPr>
        <w:ind w:left="850"/>
        <w:rPr>
          <w:rFonts w:eastAsia="Times New Roman"/>
          <w:noProof/>
        </w:rPr>
      </w:pPr>
      <w:r>
        <w:rPr>
          <w:rFonts w:eastAsia="Times New Roman"/>
          <w:noProof/>
          <w:szCs w:val="24"/>
        </w:rPr>
        <w:sym w:font="Wingdings" w:char="F0A8"/>
      </w:r>
      <w:r>
        <w:rPr>
          <w:i/>
          <w:noProof/>
        </w:rPr>
        <w:t xml:space="preserve"> </w:t>
      </w:r>
      <w:r>
        <w:rPr>
          <w:noProof/>
        </w:rPr>
        <w:t xml:space="preserve">Предложението/инициативата е във връзка с </w:t>
      </w:r>
      <w:r>
        <w:rPr>
          <w:b/>
          <w:noProof/>
        </w:rPr>
        <w:t>нова дейност след пилотен проект/подготвителна дейност</w:t>
      </w:r>
      <w:r>
        <w:rPr>
          <w:noProof/>
        </w:rPr>
        <w:t xml:space="preserve"> </w:t>
      </w:r>
    </w:p>
    <w:p>
      <w:pPr>
        <w:ind w:left="850"/>
        <w:rPr>
          <w:rFonts w:eastAsia="Times New Roman"/>
          <w:noProof/>
          <w:szCs w:val="24"/>
        </w:rPr>
      </w:pPr>
      <w:r>
        <w:rPr>
          <w:rFonts w:eastAsia="Times New Roman"/>
          <w:noProof/>
          <w:szCs w:val="24"/>
        </w:rPr>
        <w:sym w:font="Wingdings" w:char="F0A8"/>
      </w:r>
      <w:r>
        <w:rPr>
          <w:i/>
          <w:noProof/>
        </w:rPr>
        <w:t xml:space="preserve"> </w:t>
      </w:r>
      <w:r>
        <w:rPr>
          <w:noProof/>
        </w:rPr>
        <w:t xml:space="preserve">Предложението/инициативата е във връзка с </w:t>
      </w:r>
      <w:r>
        <w:rPr>
          <w:b/>
          <w:noProof/>
        </w:rPr>
        <w:t>продължаване на съществуваща дейност</w:t>
      </w:r>
      <w:r>
        <w:rPr>
          <w:noProof/>
        </w:rPr>
        <w:t xml:space="preserve"> </w:t>
      </w:r>
    </w:p>
    <w:p>
      <w:pPr>
        <w:ind w:left="850"/>
        <w:rPr>
          <w:rFonts w:eastAsia="Times New Roman"/>
          <w:noProof/>
          <w:szCs w:val="24"/>
        </w:rPr>
      </w:pPr>
      <w:r>
        <w:rPr>
          <w:rFonts w:eastAsia="Times New Roman"/>
          <w:noProof/>
          <w:szCs w:val="24"/>
        </w:rPr>
        <w:sym w:font="Wingdings" w:char="F0A8"/>
      </w:r>
      <w:r>
        <w:rPr>
          <w:i/>
          <w:noProof/>
        </w:rPr>
        <w:t xml:space="preserve"> </w:t>
      </w:r>
      <w:r>
        <w:rPr>
          <w:noProof/>
        </w:rPr>
        <w:t xml:space="preserve">Предложението/инициативата е във връзка с </w:t>
      </w:r>
      <w:r>
        <w:rPr>
          <w:b/>
          <w:noProof/>
        </w:rPr>
        <w:t>дейност, пренасочена към нова дейност</w:t>
      </w:r>
      <w:r>
        <w:rPr>
          <w:noProof/>
        </w:rPr>
        <w:t xml:space="preserve"> </w:t>
      </w:r>
    </w:p>
    <w:p>
      <w:pPr>
        <w:keepNext/>
        <w:numPr>
          <w:ilvl w:val="1"/>
          <w:numId w:val="0"/>
        </w:numPr>
        <w:tabs>
          <w:tab w:val="num" w:pos="850"/>
        </w:tabs>
        <w:ind w:left="850" w:hanging="850"/>
        <w:outlineLvl w:val="1"/>
        <w:rPr>
          <w:rFonts w:eastAsia="Times New Roman"/>
          <w:b/>
          <w:bCs/>
          <w:noProof/>
          <w:szCs w:val="26"/>
        </w:rPr>
      </w:pPr>
      <w:r>
        <w:rPr>
          <w:b/>
          <w:noProof/>
        </w:rPr>
        <w:t>Цели</w:t>
      </w:r>
    </w:p>
    <w:p>
      <w:pPr>
        <w:keepNext/>
        <w:numPr>
          <w:ilvl w:val="2"/>
          <w:numId w:val="0"/>
        </w:numPr>
        <w:tabs>
          <w:tab w:val="num" w:pos="850"/>
        </w:tabs>
        <w:ind w:left="850" w:hanging="850"/>
        <w:outlineLvl w:val="2"/>
        <w:rPr>
          <w:rFonts w:eastAsia="Times New Roman"/>
          <w:bCs/>
          <w:i/>
          <w:noProof/>
        </w:rPr>
      </w:pPr>
      <w:r>
        <w:rPr>
          <w:i/>
          <w:noProof/>
        </w:rPr>
        <w:t xml:space="preserve">Многогодишни стратегически цели на Комисията, за чието изпълнение е предназначено предложението/инициативата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Реакторът с висока плътност на неутронния поток (HFR) играе важна роля в Европейския съюз в подкрепа на производството на медицински радиоизотопи, безопасните ядрени технологии, областите на изследване на стареенето и продължаването на живота на ядрените инсталации, трансмутацията на дългоживеещите актиниди с оглед на по-добрата безопасност на съхраняването на отпадъци, подобряване на безопасността на горивата и проучванията на безопасността на горивата за новите по-безопасни реактори.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Освен това за фундаменталните изследвания се използват неутронни снопове за изучаване на строежа на материалите. Тази дейност се развива постоянно и допринася за разбирането на механизмите на влошаването на характеристиките и начините за тяхното смекчаване във връзка с безопасността на съществуващите инсталации. В рамката на термоядрения синтез се изпълняват няколко проекта с цел да се изпитат конструктивни и възпроизвеждащи материали за бъдещи реактори за ядрен синтез.</w:t>
      </w:r>
    </w:p>
    <w:p>
      <w:pPr>
        <w:keepNext/>
        <w:numPr>
          <w:ilvl w:val="2"/>
          <w:numId w:val="0"/>
        </w:numPr>
        <w:tabs>
          <w:tab w:val="num" w:pos="850"/>
        </w:tabs>
        <w:ind w:left="850" w:hanging="850"/>
        <w:outlineLvl w:val="2"/>
        <w:rPr>
          <w:rFonts w:eastAsia="Times New Roman"/>
          <w:bCs/>
          <w:i/>
          <w:noProof/>
        </w:rPr>
      </w:pPr>
      <w:r>
        <w:rPr>
          <w:i/>
          <w:noProof/>
        </w:rPr>
        <w:t xml:space="preserve">Конкретни цели и съответни дейности във връзка с УД/БД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Главната цел на допълнителната програма за HFR е безопасната и надеждна работа на HFR. Тази дейност включва нормалното използване на инсталацията за максималния период на експлоатация и осигуряването на неутронен поток за провеждане на опити и за производство на изотопи.</w:t>
      </w:r>
    </w:p>
    <w:p>
      <w:pPr>
        <w:keepNext/>
        <w:numPr>
          <w:ilvl w:val="2"/>
          <w:numId w:val="0"/>
        </w:numPr>
        <w:tabs>
          <w:tab w:val="num" w:pos="850"/>
        </w:tabs>
        <w:ind w:left="850" w:hanging="850"/>
        <w:outlineLvl w:val="2"/>
        <w:rPr>
          <w:rFonts w:eastAsia="Times New Roman"/>
          <w:bCs/>
          <w:i/>
          <w:noProof/>
        </w:rPr>
      </w:pPr>
      <w:r>
        <w:rPr>
          <w:i/>
          <w:noProof/>
        </w:rPr>
        <w:t>Очаквани резултати и отражение</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Данни за облъчване и резултати в широк спектър от дисциплини като: подобряването на безопасността на ядрени реактори, разработването на медицински изотопи в отговор на въпросите и нуждите на медицинските изследвания, изследването на материали за реактори за ядрен синтез, фундаменталните ядрени изследвания и обучение, въпросите на управлението на отпадъците и ядрените горива за ново по-безопасно поколение реакторни системи.</w:t>
      </w:r>
    </w:p>
    <w:p>
      <w:pPr>
        <w:keepNext/>
        <w:numPr>
          <w:ilvl w:val="2"/>
          <w:numId w:val="0"/>
        </w:numPr>
        <w:tabs>
          <w:tab w:val="num" w:pos="850"/>
        </w:tabs>
        <w:ind w:left="850" w:hanging="850"/>
        <w:outlineLvl w:val="2"/>
        <w:rPr>
          <w:rFonts w:eastAsia="Times New Roman"/>
          <w:bCs/>
          <w:i/>
          <w:noProof/>
        </w:rPr>
      </w:pPr>
      <w:r>
        <w:rPr>
          <w:i/>
          <w:noProof/>
        </w:rPr>
        <w:t xml:space="preserve">Показатели за резултатите и за отражението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Задълженията на Комисията се състоят в управление на допълнителната изследователска програма и впоследствие, в докладване за техническото състояние на експлоатацията на реактора, неговото използване за научни цели и бюджетното му положение. JRC ще изготви окончателен доклад, който ще обхваща следните точки: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техническо докладване, предоставящо експлоатационните данни за HFR;</w:t>
      </w:r>
    </w:p>
    <w:p>
      <w:pPr>
        <w:numPr>
          <w:ilvl w:val="2"/>
          <w:numId w:val="0"/>
        </w:numPr>
        <w:pBdr>
          <w:top w:val="single" w:sz="4" w:space="1" w:color="auto"/>
          <w:left w:val="single" w:sz="4" w:space="4" w:color="auto"/>
          <w:bottom w:val="single" w:sz="4" w:space="1" w:color="auto"/>
          <w:right w:val="single" w:sz="4" w:space="4" w:color="auto"/>
        </w:pBdr>
        <w:tabs>
          <w:tab w:val="num" w:pos="1417"/>
        </w:tabs>
        <w:ind w:left="1417" w:hanging="567"/>
        <w:rPr>
          <w:rFonts w:eastAsia="Times New Roman"/>
          <w:noProof/>
          <w:szCs w:val="24"/>
        </w:rPr>
      </w:pPr>
      <w:r>
        <w:rPr>
          <w:noProof/>
        </w:rPr>
        <w:t>- обобщено описание на главните научни постижения;</w:t>
      </w:r>
    </w:p>
    <w:p>
      <w:pPr>
        <w:numPr>
          <w:ilvl w:val="2"/>
          <w:numId w:val="0"/>
        </w:numPr>
        <w:pBdr>
          <w:top w:val="single" w:sz="4" w:space="1" w:color="auto"/>
          <w:left w:val="single" w:sz="4" w:space="4" w:color="auto"/>
          <w:bottom w:val="single" w:sz="4" w:space="1" w:color="auto"/>
          <w:right w:val="single" w:sz="4" w:space="4" w:color="auto"/>
        </w:pBdr>
        <w:tabs>
          <w:tab w:val="num" w:pos="1417"/>
        </w:tabs>
        <w:ind w:left="1417" w:hanging="567"/>
        <w:rPr>
          <w:rFonts w:eastAsia="Times New Roman"/>
          <w:noProof/>
          <w:szCs w:val="24"/>
        </w:rPr>
      </w:pPr>
      <w:r>
        <w:rPr>
          <w:noProof/>
        </w:rPr>
        <w:t>- състояние на дейностите по ремонт и поддръжка;</w:t>
      </w:r>
    </w:p>
    <w:p>
      <w:pPr>
        <w:numPr>
          <w:ilvl w:val="2"/>
          <w:numId w:val="0"/>
        </w:numPr>
        <w:pBdr>
          <w:top w:val="single" w:sz="4" w:space="1" w:color="auto"/>
          <w:left w:val="single" w:sz="4" w:space="4" w:color="auto"/>
          <w:bottom w:val="single" w:sz="4" w:space="1" w:color="auto"/>
          <w:right w:val="single" w:sz="4" w:space="4" w:color="auto"/>
        </w:pBdr>
        <w:tabs>
          <w:tab w:val="num" w:pos="1134"/>
        </w:tabs>
        <w:ind w:left="993" w:hanging="143"/>
        <w:rPr>
          <w:rFonts w:eastAsia="Times New Roman"/>
          <w:noProof/>
          <w:szCs w:val="24"/>
        </w:rPr>
      </w:pPr>
      <w:r>
        <w:rPr>
          <w:noProof/>
        </w:rPr>
        <w:t xml:space="preserve">- бюджетно състояние, що се отнася до приходите от държавите членки и използването на бюджета на допълнителната изследователска програма (включително средства за извеждане от експлоатация, разходи за управление, плащания към оператора и др.). </w:t>
      </w:r>
    </w:p>
    <w:p>
      <w:pPr>
        <w:keepNext/>
        <w:numPr>
          <w:ilvl w:val="1"/>
          <w:numId w:val="0"/>
        </w:numPr>
        <w:tabs>
          <w:tab w:val="num" w:pos="850"/>
        </w:tabs>
        <w:ind w:left="850" w:hanging="850"/>
        <w:outlineLvl w:val="1"/>
        <w:rPr>
          <w:rFonts w:eastAsia="Times New Roman"/>
          <w:b/>
          <w:bCs/>
          <w:noProof/>
          <w:szCs w:val="26"/>
        </w:rPr>
      </w:pPr>
      <w:r>
        <w:rPr>
          <w:b/>
          <w:noProof/>
        </w:rPr>
        <w:t xml:space="preserve">Мотиви за предложението/инициативата </w:t>
      </w:r>
    </w:p>
    <w:p>
      <w:pPr>
        <w:keepNext/>
        <w:numPr>
          <w:ilvl w:val="2"/>
          <w:numId w:val="0"/>
        </w:numPr>
        <w:tabs>
          <w:tab w:val="num" w:pos="850"/>
        </w:tabs>
        <w:ind w:left="850" w:hanging="850"/>
        <w:outlineLvl w:val="2"/>
        <w:rPr>
          <w:rFonts w:eastAsia="Times New Roman"/>
          <w:bCs/>
          <w:i/>
          <w:noProof/>
        </w:rPr>
      </w:pPr>
      <w:r>
        <w:rPr>
          <w:i/>
          <w:noProof/>
        </w:rPr>
        <w:t xml:space="preserve">Нужди, които трябва да бъдат задоволени в краткосрочен или дългосрочен план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HFR се стреми да подпомага изследователските и развойните дейности на участващите държави членки в областта на: безопасността на ядрените инсталации и цикъла на горивото, управлението на отпадъците, термоядрения синтез, способностите за фундаментални изследвания и обучение.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HFR остава активен в подобряването на безопасността на реакторите. Координирането на усилията, разпространението на резултатите и подпомагането на хармонизацията се осъществяват посредством европейските мрежи.</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HFR се стреми също така да осигурява медицински радиоизотопи.</w:t>
      </w:r>
    </w:p>
    <w:p>
      <w:pPr>
        <w:keepNext/>
        <w:numPr>
          <w:ilvl w:val="2"/>
          <w:numId w:val="0"/>
        </w:numPr>
        <w:tabs>
          <w:tab w:val="num" w:pos="850"/>
        </w:tabs>
        <w:ind w:left="850" w:hanging="850"/>
        <w:outlineLvl w:val="2"/>
        <w:rPr>
          <w:rFonts w:eastAsia="Times New Roman"/>
          <w:bCs/>
          <w:i/>
          <w:noProof/>
        </w:rPr>
      </w:pPr>
      <w:r>
        <w:rPr>
          <w:i/>
          <w:noProof/>
        </w:rPr>
        <w:t>Добавена стойност от намесата на ЕС</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Добавената стойност от изследователските дейности на HFR е свързана с трансгранично въздействие, икономии от мащаба, принос към намаляване на националните инвестиции в изследвания. Намесата на европейско равнище е обоснована в ядрената сфера.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Реакторът се използва също така за търговското производство на радиоизотопи за над 60 % от 10-те милиона медицински диагностики, извършвани всяка година в Европа. Той е много важно съоръжение за европейския медицински сектор (болници, клиники, лекари…), тъй като радиоизотопите се използват в различни медицински области, но най-вече за превенция и лечение на ракови заболявания. Алтернативите са съвсем малко, тъй като той произвежда най-често използваните краткоживеещи изотопи. Поради местоположението си в Европа, продукцията на реактора бързо достига до европейските медицински центрове.</w:t>
      </w:r>
    </w:p>
    <w:p>
      <w:pPr>
        <w:keepNext/>
        <w:numPr>
          <w:ilvl w:val="2"/>
          <w:numId w:val="0"/>
        </w:numPr>
        <w:tabs>
          <w:tab w:val="num" w:pos="850"/>
        </w:tabs>
        <w:ind w:left="850" w:hanging="850"/>
        <w:outlineLvl w:val="2"/>
        <w:rPr>
          <w:rFonts w:eastAsia="Times New Roman"/>
          <w:bCs/>
          <w:i/>
          <w:noProof/>
        </w:rPr>
      </w:pPr>
      <w:r>
        <w:rPr>
          <w:i/>
          <w:noProof/>
        </w:rPr>
        <w:t>Изводи от подобен опит в миналото</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В момента снабдяването с технеций Tc-99m за медицински цели разчита на твърде малък брой производствени реактори, между които е и HFR. Тъй като тези реактори са изградени през 1950-те и 1960-те години, те наближават края експлоатационния си срок, което поражда нарастваща нужда от планирани спирания за поддръжка и все по-чести непредвидени прекъсвания на производството. В средата на май 2009 г. канадският реактор NRU (произвеждащ медицински изотопи) беше спрян и остана извън експлоатация до края на 2009 г., което доведе до продължителен недостиг на медицински изотопи в световен мащаб. През 2010 г. HFR беше спрян за ремонт на част от първичната охладителна система — Bottom Plug Liner, и прекъсването на работата му повлия на снабдяването с медицински изотопи.</w:t>
      </w:r>
    </w:p>
    <w:p>
      <w:pPr>
        <w:keepNext/>
        <w:numPr>
          <w:ilvl w:val="2"/>
          <w:numId w:val="0"/>
        </w:numPr>
        <w:tabs>
          <w:tab w:val="num" w:pos="850"/>
        </w:tabs>
        <w:ind w:left="850" w:hanging="850"/>
        <w:outlineLvl w:val="2"/>
        <w:rPr>
          <w:rFonts w:eastAsia="Times New Roman"/>
          <w:bCs/>
          <w:i/>
          <w:noProof/>
        </w:rPr>
      </w:pPr>
      <w:r>
        <w:rPr>
          <w:i/>
          <w:noProof/>
        </w:rPr>
        <w:t>Съгласуваност и евентуална синергия с други съответни инструменти</w:t>
      </w:r>
    </w:p>
    <w:p>
      <w:pPr>
        <w:pBdr>
          <w:top w:val="single" w:sz="4" w:space="0" w:color="auto"/>
          <w:left w:val="single" w:sz="4" w:space="4" w:color="auto"/>
          <w:bottom w:val="single" w:sz="4" w:space="1" w:color="auto"/>
          <w:right w:val="single" w:sz="4" w:space="4" w:color="auto"/>
        </w:pBdr>
        <w:ind w:left="720"/>
        <w:rPr>
          <w:rFonts w:eastAsia="Times New Roman"/>
          <w:noProof/>
          <w:szCs w:val="24"/>
        </w:rPr>
      </w:pPr>
      <w:r>
        <w:rPr>
          <w:noProof/>
        </w:rPr>
        <w:t>Предложената допълнителна изследователска програма ще отговори на различни научни и технологични предизвикателства с цел да изпълни краткосрочните и дългосрочните цели на Стратегическия план за енергийни технологии (SET-Plan) и Технологичната платформа за устойчива ядрена енергия (SNE-TP). Тя ще има също така дейности тясно свързани с „Хоризонт 2020“ за Евратом (2014—2018 г.) и с удължаването на срока ѝ с 2 години (2019—2020 г.).</w:t>
      </w:r>
    </w:p>
    <w:p>
      <w:pPr>
        <w:keepNext/>
        <w:numPr>
          <w:ilvl w:val="1"/>
          <w:numId w:val="0"/>
        </w:numPr>
        <w:tabs>
          <w:tab w:val="num" w:pos="850"/>
        </w:tabs>
        <w:ind w:left="850" w:hanging="850"/>
        <w:outlineLvl w:val="1"/>
        <w:rPr>
          <w:rFonts w:eastAsia="Times New Roman"/>
          <w:b/>
          <w:bCs/>
          <w:noProof/>
          <w:szCs w:val="26"/>
        </w:rPr>
      </w:pPr>
      <w:r>
        <w:rPr>
          <w:b/>
          <w:noProof/>
        </w:rPr>
        <w:t xml:space="preserve">Срок на действие и финансово отражение </w:t>
      </w:r>
    </w:p>
    <w:p>
      <w:pPr>
        <w:ind w:left="850"/>
        <w:rPr>
          <w:rFonts w:eastAsia="Times New Roman"/>
          <w:noProof/>
          <w:szCs w:val="24"/>
        </w:rPr>
      </w:pPr>
      <w:r>
        <w:rPr>
          <w:rFonts w:eastAsia="Times New Roman"/>
          <w:noProof/>
          <w:szCs w:val="24"/>
        </w:rPr>
        <w:sym w:font="Wingdings" w:char="F078"/>
      </w:r>
      <w:r>
        <w:rPr>
          <w:b/>
          <w:i/>
          <w:noProof/>
        </w:rPr>
        <w:t xml:space="preserve"> </w:t>
      </w:r>
      <w:r>
        <w:rPr>
          <w:noProof/>
        </w:rPr>
        <w:t xml:space="preserve">Предложение/инициатива с </w:t>
      </w:r>
      <w:r>
        <w:rPr>
          <w:b/>
          <w:noProof/>
        </w:rPr>
        <w:t xml:space="preserve">ограничен срок на действие </w:t>
      </w:r>
    </w:p>
    <w:p>
      <w:pPr>
        <w:tabs>
          <w:tab w:val="num" w:pos="1134"/>
        </w:tabs>
        <w:ind w:left="1134" w:hanging="283"/>
        <w:rPr>
          <w:rFonts w:eastAsia="Times New Roman"/>
          <w:noProof/>
          <w:szCs w:val="24"/>
        </w:rPr>
      </w:pPr>
      <w:r>
        <w:rPr>
          <w:rFonts w:eastAsia="Times New Roman"/>
          <w:noProof/>
          <w:szCs w:val="24"/>
        </w:rPr>
        <w:sym w:font="Wingdings" w:char="F078"/>
      </w:r>
      <w:r>
        <w:rPr>
          <w:noProof/>
        </w:rPr>
        <w:tab/>
        <w:t>Предложението/инициативата е в сила от 1.1.2016 г. до 31.12.2019 г.</w:t>
      </w:r>
    </w:p>
    <w:p>
      <w:pPr>
        <w:tabs>
          <w:tab w:val="num" w:pos="1134"/>
        </w:tabs>
        <w:ind w:left="1134" w:hanging="283"/>
        <w:rPr>
          <w:rFonts w:eastAsia="Times New Roman"/>
          <w:noProof/>
          <w:szCs w:val="24"/>
        </w:rPr>
      </w:pPr>
      <w:r>
        <w:rPr>
          <w:rFonts w:eastAsia="Times New Roman"/>
          <w:noProof/>
          <w:szCs w:val="24"/>
        </w:rPr>
        <w:sym w:font="Wingdings" w:char="F078"/>
      </w:r>
      <w:r>
        <w:rPr>
          <w:noProof/>
        </w:rPr>
        <w:tab/>
        <w:t xml:space="preserve">Финансово отражение от 2016 г. до 2019 г. </w:t>
      </w:r>
    </w:p>
    <w:p>
      <w:pPr>
        <w:keepNext/>
        <w:numPr>
          <w:ilvl w:val="1"/>
          <w:numId w:val="0"/>
        </w:numPr>
        <w:tabs>
          <w:tab w:val="num" w:pos="850"/>
        </w:tabs>
        <w:ind w:left="850" w:hanging="850"/>
        <w:outlineLvl w:val="1"/>
        <w:rPr>
          <w:rFonts w:eastAsia="Times New Roman"/>
          <w:b/>
          <w:bCs/>
          <w:noProof/>
          <w:szCs w:val="26"/>
        </w:rPr>
      </w:pPr>
      <w:r>
        <w:rPr>
          <w:b/>
          <w:noProof/>
        </w:rPr>
        <w:t>Предвидени методи на управление</w:t>
      </w:r>
      <w:r>
        <w:rPr>
          <w:b/>
          <w:noProof/>
          <w:vertAlign w:val="superscript"/>
        </w:rPr>
        <w:t xml:space="preserve"> </w:t>
      </w:r>
    </w:p>
    <w:p>
      <w:pPr>
        <w:ind w:left="850"/>
        <w:rPr>
          <w:rFonts w:eastAsia="Times New Roman"/>
          <w:noProof/>
          <w:szCs w:val="24"/>
        </w:rPr>
      </w:pPr>
      <w:r>
        <w:rPr>
          <w:rFonts w:eastAsia="Times New Roman"/>
          <w:noProof/>
          <w:szCs w:val="24"/>
        </w:rPr>
        <w:sym w:font="Wingdings" w:char="F078"/>
      </w:r>
      <w:r>
        <w:rPr>
          <w:i/>
          <w:noProof/>
        </w:rPr>
        <w:t xml:space="preserve"> </w:t>
      </w:r>
      <w:r>
        <w:rPr>
          <w:b/>
          <w:noProof/>
        </w:rPr>
        <w:t>Пряко централизирано управление</w:t>
      </w:r>
      <w:r>
        <w:rPr>
          <w:noProof/>
        </w:rPr>
        <w:t xml:space="preserve"> от Комисията </w:t>
      </w:r>
    </w:p>
    <w:p>
      <w:pPr>
        <w:rPr>
          <w:rFonts w:eastAsia="Times New Roman"/>
          <w:noProof/>
          <w:szCs w:val="24"/>
        </w:rPr>
      </w:pPr>
      <w:r>
        <w:rPr>
          <w:noProof/>
        </w:rPr>
        <w:t xml:space="preserve">Бележки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Собственикът на HFR е Комисията, в съответствие със споразумението между Евратом и Нидерландия от 25 юли 1961 г. (под наем за 99 години). За експлоатацията на HFR отговаря притежателят на лиценза за експлоатация NRG (NL), което позволява работа/експлоатация на базата на независим и устойчив правен режим. Допълнителната изследователска програма, управлявана от JRC, предвижда допълнителни приходи, които са посветени на изследвания в полза на финансиращите държави членки.</w:t>
      </w:r>
    </w:p>
    <w:p>
      <w:pPr>
        <w:keepNext/>
        <w:tabs>
          <w:tab w:val="num" w:pos="850"/>
        </w:tabs>
        <w:spacing w:before="360"/>
        <w:ind w:left="850" w:hanging="850"/>
        <w:outlineLvl w:val="0"/>
        <w:rPr>
          <w:rFonts w:eastAsia="Times New Roman"/>
          <w:b/>
          <w:bCs/>
          <w:smallCaps/>
          <w:noProof/>
          <w:szCs w:val="28"/>
        </w:rPr>
      </w:pPr>
      <w:r>
        <w:rPr>
          <w:b/>
          <w:smallCaps/>
          <w:noProof/>
        </w:rPr>
        <w:t xml:space="preserve">МЕРКИ ЗА УПРАВЛЕНИЕ </w:t>
      </w:r>
    </w:p>
    <w:p>
      <w:pPr>
        <w:keepNext/>
        <w:numPr>
          <w:ilvl w:val="1"/>
          <w:numId w:val="0"/>
        </w:numPr>
        <w:tabs>
          <w:tab w:val="num" w:pos="850"/>
        </w:tabs>
        <w:ind w:left="850" w:hanging="850"/>
        <w:outlineLvl w:val="1"/>
        <w:rPr>
          <w:rFonts w:eastAsia="Times New Roman"/>
          <w:b/>
          <w:bCs/>
          <w:noProof/>
          <w:szCs w:val="26"/>
        </w:rPr>
      </w:pPr>
      <w:r>
        <w:rPr>
          <w:b/>
          <w:noProof/>
        </w:rPr>
        <w:t xml:space="preserve">Правила за мониторинг и докладване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Задълженията на Комисията се състоят в управление на допълнителната програма и впоследствие, в докладване относно</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i) техническото състояние на експлоатацията на реактора,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ii) използването му за научни цели,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iii) бюджетното му състояние от гледна точка на финансовите приходи от държавите членки и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iv) извършените плащания.</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Програмата е включена в цикъла на планиране на JRC във връзка с УД и в Годишния план за управление. В резултат на това, мониторингът на обявените цели ще бъде включен в Годишния доклад за дейността на JRC.</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В допълнение JRC ще изготви окончателен доклад. Той ще бъде посветен на управлението на допълнителната изследователска програма и ще обхваща следните точки: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техническо докладване, предоставящо експлоатационните данни за HFR;</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обобщено описание на главните научни постижения;</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състояние на дейностите по поддръжка;</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 бюджетно състояние, доколкото се отнася до приходите от държавите членки и използването на бюджета на допълнителната програма (включително средства за извеждане от експлоатация, разходи за управление и др.). </w:t>
      </w:r>
    </w:p>
    <w:p>
      <w:pPr>
        <w:keepNext/>
        <w:numPr>
          <w:ilvl w:val="1"/>
          <w:numId w:val="0"/>
        </w:numPr>
        <w:tabs>
          <w:tab w:val="num" w:pos="850"/>
        </w:tabs>
        <w:ind w:left="850" w:hanging="850"/>
        <w:outlineLvl w:val="1"/>
        <w:rPr>
          <w:rFonts w:eastAsia="Times New Roman"/>
          <w:b/>
          <w:bCs/>
          <w:noProof/>
          <w:szCs w:val="26"/>
        </w:rPr>
      </w:pPr>
      <w:r>
        <w:rPr>
          <w:b/>
          <w:noProof/>
        </w:rPr>
        <w:t xml:space="preserve">Система за управление и контрол </w:t>
      </w:r>
    </w:p>
    <w:p>
      <w:pPr>
        <w:keepNext/>
        <w:numPr>
          <w:ilvl w:val="2"/>
          <w:numId w:val="0"/>
        </w:numPr>
        <w:tabs>
          <w:tab w:val="num" w:pos="850"/>
        </w:tabs>
        <w:ind w:left="850" w:hanging="850"/>
        <w:outlineLvl w:val="2"/>
        <w:rPr>
          <w:rFonts w:eastAsia="Times New Roman"/>
          <w:bCs/>
          <w:i/>
          <w:noProof/>
        </w:rPr>
      </w:pPr>
      <w:r>
        <w:rPr>
          <w:i/>
          <w:noProof/>
        </w:rPr>
        <w:t xml:space="preserve">Установени рискове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Настоящата програма е продължение на предишната допълнителна изследователска програма. Изготвянето ѝ беше обект на вътрешна оценка от страна на участващите държави членки, които извършиха оценка на риска от участие в нея. </w:t>
      </w:r>
    </w:p>
    <w:p>
      <w:pPr>
        <w:keepNext/>
        <w:numPr>
          <w:ilvl w:val="2"/>
          <w:numId w:val="0"/>
        </w:numPr>
        <w:tabs>
          <w:tab w:val="num" w:pos="850"/>
        </w:tabs>
        <w:ind w:left="850" w:hanging="850"/>
        <w:outlineLvl w:val="2"/>
        <w:rPr>
          <w:rFonts w:eastAsia="Times New Roman"/>
          <w:bCs/>
          <w:i/>
          <w:noProof/>
        </w:rPr>
      </w:pPr>
      <w:r>
        <w:rPr>
          <w:i/>
          <w:noProof/>
        </w:rPr>
        <w:t>Информация за изградената система за вътрешен контрол</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Докладването ще бъде посветено на управлението на допълнителната изследователска програма и ще обхваща техническите, научните и бюджетните въпроси (включително средствата за извеждане от експлоатация и др.).</w:t>
      </w:r>
    </w:p>
    <w:p>
      <w:pPr>
        <w:keepNext/>
        <w:numPr>
          <w:ilvl w:val="2"/>
          <w:numId w:val="0"/>
        </w:numPr>
        <w:tabs>
          <w:tab w:val="num" w:pos="850"/>
        </w:tabs>
        <w:ind w:left="850" w:hanging="850"/>
        <w:outlineLvl w:val="2"/>
        <w:rPr>
          <w:rFonts w:eastAsia="Times New Roman"/>
          <w:bCs/>
          <w:i/>
          <w:noProof/>
        </w:rPr>
      </w:pPr>
      <w:r>
        <w:rPr>
          <w:i/>
          <w:noProof/>
        </w:rPr>
        <w:t>Оценка на разходите и ползите от проверките и оценка на очаквания риск от грешка</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не се прилага</w:t>
      </w:r>
    </w:p>
    <w:p>
      <w:pPr>
        <w:keepNext/>
        <w:numPr>
          <w:ilvl w:val="1"/>
          <w:numId w:val="0"/>
        </w:numPr>
        <w:tabs>
          <w:tab w:val="num" w:pos="850"/>
        </w:tabs>
        <w:ind w:left="850" w:hanging="850"/>
        <w:outlineLvl w:val="1"/>
        <w:rPr>
          <w:rFonts w:eastAsia="Times New Roman"/>
          <w:b/>
          <w:bCs/>
          <w:noProof/>
          <w:szCs w:val="26"/>
        </w:rPr>
      </w:pPr>
      <w:r>
        <w:rPr>
          <w:b/>
          <w:noProof/>
        </w:rPr>
        <w:t xml:space="preserve">Мерки за предотвратяване на измами и нередности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Одитът и вътрешният контрол на гореупоменатото докладване се извършват от служители на JRC, като се обхващат както техническите, така и бюджетните аспекти. На Сметната палата се предоставя достъп до всички одити и мерки за вътрешен контрол. </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Ще продължи предприемането на подходящи мерки за предотвратяване на нередности и измами, както и ще бъдат предприети необходимите стъпки за възстановяване на загубени, неправилно изплатени или използвани финансови средства в съответствие с Регламент (ЕО, Евратом) № 1605/2002 на Съвета от 25 юни 2002 г. относно Финансовия регламент, приложим за общия бюджет на Европейските общности, Регламент (ЕО, Евратом) № 2342/2002 на Комисията от 23 декември 2002 г. относно определянето на подробни правила за прилагането на Финансовия регламент, Регламент (ЕО, Евратом) № 2988/95 на Съвета от 18 декември 1995 г. относно защитата на финансовите интереси на Европейските общности</w:t>
      </w:r>
      <w:r>
        <w:rPr>
          <w:rStyle w:val="FootnoteReference"/>
          <w:noProof/>
        </w:rPr>
        <w:footnoteReference w:id="4"/>
      </w:r>
      <w:r>
        <w:rPr>
          <w:noProof/>
        </w:rPr>
        <w:t>, Регламент (ЕО, Евратом) № 2185/96 на Съвета от 11 ноември 1996 г. относно контрола и проверките на място, извършвани от Комисията за защита на финансовите интереси на Европейските общности срещу измами и други нередности</w:t>
      </w:r>
      <w:r>
        <w:rPr>
          <w:rStyle w:val="FootnoteReference"/>
          <w:noProof/>
        </w:rPr>
        <w:footnoteReference w:id="5"/>
      </w:r>
      <w:r>
        <w:rPr>
          <w:noProof/>
        </w:rPr>
        <w:t xml:space="preserve"> и Регламент (ЕО) № 1073/1999 на Европейския парламент и на Съвета относно разследванията, провеждани от Европейската служба за борба с измамите (OLAF)</w:t>
      </w:r>
      <w:r>
        <w:rPr>
          <w:rStyle w:val="FootnoteReference"/>
          <w:noProof/>
        </w:rPr>
        <w:footnoteReference w:id="6"/>
      </w:r>
      <w:r>
        <w:rPr>
          <w:noProof/>
        </w:rPr>
        <w:t>.</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Контролът върху движението на делящи се материали се осъществява от Евратом и МААЕ.</w:t>
      </w:r>
    </w:p>
    <w:p>
      <w:pPr>
        <w:rPr>
          <w:rFonts w:eastAsia="Times New Roman"/>
          <w:noProof/>
          <w:szCs w:val="24"/>
        </w:rPr>
        <w:sectPr>
          <w:pgSz w:w="12240" w:h="15840" w:code="1"/>
          <w:pgMar w:top="794" w:right="907" w:bottom="851" w:left="1361" w:header="510" w:footer="454" w:gutter="0"/>
          <w:cols w:space="708"/>
          <w:rtlGutter/>
          <w:docGrid w:linePitch="360"/>
        </w:sectPr>
      </w:pPr>
    </w:p>
    <w:p>
      <w:pPr>
        <w:keepNext/>
        <w:tabs>
          <w:tab w:val="num" w:pos="850"/>
        </w:tabs>
        <w:spacing w:before="360"/>
        <w:ind w:left="850" w:hanging="850"/>
        <w:outlineLvl w:val="0"/>
        <w:rPr>
          <w:rFonts w:eastAsia="Times New Roman"/>
          <w:b/>
          <w:bCs/>
          <w:smallCaps/>
          <w:noProof/>
          <w:szCs w:val="28"/>
        </w:rPr>
      </w:pPr>
      <w:r>
        <w:rPr>
          <w:b/>
          <w:smallCaps/>
          <w:noProof/>
        </w:rPr>
        <w:t xml:space="preserve">ОЧАКВАНО ФИНАНСОВО ОТРАЖЕНИЕ НА ПРЕДЛОЖЕНИЕТО/ИНИЦИАТИВАТА </w:t>
      </w:r>
    </w:p>
    <w:p>
      <w:pPr>
        <w:keepNext/>
        <w:numPr>
          <w:ilvl w:val="1"/>
          <w:numId w:val="0"/>
        </w:numPr>
        <w:tabs>
          <w:tab w:val="num" w:pos="850"/>
        </w:tabs>
        <w:ind w:left="850" w:hanging="850"/>
        <w:outlineLvl w:val="1"/>
        <w:rPr>
          <w:rFonts w:eastAsia="Times New Roman"/>
          <w:b/>
          <w:bCs/>
          <w:noProof/>
          <w:szCs w:val="26"/>
        </w:rPr>
      </w:pPr>
      <w:r>
        <w:rPr>
          <w:b/>
          <w:noProof/>
        </w:rPr>
        <w:t xml:space="preserve">Съответни функции от многогодишната финансова рамка и разходни бюджетни редове </w:t>
      </w:r>
    </w:p>
    <w:p>
      <w:pPr>
        <w:tabs>
          <w:tab w:val="num" w:pos="1134"/>
        </w:tabs>
        <w:ind w:left="1134" w:hanging="283"/>
        <w:rPr>
          <w:rFonts w:eastAsia="Times New Roman"/>
          <w:noProof/>
          <w:szCs w:val="24"/>
        </w:rPr>
      </w:pPr>
      <w:r>
        <w:rPr>
          <w:noProof/>
        </w:rPr>
        <w:t xml:space="preserve">Съществуващи бюджетни редове за разходите: </w:t>
      </w:r>
    </w:p>
    <w:p>
      <w:pPr>
        <w:ind w:left="850"/>
        <w:rPr>
          <w:rFonts w:eastAsia="Times New Roman"/>
          <w:noProof/>
          <w:szCs w:val="24"/>
        </w:rPr>
      </w:pPr>
      <w:r>
        <w:rPr>
          <w:noProof/>
          <w:u w:val="single"/>
        </w:rPr>
        <w:t>По реда</w:t>
      </w:r>
      <w:r>
        <w:rPr>
          <w:noProof/>
        </w:rPr>
        <w:t xml:space="preserve"> на функциите от многогодишната финансова рамка и на бюджетните редове.</w:t>
      </w:r>
    </w:p>
    <w:tbl>
      <w:tblPr>
        <w:tblW w:w="1067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564"/>
      </w:tblGrid>
      <w:tr>
        <w:tc>
          <w:tcPr>
            <w:tcW w:w="1080" w:type="dxa"/>
            <w:vMerge w:val="restart"/>
            <w:vAlign w:val="center"/>
          </w:tcPr>
          <w:p>
            <w:pPr>
              <w:spacing w:before="60" w:after="60"/>
              <w:jc w:val="center"/>
              <w:rPr>
                <w:rFonts w:eastAsia="Times New Roman"/>
                <w:noProof/>
                <w:sz w:val="18"/>
                <w:szCs w:val="18"/>
              </w:rPr>
            </w:pPr>
            <w:r>
              <w:rPr>
                <w:noProof/>
                <w:sz w:val="18"/>
              </w:rPr>
              <w:t>Функция от многогодишната финансова рамка</w:t>
            </w:r>
          </w:p>
        </w:tc>
        <w:tc>
          <w:tcPr>
            <w:tcW w:w="3960" w:type="dxa"/>
            <w:vAlign w:val="center"/>
          </w:tcPr>
          <w:p>
            <w:pPr>
              <w:spacing w:before="60" w:after="60"/>
              <w:jc w:val="center"/>
              <w:rPr>
                <w:rFonts w:eastAsia="Times New Roman"/>
                <w:noProof/>
                <w:szCs w:val="24"/>
              </w:rPr>
            </w:pPr>
            <w:r>
              <w:rPr>
                <w:noProof/>
                <w:sz w:val="20"/>
              </w:rPr>
              <w:t>Бюджетен ред</w:t>
            </w:r>
          </w:p>
        </w:tc>
        <w:tc>
          <w:tcPr>
            <w:tcW w:w="1080" w:type="dxa"/>
            <w:vAlign w:val="center"/>
          </w:tcPr>
          <w:p>
            <w:pPr>
              <w:spacing w:before="60" w:after="60"/>
              <w:jc w:val="center"/>
              <w:rPr>
                <w:rFonts w:eastAsia="Times New Roman"/>
                <w:noProof/>
                <w:szCs w:val="24"/>
              </w:rPr>
            </w:pPr>
            <w:r>
              <w:rPr>
                <w:noProof/>
                <w:sz w:val="18"/>
              </w:rPr>
              <w:t xml:space="preserve">Вид </w:t>
            </w:r>
            <w:r>
              <w:rPr>
                <w:rFonts w:eastAsia="Times New Roman"/>
                <w:noProof/>
                <w:sz w:val="18"/>
                <w:szCs w:val="18"/>
              </w:rPr>
              <w:br/>
            </w:r>
            <w:r>
              <w:rPr>
                <w:noProof/>
                <w:sz w:val="18"/>
              </w:rPr>
              <w:t>разходи</w:t>
            </w:r>
          </w:p>
        </w:tc>
        <w:tc>
          <w:tcPr>
            <w:tcW w:w="4556" w:type="dxa"/>
            <w:gridSpan w:val="4"/>
            <w:vAlign w:val="center"/>
          </w:tcPr>
          <w:p>
            <w:pPr>
              <w:spacing w:before="60" w:after="60"/>
              <w:jc w:val="center"/>
              <w:rPr>
                <w:rFonts w:eastAsia="Times New Roman"/>
                <w:noProof/>
                <w:szCs w:val="24"/>
              </w:rPr>
            </w:pPr>
            <w:r>
              <w:rPr>
                <w:noProof/>
                <w:sz w:val="20"/>
              </w:rPr>
              <w:t xml:space="preserve">Вноска </w:t>
            </w:r>
          </w:p>
        </w:tc>
      </w:tr>
      <w:tr>
        <w:tc>
          <w:tcPr>
            <w:tcW w:w="1080" w:type="dxa"/>
            <w:vMerge/>
            <w:vAlign w:val="center"/>
          </w:tcPr>
          <w:p>
            <w:pPr>
              <w:jc w:val="center"/>
              <w:rPr>
                <w:rFonts w:eastAsia="Times New Roman"/>
                <w:noProof/>
                <w:color w:val="0000FF"/>
                <w:sz w:val="20"/>
                <w:szCs w:val="20"/>
              </w:rPr>
            </w:pPr>
          </w:p>
        </w:tc>
        <w:tc>
          <w:tcPr>
            <w:tcW w:w="3960" w:type="dxa"/>
            <w:vAlign w:val="center"/>
          </w:tcPr>
          <w:p>
            <w:pPr>
              <w:rPr>
                <w:rFonts w:eastAsia="Times New Roman"/>
                <w:noProof/>
                <w:szCs w:val="24"/>
              </w:rPr>
            </w:pPr>
            <w:r>
              <w:rPr>
                <w:noProof/>
                <w:sz w:val="20"/>
              </w:rPr>
              <w:t>Номер — Описание…...….</w:t>
            </w:r>
          </w:p>
        </w:tc>
        <w:tc>
          <w:tcPr>
            <w:tcW w:w="1080" w:type="dxa"/>
            <w:vAlign w:val="center"/>
          </w:tcPr>
          <w:p>
            <w:pPr>
              <w:jc w:val="center"/>
              <w:rPr>
                <w:rFonts w:eastAsia="Times New Roman"/>
                <w:noProof/>
                <w:szCs w:val="24"/>
              </w:rPr>
            </w:pPr>
            <w:r>
              <w:rPr>
                <w:noProof/>
                <w:sz w:val="18"/>
              </w:rPr>
              <w:t>МБК/ЕБК</w:t>
            </w:r>
          </w:p>
        </w:tc>
        <w:tc>
          <w:tcPr>
            <w:tcW w:w="956" w:type="dxa"/>
            <w:vAlign w:val="center"/>
          </w:tcPr>
          <w:p>
            <w:pPr>
              <w:jc w:val="center"/>
              <w:rPr>
                <w:rFonts w:eastAsia="Times New Roman"/>
                <w:bCs/>
                <w:noProof/>
                <w:sz w:val="18"/>
                <w:szCs w:val="18"/>
              </w:rPr>
            </w:pPr>
            <w:r>
              <w:rPr>
                <w:noProof/>
                <w:sz w:val="18"/>
              </w:rPr>
              <w:t>от държави от ЕАСТ</w:t>
            </w:r>
          </w:p>
        </w:tc>
        <w:tc>
          <w:tcPr>
            <w:tcW w:w="1080" w:type="dxa"/>
            <w:vAlign w:val="center"/>
          </w:tcPr>
          <w:p>
            <w:pPr>
              <w:jc w:val="center"/>
              <w:rPr>
                <w:rFonts w:eastAsia="Times New Roman"/>
                <w:noProof/>
                <w:sz w:val="18"/>
                <w:szCs w:val="18"/>
              </w:rPr>
            </w:pPr>
            <w:r>
              <w:rPr>
                <w:noProof/>
                <w:sz w:val="18"/>
              </w:rPr>
              <w:t>от държави кандидатки</w:t>
            </w:r>
          </w:p>
        </w:tc>
        <w:tc>
          <w:tcPr>
            <w:tcW w:w="956" w:type="dxa"/>
            <w:vAlign w:val="center"/>
          </w:tcPr>
          <w:p>
            <w:pPr>
              <w:jc w:val="center"/>
              <w:rPr>
                <w:rFonts w:eastAsia="Times New Roman"/>
                <w:noProof/>
                <w:sz w:val="18"/>
                <w:szCs w:val="18"/>
              </w:rPr>
            </w:pPr>
            <w:r>
              <w:rPr>
                <w:noProof/>
                <w:sz w:val="18"/>
              </w:rPr>
              <w:t>от трети държави</w:t>
            </w:r>
          </w:p>
        </w:tc>
        <w:tc>
          <w:tcPr>
            <w:tcW w:w="1564" w:type="dxa"/>
            <w:vAlign w:val="center"/>
          </w:tcPr>
          <w:p>
            <w:pPr>
              <w:jc w:val="center"/>
              <w:rPr>
                <w:rFonts w:eastAsia="Times New Roman"/>
                <w:noProof/>
                <w:szCs w:val="24"/>
              </w:rPr>
            </w:pPr>
            <w:r>
              <w:rPr>
                <w:noProof/>
                <w:sz w:val="16"/>
              </w:rPr>
              <w:t xml:space="preserve">по смисъла на член 21, параграф 2, буква б) от Финансовия регламент </w:t>
            </w:r>
          </w:p>
        </w:tc>
      </w:tr>
      <w:tr>
        <w:tc>
          <w:tcPr>
            <w:tcW w:w="1080" w:type="dxa"/>
            <w:vAlign w:val="center"/>
          </w:tcPr>
          <w:p>
            <w:pPr>
              <w:jc w:val="center"/>
              <w:rPr>
                <w:rFonts w:eastAsia="Times New Roman"/>
                <w:noProof/>
                <w:szCs w:val="24"/>
              </w:rPr>
            </w:pPr>
            <w:r>
              <w:rPr>
                <w:noProof/>
                <w:color w:val="0000FF"/>
                <w:sz w:val="20"/>
              </w:rPr>
              <w:t>1а</w:t>
            </w:r>
          </w:p>
        </w:tc>
        <w:tc>
          <w:tcPr>
            <w:tcW w:w="3960" w:type="dxa"/>
            <w:vAlign w:val="center"/>
          </w:tcPr>
          <w:p>
            <w:pPr>
              <w:spacing w:before="60"/>
              <w:rPr>
                <w:rFonts w:eastAsia="Times New Roman"/>
                <w:noProof/>
                <w:sz w:val="20"/>
                <w:szCs w:val="20"/>
              </w:rPr>
            </w:pPr>
            <w:r>
              <w:rPr>
                <w:noProof/>
                <w:sz w:val="20"/>
              </w:rPr>
              <w:t>Статия 10 04 04 — Експлоатация на реактора с висока плътност на потока (HFR)</w:t>
            </w:r>
            <w:bookmarkStart w:id="1" w:name="N90541557176-1"/>
            <w:bookmarkEnd w:id="1"/>
            <w:r>
              <w:rPr>
                <w:noProof/>
                <w:sz w:val="20"/>
              </w:rPr>
              <w:t xml:space="preserve"> </w:t>
            </w:r>
          </w:p>
          <w:p>
            <w:pPr>
              <w:spacing w:after="60"/>
              <w:rPr>
                <w:rFonts w:eastAsia="Times New Roman"/>
                <w:noProof/>
                <w:color w:val="0000FF"/>
                <w:sz w:val="20"/>
                <w:szCs w:val="20"/>
              </w:rPr>
            </w:pPr>
            <w:r>
              <w:rPr>
                <w:noProof/>
                <w:sz w:val="20"/>
              </w:rPr>
              <w:t>Статия 10 04 04 01 — Експлоатация на реактора с висока плътност на потока (HFR) — Допълнителна програма за HFR</w:t>
            </w:r>
          </w:p>
        </w:tc>
        <w:tc>
          <w:tcPr>
            <w:tcW w:w="1080" w:type="dxa"/>
            <w:vAlign w:val="center"/>
          </w:tcPr>
          <w:p>
            <w:pPr>
              <w:jc w:val="center"/>
              <w:rPr>
                <w:rFonts w:eastAsia="Times New Roman"/>
                <w:noProof/>
                <w:szCs w:val="24"/>
              </w:rPr>
            </w:pPr>
            <w:r>
              <w:rPr>
                <w:noProof/>
                <w:color w:val="0000FF"/>
                <w:sz w:val="20"/>
              </w:rPr>
              <w:t>МБК</w:t>
            </w:r>
          </w:p>
        </w:tc>
        <w:tc>
          <w:tcPr>
            <w:tcW w:w="956" w:type="dxa"/>
            <w:vAlign w:val="center"/>
          </w:tcPr>
          <w:p>
            <w:pPr>
              <w:jc w:val="center"/>
              <w:rPr>
                <w:rFonts w:eastAsia="Times New Roman"/>
                <w:noProof/>
                <w:color w:val="0000FF"/>
                <w:sz w:val="18"/>
                <w:szCs w:val="18"/>
              </w:rPr>
            </w:pPr>
            <w:r>
              <w:rPr>
                <w:noProof/>
                <w:color w:val="0000FF"/>
                <w:sz w:val="18"/>
              </w:rPr>
              <w:t>НЕ</w:t>
            </w:r>
          </w:p>
        </w:tc>
        <w:tc>
          <w:tcPr>
            <w:tcW w:w="1080" w:type="dxa"/>
            <w:vAlign w:val="center"/>
          </w:tcPr>
          <w:p>
            <w:pPr>
              <w:jc w:val="center"/>
              <w:rPr>
                <w:rFonts w:eastAsia="Times New Roman"/>
                <w:noProof/>
                <w:color w:val="0000FF"/>
                <w:sz w:val="18"/>
                <w:szCs w:val="18"/>
              </w:rPr>
            </w:pPr>
            <w:r>
              <w:rPr>
                <w:noProof/>
                <w:color w:val="0000FF"/>
                <w:sz w:val="18"/>
              </w:rPr>
              <w:t>НЕ</w:t>
            </w:r>
          </w:p>
        </w:tc>
        <w:tc>
          <w:tcPr>
            <w:tcW w:w="956" w:type="dxa"/>
            <w:vAlign w:val="center"/>
          </w:tcPr>
          <w:p>
            <w:pPr>
              <w:jc w:val="center"/>
              <w:rPr>
                <w:rFonts w:eastAsia="Times New Roman"/>
                <w:noProof/>
                <w:color w:val="0000FF"/>
                <w:sz w:val="18"/>
                <w:szCs w:val="18"/>
              </w:rPr>
            </w:pPr>
            <w:r>
              <w:rPr>
                <w:noProof/>
                <w:color w:val="0000FF"/>
                <w:sz w:val="18"/>
              </w:rPr>
              <w:t>НЕ</w:t>
            </w:r>
          </w:p>
        </w:tc>
        <w:tc>
          <w:tcPr>
            <w:tcW w:w="1564" w:type="dxa"/>
            <w:vAlign w:val="center"/>
          </w:tcPr>
          <w:p>
            <w:pPr>
              <w:jc w:val="center"/>
              <w:rPr>
                <w:rFonts w:eastAsia="Times New Roman"/>
                <w:noProof/>
                <w:color w:val="0000FF"/>
                <w:sz w:val="18"/>
                <w:szCs w:val="18"/>
              </w:rPr>
            </w:pPr>
            <w:r>
              <w:rPr>
                <w:noProof/>
                <w:color w:val="0000FF"/>
                <w:sz w:val="18"/>
              </w:rPr>
              <w:t>ДА</w:t>
            </w:r>
          </w:p>
        </w:tc>
      </w:tr>
    </w:tbl>
    <w:p>
      <w:pPr>
        <w:tabs>
          <w:tab w:val="num" w:pos="1134"/>
        </w:tabs>
        <w:ind w:left="1134" w:hanging="283"/>
        <w:rPr>
          <w:rFonts w:eastAsia="Times New Roman"/>
          <w:noProof/>
          <w:szCs w:val="24"/>
        </w:rPr>
      </w:pPr>
      <w:r>
        <w:rPr>
          <w:noProof/>
        </w:rPr>
        <w:t xml:space="preserve">Поискани нови бюджетни редове </w:t>
      </w:r>
    </w:p>
    <w:p>
      <w:pPr>
        <w:rPr>
          <w:rFonts w:eastAsia="Times New Roman"/>
          <w:noProof/>
          <w:szCs w:val="24"/>
        </w:rPr>
      </w:pPr>
      <w:r>
        <w:rPr>
          <w:noProof/>
        </w:rPr>
        <w:t>не се прилага</w:t>
      </w:r>
    </w:p>
    <w:p>
      <w:pPr>
        <w:rPr>
          <w:rFonts w:eastAsia="Times New Roman"/>
          <w:noProof/>
          <w:szCs w:val="24"/>
        </w:rPr>
      </w:pPr>
    </w:p>
    <w:p>
      <w:pPr>
        <w:rPr>
          <w:rFonts w:eastAsia="Times New Roman"/>
          <w:noProof/>
          <w:szCs w:val="24"/>
        </w:rPr>
        <w:sectPr>
          <w:pgSz w:w="12240" w:h="15840" w:code="1"/>
          <w:pgMar w:top="794" w:right="907" w:bottom="851" w:left="1361" w:header="510" w:footer="454" w:gutter="0"/>
          <w:cols w:space="708"/>
          <w:rtlGutter/>
          <w:docGrid w:linePitch="360"/>
        </w:sectPr>
      </w:pPr>
    </w:p>
    <w:p>
      <w:pPr>
        <w:keepNext/>
        <w:numPr>
          <w:ilvl w:val="1"/>
          <w:numId w:val="0"/>
        </w:numPr>
        <w:tabs>
          <w:tab w:val="num" w:pos="850"/>
        </w:tabs>
        <w:ind w:left="850" w:hanging="850"/>
        <w:outlineLvl w:val="1"/>
        <w:rPr>
          <w:rFonts w:eastAsia="Times New Roman"/>
          <w:b/>
          <w:bCs/>
          <w:noProof/>
          <w:szCs w:val="26"/>
        </w:rPr>
      </w:pPr>
      <w:r>
        <w:rPr>
          <w:b/>
          <w:noProof/>
        </w:rPr>
        <w:t xml:space="preserve">Очаквано отражение върху разходите </w:t>
      </w:r>
    </w:p>
    <w:p>
      <w:pPr>
        <w:keepNext/>
        <w:numPr>
          <w:ilvl w:val="2"/>
          <w:numId w:val="0"/>
        </w:numPr>
        <w:tabs>
          <w:tab w:val="num" w:pos="850"/>
        </w:tabs>
        <w:ind w:left="850" w:hanging="850"/>
        <w:outlineLvl w:val="2"/>
        <w:rPr>
          <w:rFonts w:eastAsia="Times New Roman"/>
          <w:bCs/>
          <w:i/>
          <w:noProof/>
          <w:u w:val="single"/>
        </w:rPr>
      </w:pPr>
      <w:r>
        <w:rPr>
          <w:i/>
          <w:noProof/>
        </w:rPr>
        <w:t xml:space="preserve">Обобщение на очакваното отражение върху разходите </w:t>
      </w:r>
    </w:p>
    <w:p>
      <w:pPr>
        <w:jc w:val="right"/>
        <w:rPr>
          <w:rFonts w:eastAsia="Times New Roman"/>
          <w:noProof/>
          <w:sz w:val="16"/>
          <w:szCs w:val="16"/>
        </w:rPr>
      </w:pPr>
      <w:r>
        <w:rPr>
          <w:noProof/>
          <w:sz w:val="20"/>
        </w:rPr>
        <w:t>млн. евро (до 3-тия знак след десетичната запетая)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6"/>
        <w:gridCol w:w="1088"/>
        <w:gridCol w:w="7868"/>
      </w:tblGrid>
      <w:tr>
        <w:trPr>
          <w:jc w:val="center"/>
        </w:trPr>
        <w:tc>
          <w:tcPr>
            <w:tcW w:w="1739" w:type="pct"/>
            <w:shd w:val="thinDiagStripe" w:color="C0C0C0" w:fill="auto"/>
            <w:vAlign w:val="center"/>
          </w:tcPr>
          <w:p>
            <w:pPr>
              <w:spacing w:before="60" w:after="60"/>
              <w:jc w:val="center"/>
              <w:rPr>
                <w:rFonts w:eastAsia="Times New Roman"/>
                <w:b/>
                <w:noProof/>
                <w:szCs w:val="24"/>
              </w:rPr>
            </w:pPr>
            <w:r>
              <w:rPr>
                <w:b/>
                <w:noProof/>
              </w:rPr>
              <w:t xml:space="preserve">Функция от многогодишната финансова рамка: </w:t>
            </w:r>
          </w:p>
        </w:tc>
        <w:tc>
          <w:tcPr>
            <w:tcW w:w="396" w:type="pct"/>
            <w:vAlign w:val="center"/>
          </w:tcPr>
          <w:p>
            <w:pPr>
              <w:spacing w:before="60" w:after="60"/>
              <w:jc w:val="center"/>
              <w:rPr>
                <w:rFonts w:eastAsia="Times New Roman"/>
                <w:noProof/>
                <w:color w:val="0000FF"/>
                <w:szCs w:val="24"/>
              </w:rPr>
            </w:pPr>
            <w:r>
              <w:rPr>
                <w:noProof/>
              </w:rPr>
              <w:t>1а</w:t>
            </w:r>
          </w:p>
        </w:tc>
        <w:tc>
          <w:tcPr>
            <w:tcW w:w="2865" w:type="pct"/>
            <w:vAlign w:val="center"/>
          </w:tcPr>
          <w:p>
            <w:pPr>
              <w:spacing w:before="60" w:after="60"/>
              <w:rPr>
                <w:rFonts w:eastAsia="Times New Roman"/>
                <w:noProof/>
                <w:color w:val="0000FF"/>
                <w:szCs w:val="24"/>
              </w:rPr>
            </w:pPr>
            <w:r>
              <w:rPr>
                <w:noProof/>
                <w:color w:val="000000"/>
              </w:rPr>
              <w:t>„Конкурентоспособност за растеж и заетост“</w:t>
            </w:r>
          </w:p>
        </w:tc>
      </w:tr>
    </w:tbl>
    <w:p>
      <w:pPr>
        <w:rPr>
          <w:rFonts w:eastAsia="Times New Roman"/>
          <w:noProof/>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3"/>
        <w:gridCol w:w="1620"/>
        <w:gridCol w:w="137"/>
        <w:gridCol w:w="601"/>
        <w:gridCol w:w="975"/>
        <w:gridCol w:w="975"/>
        <w:gridCol w:w="975"/>
        <w:gridCol w:w="975"/>
        <w:gridCol w:w="978"/>
        <w:gridCol w:w="2043"/>
      </w:tblGrid>
      <w:tr>
        <w:tc>
          <w:tcPr>
            <w:tcW w:w="1621" w:type="pct"/>
            <w:vAlign w:val="center"/>
          </w:tcPr>
          <w:p>
            <w:pPr>
              <w:jc w:val="center"/>
              <w:rPr>
                <w:rFonts w:eastAsia="Times New Roman"/>
                <w:noProof/>
                <w:szCs w:val="24"/>
              </w:rPr>
            </w:pPr>
            <w:r>
              <w:rPr>
                <w:noProof/>
              </w:rPr>
              <w:t>ГД: JRC</w:t>
            </w:r>
          </w:p>
        </w:tc>
        <w:tc>
          <w:tcPr>
            <w:tcW w:w="640" w:type="pct"/>
            <w:gridSpan w:val="2"/>
          </w:tcPr>
          <w:p>
            <w:pPr>
              <w:rPr>
                <w:rFonts w:eastAsia="Times New Roman"/>
                <w:noProof/>
                <w:sz w:val="20"/>
                <w:szCs w:val="20"/>
              </w:rPr>
            </w:pPr>
          </w:p>
        </w:tc>
        <w:tc>
          <w:tcPr>
            <w:tcW w:w="219" w:type="pct"/>
          </w:tcPr>
          <w:p>
            <w:pPr>
              <w:jc w:val="center"/>
              <w:rPr>
                <w:rFonts w:eastAsia="Times New Roman"/>
                <w:noProof/>
                <w:sz w:val="20"/>
                <w:szCs w:val="20"/>
              </w:rPr>
            </w:pPr>
          </w:p>
        </w:tc>
        <w:tc>
          <w:tcPr>
            <w:tcW w:w="355" w:type="pct"/>
            <w:vAlign w:val="center"/>
          </w:tcPr>
          <w:p>
            <w:pPr>
              <w:jc w:val="center"/>
              <w:rPr>
                <w:rFonts w:eastAsia="Times New Roman"/>
                <w:noProof/>
                <w:sz w:val="20"/>
                <w:szCs w:val="20"/>
              </w:rPr>
            </w:pPr>
            <w:r>
              <w:rPr>
                <w:noProof/>
                <w:sz w:val="20"/>
              </w:rPr>
              <w:t>Година 2016</w:t>
            </w:r>
          </w:p>
        </w:tc>
        <w:tc>
          <w:tcPr>
            <w:tcW w:w="355" w:type="pct"/>
            <w:vAlign w:val="center"/>
          </w:tcPr>
          <w:p>
            <w:pPr>
              <w:jc w:val="center"/>
              <w:rPr>
                <w:rFonts w:eastAsia="Times New Roman"/>
                <w:noProof/>
                <w:sz w:val="20"/>
                <w:szCs w:val="20"/>
              </w:rPr>
            </w:pPr>
            <w:r>
              <w:rPr>
                <w:noProof/>
                <w:sz w:val="20"/>
              </w:rPr>
              <w:t>Година 2017</w:t>
            </w:r>
          </w:p>
        </w:tc>
        <w:tc>
          <w:tcPr>
            <w:tcW w:w="355" w:type="pct"/>
            <w:vAlign w:val="center"/>
          </w:tcPr>
          <w:p>
            <w:pPr>
              <w:jc w:val="center"/>
              <w:rPr>
                <w:rFonts w:eastAsia="Times New Roman"/>
                <w:noProof/>
                <w:sz w:val="20"/>
                <w:szCs w:val="20"/>
              </w:rPr>
            </w:pPr>
            <w:r>
              <w:rPr>
                <w:noProof/>
                <w:sz w:val="20"/>
              </w:rPr>
              <w:t>Година 2018</w:t>
            </w:r>
          </w:p>
        </w:tc>
        <w:tc>
          <w:tcPr>
            <w:tcW w:w="355" w:type="pct"/>
            <w:vAlign w:val="center"/>
          </w:tcPr>
          <w:p>
            <w:pPr>
              <w:jc w:val="center"/>
              <w:rPr>
                <w:rFonts w:eastAsia="Times New Roman"/>
                <w:noProof/>
                <w:sz w:val="20"/>
                <w:szCs w:val="20"/>
              </w:rPr>
            </w:pPr>
            <w:r>
              <w:rPr>
                <w:noProof/>
                <w:sz w:val="20"/>
              </w:rPr>
              <w:t>Година 2019</w:t>
            </w:r>
          </w:p>
        </w:tc>
        <w:tc>
          <w:tcPr>
            <w:tcW w:w="356" w:type="pct"/>
            <w:vAlign w:val="center"/>
          </w:tcPr>
          <w:p>
            <w:pPr>
              <w:jc w:val="center"/>
              <w:rPr>
                <w:rFonts w:eastAsia="Times New Roman"/>
                <w:b/>
                <w:noProof/>
                <w:sz w:val="18"/>
                <w:szCs w:val="18"/>
              </w:rPr>
            </w:pPr>
            <w:r>
              <w:rPr>
                <w:noProof/>
                <w:color w:val="000000"/>
                <w:sz w:val="20"/>
              </w:rPr>
              <w:t>Година ≥2019</w:t>
            </w:r>
          </w:p>
        </w:tc>
        <w:tc>
          <w:tcPr>
            <w:tcW w:w="744" w:type="pct"/>
            <w:vAlign w:val="center"/>
          </w:tcPr>
          <w:p>
            <w:pPr>
              <w:jc w:val="center"/>
              <w:rPr>
                <w:rFonts w:eastAsia="Times New Roman"/>
                <w:b/>
                <w:noProof/>
                <w:sz w:val="20"/>
                <w:szCs w:val="20"/>
              </w:rPr>
            </w:pPr>
            <w:r>
              <w:rPr>
                <w:b/>
                <w:noProof/>
                <w:sz w:val="20"/>
              </w:rPr>
              <w:t>ОБЩО</w:t>
            </w:r>
          </w:p>
        </w:tc>
      </w:tr>
      <w:tr>
        <w:trPr>
          <w:trHeight w:val="272"/>
        </w:trPr>
        <w:tc>
          <w:tcPr>
            <w:tcW w:w="2480" w:type="pct"/>
            <w:gridSpan w:val="4"/>
            <w:vAlign w:val="center"/>
          </w:tcPr>
          <w:p>
            <w:pPr>
              <w:spacing w:before="20" w:after="20"/>
              <w:rPr>
                <w:rFonts w:eastAsia="Times New Roman"/>
                <w:noProof/>
                <w:sz w:val="21"/>
                <w:szCs w:val="21"/>
              </w:rPr>
            </w:pPr>
            <w:r>
              <w:rPr>
                <w:noProof/>
                <w:sz w:val="21"/>
              </w:rPr>
              <w:t xml:space="preserve">Бюджетни кредити за оперативни разходи </w:t>
            </w:r>
          </w:p>
        </w:tc>
        <w:tc>
          <w:tcPr>
            <w:tcW w:w="355" w:type="pct"/>
            <w:vAlign w:val="center"/>
          </w:tcPr>
          <w:p>
            <w:pPr>
              <w:jc w:val="center"/>
              <w:rPr>
                <w:rFonts w:eastAsia="Times New Roman"/>
                <w:noProof/>
                <w:sz w:val="20"/>
                <w:szCs w:val="20"/>
              </w:rPr>
            </w:pPr>
          </w:p>
        </w:tc>
        <w:tc>
          <w:tcPr>
            <w:tcW w:w="355" w:type="pct"/>
            <w:vAlign w:val="center"/>
          </w:tcPr>
          <w:p>
            <w:pPr>
              <w:jc w:val="center"/>
              <w:rPr>
                <w:rFonts w:eastAsia="Times New Roman"/>
                <w:noProof/>
                <w:sz w:val="20"/>
                <w:szCs w:val="20"/>
              </w:rPr>
            </w:pPr>
          </w:p>
        </w:tc>
        <w:tc>
          <w:tcPr>
            <w:tcW w:w="355" w:type="pct"/>
            <w:vAlign w:val="center"/>
          </w:tcPr>
          <w:p>
            <w:pPr>
              <w:jc w:val="center"/>
              <w:rPr>
                <w:rFonts w:eastAsia="Times New Roman"/>
                <w:noProof/>
                <w:sz w:val="20"/>
                <w:szCs w:val="20"/>
              </w:rPr>
            </w:pPr>
          </w:p>
        </w:tc>
        <w:tc>
          <w:tcPr>
            <w:tcW w:w="355" w:type="pct"/>
            <w:vAlign w:val="center"/>
          </w:tcPr>
          <w:p>
            <w:pPr>
              <w:jc w:val="center"/>
              <w:rPr>
                <w:rFonts w:eastAsia="Times New Roman"/>
                <w:noProof/>
                <w:sz w:val="20"/>
                <w:szCs w:val="20"/>
              </w:rPr>
            </w:pPr>
          </w:p>
        </w:tc>
        <w:tc>
          <w:tcPr>
            <w:tcW w:w="356" w:type="pct"/>
            <w:vAlign w:val="center"/>
          </w:tcPr>
          <w:p>
            <w:pPr>
              <w:jc w:val="center"/>
              <w:rPr>
                <w:rFonts w:eastAsia="Times New Roman"/>
                <w:noProof/>
                <w:sz w:val="20"/>
                <w:szCs w:val="20"/>
              </w:rPr>
            </w:pPr>
          </w:p>
        </w:tc>
        <w:tc>
          <w:tcPr>
            <w:tcW w:w="744" w:type="pct"/>
            <w:vAlign w:val="center"/>
          </w:tcPr>
          <w:p>
            <w:pPr>
              <w:jc w:val="center"/>
              <w:rPr>
                <w:rFonts w:eastAsia="Times New Roman"/>
                <w:b/>
                <w:noProof/>
                <w:sz w:val="20"/>
                <w:szCs w:val="20"/>
              </w:rPr>
            </w:pPr>
          </w:p>
        </w:tc>
      </w:tr>
      <w:tr>
        <w:trPr>
          <w:trHeight w:val="277"/>
        </w:trPr>
        <w:tc>
          <w:tcPr>
            <w:tcW w:w="1621" w:type="pct"/>
            <w:vMerge w:val="restart"/>
            <w:vAlign w:val="center"/>
          </w:tcPr>
          <w:p>
            <w:pPr>
              <w:rPr>
                <w:rFonts w:eastAsia="Times New Roman"/>
                <w:noProof/>
                <w:color w:val="0000FF"/>
                <w:sz w:val="20"/>
                <w:szCs w:val="20"/>
              </w:rPr>
            </w:pPr>
            <w:r>
              <w:rPr>
                <w:noProof/>
                <w:sz w:val="20"/>
              </w:rPr>
              <w:t>Номер на бюджетния ред: 10 04 04 01</w:t>
            </w:r>
          </w:p>
        </w:tc>
        <w:tc>
          <w:tcPr>
            <w:tcW w:w="590" w:type="pct"/>
            <w:vAlign w:val="center"/>
          </w:tcPr>
          <w:p>
            <w:pPr>
              <w:spacing w:before="20" w:after="20"/>
              <w:rPr>
                <w:rFonts w:eastAsia="Times New Roman"/>
                <w:noProof/>
                <w:sz w:val="18"/>
                <w:szCs w:val="18"/>
              </w:rPr>
            </w:pPr>
            <w:r>
              <w:rPr>
                <w:noProof/>
                <w:sz w:val="18"/>
              </w:rPr>
              <w:t>Поети задължения</w:t>
            </w:r>
          </w:p>
        </w:tc>
        <w:tc>
          <w:tcPr>
            <w:tcW w:w="269" w:type="pct"/>
            <w:gridSpan w:val="2"/>
            <w:vAlign w:val="center"/>
          </w:tcPr>
          <w:p>
            <w:pPr>
              <w:spacing w:before="20" w:after="20"/>
              <w:jc w:val="center"/>
              <w:rPr>
                <w:rFonts w:eastAsia="Times New Roman"/>
                <w:noProof/>
                <w:sz w:val="14"/>
                <w:szCs w:val="14"/>
              </w:rPr>
            </w:pPr>
            <w:r>
              <w:rPr>
                <w:noProof/>
                <w:sz w:val="14"/>
              </w:rPr>
              <w:t>(1)</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6" w:type="pct"/>
            <w:vAlign w:val="center"/>
          </w:tcPr>
          <w:p>
            <w:pPr>
              <w:spacing w:before="20" w:after="20"/>
              <w:jc w:val="center"/>
              <w:rPr>
                <w:rFonts w:eastAsia="Times New Roman"/>
                <w:noProof/>
                <w:sz w:val="20"/>
                <w:szCs w:val="20"/>
              </w:rPr>
            </w:pPr>
          </w:p>
        </w:tc>
        <w:tc>
          <w:tcPr>
            <w:tcW w:w="744" w:type="pct"/>
            <w:vAlign w:val="center"/>
          </w:tcPr>
          <w:p>
            <w:pPr>
              <w:spacing w:before="20" w:after="20"/>
              <w:jc w:val="center"/>
              <w:rPr>
                <w:rFonts w:eastAsia="Times New Roman"/>
                <w:b/>
                <w:noProof/>
                <w:sz w:val="20"/>
                <w:szCs w:val="20"/>
              </w:rPr>
            </w:pPr>
            <w:r>
              <w:rPr>
                <w:noProof/>
                <w:sz w:val="20"/>
              </w:rPr>
              <w:t>p.m.</w:t>
            </w:r>
          </w:p>
        </w:tc>
      </w:tr>
      <w:tr>
        <w:tc>
          <w:tcPr>
            <w:tcW w:w="1621" w:type="pct"/>
            <w:vMerge/>
          </w:tcPr>
          <w:p>
            <w:pPr>
              <w:jc w:val="center"/>
              <w:rPr>
                <w:rFonts w:eastAsia="Times New Roman"/>
                <w:noProof/>
                <w:sz w:val="20"/>
                <w:szCs w:val="20"/>
              </w:rPr>
            </w:pPr>
          </w:p>
        </w:tc>
        <w:tc>
          <w:tcPr>
            <w:tcW w:w="590" w:type="pct"/>
            <w:vAlign w:val="center"/>
          </w:tcPr>
          <w:p>
            <w:pPr>
              <w:spacing w:before="20" w:after="20"/>
              <w:rPr>
                <w:rFonts w:eastAsia="Times New Roman"/>
                <w:noProof/>
                <w:sz w:val="18"/>
                <w:szCs w:val="18"/>
              </w:rPr>
            </w:pPr>
            <w:r>
              <w:rPr>
                <w:noProof/>
                <w:sz w:val="18"/>
              </w:rPr>
              <w:t>Плащания</w:t>
            </w:r>
          </w:p>
        </w:tc>
        <w:tc>
          <w:tcPr>
            <w:tcW w:w="269" w:type="pct"/>
            <w:gridSpan w:val="2"/>
            <w:vAlign w:val="center"/>
          </w:tcPr>
          <w:p>
            <w:pPr>
              <w:spacing w:before="20" w:after="20"/>
              <w:jc w:val="center"/>
              <w:rPr>
                <w:rFonts w:eastAsia="Times New Roman"/>
                <w:noProof/>
                <w:sz w:val="14"/>
                <w:szCs w:val="14"/>
              </w:rPr>
            </w:pPr>
            <w:r>
              <w:rPr>
                <w:noProof/>
                <w:sz w:val="14"/>
              </w:rPr>
              <w:t>(2)</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6" w:type="pct"/>
            <w:vAlign w:val="center"/>
          </w:tcPr>
          <w:p>
            <w:pPr>
              <w:spacing w:before="20" w:after="20"/>
              <w:jc w:val="center"/>
              <w:rPr>
                <w:rFonts w:eastAsia="Times New Roman"/>
                <w:noProof/>
                <w:sz w:val="20"/>
                <w:szCs w:val="20"/>
              </w:rPr>
            </w:pPr>
            <w:r>
              <w:rPr>
                <w:noProof/>
                <w:sz w:val="20"/>
              </w:rPr>
              <w:t>p.m.</w:t>
            </w:r>
          </w:p>
        </w:tc>
        <w:tc>
          <w:tcPr>
            <w:tcW w:w="744" w:type="pct"/>
            <w:vAlign w:val="center"/>
          </w:tcPr>
          <w:p>
            <w:pPr>
              <w:spacing w:before="20" w:after="20"/>
              <w:jc w:val="center"/>
              <w:rPr>
                <w:rFonts w:eastAsia="Times New Roman"/>
                <w:b/>
                <w:noProof/>
                <w:sz w:val="20"/>
                <w:szCs w:val="20"/>
              </w:rPr>
            </w:pPr>
            <w:r>
              <w:rPr>
                <w:noProof/>
                <w:sz w:val="20"/>
              </w:rPr>
              <w:t>p.m.</w:t>
            </w:r>
          </w:p>
        </w:tc>
      </w:tr>
      <w:tr>
        <w:trPr>
          <w:trHeight w:val="231"/>
        </w:trPr>
        <w:tc>
          <w:tcPr>
            <w:tcW w:w="2480" w:type="pct"/>
            <w:gridSpan w:val="4"/>
            <w:vAlign w:val="center"/>
          </w:tcPr>
          <w:p>
            <w:pPr>
              <w:spacing w:before="20" w:after="20"/>
              <w:rPr>
                <w:rFonts w:eastAsia="Times New Roman"/>
                <w:noProof/>
                <w:szCs w:val="24"/>
              </w:rPr>
            </w:pPr>
            <w:r>
              <w:rPr>
                <w:noProof/>
                <w:sz w:val="21"/>
              </w:rPr>
              <w:t xml:space="preserve">Бюджетни кредити за административни разходи, финансирани от пакета за специфични програми </w:t>
            </w:r>
          </w:p>
        </w:tc>
        <w:tc>
          <w:tcPr>
            <w:tcW w:w="355" w:type="pct"/>
            <w:vAlign w:val="center"/>
          </w:tcPr>
          <w:p>
            <w:pPr>
              <w:jc w:val="center"/>
              <w:rPr>
                <w:rFonts w:eastAsia="Times New Roman"/>
                <w:b/>
                <w:noProof/>
                <w:sz w:val="20"/>
                <w:szCs w:val="20"/>
              </w:rPr>
            </w:pPr>
          </w:p>
        </w:tc>
        <w:tc>
          <w:tcPr>
            <w:tcW w:w="355" w:type="pct"/>
            <w:vAlign w:val="center"/>
          </w:tcPr>
          <w:p>
            <w:pPr>
              <w:jc w:val="center"/>
              <w:rPr>
                <w:rFonts w:eastAsia="Times New Roman"/>
                <w:b/>
                <w:noProof/>
                <w:sz w:val="20"/>
                <w:szCs w:val="20"/>
              </w:rPr>
            </w:pPr>
          </w:p>
        </w:tc>
        <w:tc>
          <w:tcPr>
            <w:tcW w:w="355" w:type="pct"/>
            <w:vAlign w:val="center"/>
          </w:tcPr>
          <w:p>
            <w:pPr>
              <w:jc w:val="center"/>
              <w:rPr>
                <w:rFonts w:eastAsia="Times New Roman"/>
                <w:b/>
                <w:noProof/>
                <w:sz w:val="20"/>
                <w:szCs w:val="20"/>
              </w:rPr>
            </w:pPr>
          </w:p>
        </w:tc>
        <w:tc>
          <w:tcPr>
            <w:tcW w:w="355" w:type="pct"/>
            <w:vAlign w:val="center"/>
          </w:tcPr>
          <w:p>
            <w:pPr>
              <w:jc w:val="center"/>
              <w:rPr>
                <w:rFonts w:eastAsia="Times New Roman"/>
                <w:b/>
                <w:noProof/>
                <w:sz w:val="20"/>
                <w:szCs w:val="20"/>
              </w:rPr>
            </w:pPr>
          </w:p>
        </w:tc>
        <w:tc>
          <w:tcPr>
            <w:tcW w:w="356" w:type="pct"/>
            <w:vAlign w:val="center"/>
          </w:tcPr>
          <w:p>
            <w:pPr>
              <w:jc w:val="center"/>
              <w:rPr>
                <w:rFonts w:eastAsia="Times New Roman"/>
                <w:b/>
                <w:noProof/>
                <w:sz w:val="20"/>
                <w:szCs w:val="20"/>
              </w:rPr>
            </w:pPr>
          </w:p>
        </w:tc>
        <w:tc>
          <w:tcPr>
            <w:tcW w:w="744" w:type="pct"/>
            <w:vAlign w:val="center"/>
          </w:tcPr>
          <w:p>
            <w:pPr>
              <w:jc w:val="center"/>
              <w:rPr>
                <w:rFonts w:eastAsia="Times New Roman"/>
                <w:b/>
                <w:noProof/>
                <w:sz w:val="20"/>
                <w:szCs w:val="20"/>
              </w:rPr>
            </w:pPr>
          </w:p>
        </w:tc>
      </w:tr>
      <w:tr>
        <w:trPr>
          <w:trHeight w:val="319"/>
        </w:trPr>
        <w:tc>
          <w:tcPr>
            <w:tcW w:w="1621" w:type="pct"/>
            <w:vAlign w:val="center"/>
          </w:tcPr>
          <w:p>
            <w:pPr>
              <w:spacing w:before="60" w:after="60"/>
              <w:rPr>
                <w:rFonts w:eastAsia="Times New Roman"/>
                <w:noProof/>
                <w:color w:val="0000FF"/>
                <w:sz w:val="20"/>
                <w:szCs w:val="20"/>
              </w:rPr>
            </w:pPr>
            <w:r>
              <w:rPr>
                <w:noProof/>
                <w:sz w:val="20"/>
              </w:rPr>
              <w:t>Номер на бюджетния ред: не се прилага</w:t>
            </w:r>
          </w:p>
        </w:tc>
        <w:tc>
          <w:tcPr>
            <w:tcW w:w="590" w:type="pct"/>
            <w:vAlign w:val="center"/>
          </w:tcPr>
          <w:p>
            <w:pPr>
              <w:spacing w:before="40" w:after="40"/>
              <w:jc w:val="right"/>
              <w:rPr>
                <w:rFonts w:eastAsia="Times New Roman"/>
                <w:noProof/>
                <w:sz w:val="18"/>
                <w:szCs w:val="18"/>
              </w:rPr>
            </w:pPr>
          </w:p>
        </w:tc>
        <w:tc>
          <w:tcPr>
            <w:tcW w:w="269" w:type="pct"/>
            <w:gridSpan w:val="2"/>
            <w:vAlign w:val="center"/>
          </w:tcPr>
          <w:p>
            <w:pPr>
              <w:spacing w:before="40" w:after="40"/>
              <w:jc w:val="center"/>
              <w:rPr>
                <w:rFonts w:eastAsia="Times New Roman"/>
                <w:noProof/>
                <w:sz w:val="14"/>
                <w:szCs w:val="14"/>
              </w:rPr>
            </w:pPr>
            <w:r>
              <w:rPr>
                <w:noProof/>
                <w:sz w:val="14"/>
              </w:rPr>
              <w:t>(3)</w:t>
            </w:r>
          </w:p>
        </w:tc>
        <w:tc>
          <w:tcPr>
            <w:tcW w:w="355" w:type="pct"/>
            <w:vAlign w:val="center"/>
          </w:tcPr>
          <w:p>
            <w:pPr>
              <w:spacing w:before="40" w:after="40"/>
              <w:jc w:val="center"/>
              <w:rPr>
                <w:rFonts w:eastAsia="Times New Roman"/>
                <w:b/>
                <w:noProof/>
                <w:sz w:val="20"/>
                <w:szCs w:val="20"/>
              </w:rPr>
            </w:pPr>
            <w:r>
              <w:rPr>
                <w:noProof/>
                <w:sz w:val="20"/>
              </w:rPr>
              <w:t>p.m.</w:t>
            </w:r>
          </w:p>
        </w:tc>
        <w:tc>
          <w:tcPr>
            <w:tcW w:w="355" w:type="pct"/>
            <w:vAlign w:val="center"/>
          </w:tcPr>
          <w:p>
            <w:pPr>
              <w:spacing w:before="40" w:after="40"/>
              <w:jc w:val="center"/>
              <w:rPr>
                <w:rFonts w:eastAsia="Times New Roman"/>
                <w:b/>
                <w:noProof/>
                <w:sz w:val="20"/>
                <w:szCs w:val="20"/>
              </w:rPr>
            </w:pPr>
            <w:r>
              <w:rPr>
                <w:noProof/>
                <w:sz w:val="20"/>
              </w:rPr>
              <w:t>p.m.</w:t>
            </w:r>
          </w:p>
        </w:tc>
        <w:tc>
          <w:tcPr>
            <w:tcW w:w="355" w:type="pct"/>
            <w:vAlign w:val="center"/>
          </w:tcPr>
          <w:p>
            <w:pPr>
              <w:spacing w:before="40" w:after="40"/>
              <w:jc w:val="center"/>
              <w:rPr>
                <w:rFonts w:eastAsia="Times New Roman"/>
                <w:b/>
                <w:noProof/>
                <w:sz w:val="20"/>
                <w:szCs w:val="20"/>
              </w:rPr>
            </w:pPr>
            <w:r>
              <w:rPr>
                <w:noProof/>
                <w:sz w:val="20"/>
              </w:rPr>
              <w:t>p.m.</w:t>
            </w:r>
          </w:p>
        </w:tc>
        <w:tc>
          <w:tcPr>
            <w:tcW w:w="355" w:type="pct"/>
            <w:vAlign w:val="center"/>
          </w:tcPr>
          <w:p>
            <w:pPr>
              <w:spacing w:before="40" w:after="40"/>
              <w:jc w:val="center"/>
              <w:rPr>
                <w:rFonts w:eastAsia="Times New Roman"/>
                <w:b/>
                <w:noProof/>
                <w:sz w:val="20"/>
                <w:szCs w:val="20"/>
              </w:rPr>
            </w:pPr>
            <w:r>
              <w:rPr>
                <w:noProof/>
                <w:sz w:val="20"/>
              </w:rPr>
              <w:t>p.m.</w:t>
            </w:r>
          </w:p>
        </w:tc>
        <w:tc>
          <w:tcPr>
            <w:tcW w:w="356" w:type="pct"/>
            <w:vAlign w:val="center"/>
          </w:tcPr>
          <w:p>
            <w:pPr>
              <w:spacing w:before="40" w:after="40"/>
              <w:jc w:val="center"/>
              <w:rPr>
                <w:rFonts w:eastAsia="Times New Roman"/>
                <w:b/>
                <w:noProof/>
                <w:sz w:val="20"/>
                <w:szCs w:val="20"/>
              </w:rPr>
            </w:pPr>
          </w:p>
        </w:tc>
        <w:tc>
          <w:tcPr>
            <w:tcW w:w="744" w:type="pct"/>
            <w:vAlign w:val="center"/>
          </w:tcPr>
          <w:p>
            <w:pPr>
              <w:spacing w:before="40" w:after="40"/>
              <w:jc w:val="center"/>
              <w:rPr>
                <w:rFonts w:eastAsia="Times New Roman"/>
                <w:b/>
                <w:noProof/>
                <w:sz w:val="20"/>
                <w:szCs w:val="20"/>
              </w:rPr>
            </w:pPr>
            <w:r>
              <w:rPr>
                <w:noProof/>
                <w:sz w:val="20"/>
              </w:rPr>
              <w:t>p.m.</w:t>
            </w:r>
          </w:p>
        </w:tc>
      </w:tr>
      <w:tr>
        <w:tc>
          <w:tcPr>
            <w:tcW w:w="1621" w:type="pct"/>
            <w:vMerge w:val="restart"/>
            <w:vAlign w:val="center"/>
          </w:tcPr>
          <w:p>
            <w:pPr>
              <w:jc w:val="center"/>
              <w:rPr>
                <w:rFonts w:eastAsia="Times New Roman"/>
                <w:b/>
                <w:noProof/>
                <w:szCs w:val="24"/>
              </w:rPr>
            </w:pPr>
            <w:r>
              <w:rPr>
                <w:b/>
                <w:noProof/>
              </w:rPr>
              <w:t>ОБЩО бюджетни кредити</w:t>
            </w:r>
            <w:r>
              <w:rPr>
                <w:rFonts w:eastAsia="Times New Roman"/>
                <w:b/>
                <w:noProof/>
              </w:rPr>
              <w:br/>
            </w:r>
            <w:r>
              <w:rPr>
                <w:b/>
                <w:noProof/>
              </w:rPr>
              <w:t>за ГД JRC</w:t>
            </w:r>
          </w:p>
        </w:tc>
        <w:tc>
          <w:tcPr>
            <w:tcW w:w="590" w:type="pct"/>
            <w:vAlign w:val="center"/>
          </w:tcPr>
          <w:p>
            <w:pPr>
              <w:rPr>
                <w:rFonts w:eastAsia="Times New Roman"/>
                <w:noProof/>
                <w:sz w:val="18"/>
                <w:szCs w:val="18"/>
              </w:rPr>
            </w:pPr>
            <w:r>
              <w:rPr>
                <w:noProof/>
                <w:sz w:val="18"/>
              </w:rPr>
              <w:t>Поети задължения</w:t>
            </w:r>
          </w:p>
        </w:tc>
        <w:tc>
          <w:tcPr>
            <w:tcW w:w="269" w:type="pct"/>
            <w:gridSpan w:val="2"/>
            <w:vAlign w:val="center"/>
          </w:tcPr>
          <w:p>
            <w:pPr>
              <w:jc w:val="center"/>
              <w:rPr>
                <w:rFonts w:eastAsia="Times New Roman"/>
                <w:noProof/>
                <w:sz w:val="14"/>
                <w:szCs w:val="14"/>
              </w:rPr>
            </w:pPr>
            <w:r>
              <w:rPr>
                <w:noProof/>
                <w:sz w:val="14"/>
              </w:rPr>
              <w:t>=1 +3</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6" w:type="pct"/>
            <w:vAlign w:val="center"/>
          </w:tcPr>
          <w:p>
            <w:pPr>
              <w:spacing w:before="20" w:after="20"/>
              <w:jc w:val="center"/>
              <w:rPr>
                <w:rFonts w:eastAsia="Times New Roman"/>
                <w:noProof/>
                <w:sz w:val="20"/>
                <w:szCs w:val="20"/>
              </w:rPr>
            </w:pPr>
          </w:p>
        </w:tc>
        <w:tc>
          <w:tcPr>
            <w:tcW w:w="744" w:type="pct"/>
            <w:vAlign w:val="center"/>
          </w:tcPr>
          <w:p>
            <w:pPr>
              <w:spacing w:before="20" w:after="20"/>
              <w:jc w:val="center"/>
              <w:rPr>
                <w:rFonts w:eastAsia="Times New Roman"/>
                <w:b/>
                <w:noProof/>
                <w:sz w:val="20"/>
                <w:szCs w:val="20"/>
              </w:rPr>
            </w:pPr>
            <w:r>
              <w:rPr>
                <w:noProof/>
                <w:sz w:val="20"/>
              </w:rPr>
              <w:t>p.m.</w:t>
            </w:r>
          </w:p>
        </w:tc>
      </w:tr>
      <w:tr>
        <w:tc>
          <w:tcPr>
            <w:tcW w:w="1621" w:type="pct"/>
            <w:vMerge/>
          </w:tcPr>
          <w:p>
            <w:pPr>
              <w:rPr>
                <w:rFonts w:eastAsia="Times New Roman"/>
                <w:noProof/>
                <w:sz w:val="20"/>
                <w:szCs w:val="20"/>
              </w:rPr>
            </w:pPr>
          </w:p>
        </w:tc>
        <w:tc>
          <w:tcPr>
            <w:tcW w:w="590" w:type="pct"/>
            <w:vAlign w:val="center"/>
          </w:tcPr>
          <w:p>
            <w:pPr>
              <w:rPr>
                <w:rFonts w:eastAsia="Times New Roman"/>
                <w:noProof/>
                <w:sz w:val="18"/>
                <w:szCs w:val="18"/>
              </w:rPr>
            </w:pPr>
            <w:r>
              <w:rPr>
                <w:noProof/>
                <w:sz w:val="18"/>
              </w:rPr>
              <w:t>Плащания</w:t>
            </w:r>
          </w:p>
        </w:tc>
        <w:tc>
          <w:tcPr>
            <w:tcW w:w="269" w:type="pct"/>
            <w:gridSpan w:val="2"/>
            <w:vAlign w:val="center"/>
          </w:tcPr>
          <w:p>
            <w:pPr>
              <w:jc w:val="center"/>
              <w:rPr>
                <w:rFonts w:eastAsia="Times New Roman"/>
                <w:noProof/>
                <w:sz w:val="14"/>
                <w:szCs w:val="14"/>
              </w:rPr>
            </w:pPr>
            <w:r>
              <w:rPr>
                <w:noProof/>
                <w:sz w:val="14"/>
              </w:rPr>
              <w:t>=2 +3</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6" w:type="pct"/>
            <w:vAlign w:val="center"/>
          </w:tcPr>
          <w:p>
            <w:pPr>
              <w:spacing w:before="20" w:after="20"/>
              <w:jc w:val="center"/>
              <w:rPr>
                <w:rFonts w:eastAsia="Times New Roman"/>
                <w:noProof/>
                <w:sz w:val="20"/>
                <w:szCs w:val="20"/>
              </w:rPr>
            </w:pPr>
            <w:r>
              <w:rPr>
                <w:noProof/>
                <w:sz w:val="20"/>
              </w:rPr>
              <w:t>p.m.</w:t>
            </w:r>
          </w:p>
        </w:tc>
        <w:tc>
          <w:tcPr>
            <w:tcW w:w="744" w:type="pct"/>
            <w:vAlign w:val="center"/>
          </w:tcPr>
          <w:p>
            <w:pPr>
              <w:spacing w:before="20" w:after="20"/>
              <w:jc w:val="center"/>
              <w:rPr>
                <w:rFonts w:eastAsia="Times New Roman"/>
                <w:b/>
                <w:noProof/>
                <w:sz w:val="20"/>
                <w:szCs w:val="20"/>
              </w:rPr>
            </w:pPr>
            <w:r>
              <w:rPr>
                <w:noProof/>
                <w:sz w:val="20"/>
              </w:rPr>
              <w:t>p.m.</w:t>
            </w:r>
          </w:p>
        </w:tc>
      </w:tr>
    </w:tbl>
    <w:p>
      <w:pPr>
        <w:rPr>
          <w:rFonts w:eastAsia="Times New Roman"/>
          <w:noProof/>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5"/>
        <w:gridCol w:w="1623"/>
        <w:gridCol w:w="736"/>
        <w:gridCol w:w="975"/>
        <w:gridCol w:w="975"/>
        <w:gridCol w:w="975"/>
        <w:gridCol w:w="975"/>
        <w:gridCol w:w="975"/>
        <w:gridCol w:w="2043"/>
      </w:tblGrid>
      <w:tr>
        <w:trPr>
          <w:trHeight w:val="277"/>
        </w:trPr>
        <w:tc>
          <w:tcPr>
            <w:tcW w:w="1622" w:type="pct"/>
            <w:vMerge w:val="restart"/>
            <w:vAlign w:val="center"/>
          </w:tcPr>
          <w:p>
            <w:pPr>
              <w:spacing w:before="20" w:after="20"/>
              <w:rPr>
                <w:rFonts w:eastAsia="Times New Roman"/>
                <w:noProof/>
                <w:color w:val="0000FF"/>
                <w:sz w:val="21"/>
                <w:szCs w:val="21"/>
              </w:rPr>
            </w:pPr>
            <w:r>
              <w:rPr>
                <w:noProof/>
              </w:rPr>
              <w:br w:type="page"/>
            </w:r>
            <w:r>
              <w:rPr>
                <w:rFonts w:eastAsia="Times New Roman"/>
                <w:noProof/>
                <w:sz w:val="21"/>
                <w:szCs w:val="20"/>
              </w:rPr>
              <w:sym w:font="Wingdings" w:char="F09F"/>
            </w:r>
            <w:r>
              <w:rPr>
                <w:noProof/>
                <w:sz w:val="21"/>
              </w:rPr>
              <w:t>ОБЩО бюджетни кредити за оперативни разходи</w:t>
            </w:r>
          </w:p>
        </w:tc>
        <w:tc>
          <w:tcPr>
            <w:tcW w:w="590" w:type="pct"/>
            <w:vAlign w:val="center"/>
          </w:tcPr>
          <w:p>
            <w:pPr>
              <w:spacing w:beforeLines="20" w:before="48" w:afterLines="20" w:after="48"/>
              <w:rPr>
                <w:rFonts w:eastAsia="Times New Roman"/>
                <w:noProof/>
                <w:sz w:val="18"/>
                <w:szCs w:val="18"/>
              </w:rPr>
            </w:pPr>
            <w:r>
              <w:rPr>
                <w:noProof/>
                <w:sz w:val="18"/>
              </w:rPr>
              <w:t>Поети задължения</w:t>
            </w:r>
          </w:p>
        </w:tc>
        <w:tc>
          <w:tcPr>
            <w:tcW w:w="268" w:type="pct"/>
            <w:vAlign w:val="center"/>
          </w:tcPr>
          <w:p>
            <w:pPr>
              <w:spacing w:beforeLines="20" w:before="48" w:afterLines="20" w:after="48"/>
              <w:jc w:val="center"/>
              <w:rPr>
                <w:rFonts w:eastAsia="Times New Roman"/>
                <w:noProof/>
                <w:sz w:val="14"/>
                <w:szCs w:val="14"/>
              </w:rPr>
            </w:pPr>
            <w:r>
              <w:rPr>
                <w:noProof/>
                <w:sz w:val="14"/>
              </w:rPr>
              <w:t>(4)</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p>
        </w:tc>
        <w:tc>
          <w:tcPr>
            <w:tcW w:w="744" w:type="pct"/>
            <w:vAlign w:val="center"/>
          </w:tcPr>
          <w:p>
            <w:pPr>
              <w:spacing w:before="20" w:after="20"/>
              <w:jc w:val="center"/>
              <w:rPr>
                <w:rFonts w:eastAsia="Times New Roman"/>
                <w:b/>
                <w:noProof/>
                <w:sz w:val="20"/>
                <w:szCs w:val="20"/>
              </w:rPr>
            </w:pPr>
            <w:r>
              <w:rPr>
                <w:noProof/>
                <w:sz w:val="20"/>
              </w:rPr>
              <w:t>p.m.</w:t>
            </w:r>
          </w:p>
        </w:tc>
      </w:tr>
      <w:tr>
        <w:tc>
          <w:tcPr>
            <w:tcW w:w="1622" w:type="pct"/>
            <w:vMerge/>
          </w:tcPr>
          <w:p>
            <w:pPr>
              <w:jc w:val="center"/>
              <w:rPr>
                <w:rFonts w:eastAsia="Times New Roman"/>
                <w:noProof/>
                <w:sz w:val="20"/>
                <w:szCs w:val="20"/>
              </w:rPr>
            </w:pPr>
          </w:p>
        </w:tc>
        <w:tc>
          <w:tcPr>
            <w:tcW w:w="590" w:type="pct"/>
            <w:vAlign w:val="center"/>
          </w:tcPr>
          <w:p>
            <w:pPr>
              <w:spacing w:beforeLines="20" w:before="48" w:afterLines="20" w:after="48"/>
              <w:rPr>
                <w:rFonts w:eastAsia="Times New Roman"/>
                <w:noProof/>
                <w:sz w:val="18"/>
                <w:szCs w:val="18"/>
              </w:rPr>
            </w:pPr>
            <w:r>
              <w:rPr>
                <w:noProof/>
                <w:sz w:val="18"/>
              </w:rPr>
              <w:t>Плащания</w:t>
            </w:r>
          </w:p>
        </w:tc>
        <w:tc>
          <w:tcPr>
            <w:tcW w:w="268" w:type="pct"/>
            <w:vAlign w:val="center"/>
          </w:tcPr>
          <w:p>
            <w:pPr>
              <w:spacing w:beforeLines="20" w:before="48" w:afterLines="20" w:after="48"/>
              <w:jc w:val="center"/>
              <w:rPr>
                <w:rFonts w:eastAsia="Times New Roman"/>
                <w:noProof/>
                <w:sz w:val="14"/>
                <w:szCs w:val="14"/>
              </w:rPr>
            </w:pPr>
            <w:r>
              <w:rPr>
                <w:noProof/>
                <w:sz w:val="14"/>
              </w:rPr>
              <w:t>(5)</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744" w:type="pct"/>
            <w:vAlign w:val="center"/>
          </w:tcPr>
          <w:p>
            <w:pPr>
              <w:spacing w:before="20" w:after="20"/>
              <w:jc w:val="center"/>
              <w:rPr>
                <w:rFonts w:eastAsia="Times New Roman"/>
                <w:b/>
                <w:noProof/>
                <w:sz w:val="20"/>
                <w:szCs w:val="20"/>
              </w:rPr>
            </w:pPr>
            <w:r>
              <w:rPr>
                <w:noProof/>
                <w:sz w:val="20"/>
              </w:rPr>
              <w:t>p.m.</w:t>
            </w:r>
          </w:p>
        </w:tc>
      </w:tr>
      <w:tr>
        <w:trPr>
          <w:trHeight w:val="533"/>
        </w:trPr>
        <w:tc>
          <w:tcPr>
            <w:tcW w:w="2213" w:type="pct"/>
            <w:gridSpan w:val="2"/>
            <w:vAlign w:val="center"/>
          </w:tcPr>
          <w:p>
            <w:pPr>
              <w:spacing w:beforeLines="20" w:before="48" w:afterLines="20" w:after="48"/>
              <w:rPr>
                <w:rFonts w:eastAsia="Times New Roman"/>
                <w:noProof/>
                <w:sz w:val="18"/>
                <w:szCs w:val="18"/>
              </w:rPr>
            </w:pPr>
            <w:r>
              <w:rPr>
                <w:rFonts w:eastAsia="Times New Roman"/>
                <w:noProof/>
                <w:sz w:val="21"/>
                <w:szCs w:val="20"/>
              </w:rPr>
              <w:sym w:font="Wingdings" w:char="F09F"/>
            </w:r>
            <w:r>
              <w:rPr>
                <w:noProof/>
                <w:sz w:val="21"/>
              </w:rPr>
              <w:t>ОБЩО бюджетни кредити за административни разходи, финансирани от пакета за специфични програми</w:t>
            </w:r>
          </w:p>
        </w:tc>
        <w:tc>
          <w:tcPr>
            <w:tcW w:w="268" w:type="pct"/>
            <w:vAlign w:val="center"/>
          </w:tcPr>
          <w:p>
            <w:pPr>
              <w:spacing w:beforeLines="20" w:before="48" w:afterLines="20" w:after="48"/>
              <w:jc w:val="center"/>
              <w:rPr>
                <w:rFonts w:eastAsia="Times New Roman"/>
                <w:noProof/>
                <w:sz w:val="14"/>
                <w:szCs w:val="14"/>
              </w:rPr>
            </w:pPr>
            <w:r>
              <w:rPr>
                <w:noProof/>
                <w:sz w:val="14"/>
              </w:rPr>
              <w:t>(6)</w:t>
            </w:r>
          </w:p>
        </w:tc>
        <w:tc>
          <w:tcPr>
            <w:tcW w:w="355" w:type="pct"/>
            <w:vAlign w:val="center"/>
          </w:tcPr>
          <w:p>
            <w:pPr>
              <w:spacing w:before="20" w:after="20"/>
              <w:jc w:val="center"/>
              <w:rPr>
                <w:rFonts w:eastAsia="Times New Roman"/>
                <w:b/>
                <w:noProof/>
                <w:sz w:val="20"/>
                <w:szCs w:val="20"/>
              </w:rPr>
            </w:pPr>
            <w:r>
              <w:rPr>
                <w:noProof/>
                <w:sz w:val="20"/>
              </w:rPr>
              <w:t>p.m.</w:t>
            </w:r>
          </w:p>
        </w:tc>
        <w:tc>
          <w:tcPr>
            <w:tcW w:w="355" w:type="pct"/>
            <w:vAlign w:val="center"/>
          </w:tcPr>
          <w:p>
            <w:pPr>
              <w:spacing w:before="20" w:after="20"/>
              <w:jc w:val="center"/>
              <w:rPr>
                <w:rFonts w:eastAsia="Times New Roman"/>
                <w:b/>
                <w:noProof/>
                <w:sz w:val="20"/>
                <w:szCs w:val="20"/>
              </w:rPr>
            </w:pPr>
            <w:r>
              <w:rPr>
                <w:noProof/>
                <w:sz w:val="20"/>
              </w:rPr>
              <w:t>p.m.</w:t>
            </w:r>
          </w:p>
        </w:tc>
        <w:tc>
          <w:tcPr>
            <w:tcW w:w="355" w:type="pct"/>
            <w:vAlign w:val="center"/>
          </w:tcPr>
          <w:p>
            <w:pPr>
              <w:spacing w:before="20" w:after="20"/>
              <w:jc w:val="center"/>
              <w:rPr>
                <w:rFonts w:eastAsia="Times New Roman"/>
                <w:b/>
                <w:noProof/>
                <w:sz w:val="20"/>
                <w:szCs w:val="20"/>
              </w:rPr>
            </w:pPr>
            <w:r>
              <w:rPr>
                <w:noProof/>
                <w:sz w:val="20"/>
              </w:rPr>
              <w:t>p.m.</w:t>
            </w:r>
          </w:p>
        </w:tc>
        <w:tc>
          <w:tcPr>
            <w:tcW w:w="355" w:type="pct"/>
            <w:vAlign w:val="center"/>
          </w:tcPr>
          <w:p>
            <w:pPr>
              <w:spacing w:before="20" w:after="20"/>
              <w:jc w:val="center"/>
              <w:rPr>
                <w:rFonts w:eastAsia="Times New Roman"/>
                <w:b/>
                <w:noProof/>
                <w:sz w:val="20"/>
                <w:szCs w:val="20"/>
              </w:rPr>
            </w:pPr>
            <w:r>
              <w:rPr>
                <w:noProof/>
                <w:sz w:val="20"/>
              </w:rPr>
              <w:t>p.m.</w:t>
            </w:r>
          </w:p>
        </w:tc>
        <w:tc>
          <w:tcPr>
            <w:tcW w:w="355" w:type="pct"/>
            <w:vAlign w:val="center"/>
          </w:tcPr>
          <w:p>
            <w:pPr>
              <w:spacing w:before="20" w:after="20"/>
              <w:jc w:val="center"/>
              <w:rPr>
                <w:rFonts w:eastAsia="Times New Roman"/>
                <w:b/>
                <w:noProof/>
                <w:sz w:val="20"/>
                <w:szCs w:val="20"/>
              </w:rPr>
            </w:pPr>
          </w:p>
        </w:tc>
        <w:tc>
          <w:tcPr>
            <w:tcW w:w="744" w:type="pct"/>
            <w:vAlign w:val="center"/>
          </w:tcPr>
          <w:p>
            <w:pPr>
              <w:spacing w:before="20" w:after="20"/>
              <w:jc w:val="center"/>
              <w:rPr>
                <w:rFonts w:eastAsia="Times New Roman"/>
                <w:b/>
                <w:noProof/>
                <w:sz w:val="20"/>
                <w:szCs w:val="20"/>
              </w:rPr>
            </w:pPr>
            <w:r>
              <w:rPr>
                <w:noProof/>
                <w:sz w:val="20"/>
              </w:rPr>
              <w:t>p.m.</w:t>
            </w:r>
          </w:p>
        </w:tc>
      </w:tr>
      <w:tr>
        <w:tc>
          <w:tcPr>
            <w:tcW w:w="1622" w:type="pct"/>
            <w:vMerge w:val="restart"/>
            <w:shd w:val="thinDiagStripe" w:color="C0C0C0" w:fill="auto"/>
            <w:vAlign w:val="center"/>
          </w:tcPr>
          <w:p>
            <w:pPr>
              <w:jc w:val="center"/>
              <w:rPr>
                <w:rFonts w:eastAsia="Times New Roman"/>
                <w:b/>
                <w:noProof/>
                <w:szCs w:val="24"/>
              </w:rPr>
            </w:pPr>
            <w:r>
              <w:rPr>
                <w:b/>
                <w:noProof/>
              </w:rPr>
              <w:t xml:space="preserve">ОБЩО бюджетни кредити </w:t>
            </w:r>
            <w:r>
              <w:rPr>
                <w:rFonts w:eastAsia="Times New Roman"/>
                <w:b/>
                <w:noProof/>
              </w:rPr>
              <w:br/>
            </w:r>
            <w:r>
              <w:rPr>
                <w:b/>
                <w:noProof/>
              </w:rPr>
              <w:t>по ФУНКЦИЯ 1a</w:t>
            </w:r>
            <w:r>
              <w:rPr>
                <w:rFonts w:eastAsia="Times New Roman"/>
                <w:b/>
                <w:noProof/>
              </w:rPr>
              <w:br/>
            </w:r>
            <w:r>
              <w:rPr>
                <w:noProof/>
              </w:rPr>
              <w:t>от многогодишната финансова рамка</w:t>
            </w:r>
          </w:p>
        </w:tc>
        <w:tc>
          <w:tcPr>
            <w:tcW w:w="590" w:type="pct"/>
            <w:vAlign w:val="center"/>
          </w:tcPr>
          <w:p>
            <w:pPr>
              <w:rPr>
                <w:rFonts w:eastAsia="Times New Roman"/>
                <w:noProof/>
                <w:sz w:val="18"/>
                <w:szCs w:val="18"/>
              </w:rPr>
            </w:pPr>
            <w:r>
              <w:rPr>
                <w:noProof/>
                <w:sz w:val="18"/>
              </w:rPr>
              <w:t>Поети задължения</w:t>
            </w:r>
          </w:p>
        </w:tc>
        <w:tc>
          <w:tcPr>
            <w:tcW w:w="268" w:type="pct"/>
            <w:vAlign w:val="center"/>
          </w:tcPr>
          <w:p>
            <w:pPr>
              <w:jc w:val="center"/>
              <w:rPr>
                <w:rFonts w:eastAsia="Times New Roman"/>
                <w:noProof/>
                <w:sz w:val="14"/>
                <w:szCs w:val="14"/>
              </w:rPr>
            </w:pPr>
            <w:r>
              <w:rPr>
                <w:noProof/>
                <w:sz w:val="14"/>
              </w:rPr>
              <w:t>=4+ 6</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p>
        </w:tc>
        <w:tc>
          <w:tcPr>
            <w:tcW w:w="744" w:type="pct"/>
            <w:vAlign w:val="center"/>
          </w:tcPr>
          <w:p>
            <w:pPr>
              <w:spacing w:before="20" w:after="20"/>
              <w:jc w:val="center"/>
              <w:rPr>
                <w:rFonts w:eastAsia="Times New Roman"/>
                <w:b/>
                <w:noProof/>
                <w:sz w:val="20"/>
                <w:szCs w:val="20"/>
              </w:rPr>
            </w:pPr>
            <w:r>
              <w:rPr>
                <w:noProof/>
                <w:sz w:val="20"/>
              </w:rPr>
              <w:t>p.m.</w:t>
            </w:r>
          </w:p>
        </w:tc>
      </w:tr>
      <w:tr>
        <w:tc>
          <w:tcPr>
            <w:tcW w:w="1622" w:type="pct"/>
            <w:vMerge/>
            <w:shd w:val="thinDiagStripe" w:color="C0C0C0" w:fill="auto"/>
          </w:tcPr>
          <w:p>
            <w:pPr>
              <w:rPr>
                <w:rFonts w:eastAsia="Times New Roman"/>
                <w:noProof/>
                <w:sz w:val="20"/>
                <w:szCs w:val="20"/>
              </w:rPr>
            </w:pPr>
          </w:p>
        </w:tc>
        <w:tc>
          <w:tcPr>
            <w:tcW w:w="590" w:type="pct"/>
            <w:vAlign w:val="center"/>
          </w:tcPr>
          <w:p>
            <w:pPr>
              <w:rPr>
                <w:rFonts w:eastAsia="Times New Roman"/>
                <w:noProof/>
                <w:sz w:val="18"/>
                <w:szCs w:val="18"/>
              </w:rPr>
            </w:pPr>
            <w:r>
              <w:rPr>
                <w:noProof/>
                <w:sz w:val="18"/>
              </w:rPr>
              <w:t>Плащания</w:t>
            </w:r>
          </w:p>
        </w:tc>
        <w:tc>
          <w:tcPr>
            <w:tcW w:w="268" w:type="pct"/>
            <w:vAlign w:val="center"/>
          </w:tcPr>
          <w:p>
            <w:pPr>
              <w:jc w:val="center"/>
              <w:rPr>
                <w:rFonts w:eastAsia="Times New Roman"/>
                <w:noProof/>
                <w:sz w:val="14"/>
                <w:szCs w:val="14"/>
              </w:rPr>
            </w:pPr>
            <w:r>
              <w:rPr>
                <w:noProof/>
                <w:sz w:val="14"/>
              </w:rPr>
              <w:t>=5+ 6</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744" w:type="pct"/>
            <w:vAlign w:val="center"/>
          </w:tcPr>
          <w:p>
            <w:pPr>
              <w:spacing w:before="20" w:after="20"/>
              <w:jc w:val="center"/>
              <w:rPr>
                <w:rFonts w:eastAsia="Times New Roman"/>
                <w:b/>
                <w:noProof/>
                <w:sz w:val="20"/>
                <w:szCs w:val="20"/>
              </w:rPr>
            </w:pPr>
            <w:r>
              <w:rPr>
                <w:noProof/>
                <w:sz w:val="20"/>
              </w:rPr>
              <w:t>p.m.</w:t>
            </w:r>
          </w:p>
        </w:tc>
      </w:tr>
    </w:tbl>
    <w:p>
      <w:pPr>
        <w:pageBreakBefore/>
        <w:spacing w:after="40"/>
        <w:rPr>
          <w:rFonts w:eastAsia="Times New Roman"/>
          <w:b/>
          <w:noProof/>
          <w:u w:val="single"/>
        </w:rPr>
      </w:pPr>
      <w:r>
        <w:rPr>
          <w:b/>
          <w:noProof/>
          <w:u w:val="single"/>
        </w:rPr>
        <w:t>Ако предложението/инициативата има отражение върху повече от една функция:</w:t>
      </w:r>
    </w:p>
    <w:tbl>
      <w:tblPr>
        <w:tblW w:w="5000" w:type="pct"/>
        <w:tblBorders>
          <w:top w:val="single" w:sz="4" w:space="0" w:color="FF0000"/>
          <w:left w:val="single" w:sz="4" w:space="0" w:color="FF0000"/>
          <w:bottom w:val="single" w:sz="4" w:space="0" w:color="FF0000"/>
          <w:right w:val="single" w:sz="4" w:space="0" w:color="FF0000"/>
          <w:insideH w:val="single" w:sz="4" w:space="0" w:color="auto"/>
          <w:insideV w:val="single" w:sz="4" w:space="0" w:color="auto"/>
        </w:tblBorders>
        <w:tblLook w:val="01E0" w:firstRow="1" w:lastRow="1" w:firstColumn="1" w:lastColumn="1" w:noHBand="0" w:noVBand="0"/>
      </w:tblPr>
      <w:tblGrid>
        <w:gridCol w:w="4455"/>
        <w:gridCol w:w="1623"/>
        <w:gridCol w:w="736"/>
        <w:gridCol w:w="975"/>
        <w:gridCol w:w="975"/>
        <w:gridCol w:w="975"/>
        <w:gridCol w:w="975"/>
        <w:gridCol w:w="975"/>
        <w:gridCol w:w="2043"/>
      </w:tblGrid>
      <w:tr>
        <w:trPr>
          <w:trHeight w:val="277"/>
        </w:trPr>
        <w:tc>
          <w:tcPr>
            <w:tcW w:w="1622" w:type="pct"/>
            <w:vMerge w:val="restart"/>
            <w:tcBorders>
              <w:left w:val="single" w:sz="4" w:space="0" w:color="auto"/>
              <w:bottom w:val="single" w:sz="4" w:space="0" w:color="FF0000"/>
            </w:tcBorders>
            <w:vAlign w:val="center"/>
          </w:tcPr>
          <w:p>
            <w:pPr>
              <w:spacing w:before="20" w:after="20"/>
              <w:rPr>
                <w:rFonts w:eastAsia="Times New Roman"/>
                <w:noProof/>
                <w:color w:val="0000FF"/>
                <w:sz w:val="21"/>
                <w:szCs w:val="21"/>
              </w:rPr>
            </w:pPr>
            <w:r>
              <w:rPr>
                <w:rFonts w:eastAsia="Times New Roman"/>
                <w:noProof/>
                <w:sz w:val="21"/>
                <w:szCs w:val="20"/>
              </w:rPr>
              <w:sym w:font="Wingdings" w:char="F09F"/>
            </w:r>
            <w:r>
              <w:rPr>
                <w:noProof/>
                <w:sz w:val="21"/>
              </w:rPr>
              <w:t>ОБЩО бюджетни кредити за оперативни разходи</w:t>
            </w:r>
          </w:p>
        </w:tc>
        <w:tc>
          <w:tcPr>
            <w:tcW w:w="590" w:type="pct"/>
            <w:vAlign w:val="center"/>
          </w:tcPr>
          <w:p>
            <w:pPr>
              <w:spacing w:beforeLines="20" w:before="48" w:afterLines="20" w:after="48"/>
              <w:rPr>
                <w:rFonts w:eastAsia="Times New Roman"/>
                <w:noProof/>
                <w:sz w:val="18"/>
                <w:szCs w:val="18"/>
              </w:rPr>
            </w:pPr>
            <w:r>
              <w:rPr>
                <w:noProof/>
                <w:sz w:val="18"/>
              </w:rPr>
              <w:t>Поети задължения</w:t>
            </w:r>
          </w:p>
        </w:tc>
        <w:tc>
          <w:tcPr>
            <w:tcW w:w="268" w:type="pct"/>
            <w:vAlign w:val="center"/>
          </w:tcPr>
          <w:p>
            <w:pPr>
              <w:spacing w:beforeLines="20" w:before="48" w:afterLines="20" w:after="48"/>
              <w:jc w:val="center"/>
              <w:rPr>
                <w:rFonts w:eastAsia="Times New Roman"/>
                <w:noProof/>
                <w:sz w:val="14"/>
                <w:szCs w:val="14"/>
              </w:rPr>
            </w:pPr>
            <w:r>
              <w:rPr>
                <w:noProof/>
                <w:sz w:val="14"/>
              </w:rPr>
              <w:t>(4)</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p>
        </w:tc>
        <w:tc>
          <w:tcPr>
            <w:tcW w:w="744" w:type="pct"/>
            <w:tcBorders>
              <w:right w:val="single" w:sz="4" w:space="0" w:color="auto"/>
            </w:tcBorders>
            <w:vAlign w:val="center"/>
          </w:tcPr>
          <w:p>
            <w:pPr>
              <w:spacing w:before="20" w:after="20"/>
              <w:jc w:val="center"/>
              <w:rPr>
                <w:rFonts w:eastAsia="Times New Roman"/>
                <w:b/>
                <w:noProof/>
                <w:sz w:val="20"/>
                <w:szCs w:val="20"/>
              </w:rPr>
            </w:pPr>
            <w:r>
              <w:rPr>
                <w:noProof/>
                <w:sz w:val="20"/>
              </w:rPr>
              <w:t>p.m.</w:t>
            </w:r>
          </w:p>
        </w:tc>
      </w:tr>
      <w:tr>
        <w:tc>
          <w:tcPr>
            <w:tcW w:w="1622" w:type="pct"/>
            <w:vMerge/>
            <w:tcBorders>
              <w:top w:val="single" w:sz="4" w:space="0" w:color="FF0000"/>
              <w:left w:val="single" w:sz="4" w:space="0" w:color="auto"/>
              <w:bottom w:val="single" w:sz="4" w:space="0" w:color="FF0000"/>
            </w:tcBorders>
          </w:tcPr>
          <w:p>
            <w:pPr>
              <w:jc w:val="center"/>
              <w:rPr>
                <w:rFonts w:eastAsia="Times New Roman"/>
                <w:noProof/>
                <w:sz w:val="20"/>
                <w:szCs w:val="20"/>
              </w:rPr>
            </w:pPr>
          </w:p>
        </w:tc>
        <w:tc>
          <w:tcPr>
            <w:tcW w:w="590" w:type="pct"/>
            <w:vAlign w:val="center"/>
          </w:tcPr>
          <w:p>
            <w:pPr>
              <w:spacing w:beforeLines="20" w:before="48" w:afterLines="20" w:after="48"/>
              <w:rPr>
                <w:rFonts w:eastAsia="Times New Roman"/>
                <w:noProof/>
                <w:sz w:val="18"/>
                <w:szCs w:val="18"/>
              </w:rPr>
            </w:pPr>
            <w:r>
              <w:rPr>
                <w:noProof/>
                <w:sz w:val="18"/>
              </w:rPr>
              <w:t>Плащания</w:t>
            </w:r>
          </w:p>
        </w:tc>
        <w:tc>
          <w:tcPr>
            <w:tcW w:w="268" w:type="pct"/>
            <w:vAlign w:val="center"/>
          </w:tcPr>
          <w:p>
            <w:pPr>
              <w:spacing w:beforeLines="20" w:before="48" w:afterLines="20" w:after="48"/>
              <w:jc w:val="center"/>
              <w:rPr>
                <w:rFonts w:eastAsia="Times New Roman"/>
                <w:noProof/>
                <w:sz w:val="14"/>
                <w:szCs w:val="14"/>
              </w:rPr>
            </w:pPr>
            <w:r>
              <w:rPr>
                <w:noProof/>
                <w:sz w:val="14"/>
              </w:rPr>
              <w:t>(5)</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744" w:type="pct"/>
            <w:tcBorders>
              <w:right w:val="single" w:sz="4" w:space="0" w:color="auto"/>
            </w:tcBorders>
            <w:vAlign w:val="center"/>
          </w:tcPr>
          <w:p>
            <w:pPr>
              <w:spacing w:before="20" w:after="20"/>
              <w:jc w:val="center"/>
              <w:rPr>
                <w:rFonts w:eastAsia="Times New Roman"/>
                <w:b/>
                <w:noProof/>
                <w:sz w:val="20"/>
                <w:szCs w:val="20"/>
              </w:rPr>
            </w:pPr>
            <w:r>
              <w:rPr>
                <w:noProof/>
                <w:sz w:val="20"/>
              </w:rPr>
              <w:t>p.m.</w:t>
            </w:r>
          </w:p>
        </w:tc>
      </w:tr>
      <w:tr>
        <w:tblPrEx>
          <w:tblBorders>
            <w:top w:val="single" w:sz="4" w:space="0" w:color="auto"/>
            <w:left w:val="single" w:sz="4" w:space="0" w:color="auto"/>
            <w:bottom w:val="single" w:sz="4" w:space="0" w:color="auto"/>
            <w:right w:val="single" w:sz="4" w:space="0" w:color="auto"/>
          </w:tblBorders>
        </w:tblPrEx>
        <w:trPr>
          <w:trHeight w:val="533"/>
        </w:trPr>
        <w:tc>
          <w:tcPr>
            <w:tcW w:w="2213" w:type="pct"/>
            <w:gridSpan w:val="2"/>
            <w:vAlign w:val="center"/>
          </w:tcPr>
          <w:p>
            <w:pPr>
              <w:spacing w:beforeLines="20" w:before="48" w:afterLines="20" w:after="48"/>
              <w:rPr>
                <w:rFonts w:eastAsia="Times New Roman"/>
                <w:noProof/>
                <w:sz w:val="18"/>
                <w:szCs w:val="18"/>
              </w:rPr>
            </w:pPr>
            <w:r>
              <w:rPr>
                <w:rFonts w:eastAsia="Times New Roman"/>
                <w:noProof/>
                <w:sz w:val="21"/>
                <w:szCs w:val="20"/>
              </w:rPr>
              <w:sym w:font="Wingdings" w:char="F09F"/>
            </w:r>
            <w:r>
              <w:rPr>
                <w:noProof/>
                <w:sz w:val="21"/>
              </w:rPr>
              <w:t>ОБЩО бюджетни кредити за административни разходи, финансирани от пакета за специфични програми</w:t>
            </w:r>
          </w:p>
        </w:tc>
        <w:tc>
          <w:tcPr>
            <w:tcW w:w="268" w:type="pct"/>
            <w:vAlign w:val="center"/>
          </w:tcPr>
          <w:p>
            <w:pPr>
              <w:spacing w:beforeLines="20" w:before="48" w:afterLines="20" w:after="48"/>
              <w:jc w:val="center"/>
              <w:rPr>
                <w:rFonts w:eastAsia="Times New Roman"/>
                <w:noProof/>
                <w:sz w:val="14"/>
                <w:szCs w:val="14"/>
              </w:rPr>
            </w:pPr>
            <w:r>
              <w:rPr>
                <w:noProof/>
                <w:sz w:val="14"/>
              </w:rPr>
              <w:t>(6)</w:t>
            </w:r>
          </w:p>
        </w:tc>
        <w:tc>
          <w:tcPr>
            <w:tcW w:w="355" w:type="pct"/>
            <w:vAlign w:val="center"/>
          </w:tcPr>
          <w:p>
            <w:pPr>
              <w:spacing w:before="20" w:after="20"/>
              <w:jc w:val="center"/>
              <w:rPr>
                <w:rFonts w:eastAsia="Times New Roman"/>
                <w:b/>
                <w:noProof/>
                <w:sz w:val="20"/>
                <w:szCs w:val="20"/>
              </w:rPr>
            </w:pPr>
            <w:r>
              <w:rPr>
                <w:noProof/>
                <w:sz w:val="20"/>
              </w:rPr>
              <w:t>p.m.</w:t>
            </w:r>
          </w:p>
        </w:tc>
        <w:tc>
          <w:tcPr>
            <w:tcW w:w="355" w:type="pct"/>
            <w:vAlign w:val="center"/>
          </w:tcPr>
          <w:p>
            <w:pPr>
              <w:spacing w:before="20" w:after="20"/>
              <w:jc w:val="center"/>
              <w:rPr>
                <w:rFonts w:eastAsia="Times New Roman"/>
                <w:b/>
                <w:noProof/>
                <w:sz w:val="20"/>
                <w:szCs w:val="20"/>
              </w:rPr>
            </w:pPr>
            <w:r>
              <w:rPr>
                <w:noProof/>
                <w:sz w:val="20"/>
              </w:rPr>
              <w:t>p.m.</w:t>
            </w:r>
          </w:p>
        </w:tc>
        <w:tc>
          <w:tcPr>
            <w:tcW w:w="355" w:type="pct"/>
            <w:vAlign w:val="center"/>
          </w:tcPr>
          <w:p>
            <w:pPr>
              <w:spacing w:before="20" w:after="20"/>
              <w:jc w:val="center"/>
              <w:rPr>
                <w:rFonts w:eastAsia="Times New Roman"/>
                <w:b/>
                <w:noProof/>
                <w:sz w:val="20"/>
                <w:szCs w:val="20"/>
              </w:rPr>
            </w:pPr>
            <w:r>
              <w:rPr>
                <w:noProof/>
                <w:sz w:val="20"/>
              </w:rPr>
              <w:t>p.m.</w:t>
            </w:r>
          </w:p>
        </w:tc>
        <w:tc>
          <w:tcPr>
            <w:tcW w:w="355" w:type="pct"/>
            <w:vAlign w:val="center"/>
          </w:tcPr>
          <w:p>
            <w:pPr>
              <w:spacing w:before="20" w:after="20"/>
              <w:jc w:val="center"/>
              <w:rPr>
                <w:rFonts w:eastAsia="Times New Roman"/>
                <w:b/>
                <w:noProof/>
                <w:sz w:val="20"/>
                <w:szCs w:val="20"/>
              </w:rPr>
            </w:pPr>
            <w:r>
              <w:rPr>
                <w:noProof/>
                <w:sz w:val="20"/>
              </w:rPr>
              <w:t>p.m.</w:t>
            </w:r>
          </w:p>
        </w:tc>
        <w:tc>
          <w:tcPr>
            <w:tcW w:w="355" w:type="pct"/>
            <w:vAlign w:val="center"/>
          </w:tcPr>
          <w:p>
            <w:pPr>
              <w:spacing w:before="20" w:after="20"/>
              <w:jc w:val="center"/>
              <w:rPr>
                <w:rFonts w:eastAsia="Times New Roman"/>
                <w:b/>
                <w:noProof/>
                <w:sz w:val="20"/>
                <w:szCs w:val="20"/>
              </w:rPr>
            </w:pPr>
          </w:p>
        </w:tc>
        <w:tc>
          <w:tcPr>
            <w:tcW w:w="744" w:type="pct"/>
            <w:vAlign w:val="center"/>
          </w:tcPr>
          <w:p>
            <w:pPr>
              <w:spacing w:before="20" w:after="20"/>
              <w:jc w:val="center"/>
              <w:rPr>
                <w:rFonts w:eastAsia="Times New Roman"/>
                <w:b/>
                <w:noProof/>
                <w:sz w:val="20"/>
                <w:szCs w:val="20"/>
              </w:rPr>
            </w:pPr>
            <w:r>
              <w:rPr>
                <w:noProof/>
                <w:sz w:val="20"/>
              </w:rPr>
              <w:t>p.m.</w:t>
            </w:r>
          </w:p>
        </w:tc>
      </w:tr>
      <w:tr>
        <w:tc>
          <w:tcPr>
            <w:tcW w:w="1622" w:type="pct"/>
            <w:vMerge w:val="restart"/>
            <w:tcBorders>
              <w:top w:val="single" w:sz="4" w:space="0" w:color="FF0000"/>
              <w:left w:val="single" w:sz="4" w:space="0" w:color="auto"/>
              <w:bottom w:val="single" w:sz="4" w:space="0" w:color="FF0000"/>
            </w:tcBorders>
            <w:shd w:val="thinDiagStripe" w:color="C0C0C0" w:fill="auto"/>
            <w:vAlign w:val="center"/>
          </w:tcPr>
          <w:p>
            <w:pPr>
              <w:jc w:val="center"/>
              <w:rPr>
                <w:rFonts w:eastAsia="Times New Roman"/>
                <w:b/>
                <w:noProof/>
                <w:szCs w:val="24"/>
              </w:rPr>
            </w:pPr>
            <w:r>
              <w:rPr>
                <w:b/>
                <w:noProof/>
              </w:rPr>
              <w:t xml:space="preserve">ОБЩО бюджетни кредити </w:t>
            </w:r>
            <w:r>
              <w:rPr>
                <w:rFonts w:eastAsia="Times New Roman"/>
                <w:b/>
                <w:noProof/>
              </w:rPr>
              <w:br/>
            </w:r>
            <w:r>
              <w:rPr>
                <w:b/>
                <w:noProof/>
              </w:rPr>
              <w:t>по ФУНКЦИИ 1—4</w:t>
            </w:r>
            <w:r>
              <w:rPr>
                <w:rFonts w:eastAsia="Times New Roman"/>
                <w:b/>
                <w:noProof/>
              </w:rPr>
              <w:br/>
            </w:r>
            <w:r>
              <w:rPr>
                <w:noProof/>
              </w:rPr>
              <w:t>от многогодишната финансова рамка</w:t>
            </w:r>
            <w:r>
              <w:rPr>
                <w:noProof/>
              </w:rPr>
              <w:br/>
            </w:r>
            <w:r>
              <w:rPr>
                <w:noProof/>
                <w:sz w:val="20"/>
              </w:rPr>
              <w:t>(Референтна сума)</w:t>
            </w:r>
          </w:p>
        </w:tc>
        <w:tc>
          <w:tcPr>
            <w:tcW w:w="590" w:type="pct"/>
            <w:vAlign w:val="center"/>
          </w:tcPr>
          <w:p>
            <w:pPr>
              <w:rPr>
                <w:rFonts w:eastAsia="Times New Roman"/>
                <w:noProof/>
                <w:sz w:val="18"/>
                <w:szCs w:val="18"/>
              </w:rPr>
            </w:pPr>
            <w:r>
              <w:rPr>
                <w:noProof/>
                <w:sz w:val="18"/>
              </w:rPr>
              <w:t>Поети задължения</w:t>
            </w:r>
          </w:p>
        </w:tc>
        <w:tc>
          <w:tcPr>
            <w:tcW w:w="268" w:type="pct"/>
            <w:vAlign w:val="center"/>
          </w:tcPr>
          <w:p>
            <w:pPr>
              <w:jc w:val="center"/>
              <w:rPr>
                <w:rFonts w:eastAsia="Times New Roman"/>
                <w:noProof/>
                <w:sz w:val="14"/>
                <w:szCs w:val="14"/>
              </w:rPr>
            </w:pPr>
            <w:r>
              <w:rPr>
                <w:noProof/>
                <w:sz w:val="14"/>
              </w:rPr>
              <w:t>=4+ 6</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p>
        </w:tc>
        <w:tc>
          <w:tcPr>
            <w:tcW w:w="744" w:type="pct"/>
            <w:tcBorders>
              <w:right w:val="single" w:sz="4" w:space="0" w:color="auto"/>
            </w:tcBorders>
            <w:vAlign w:val="center"/>
          </w:tcPr>
          <w:p>
            <w:pPr>
              <w:spacing w:before="20" w:after="20"/>
              <w:jc w:val="center"/>
              <w:rPr>
                <w:rFonts w:eastAsia="Times New Roman"/>
                <w:b/>
                <w:noProof/>
                <w:sz w:val="20"/>
                <w:szCs w:val="20"/>
              </w:rPr>
            </w:pPr>
            <w:r>
              <w:rPr>
                <w:noProof/>
                <w:sz w:val="20"/>
              </w:rPr>
              <w:t>p.m.</w:t>
            </w:r>
          </w:p>
        </w:tc>
      </w:tr>
      <w:tr>
        <w:trPr>
          <w:trHeight w:val="449"/>
        </w:trPr>
        <w:tc>
          <w:tcPr>
            <w:tcW w:w="1622" w:type="pct"/>
            <w:vMerge/>
            <w:tcBorders>
              <w:top w:val="single" w:sz="4" w:space="0" w:color="FF0000"/>
              <w:left w:val="single" w:sz="4" w:space="0" w:color="auto"/>
            </w:tcBorders>
            <w:shd w:val="thinDiagStripe" w:color="C0C0C0" w:fill="auto"/>
          </w:tcPr>
          <w:p>
            <w:pPr>
              <w:rPr>
                <w:rFonts w:eastAsia="Times New Roman"/>
                <w:noProof/>
                <w:sz w:val="20"/>
                <w:szCs w:val="20"/>
              </w:rPr>
            </w:pPr>
          </w:p>
        </w:tc>
        <w:tc>
          <w:tcPr>
            <w:tcW w:w="590" w:type="pct"/>
            <w:vAlign w:val="center"/>
          </w:tcPr>
          <w:p>
            <w:pPr>
              <w:rPr>
                <w:rFonts w:eastAsia="Times New Roman"/>
                <w:noProof/>
                <w:sz w:val="18"/>
                <w:szCs w:val="18"/>
              </w:rPr>
            </w:pPr>
            <w:r>
              <w:rPr>
                <w:noProof/>
                <w:sz w:val="18"/>
              </w:rPr>
              <w:t>Плащания</w:t>
            </w:r>
          </w:p>
        </w:tc>
        <w:tc>
          <w:tcPr>
            <w:tcW w:w="268" w:type="pct"/>
            <w:vAlign w:val="center"/>
          </w:tcPr>
          <w:p>
            <w:pPr>
              <w:jc w:val="center"/>
              <w:rPr>
                <w:rFonts w:eastAsia="Times New Roman"/>
                <w:noProof/>
                <w:sz w:val="14"/>
                <w:szCs w:val="14"/>
              </w:rPr>
            </w:pPr>
            <w:r>
              <w:rPr>
                <w:noProof/>
                <w:sz w:val="14"/>
              </w:rPr>
              <w:t>=5+ 6</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355" w:type="pct"/>
            <w:vAlign w:val="center"/>
          </w:tcPr>
          <w:p>
            <w:pPr>
              <w:spacing w:before="20" w:after="20"/>
              <w:jc w:val="center"/>
              <w:rPr>
                <w:rFonts w:eastAsia="Times New Roman"/>
                <w:noProof/>
                <w:sz w:val="20"/>
                <w:szCs w:val="20"/>
              </w:rPr>
            </w:pPr>
            <w:r>
              <w:rPr>
                <w:noProof/>
                <w:sz w:val="20"/>
              </w:rPr>
              <w:t>p.m.</w:t>
            </w:r>
          </w:p>
        </w:tc>
        <w:tc>
          <w:tcPr>
            <w:tcW w:w="744" w:type="pct"/>
            <w:tcBorders>
              <w:right w:val="single" w:sz="4" w:space="0" w:color="auto"/>
            </w:tcBorders>
            <w:vAlign w:val="center"/>
          </w:tcPr>
          <w:p>
            <w:pPr>
              <w:spacing w:before="20" w:after="20"/>
              <w:jc w:val="center"/>
              <w:rPr>
                <w:rFonts w:eastAsia="Times New Roman"/>
                <w:b/>
                <w:noProof/>
                <w:sz w:val="20"/>
                <w:szCs w:val="20"/>
              </w:rPr>
            </w:pPr>
            <w:r>
              <w:rPr>
                <w:noProof/>
                <w:sz w:val="20"/>
              </w:rPr>
              <w:t>p.m.</w:t>
            </w:r>
          </w:p>
        </w:tc>
      </w:tr>
    </w:tbl>
    <w:p>
      <w:pPr>
        <w:spacing w:after="60"/>
        <w:rPr>
          <w:rFonts w:eastAsia="Times New Roman"/>
          <w:noProof/>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6"/>
        <w:gridCol w:w="1088"/>
        <w:gridCol w:w="7868"/>
      </w:tblGrid>
      <w:tr>
        <w:trPr>
          <w:jc w:val="center"/>
        </w:trPr>
        <w:tc>
          <w:tcPr>
            <w:tcW w:w="1739" w:type="pct"/>
            <w:shd w:val="thinDiagStripe" w:color="C0C0C0" w:fill="auto"/>
            <w:vAlign w:val="center"/>
          </w:tcPr>
          <w:p>
            <w:pPr>
              <w:spacing w:before="60" w:after="60"/>
              <w:jc w:val="center"/>
              <w:rPr>
                <w:rFonts w:eastAsia="Times New Roman"/>
                <w:b/>
                <w:noProof/>
                <w:szCs w:val="24"/>
              </w:rPr>
            </w:pPr>
            <w:r>
              <w:rPr>
                <w:noProof/>
              </w:rPr>
              <w:br w:type="page"/>
            </w:r>
            <w:r>
              <w:rPr>
                <w:b/>
                <w:noProof/>
              </w:rPr>
              <w:t xml:space="preserve">Функция от многогодишната финансова рамка: </w:t>
            </w:r>
          </w:p>
        </w:tc>
        <w:tc>
          <w:tcPr>
            <w:tcW w:w="396" w:type="pct"/>
            <w:shd w:val="thinDiagStripe" w:color="C0C0C0" w:fill="auto"/>
            <w:vAlign w:val="center"/>
          </w:tcPr>
          <w:p>
            <w:pPr>
              <w:spacing w:before="60" w:after="60"/>
              <w:jc w:val="center"/>
              <w:rPr>
                <w:rFonts w:eastAsia="Times New Roman"/>
                <w:noProof/>
                <w:color w:val="0000FF"/>
                <w:szCs w:val="24"/>
              </w:rPr>
            </w:pPr>
            <w:r>
              <w:rPr>
                <w:b/>
                <w:noProof/>
              </w:rPr>
              <w:t>5</w:t>
            </w:r>
          </w:p>
        </w:tc>
        <w:tc>
          <w:tcPr>
            <w:tcW w:w="2865" w:type="pct"/>
            <w:vAlign w:val="center"/>
          </w:tcPr>
          <w:p>
            <w:pPr>
              <w:spacing w:before="60" w:after="60"/>
              <w:rPr>
                <w:rFonts w:eastAsia="Times New Roman"/>
                <w:noProof/>
                <w:szCs w:val="24"/>
              </w:rPr>
            </w:pPr>
            <w:r>
              <w:rPr>
                <w:noProof/>
              </w:rPr>
              <w:t>„Административни разходи“</w:t>
            </w:r>
          </w:p>
        </w:tc>
      </w:tr>
    </w:tbl>
    <w:p>
      <w:pPr>
        <w:jc w:val="right"/>
        <w:rPr>
          <w:rFonts w:eastAsia="Times New Roman"/>
          <w:noProof/>
          <w:sz w:val="20"/>
          <w:szCs w:val="20"/>
        </w:rPr>
      </w:pPr>
      <w:r>
        <w:rPr>
          <w:noProof/>
          <w:sz w:val="20"/>
        </w:rPr>
        <w:t>млн. евро (до 3-тия знак след десетичната запетая)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2"/>
        <w:gridCol w:w="1755"/>
        <w:gridCol w:w="604"/>
        <w:gridCol w:w="975"/>
        <w:gridCol w:w="975"/>
        <w:gridCol w:w="975"/>
        <w:gridCol w:w="975"/>
        <w:gridCol w:w="978"/>
        <w:gridCol w:w="2043"/>
      </w:tblGrid>
      <w:tr>
        <w:tc>
          <w:tcPr>
            <w:tcW w:w="1621" w:type="pct"/>
            <w:vAlign w:val="center"/>
          </w:tcPr>
          <w:p>
            <w:pPr>
              <w:jc w:val="center"/>
              <w:rPr>
                <w:rFonts w:eastAsia="Times New Roman"/>
                <w:noProof/>
                <w:szCs w:val="24"/>
              </w:rPr>
            </w:pPr>
            <w:r>
              <w:rPr>
                <w:noProof/>
              </w:rPr>
              <w:t xml:space="preserve">ГД: </w:t>
            </w:r>
            <w:r>
              <w:rPr>
                <w:noProof/>
                <w:color w:val="0000FF"/>
              </w:rPr>
              <w:t>JRC</w:t>
            </w:r>
          </w:p>
        </w:tc>
        <w:tc>
          <w:tcPr>
            <w:tcW w:w="639" w:type="pct"/>
            <w:tcBorders>
              <w:top w:val="nil"/>
              <w:bottom w:val="nil"/>
              <w:right w:val="nil"/>
            </w:tcBorders>
          </w:tcPr>
          <w:p>
            <w:pPr>
              <w:rPr>
                <w:rFonts w:eastAsia="Times New Roman"/>
                <w:noProof/>
                <w:sz w:val="20"/>
                <w:szCs w:val="20"/>
              </w:rPr>
            </w:pPr>
          </w:p>
        </w:tc>
        <w:tc>
          <w:tcPr>
            <w:tcW w:w="220" w:type="pct"/>
            <w:tcBorders>
              <w:top w:val="nil"/>
              <w:left w:val="nil"/>
              <w:bottom w:val="nil"/>
            </w:tcBorders>
          </w:tcPr>
          <w:p>
            <w:pPr>
              <w:jc w:val="center"/>
              <w:rPr>
                <w:rFonts w:eastAsia="Times New Roman"/>
                <w:noProof/>
                <w:sz w:val="20"/>
                <w:szCs w:val="20"/>
              </w:rPr>
            </w:pPr>
          </w:p>
        </w:tc>
        <w:tc>
          <w:tcPr>
            <w:tcW w:w="355" w:type="pct"/>
            <w:vAlign w:val="center"/>
          </w:tcPr>
          <w:p>
            <w:pPr>
              <w:jc w:val="center"/>
              <w:rPr>
                <w:rFonts w:eastAsia="Times New Roman"/>
                <w:noProof/>
                <w:sz w:val="20"/>
                <w:szCs w:val="20"/>
              </w:rPr>
            </w:pPr>
            <w:r>
              <w:rPr>
                <w:noProof/>
                <w:sz w:val="20"/>
              </w:rPr>
              <w:t>Година 2016</w:t>
            </w:r>
          </w:p>
        </w:tc>
        <w:tc>
          <w:tcPr>
            <w:tcW w:w="355" w:type="pct"/>
            <w:vAlign w:val="center"/>
          </w:tcPr>
          <w:p>
            <w:pPr>
              <w:jc w:val="center"/>
              <w:rPr>
                <w:rFonts w:eastAsia="Times New Roman"/>
                <w:noProof/>
                <w:sz w:val="20"/>
                <w:szCs w:val="20"/>
              </w:rPr>
            </w:pPr>
            <w:r>
              <w:rPr>
                <w:noProof/>
                <w:sz w:val="20"/>
              </w:rPr>
              <w:t>Година 2017</w:t>
            </w:r>
          </w:p>
        </w:tc>
        <w:tc>
          <w:tcPr>
            <w:tcW w:w="355" w:type="pct"/>
            <w:vAlign w:val="center"/>
          </w:tcPr>
          <w:p>
            <w:pPr>
              <w:jc w:val="center"/>
              <w:rPr>
                <w:rFonts w:eastAsia="Times New Roman"/>
                <w:noProof/>
                <w:sz w:val="20"/>
                <w:szCs w:val="20"/>
              </w:rPr>
            </w:pPr>
            <w:r>
              <w:rPr>
                <w:noProof/>
                <w:sz w:val="20"/>
              </w:rPr>
              <w:t>Година 2018</w:t>
            </w:r>
          </w:p>
        </w:tc>
        <w:tc>
          <w:tcPr>
            <w:tcW w:w="355" w:type="pct"/>
            <w:vAlign w:val="center"/>
          </w:tcPr>
          <w:p>
            <w:pPr>
              <w:jc w:val="center"/>
              <w:rPr>
                <w:rFonts w:eastAsia="Times New Roman"/>
                <w:noProof/>
                <w:sz w:val="20"/>
                <w:szCs w:val="20"/>
              </w:rPr>
            </w:pPr>
            <w:r>
              <w:rPr>
                <w:noProof/>
                <w:sz w:val="20"/>
              </w:rPr>
              <w:t>Година 2019</w:t>
            </w:r>
          </w:p>
        </w:tc>
        <w:tc>
          <w:tcPr>
            <w:tcW w:w="356" w:type="pct"/>
            <w:vAlign w:val="center"/>
          </w:tcPr>
          <w:p>
            <w:pPr>
              <w:jc w:val="center"/>
              <w:rPr>
                <w:rFonts w:eastAsia="Times New Roman"/>
                <w:b/>
                <w:noProof/>
                <w:sz w:val="18"/>
                <w:szCs w:val="18"/>
              </w:rPr>
            </w:pPr>
            <w:r>
              <w:rPr>
                <w:noProof/>
                <w:color w:val="000000"/>
                <w:sz w:val="20"/>
              </w:rPr>
              <w:t>Година ≥2019</w:t>
            </w:r>
          </w:p>
        </w:tc>
        <w:tc>
          <w:tcPr>
            <w:tcW w:w="744" w:type="pct"/>
            <w:vAlign w:val="center"/>
          </w:tcPr>
          <w:p>
            <w:pPr>
              <w:jc w:val="center"/>
              <w:rPr>
                <w:rFonts w:eastAsia="Times New Roman"/>
                <w:b/>
                <w:noProof/>
                <w:sz w:val="20"/>
                <w:szCs w:val="20"/>
              </w:rPr>
            </w:pPr>
            <w:r>
              <w:rPr>
                <w:b/>
                <w:noProof/>
                <w:sz w:val="20"/>
              </w:rPr>
              <w:t>ОБЩО</w:t>
            </w:r>
          </w:p>
        </w:tc>
      </w:tr>
      <w:tr>
        <w:trPr>
          <w:trHeight w:val="313"/>
        </w:trPr>
        <w:tc>
          <w:tcPr>
            <w:tcW w:w="2480" w:type="pct"/>
            <w:gridSpan w:val="3"/>
            <w:vAlign w:val="center"/>
          </w:tcPr>
          <w:p>
            <w:pPr>
              <w:spacing w:before="20" w:after="20"/>
              <w:rPr>
                <w:rFonts w:eastAsia="Times New Roman"/>
                <w:noProof/>
                <w:szCs w:val="24"/>
              </w:rPr>
            </w:pPr>
            <w:r>
              <w:rPr>
                <w:rFonts w:eastAsia="Times New Roman"/>
                <w:noProof/>
              </w:rPr>
              <w:sym w:font="Wingdings" w:char="F09F"/>
            </w:r>
            <w:r>
              <w:rPr>
                <w:noProof/>
              </w:rPr>
              <w:t xml:space="preserve"> Човешки ресурси </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6" w:type="pct"/>
            <w:vAlign w:val="center"/>
          </w:tcPr>
          <w:p>
            <w:pPr>
              <w:spacing w:before="20" w:after="20"/>
              <w:jc w:val="center"/>
              <w:rPr>
                <w:rFonts w:eastAsia="Times New Roman"/>
                <w:noProof/>
                <w:sz w:val="20"/>
                <w:szCs w:val="20"/>
              </w:rPr>
            </w:pPr>
            <w:r>
              <w:rPr>
                <w:noProof/>
                <w:sz w:val="20"/>
              </w:rPr>
              <w:t>не се прилага</w:t>
            </w:r>
          </w:p>
        </w:tc>
        <w:tc>
          <w:tcPr>
            <w:tcW w:w="744" w:type="pct"/>
            <w:vAlign w:val="center"/>
          </w:tcPr>
          <w:p>
            <w:pPr>
              <w:spacing w:before="20" w:after="20"/>
              <w:jc w:val="center"/>
              <w:rPr>
                <w:rFonts w:eastAsia="Times New Roman"/>
                <w:b/>
                <w:noProof/>
                <w:sz w:val="20"/>
                <w:szCs w:val="20"/>
              </w:rPr>
            </w:pPr>
            <w:r>
              <w:rPr>
                <w:noProof/>
                <w:sz w:val="20"/>
              </w:rPr>
              <w:t>не се прилага</w:t>
            </w:r>
          </w:p>
        </w:tc>
      </w:tr>
      <w:tr>
        <w:trPr>
          <w:trHeight w:val="351"/>
        </w:trPr>
        <w:tc>
          <w:tcPr>
            <w:tcW w:w="2480" w:type="pct"/>
            <w:gridSpan w:val="3"/>
            <w:vAlign w:val="center"/>
          </w:tcPr>
          <w:p>
            <w:pPr>
              <w:spacing w:before="20" w:after="20"/>
              <w:rPr>
                <w:rFonts w:eastAsia="Times New Roman"/>
                <w:noProof/>
                <w:szCs w:val="24"/>
              </w:rPr>
            </w:pPr>
            <w:r>
              <w:rPr>
                <w:rFonts w:eastAsia="Times New Roman"/>
                <w:noProof/>
              </w:rPr>
              <w:sym w:font="Wingdings" w:char="F09F"/>
            </w:r>
            <w:r>
              <w:rPr>
                <w:noProof/>
              </w:rPr>
              <w:t xml:space="preserve"> Други административни разходи </w:t>
            </w:r>
          </w:p>
        </w:tc>
        <w:tc>
          <w:tcPr>
            <w:tcW w:w="355" w:type="pct"/>
            <w:vAlign w:val="center"/>
          </w:tcPr>
          <w:p>
            <w:pPr>
              <w:spacing w:before="20" w:after="20"/>
              <w:jc w:val="center"/>
              <w:rPr>
                <w:rFonts w:eastAsia="Times New Roman"/>
                <w:b/>
                <w:noProof/>
                <w:sz w:val="20"/>
                <w:szCs w:val="20"/>
              </w:rPr>
            </w:pPr>
            <w:r>
              <w:rPr>
                <w:noProof/>
                <w:sz w:val="20"/>
              </w:rPr>
              <w:t>не се прилага</w:t>
            </w:r>
          </w:p>
        </w:tc>
        <w:tc>
          <w:tcPr>
            <w:tcW w:w="355" w:type="pct"/>
            <w:vAlign w:val="center"/>
          </w:tcPr>
          <w:p>
            <w:pPr>
              <w:spacing w:before="20" w:after="20"/>
              <w:jc w:val="center"/>
              <w:rPr>
                <w:rFonts w:eastAsia="Times New Roman"/>
                <w:b/>
                <w:noProof/>
                <w:sz w:val="20"/>
                <w:szCs w:val="20"/>
              </w:rPr>
            </w:pPr>
            <w:r>
              <w:rPr>
                <w:noProof/>
                <w:sz w:val="20"/>
              </w:rPr>
              <w:t>не се прилага</w:t>
            </w:r>
          </w:p>
        </w:tc>
        <w:tc>
          <w:tcPr>
            <w:tcW w:w="355" w:type="pct"/>
            <w:vAlign w:val="center"/>
          </w:tcPr>
          <w:p>
            <w:pPr>
              <w:spacing w:before="20" w:after="20"/>
              <w:jc w:val="center"/>
              <w:rPr>
                <w:rFonts w:eastAsia="Times New Roman"/>
                <w:b/>
                <w:noProof/>
                <w:sz w:val="20"/>
                <w:szCs w:val="20"/>
              </w:rPr>
            </w:pPr>
            <w:r>
              <w:rPr>
                <w:noProof/>
                <w:sz w:val="20"/>
              </w:rPr>
              <w:t>не се прилага</w:t>
            </w:r>
          </w:p>
        </w:tc>
        <w:tc>
          <w:tcPr>
            <w:tcW w:w="355" w:type="pct"/>
            <w:vAlign w:val="center"/>
          </w:tcPr>
          <w:p>
            <w:pPr>
              <w:spacing w:before="20" w:after="20"/>
              <w:jc w:val="center"/>
              <w:rPr>
                <w:rFonts w:eastAsia="Times New Roman"/>
                <w:b/>
                <w:noProof/>
                <w:sz w:val="20"/>
                <w:szCs w:val="20"/>
              </w:rPr>
            </w:pPr>
            <w:r>
              <w:rPr>
                <w:noProof/>
                <w:sz w:val="20"/>
              </w:rPr>
              <w:t>не се прилага</w:t>
            </w:r>
          </w:p>
        </w:tc>
        <w:tc>
          <w:tcPr>
            <w:tcW w:w="356" w:type="pct"/>
            <w:vAlign w:val="center"/>
          </w:tcPr>
          <w:p>
            <w:pPr>
              <w:spacing w:before="20" w:after="20"/>
              <w:jc w:val="center"/>
              <w:rPr>
                <w:rFonts w:eastAsia="Times New Roman"/>
                <w:b/>
                <w:noProof/>
                <w:sz w:val="20"/>
                <w:szCs w:val="20"/>
              </w:rPr>
            </w:pPr>
            <w:r>
              <w:rPr>
                <w:noProof/>
                <w:sz w:val="20"/>
              </w:rPr>
              <w:t>не се прилага</w:t>
            </w:r>
          </w:p>
        </w:tc>
        <w:tc>
          <w:tcPr>
            <w:tcW w:w="744" w:type="pct"/>
            <w:vAlign w:val="center"/>
          </w:tcPr>
          <w:p>
            <w:pPr>
              <w:spacing w:before="20" w:after="20"/>
              <w:jc w:val="center"/>
              <w:rPr>
                <w:rFonts w:eastAsia="Times New Roman"/>
                <w:b/>
                <w:noProof/>
                <w:sz w:val="20"/>
                <w:szCs w:val="20"/>
              </w:rPr>
            </w:pPr>
            <w:r>
              <w:rPr>
                <w:noProof/>
                <w:sz w:val="20"/>
              </w:rPr>
              <w:t>не се прилага</w:t>
            </w:r>
          </w:p>
        </w:tc>
      </w:tr>
      <w:tr>
        <w:tc>
          <w:tcPr>
            <w:tcW w:w="1621" w:type="pct"/>
            <w:vAlign w:val="center"/>
          </w:tcPr>
          <w:p>
            <w:pPr>
              <w:jc w:val="center"/>
              <w:rPr>
                <w:rFonts w:eastAsia="Times New Roman"/>
                <w:b/>
                <w:noProof/>
                <w:szCs w:val="24"/>
              </w:rPr>
            </w:pPr>
            <w:r>
              <w:rPr>
                <w:b/>
                <w:noProof/>
              </w:rPr>
              <w:t xml:space="preserve">ОБЩО ГД </w:t>
            </w:r>
            <w:r>
              <w:rPr>
                <w:b/>
                <w:noProof/>
                <w:color w:val="0000FF"/>
              </w:rPr>
              <w:t>JRC</w:t>
            </w:r>
          </w:p>
        </w:tc>
        <w:tc>
          <w:tcPr>
            <w:tcW w:w="859" w:type="pct"/>
            <w:gridSpan w:val="2"/>
            <w:vAlign w:val="center"/>
          </w:tcPr>
          <w:p>
            <w:pPr>
              <w:rPr>
                <w:rFonts w:eastAsia="Times New Roman"/>
                <w:noProof/>
                <w:sz w:val="14"/>
                <w:szCs w:val="14"/>
              </w:rPr>
            </w:pPr>
            <w:r>
              <w:rPr>
                <w:noProof/>
                <w:sz w:val="18"/>
              </w:rPr>
              <w:t xml:space="preserve">Бюджетни кредити </w:t>
            </w:r>
          </w:p>
        </w:tc>
        <w:tc>
          <w:tcPr>
            <w:tcW w:w="355" w:type="pct"/>
            <w:vAlign w:val="center"/>
          </w:tcPr>
          <w:p>
            <w:pPr>
              <w:spacing w:before="60" w:after="6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6" w:type="pct"/>
            <w:vAlign w:val="center"/>
          </w:tcPr>
          <w:p>
            <w:pPr>
              <w:spacing w:before="20" w:after="20"/>
              <w:jc w:val="center"/>
              <w:rPr>
                <w:rFonts w:eastAsia="Times New Roman"/>
                <w:noProof/>
                <w:sz w:val="20"/>
                <w:szCs w:val="20"/>
              </w:rPr>
            </w:pPr>
            <w:r>
              <w:rPr>
                <w:noProof/>
                <w:sz w:val="20"/>
              </w:rPr>
              <w:t>не се прилага</w:t>
            </w:r>
          </w:p>
        </w:tc>
        <w:tc>
          <w:tcPr>
            <w:tcW w:w="744" w:type="pct"/>
            <w:vAlign w:val="center"/>
          </w:tcPr>
          <w:p>
            <w:pPr>
              <w:spacing w:before="20" w:after="20"/>
              <w:jc w:val="center"/>
              <w:rPr>
                <w:rFonts w:eastAsia="Times New Roman"/>
                <w:b/>
                <w:noProof/>
                <w:sz w:val="20"/>
                <w:szCs w:val="20"/>
              </w:rPr>
            </w:pPr>
            <w:r>
              <w:rPr>
                <w:noProof/>
                <w:sz w:val="20"/>
              </w:rPr>
              <w:t>не се прилага</w:t>
            </w:r>
          </w:p>
        </w:tc>
      </w:tr>
    </w:tbl>
    <w:p>
      <w:pPr>
        <w:spacing w:after="60"/>
        <w:rPr>
          <w:rFonts w:eastAsia="Times New Roman"/>
          <w:noProof/>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8"/>
        <w:gridCol w:w="2355"/>
        <w:gridCol w:w="976"/>
        <w:gridCol w:w="975"/>
        <w:gridCol w:w="975"/>
        <w:gridCol w:w="975"/>
        <w:gridCol w:w="975"/>
        <w:gridCol w:w="2043"/>
      </w:tblGrid>
      <w:tr>
        <w:tc>
          <w:tcPr>
            <w:tcW w:w="1622" w:type="pct"/>
            <w:shd w:val="thinDiagStripe" w:color="C0C0C0" w:fill="auto"/>
            <w:vAlign w:val="center"/>
          </w:tcPr>
          <w:p>
            <w:pPr>
              <w:jc w:val="center"/>
              <w:rPr>
                <w:rFonts w:eastAsia="Times New Roman"/>
                <w:b/>
                <w:noProof/>
                <w:szCs w:val="24"/>
              </w:rPr>
            </w:pPr>
            <w:r>
              <w:rPr>
                <w:b/>
                <w:noProof/>
              </w:rPr>
              <w:t>ОБЩО бюджетни кредити по ФУНКЦИЯ 5</w:t>
            </w:r>
            <w:r>
              <w:rPr>
                <w:rFonts w:eastAsia="Times New Roman"/>
                <w:b/>
                <w:noProof/>
              </w:rPr>
              <w:br/>
            </w:r>
            <w:r>
              <w:rPr>
                <w:noProof/>
              </w:rPr>
              <w:t>от многогодишната финансова рамка</w:t>
            </w:r>
            <w:r>
              <w:rPr>
                <w:b/>
                <w:noProof/>
              </w:rPr>
              <w:t xml:space="preserve"> </w:t>
            </w:r>
          </w:p>
        </w:tc>
        <w:tc>
          <w:tcPr>
            <w:tcW w:w="857" w:type="pct"/>
            <w:vAlign w:val="center"/>
          </w:tcPr>
          <w:p>
            <w:pPr>
              <w:spacing w:before="40" w:after="40"/>
              <w:rPr>
                <w:rFonts w:eastAsia="Times New Roman"/>
                <w:noProof/>
                <w:sz w:val="18"/>
                <w:szCs w:val="18"/>
              </w:rPr>
            </w:pPr>
            <w:r>
              <w:rPr>
                <w:noProof/>
                <w:sz w:val="18"/>
              </w:rPr>
              <w:t xml:space="preserve">(Общо поети задължения </w:t>
            </w:r>
            <w:r>
              <w:rPr>
                <w:rFonts w:eastAsia="Times New Roman"/>
                <w:noProof/>
                <w:sz w:val="18"/>
                <w:szCs w:val="18"/>
              </w:rPr>
              <w:br/>
            </w:r>
            <w:r>
              <w:rPr>
                <w:noProof/>
                <w:sz w:val="18"/>
              </w:rPr>
              <w:t>= Общо плащания)</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355" w:type="pct"/>
            <w:vAlign w:val="center"/>
          </w:tcPr>
          <w:p>
            <w:pPr>
              <w:spacing w:before="20" w:after="20"/>
              <w:jc w:val="center"/>
              <w:rPr>
                <w:rFonts w:eastAsia="Times New Roman"/>
                <w:noProof/>
                <w:sz w:val="20"/>
                <w:szCs w:val="20"/>
              </w:rPr>
            </w:pPr>
            <w:r>
              <w:rPr>
                <w:noProof/>
                <w:sz w:val="20"/>
              </w:rPr>
              <w:t>не се прилага</w:t>
            </w:r>
          </w:p>
        </w:tc>
        <w:tc>
          <w:tcPr>
            <w:tcW w:w="744" w:type="pct"/>
            <w:vAlign w:val="center"/>
          </w:tcPr>
          <w:p>
            <w:pPr>
              <w:spacing w:before="20" w:after="20"/>
              <w:jc w:val="center"/>
              <w:rPr>
                <w:rFonts w:eastAsia="Times New Roman"/>
                <w:b/>
                <w:noProof/>
                <w:sz w:val="20"/>
                <w:szCs w:val="20"/>
              </w:rPr>
            </w:pPr>
            <w:r>
              <w:rPr>
                <w:noProof/>
                <w:sz w:val="20"/>
              </w:rPr>
              <w:t>не се прилага</w:t>
            </w:r>
          </w:p>
        </w:tc>
      </w:tr>
    </w:tbl>
    <w:p>
      <w:pPr>
        <w:jc w:val="right"/>
        <w:rPr>
          <w:rFonts w:eastAsia="Times New Roman"/>
          <w:noProof/>
          <w:sz w:val="20"/>
          <w:szCs w:val="20"/>
        </w:rPr>
      </w:pPr>
      <w:r>
        <w:rPr>
          <w:noProof/>
          <w:sz w:val="20"/>
        </w:rPr>
        <w:t>млн. евро (до 3-тия знак след десетичната запетая)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3"/>
        <w:gridCol w:w="1756"/>
        <w:gridCol w:w="602"/>
        <w:gridCol w:w="975"/>
        <w:gridCol w:w="975"/>
        <w:gridCol w:w="975"/>
        <w:gridCol w:w="975"/>
        <w:gridCol w:w="978"/>
        <w:gridCol w:w="2043"/>
      </w:tblGrid>
      <w:tr>
        <w:trPr>
          <w:trHeight w:val="496"/>
        </w:trPr>
        <w:tc>
          <w:tcPr>
            <w:tcW w:w="1621" w:type="pct"/>
            <w:tcBorders>
              <w:top w:val="nil"/>
              <w:left w:val="nil"/>
              <w:right w:val="nil"/>
            </w:tcBorders>
            <w:vAlign w:val="center"/>
          </w:tcPr>
          <w:p>
            <w:pPr>
              <w:jc w:val="center"/>
              <w:rPr>
                <w:rFonts w:eastAsia="Times New Roman"/>
                <w:noProof/>
                <w:szCs w:val="24"/>
              </w:rPr>
            </w:pPr>
          </w:p>
        </w:tc>
        <w:tc>
          <w:tcPr>
            <w:tcW w:w="639" w:type="pct"/>
            <w:tcBorders>
              <w:top w:val="nil"/>
              <w:left w:val="nil"/>
              <w:right w:val="nil"/>
            </w:tcBorders>
          </w:tcPr>
          <w:p>
            <w:pPr>
              <w:rPr>
                <w:rFonts w:eastAsia="Times New Roman"/>
                <w:noProof/>
                <w:sz w:val="20"/>
                <w:szCs w:val="20"/>
              </w:rPr>
            </w:pPr>
          </w:p>
        </w:tc>
        <w:tc>
          <w:tcPr>
            <w:tcW w:w="219" w:type="pct"/>
            <w:tcBorders>
              <w:top w:val="nil"/>
              <w:left w:val="nil"/>
            </w:tcBorders>
          </w:tcPr>
          <w:p>
            <w:pPr>
              <w:jc w:val="center"/>
              <w:rPr>
                <w:rFonts w:eastAsia="Times New Roman"/>
                <w:noProof/>
                <w:sz w:val="20"/>
                <w:szCs w:val="20"/>
              </w:rPr>
            </w:pPr>
          </w:p>
        </w:tc>
        <w:tc>
          <w:tcPr>
            <w:tcW w:w="355" w:type="pct"/>
            <w:vAlign w:val="center"/>
          </w:tcPr>
          <w:p>
            <w:pPr>
              <w:jc w:val="center"/>
              <w:rPr>
                <w:rFonts w:eastAsia="Times New Roman"/>
                <w:noProof/>
                <w:sz w:val="20"/>
                <w:szCs w:val="20"/>
              </w:rPr>
            </w:pPr>
            <w:r>
              <w:rPr>
                <w:noProof/>
                <w:sz w:val="20"/>
              </w:rPr>
              <w:t>Година 2016</w:t>
            </w:r>
          </w:p>
        </w:tc>
        <w:tc>
          <w:tcPr>
            <w:tcW w:w="355" w:type="pct"/>
            <w:vAlign w:val="center"/>
          </w:tcPr>
          <w:p>
            <w:pPr>
              <w:jc w:val="center"/>
              <w:rPr>
                <w:rFonts w:eastAsia="Times New Roman"/>
                <w:noProof/>
                <w:sz w:val="20"/>
                <w:szCs w:val="20"/>
              </w:rPr>
            </w:pPr>
            <w:r>
              <w:rPr>
                <w:noProof/>
                <w:sz w:val="20"/>
              </w:rPr>
              <w:t>Година 2017</w:t>
            </w:r>
          </w:p>
        </w:tc>
        <w:tc>
          <w:tcPr>
            <w:tcW w:w="355" w:type="pct"/>
            <w:vAlign w:val="center"/>
          </w:tcPr>
          <w:p>
            <w:pPr>
              <w:jc w:val="center"/>
              <w:rPr>
                <w:rFonts w:eastAsia="Times New Roman"/>
                <w:noProof/>
                <w:sz w:val="20"/>
                <w:szCs w:val="20"/>
              </w:rPr>
            </w:pPr>
            <w:r>
              <w:rPr>
                <w:noProof/>
                <w:sz w:val="20"/>
              </w:rPr>
              <w:t>Година 2018</w:t>
            </w:r>
          </w:p>
        </w:tc>
        <w:tc>
          <w:tcPr>
            <w:tcW w:w="355" w:type="pct"/>
            <w:vAlign w:val="center"/>
          </w:tcPr>
          <w:p>
            <w:pPr>
              <w:jc w:val="center"/>
              <w:rPr>
                <w:rFonts w:eastAsia="Times New Roman"/>
                <w:noProof/>
                <w:sz w:val="20"/>
                <w:szCs w:val="20"/>
              </w:rPr>
            </w:pPr>
            <w:r>
              <w:rPr>
                <w:noProof/>
                <w:sz w:val="20"/>
              </w:rPr>
              <w:t>Година 2019</w:t>
            </w:r>
          </w:p>
        </w:tc>
        <w:tc>
          <w:tcPr>
            <w:tcW w:w="356" w:type="pct"/>
            <w:vAlign w:val="center"/>
          </w:tcPr>
          <w:p>
            <w:pPr>
              <w:jc w:val="center"/>
              <w:rPr>
                <w:rFonts w:eastAsia="Times New Roman"/>
                <w:b/>
                <w:noProof/>
                <w:sz w:val="18"/>
                <w:szCs w:val="18"/>
              </w:rPr>
            </w:pPr>
            <w:r>
              <w:rPr>
                <w:noProof/>
                <w:color w:val="000000"/>
                <w:sz w:val="20"/>
              </w:rPr>
              <w:t>Година ≥2019</w:t>
            </w:r>
          </w:p>
        </w:tc>
        <w:tc>
          <w:tcPr>
            <w:tcW w:w="744" w:type="pct"/>
            <w:vAlign w:val="center"/>
          </w:tcPr>
          <w:p>
            <w:pPr>
              <w:jc w:val="center"/>
              <w:rPr>
                <w:rFonts w:eastAsia="Times New Roman"/>
                <w:b/>
                <w:noProof/>
                <w:sz w:val="20"/>
                <w:szCs w:val="20"/>
              </w:rPr>
            </w:pPr>
            <w:r>
              <w:rPr>
                <w:b/>
                <w:noProof/>
                <w:sz w:val="20"/>
              </w:rPr>
              <w:t>ОБЩО</w:t>
            </w:r>
          </w:p>
        </w:tc>
      </w:tr>
      <w:tr>
        <w:tc>
          <w:tcPr>
            <w:tcW w:w="1621" w:type="pct"/>
            <w:vMerge w:val="restart"/>
            <w:shd w:val="clear" w:color="auto" w:fill="C0C0C0"/>
            <w:vAlign w:val="center"/>
          </w:tcPr>
          <w:p>
            <w:pPr>
              <w:jc w:val="center"/>
              <w:rPr>
                <w:rFonts w:eastAsia="Times New Roman"/>
                <w:b/>
                <w:noProof/>
                <w:szCs w:val="24"/>
              </w:rPr>
            </w:pPr>
            <w:r>
              <w:rPr>
                <w:b/>
                <w:noProof/>
              </w:rPr>
              <w:t>ОБЩО бюджетни кредити по ФУНКЦИИ 1—5</w:t>
            </w:r>
            <w:r>
              <w:rPr>
                <w:rFonts w:eastAsia="Times New Roman"/>
                <w:b/>
                <w:noProof/>
              </w:rPr>
              <w:br/>
            </w:r>
            <w:r>
              <w:rPr>
                <w:noProof/>
              </w:rPr>
              <w:t>от многогодишната финансова рамка</w:t>
            </w:r>
            <w:r>
              <w:rPr>
                <w:b/>
                <w:noProof/>
              </w:rPr>
              <w:t xml:space="preserve"> </w:t>
            </w:r>
          </w:p>
        </w:tc>
        <w:tc>
          <w:tcPr>
            <w:tcW w:w="857" w:type="pct"/>
            <w:gridSpan w:val="2"/>
            <w:vAlign w:val="center"/>
          </w:tcPr>
          <w:p>
            <w:pPr>
              <w:rPr>
                <w:rFonts w:eastAsia="Times New Roman"/>
                <w:noProof/>
                <w:sz w:val="14"/>
                <w:szCs w:val="14"/>
              </w:rPr>
            </w:pPr>
            <w:r>
              <w:rPr>
                <w:noProof/>
                <w:sz w:val="18"/>
              </w:rPr>
              <w:t>Поети задължения</w:t>
            </w:r>
          </w:p>
        </w:tc>
        <w:tc>
          <w:tcPr>
            <w:tcW w:w="355" w:type="pct"/>
            <w:vAlign w:val="center"/>
          </w:tcPr>
          <w:p>
            <w:pPr>
              <w:spacing w:before="60" w:after="60"/>
              <w:jc w:val="center"/>
              <w:rPr>
                <w:rFonts w:eastAsia="Times New Roman"/>
                <w:noProof/>
                <w:sz w:val="20"/>
                <w:szCs w:val="20"/>
              </w:rPr>
            </w:pPr>
            <w:r>
              <w:rPr>
                <w:noProof/>
                <w:sz w:val="20"/>
              </w:rPr>
              <w:t>p.m.</w:t>
            </w:r>
          </w:p>
        </w:tc>
        <w:tc>
          <w:tcPr>
            <w:tcW w:w="355" w:type="pct"/>
            <w:vAlign w:val="center"/>
          </w:tcPr>
          <w:p>
            <w:pPr>
              <w:spacing w:before="60" w:after="60"/>
              <w:jc w:val="center"/>
              <w:rPr>
                <w:rFonts w:eastAsia="Times New Roman"/>
                <w:noProof/>
                <w:sz w:val="20"/>
                <w:szCs w:val="20"/>
              </w:rPr>
            </w:pPr>
            <w:r>
              <w:rPr>
                <w:noProof/>
                <w:sz w:val="20"/>
              </w:rPr>
              <w:t>p.m.</w:t>
            </w:r>
          </w:p>
        </w:tc>
        <w:tc>
          <w:tcPr>
            <w:tcW w:w="355" w:type="pct"/>
            <w:vAlign w:val="center"/>
          </w:tcPr>
          <w:p>
            <w:pPr>
              <w:spacing w:before="60" w:after="60"/>
              <w:jc w:val="center"/>
              <w:rPr>
                <w:rFonts w:eastAsia="Times New Roman"/>
                <w:noProof/>
                <w:sz w:val="20"/>
                <w:szCs w:val="20"/>
              </w:rPr>
            </w:pPr>
            <w:r>
              <w:rPr>
                <w:noProof/>
                <w:sz w:val="20"/>
              </w:rPr>
              <w:t>p.m.</w:t>
            </w:r>
          </w:p>
        </w:tc>
        <w:tc>
          <w:tcPr>
            <w:tcW w:w="355" w:type="pct"/>
            <w:vAlign w:val="center"/>
          </w:tcPr>
          <w:p>
            <w:pPr>
              <w:spacing w:before="60" w:after="60"/>
              <w:jc w:val="center"/>
              <w:rPr>
                <w:rFonts w:eastAsia="Times New Roman"/>
                <w:noProof/>
                <w:sz w:val="20"/>
                <w:szCs w:val="20"/>
              </w:rPr>
            </w:pPr>
            <w:r>
              <w:rPr>
                <w:noProof/>
                <w:sz w:val="20"/>
              </w:rPr>
              <w:t>p.m.</w:t>
            </w:r>
          </w:p>
        </w:tc>
        <w:tc>
          <w:tcPr>
            <w:tcW w:w="356" w:type="pct"/>
            <w:vAlign w:val="center"/>
          </w:tcPr>
          <w:p>
            <w:pPr>
              <w:spacing w:before="60" w:after="60"/>
              <w:jc w:val="center"/>
              <w:rPr>
                <w:rFonts w:eastAsia="Times New Roman"/>
                <w:noProof/>
                <w:sz w:val="20"/>
                <w:szCs w:val="20"/>
              </w:rPr>
            </w:pPr>
          </w:p>
        </w:tc>
        <w:tc>
          <w:tcPr>
            <w:tcW w:w="744" w:type="pct"/>
            <w:vAlign w:val="center"/>
          </w:tcPr>
          <w:p>
            <w:pPr>
              <w:spacing w:before="60" w:after="60"/>
              <w:jc w:val="center"/>
              <w:rPr>
                <w:rFonts w:eastAsia="Times New Roman"/>
                <w:b/>
                <w:noProof/>
                <w:sz w:val="20"/>
                <w:szCs w:val="20"/>
              </w:rPr>
            </w:pPr>
            <w:r>
              <w:rPr>
                <w:noProof/>
                <w:sz w:val="20"/>
              </w:rPr>
              <w:t>p.m.</w:t>
            </w:r>
          </w:p>
        </w:tc>
      </w:tr>
      <w:tr>
        <w:tc>
          <w:tcPr>
            <w:tcW w:w="1621" w:type="pct"/>
            <w:vMerge/>
            <w:shd w:val="clear" w:color="auto" w:fill="C0C0C0"/>
          </w:tcPr>
          <w:p>
            <w:pPr>
              <w:rPr>
                <w:rFonts w:eastAsia="Times New Roman"/>
                <w:noProof/>
                <w:sz w:val="20"/>
                <w:szCs w:val="20"/>
              </w:rPr>
            </w:pPr>
          </w:p>
        </w:tc>
        <w:tc>
          <w:tcPr>
            <w:tcW w:w="857" w:type="pct"/>
            <w:gridSpan w:val="2"/>
            <w:vAlign w:val="center"/>
          </w:tcPr>
          <w:p>
            <w:pPr>
              <w:rPr>
                <w:rFonts w:eastAsia="Times New Roman"/>
                <w:noProof/>
                <w:sz w:val="14"/>
                <w:szCs w:val="14"/>
              </w:rPr>
            </w:pPr>
            <w:r>
              <w:rPr>
                <w:noProof/>
                <w:sz w:val="18"/>
              </w:rPr>
              <w:t>Плащания</w:t>
            </w:r>
          </w:p>
        </w:tc>
        <w:tc>
          <w:tcPr>
            <w:tcW w:w="355" w:type="pct"/>
            <w:vAlign w:val="center"/>
          </w:tcPr>
          <w:p>
            <w:pPr>
              <w:spacing w:before="60" w:after="60"/>
              <w:jc w:val="center"/>
              <w:rPr>
                <w:rFonts w:eastAsia="Times New Roman"/>
                <w:noProof/>
                <w:sz w:val="20"/>
                <w:szCs w:val="20"/>
              </w:rPr>
            </w:pPr>
            <w:r>
              <w:rPr>
                <w:noProof/>
                <w:sz w:val="20"/>
              </w:rPr>
              <w:t>p.m.</w:t>
            </w:r>
          </w:p>
        </w:tc>
        <w:tc>
          <w:tcPr>
            <w:tcW w:w="355" w:type="pct"/>
            <w:vAlign w:val="center"/>
          </w:tcPr>
          <w:p>
            <w:pPr>
              <w:spacing w:before="60" w:after="60"/>
              <w:jc w:val="center"/>
              <w:rPr>
                <w:rFonts w:eastAsia="Times New Roman"/>
                <w:noProof/>
                <w:sz w:val="20"/>
                <w:szCs w:val="20"/>
              </w:rPr>
            </w:pPr>
            <w:r>
              <w:rPr>
                <w:noProof/>
                <w:sz w:val="20"/>
              </w:rPr>
              <w:t>p.m.</w:t>
            </w:r>
          </w:p>
        </w:tc>
        <w:tc>
          <w:tcPr>
            <w:tcW w:w="355" w:type="pct"/>
            <w:vAlign w:val="center"/>
          </w:tcPr>
          <w:p>
            <w:pPr>
              <w:spacing w:before="60" w:after="60"/>
              <w:jc w:val="center"/>
              <w:rPr>
                <w:rFonts w:eastAsia="Times New Roman"/>
                <w:noProof/>
                <w:sz w:val="20"/>
                <w:szCs w:val="20"/>
              </w:rPr>
            </w:pPr>
            <w:r>
              <w:rPr>
                <w:noProof/>
                <w:sz w:val="20"/>
              </w:rPr>
              <w:t>p.m.</w:t>
            </w:r>
          </w:p>
        </w:tc>
        <w:tc>
          <w:tcPr>
            <w:tcW w:w="355" w:type="pct"/>
            <w:vAlign w:val="center"/>
          </w:tcPr>
          <w:p>
            <w:pPr>
              <w:spacing w:before="60" w:after="60"/>
              <w:jc w:val="center"/>
              <w:rPr>
                <w:rFonts w:eastAsia="Times New Roman"/>
                <w:noProof/>
                <w:sz w:val="20"/>
                <w:szCs w:val="20"/>
              </w:rPr>
            </w:pPr>
            <w:r>
              <w:rPr>
                <w:noProof/>
                <w:sz w:val="20"/>
              </w:rPr>
              <w:t>p.m.</w:t>
            </w:r>
          </w:p>
        </w:tc>
        <w:tc>
          <w:tcPr>
            <w:tcW w:w="356" w:type="pct"/>
            <w:vAlign w:val="center"/>
          </w:tcPr>
          <w:p>
            <w:pPr>
              <w:spacing w:before="60" w:after="60"/>
              <w:jc w:val="center"/>
              <w:rPr>
                <w:rFonts w:eastAsia="Times New Roman"/>
                <w:noProof/>
                <w:sz w:val="20"/>
                <w:szCs w:val="20"/>
              </w:rPr>
            </w:pPr>
            <w:r>
              <w:rPr>
                <w:noProof/>
                <w:sz w:val="20"/>
              </w:rPr>
              <w:t>p.m.</w:t>
            </w:r>
          </w:p>
        </w:tc>
        <w:tc>
          <w:tcPr>
            <w:tcW w:w="744" w:type="pct"/>
            <w:vAlign w:val="center"/>
          </w:tcPr>
          <w:p>
            <w:pPr>
              <w:spacing w:before="60" w:after="60"/>
              <w:jc w:val="center"/>
              <w:rPr>
                <w:rFonts w:eastAsia="Times New Roman"/>
                <w:b/>
                <w:noProof/>
                <w:sz w:val="20"/>
                <w:szCs w:val="20"/>
              </w:rPr>
            </w:pPr>
            <w:r>
              <w:rPr>
                <w:noProof/>
                <w:sz w:val="20"/>
              </w:rPr>
              <w:t>p.m.</w:t>
            </w:r>
          </w:p>
        </w:tc>
      </w:tr>
    </w:tbl>
    <w:p>
      <w:pPr>
        <w:rPr>
          <w:rFonts w:eastAsia="Times New Roman"/>
          <w:noProof/>
          <w:szCs w:val="24"/>
        </w:rPr>
        <w:sectPr>
          <w:headerReference w:type="default" r:id="rId13"/>
          <w:footerReference w:type="default" r:id="rId14"/>
          <w:headerReference w:type="first" r:id="rId15"/>
          <w:footerReference w:type="first" r:id="rId16"/>
          <w:pgSz w:w="15840" w:h="12240" w:orient="landscape"/>
          <w:pgMar w:top="1134" w:right="1077" w:bottom="902" w:left="1247" w:header="709" w:footer="510" w:gutter="0"/>
          <w:cols w:space="708"/>
          <w:docGrid w:linePitch="360"/>
        </w:sectPr>
      </w:pPr>
    </w:p>
    <w:p>
      <w:pPr>
        <w:keepNext/>
        <w:numPr>
          <w:ilvl w:val="2"/>
          <w:numId w:val="0"/>
        </w:numPr>
        <w:tabs>
          <w:tab w:val="num" w:pos="850"/>
        </w:tabs>
        <w:ind w:left="850" w:hanging="850"/>
        <w:outlineLvl w:val="2"/>
        <w:rPr>
          <w:rFonts w:eastAsia="Times New Roman"/>
          <w:bCs/>
          <w:i/>
          <w:noProof/>
        </w:rPr>
      </w:pPr>
      <w:r>
        <w:rPr>
          <w:i/>
          <w:noProof/>
        </w:rPr>
        <w:t xml:space="preserve">Очаквано отражение върху бюджетните кредити за оперативни разходи </w:t>
      </w:r>
    </w:p>
    <w:p>
      <w:pPr>
        <w:tabs>
          <w:tab w:val="num" w:pos="1134"/>
        </w:tabs>
        <w:ind w:left="1134" w:hanging="283"/>
        <w:rPr>
          <w:rFonts w:eastAsia="Times New Roman"/>
          <w:noProof/>
          <w:szCs w:val="24"/>
        </w:rPr>
      </w:pPr>
      <w:r>
        <w:rPr>
          <w:rFonts w:eastAsia="Times New Roman"/>
          <w:noProof/>
          <w:szCs w:val="24"/>
        </w:rPr>
        <w:sym w:font="Wingdings" w:char="F0A8"/>
      </w:r>
      <w:r>
        <w:rPr>
          <w:noProof/>
        </w:rPr>
        <w:tab/>
        <w:t xml:space="preserve">Предложението/инициативата не налага използването на бюджетни кредити за оперативни разходи </w:t>
      </w:r>
    </w:p>
    <w:p>
      <w:pPr>
        <w:tabs>
          <w:tab w:val="num" w:pos="1134"/>
        </w:tabs>
        <w:ind w:left="1134" w:hanging="283"/>
        <w:rPr>
          <w:rFonts w:eastAsia="Times New Roman"/>
          <w:noProof/>
          <w:szCs w:val="24"/>
        </w:rPr>
      </w:pPr>
      <w:r>
        <w:rPr>
          <w:rFonts w:eastAsia="Times New Roman"/>
          <w:noProof/>
          <w:szCs w:val="24"/>
        </w:rPr>
        <w:sym w:font="Wingdings" w:char="F078"/>
      </w:r>
      <w:r>
        <w:rPr>
          <w:noProof/>
        </w:rPr>
        <w:tab/>
        <w:t>Предложението/инициативата налага използването на бюджетни кредити за оперативни разходи съгласно обяснението по-долу:</w:t>
      </w:r>
    </w:p>
    <w:p>
      <w:pPr>
        <w:jc w:val="right"/>
        <w:rPr>
          <w:rFonts w:eastAsia="Times New Roman"/>
          <w:noProof/>
          <w:sz w:val="20"/>
          <w:szCs w:val="20"/>
        </w:rPr>
      </w:pPr>
      <w:r>
        <w:rPr>
          <w:noProof/>
          <w:sz w:val="20"/>
        </w:rPr>
        <w:t>Бюджетни кредити за поети задължения в млн. евро (до 3-тия знак след десетичната запетая)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4"/>
        <w:gridCol w:w="1590"/>
        <w:gridCol w:w="1207"/>
        <w:gridCol w:w="977"/>
        <w:gridCol w:w="977"/>
        <w:gridCol w:w="977"/>
        <w:gridCol w:w="977"/>
        <w:gridCol w:w="977"/>
        <w:gridCol w:w="978"/>
        <w:gridCol w:w="978"/>
        <w:gridCol w:w="978"/>
        <w:gridCol w:w="1129"/>
        <w:gridCol w:w="978"/>
      </w:tblGrid>
      <w:tr>
        <w:trPr>
          <w:jc w:val="center"/>
        </w:trPr>
        <w:tc>
          <w:tcPr>
            <w:tcW w:w="643" w:type="pct"/>
            <w:vMerge w:val="restart"/>
            <w:tcBorders>
              <w:bottom w:val="single" w:sz="4" w:space="0" w:color="auto"/>
              <w:right w:val="single" w:sz="4" w:space="0" w:color="auto"/>
            </w:tcBorders>
            <w:vAlign w:val="center"/>
          </w:tcPr>
          <w:p>
            <w:pPr>
              <w:ind w:right="-29"/>
              <w:jc w:val="center"/>
              <w:rPr>
                <w:rFonts w:eastAsia="Times New Roman"/>
                <w:b/>
                <w:bCs/>
                <w:noProof/>
                <w:sz w:val="18"/>
                <w:szCs w:val="18"/>
              </w:rPr>
            </w:pPr>
            <w:r>
              <w:rPr>
                <w:b/>
                <w:noProof/>
                <w:sz w:val="18"/>
              </w:rPr>
              <w:t xml:space="preserve">Да се посочат целите и резултатите </w:t>
            </w:r>
          </w:p>
          <w:p>
            <w:pPr>
              <w:ind w:right="-29"/>
              <w:jc w:val="center"/>
              <w:rPr>
                <w:rFonts w:eastAsia="Times New Roman"/>
                <w:noProof/>
                <w:sz w:val="18"/>
                <w:szCs w:val="18"/>
              </w:rPr>
            </w:pPr>
            <w:r>
              <w:rPr>
                <w:rFonts w:eastAsia="Times New Roman"/>
                <w:noProof/>
                <w:sz w:val="18"/>
                <w:szCs w:val="18"/>
              </w:rPr>
              <w:sym w:font="Wingdings" w:char="F0F2"/>
            </w:r>
          </w:p>
        </w:tc>
        <w:tc>
          <w:tcPr>
            <w:tcW w:w="549" w:type="pct"/>
            <w:tcBorders>
              <w:left w:val="single" w:sz="4" w:space="0" w:color="auto"/>
              <w:bottom w:val="single" w:sz="4" w:space="0" w:color="auto"/>
              <w:right w:val="single" w:sz="4" w:space="0" w:color="auto"/>
            </w:tcBorders>
            <w:vAlign w:val="center"/>
          </w:tcPr>
          <w:p>
            <w:pPr>
              <w:ind w:right="-29"/>
              <w:jc w:val="center"/>
              <w:rPr>
                <w:rFonts w:eastAsia="Times New Roman"/>
                <w:noProof/>
                <w:sz w:val="18"/>
                <w:szCs w:val="18"/>
              </w:rPr>
            </w:pPr>
          </w:p>
        </w:tc>
        <w:tc>
          <w:tcPr>
            <w:tcW w:w="418" w:type="pct"/>
            <w:tcBorders>
              <w:left w:val="single" w:sz="4" w:space="0" w:color="auto"/>
              <w:bottom w:val="single" w:sz="4" w:space="0" w:color="auto"/>
              <w:right w:val="single" w:sz="4" w:space="0" w:color="auto"/>
            </w:tcBorders>
            <w:vAlign w:val="center"/>
          </w:tcPr>
          <w:p>
            <w:pPr>
              <w:ind w:right="-29"/>
              <w:jc w:val="center"/>
              <w:rPr>
                <w:rFonts w:eastAsia="Times New Roman"/>
                <w:noProof/>
                <w:sz w:val="18"/>
                <w:szCs w:val="18"/>
              </w:rPr>
            </w:pPr>
          </w:p>
        </w:tc>
        <w:tc>
          <w:tcPr>
            <w:tcW w:w="678" w:type="pct"/>
            <w:gridSpan w:val="2"/>
            <w:tcBorders>
              <w:left w:val="single" w:sz="4" w:space="0" w:color="auto"/>
              <w:bottom w:val="single" w:sz="4" w:space="0" w:color="auto"/>
              <w:right w:val="single" w:sz="4" w:space="0" w:color="auto"/>
            </w:tcBorders>
            <w:vAlign w:val="center"/>
          </w:tcPr>
          <w:p>
            <w:pPr>
              <w:ind w:right="-29"/>
              <w:jc w:val="center"/>
              <w:rPr>
                <w:rFonts w:eastAsia="Times New Roman"/>
                <w:noProof/>
                <w:sz w:val="18"/>
                <w:szCs w:val="18"/>
              </w:rPr>
            </w:pPr>
            <w:r>
              <w:rPr>
                <w:noProof/>
                <w:sz w:val="18"/>
              </w:rPr>
              <w:t>Година 2016</w:t>
            </w:r>
          </w:p>
        </w:tc>
        <w:tc>
          <w:tcPr>
            <w:tcW w:w="678" w:type="pct"/>
            <w:gridSpan w:val="2"/>
            <w:tcBorders>
              <w:left w:val="single" w:sz="4" w:space="0" w:color="auto"/>
              <w:bottom w:val="single" w:sz="4" w:space="0" w:color="auto"/>
              <w:right w:val="single" w:sz="4" w:space="0" w:color="auto"/>
            </w:tcBorders>
            <w:vAlign w:val="center"/>
          </w:tcPr>
          <w:p>
            <w:pPr>
              <w:ind w:right="-29"/>
              <w:jc w:val="center"/>
              <w:rPr>
                <w:rFonts w:eastAsia="Times New Roman"/>
                <w:noProof/>
                <w:sz w:val="18"/>
                <w:szCs w:val="18"/>
              </w:rPr>
            </w:pPr>
            <w:r>
              <w:rPr>
                <w:noProof/>
                <w:sz w:val="18"/>
              </w:rPr>
              <w:t>Година 2017</w:t>
            </w:r>
          </w:p>
        </w:tc>
        <w:tc>
          <w:tcPr>
            <w:tcW w:w="678" w:type="pct"/>
            <w:gridSpan w:val="2"/>
            <w:tcBorders>
              <w:left w:val="single" w:sz="4" w:space="0" w:color="auto"/>
              <w:bottom w:val="single" w:sz="4" w:space="0" w:color="auto"/>
              <w:right w:val="single" w:sz="4" w:space="0" w:color="auto"/>
            </w:tcBorders>
            <w:vAlign w:val="center"/>
          </w:tcPr>
          <w:p>
            <w:pPr>
              <w:ind w:right="-29"/>
              <w:jc w:val="center"/>
              <w:rPr>
                <w:rFonts w:eastAsia="Times New Roman"/>
                <w:noProof/>
                <w:sz w:val="18"/>
                <w:szCs w:val="18"/>
              </w:rPr>
            </w:pPr>
            <w:r>
              <w:rPr>
                <w:noProof/>
                <w:sz w:val="18"/>
              </w:rPr>
              <w:t>Година 2018</w:t>
            </w:r>
          </w:p>
        </w:tc>
        <w:tc>
          <w:tcPr>
            <w:tcW w:w="678" w:type="pct"/>
            <w:gridSpan w:val="2"/>
            <w:tcBorders>
              <w:left w:val="single" w:sz="4" w:space="0" w:color="auto"/>
              <w:bottom w:val="single" w:sz="4" w:space="0" w:color="auto"/>
              <w:right w:val="single" w:sz="4" w:space="0" w:color="auto"/>
            </w:tcBorders>
            <w:vAlign w:val="center"/>
          </w:tcPr>
          <w:p>
            <w:pPr>
              <w:ind w:right="-29"/>
              <w:jc w:val="center"/>
              <w:rPr>
                <w:rFonts w:eastAsia="Times New Roman"/>
                <w:noProof/>
                <w:sz w:val="18"/>
                <w:szCs w:val="18"/>
              </w:rPr>
            </w:pPr>
            <w:r>
              <w:rPr>
                <w:noProof/>
                <w:sz w:val="18"/>
              </w:rPr>
              <w:t>Година 2019</w:t>
            </w:r>
          </w:p>
        </w:tc>
        <w:tc>
          <w:tcPr>
            <w:tcW w:w="678" w:type="pct"/>
            <w:gridSpan w:val="2"/>
            <w:tcBorders>
              <w:left w:val="single" w:sz="4" w:space="0" w:color="auto"/>
              <w:bottom w:val="single" w:sz="4" w:space="0" w:color="auto"/>
            </w:tcBorders>
            <w:vAlign w:val="center"/>
          </w:tcPr>
          <w:p>
            <w:pPr>
              <w:ind w:right="-29"/>
              <w:jc w:val="center"/>
              <w:rPr>
                <w:rFonts w:eastAsia="Times New Roman"/>
                <w:noProof/>
                <w:sz w:val="18"/>
                <w:szCs w:val="18"/>
              </w:rPr>
            </w:pPr>
            <w:r>
              <w:rPr>
                <w:noProof/>
                <w:sz w:val="18"/>
              </w:rPr>
              <w:t>ОБЩО</w:t>
            </w:r>
          </w:p>
        </w:tc>
      </w:tr>
      <w:tr>
        <w:trPr>
          <w:jc w:val="center"/>
        </w:trPr>
        <w:tc>
          <w:tcPr>
            <w:tcW w:w="643" w:type="pct"/>
            <w:vMerge/>
            <w:vAlign w:val="center"/>
          </w:tcPr>
          <w:p>
            <w:pPr>
              <w:ind w:right="-29"/>
              <w:jc w:val="center"/>
              <w:rPr>
                <w:rFonts w:eastAsia="Times New Roman"/>
                <w:noProof/>
                <w:sz w:val="18"/>
                <w:szCs w:val="18"/>
              </w:rPr>
            </w:pPr>
          </w:p>
        </w:tc>
        <w:tc>
          <w:tcPr>
            <w:tcW w:w="4357" w:type="pct"/>
            <w:gridSpan w:val="12"/>
            <w:vAlign w:val="center"/>
          </w:tcPr>
          <w:p>
            <w:pPr>
              <w:spacing w:before="60" w:after="60"/>
              <w:ind w:right="-29"/>
              <w:jc w:val="center"/>
              <w:rPr>
                <w:rFonts w:eastAsia="Times New Roman"/>
                <w:noProof/>
                <w:sz w:val="18"/>
                <w:szCs w:val="18"/>
              </w:rPr>
            </w:pPr>
            <w:r>
              <w:rPr>
                <w:b/>
                <w:noProof/>
                <w:sz w:val="18"/>
              </w:rPr>
              <w:t>РЕЗУЛТАТИ</w:t>
            </w:r>
          </w:p>
        </w:tc>
      </w:tr>
      <w:tr>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4"/>
        </w:trPr>
        <w:tc>
          <w:tcPr>
            <w:tcW w:w="643" w:type="pct"/>
            <w:vMerge/>
            <w:tcBorders>
              <w:top w:val="single" w:sz="4" w:space="0" w:color="auto"/>
              <w:left w:val="single" w:sz="4" w:space="0" w:color="auto"/>
              <w:bottom w:val="single" w:sz="4" w:space="0" w:color="auto"/>
              <w:right w:val="single" w:sz="4" w:space="0" w:color="auto"/>
            </w:tcBorders>
          </w:tcPr>
          <w:p>
            <w:pPr>
              <w:rPr>
                <w:rFonts w:eastAsia="Times New Roman"/>
                <w:noProof/>
                <w:sz w:val="18"/>
                <w:szCs w:val="18"/>
              </w:rPr>
            </w:pPr>
          </w:p>
        </w:tc>
        <w:tc>
          <w:tcPr>
            <w:tcW w:w="549" w:type="pct"/>
            <w:tcBorders>
              <w:top w:val="single" w:sz="4" w:space="0" w:color="auto"/>
              <w:left w:val="single" w:sz="4" w:space="0" w:color="auto"/>
              <w:bottom w:val="single" w:sz="4" w:space="0" w:color="auto"/>
              <w:right w:val="single" w:sz="4" w:space="0" w:color="auto"/>
            </w:tcBorders>
          </w:tcPr>
          <w:p>
            <w:pPr>
              <w:jc w:val="center"/>
              <w:rPr>
                <w:rFonts w:eastAsia="Times New Roman"/>
                <w:noProof/>
                <w:sz w:val="18"/>
                <w:szCs w:val="18"/>
              </w:rPr>
            </w:pPr>
            <w:r>
              <w:rPr>
                <w:noProof/>
                <w:sz w:val="18"/>
              </w:rPr>
              <w:t>Вид резултат</w:t>
            </w:r>
          </w:p>
        </w:tc>
        <w:tc>
          <w:tcPr>
            <w:tcW w:w="418" w:type="pct"/>
            <w:tcBorders>
              <w:top w:val="single" w:sz="4" w:space="0" w:color="auto"/>
              <w:left w:val="single" w:sz="4" w:space="0" w:color="auto"/>
              <w:bottom w:val="single" w:sz="4" w:space="0" w:color="auto"/>
              <w:right w:val="single" w:sz="4" w:space="0" w:color="auto"/>
            </w:tcBorders>
          </w:tcPr>
          <w:p>
            <w:pPr>
              <w:jc w:val="center"/>
              <w:rPr>
                <w:rFonts w:eastAsia="Times New Roman"/>
                <w:noProof/>
                <w:sz w:val="18"/>
                <w:szCs w:val="18"/>
              </w:rPr>
            </w:pPr>
            <w:r>
              <w:rPr>
                <w:noProof/>
                <w:sz w:val="18"/>
              </w:rPr>
              <w:t>Среден разход за резултата</w:t>
            </w:r>
          </w:p>
        </w:tc>
        <w:tc>
          <w:tcPr>
            <w:tcW w:w="339" w:type="pct"/>
            <w:tcBorders>
              <w:top w:val="single" w:sz="4" w:space="0" w:color="auto"/>
              <w:left w:val="single" w:sz="4" w:space="0" w:color="auto"/>
              <w:bottom w:val="single" w:sz="4" w:space="0" w:color="auto"/>
              <w:right w:val="single" w:sz="4" w:space="0" w:color="auto"/>
            </w:tcBorders>
            <w:textDirection w:val="btLr"/>
          </w:tcPr>
          <w:p>
            <w:pPr>
              <w:ind w:left="113" w:right="113"/>
              <w:jc w:val="center"/>
              <w:rPr>
                <w:rFonts w:eastAsia="Times New Roman"/>
                <w:noProof/>
                <w:sz w:val="18"/>
                <w:szCs w:val="18"/>
              </w:rPr>
            </w:pPr>
            <w:r>
              <w:rPr>
                <w:noProof/>
                <w:sz w:val="18"/>
              </w:rPr>
              <w:t>Брой</w:t>
            </w:r>
            <w:r>
              <w:rPr>
                <w:rFonts w:eastAsia="Times New Roman"/>
                <w:noProof/>
                <w:sz w:val="18"/>
                <w:szCs w:val="18"/>
              </w:rPr>
              <w:br/>
            </w:r>
            <w:r>
              <w:rPr>
                <w:noProof/>
                <w:sz w:val="18"/>
              </w:rPr>
              <w:t>на резултатите</w:t>
            </w:r>
          </w:p>
        </w:tc>
        <w:tc>
          <w:tcPr>
            <w:tcW w:w="339" w:type="pct"/>
            <w:tcBorders>
              <w:top w:val="single" w:sz="4" w:space="0" w:color="auto"/>
              <w:left w:val="single" w:sz="4" w:space="0" w:color="auto"/>
              <w:bottom w:val="single" w:sz="4" w:space="0" w:color="auto"/>
              <w:right w:val="single" w:sz="4" w:space="0" w:color="auto"/>
            </w:tcBorders>
          </w:tcPr>
          <w:p>
            <w:pPr>
              <w:jc w:val="center"/>
              <w:rPr>
                <w:rFonts w:eastAsia="Times New Roman"/>
                <w:noProof/>
                <w:sz w:val="18"/>
                <w:szCs w:val="18"/>
              </w:rPr>
            </w:pPr>
            <w:r>
              <w:rPr>
                <w:noProof/>
                <w:sz w:val="18"/>
              </w:rPr>
              <w:t>Разход</w:t>
            </w:r>
          </w:p>
        </w:tc>
        <w:tc>
          <w:tcPr>
            <w:tcW w:w="339" w:type="pct"/>
            <w:tcBorders>
              <w:top w:val="single" w:sz="4" w:space="0" w:color="auto"/>
              <w:left w:val="single" w:sz="4" w:space="0" w:color="auto"/>
              <w:bottom w:val="single" w:sz="4" w:space="0" w:color="auto"/>
              <w:right w:val="single" w:sz="4" w:space="0" w:color="auto"/>
            </w:tcBorders>
            <w:textDirection w:val="btLr"/>
          </w:tcPr>
          <w:p>
            <w:pPr>
              <w:ind w:left="113" w:right="113"/>
              <w:jc w:val="center"/>
              <w:rPr>
                <w:rFonts w:eastAsia="Times New Roman"/>
                <w:noProof/>
                <w:sz w:val="18"/>
                <w:szCs w:val="18"/>
              </w:rPr>
            </w:pPr>
            <w:r>
              <w:rPr>
                <w:noProof/>
                <w:sz w:val="18"/>
              </w:rPr>
              <w:t>Брой</w:t>
            </w:r>
            <w:r>
              <w:rPr>
                <w:rFonts w:eastAsia="Times New Roman"/>
                <w:noProof/>
                <w:sz w:val="18"/>
                <w:szCs w:val="18"/>
              </w:rPr>
              <w:br/>
            </w:r>
            <w:r>
              <w:rPr>
                <w:noProof/>
                <w:sz w:val="18"/>
              </w:rPr>
              <w:t>на резултатите</w:t>
            </w:r>
          </w:p>
        </w:tc>
        <w:tc>
          <w:tcPr>
            <w:tcW w:w="339" w:type="pct"/>
            <w:tcBorders>
              <w:top w:val="single" w:sz="4" w:space="0" w:color="auto"/>
              <w:left w:val="single" w:sz="4" w:space="0" w:color="auto"/>
              <w:bottom w:val="single" w:sz="4" w:space="0" w:color="auto"/>
              <w:right w:val="single" w:sz="4" w:space="0" w:color="auto"/>
            </w:tcBorders>
          </w:tcPr>
          <w:p>
            <w:pPr>
              <w:jc w:val="center"/>
              <w:rPr>
                <w:rFonts w:eastAsia="Times New Roman"/>
                <w:noProof/>
                <w:sz w:val="18"/>
                <w:szCs w:val="18"/>
              </w:rPr>
            </w:pPr>
            <w:r>
              <w:rPr>
                <w:noProof/>
                <w:sz w:val="18"/>
              </w:rPr>
              <w:t>Разход</w:t>
            </w:r>
          </w:p>
        </w:tc>
        <w:tc>
          <w:tcPr>
            <w:tcW w:w="339" w:type="pct"/>
            <w:tcBorders>
              <w:top w:val="single" w:sz="4" w:space="0" w:color="auto"/>
              <w:left w:val="single" w:sz="4" w:space="0" w:color="auto"/>
              <w:bottom w:val="single" w:sz="4" w:space="0" w:color="auto"/>
              <w:right w:val="single" w:sz="4" w:space="0" w:color="auto"/>
            </w:tcBorders>
            <w:textDirection w:val="btLr"/>
          </w:tcPr>
          <w:p>
            <w:pPr>
              <w:ind w:left="113" w:right="113"/>
              <w:jc w:val="center"/>
              <w:rPr>
                <w:rFonts w:eastAsia="Times New Roman"/>
                <w:noProof/>
                <w:sz w:val="18"/>
                <w:szCs w:val="18"/>
              </w:rPr>
            </w:pPr>
            <w:r>
              <w:rPr>
                <w:noProof/>
                <w:sz w:val="18"/>
              </w:rPr>
              <w:t>Брой</w:t>
            </w:r>
            <w:r>
              <w:rPr>
                <w:rFonts w:eastAsia="Times New Roman"/>
                <w:noProof/>
                <w:sz w:val="18"/>
                <w:szCs w:val="18"/>
              </w:rPr>
              <w:br/>
            </w:r>
            <w:r>
              <w:rPr>
                <w:noProof/>
                <w:sz w:val="18"/>
              </w:rPr>
              <w:t>на резултатите</w:t>
            </w:r>
          </w:p>
        </w:tc>
        <w:tc>
          <w:tcPr>
            <w:tcW w:w="339" w:type="pct"/>
            <w:tcBorders>
              <w:top w:val="single" w:sz="4" w:space="0" w:color="auto"/>
              <w:left w:val="single" w:sz="4" w:space="0" w:color="auto"/>
              <w:bottom w:val="single" w:sz="4" w:space="0" w:color="auto"/>
              <w:right w:val="single" w:sz="4" w:space="0" w:color="auto"/>
            </w:tcBorders>
          </w:tcPr>
          <w:p>
            <w:pPr>
              <w:jc w:val="center"/>
              <w:rPr>
                <w:rFonts w:eastAsia="Times New Roman"/>
                <w:noProof/>
                <w:sz w:val="18"/>
                <w:szCs w:val="18"/>
              </w:rPr>
            </w:pPr>
            <w:r>
              <w:rPr>
                <w:noProof/>
                <w:sz w:val="18"/>
              </w:rPr>
              <w:t>Разход</w:t>
            </w:r>
          </w:p>
        </w:tc>
        <w:tc>
          <w:tcPr>
            <w:tcW w:w="339" w:type="pct"/>
            <w:tcBorders>
              <w:top w:val="single" w:sz="4" w:space="0" w:color="auto"/>
              <w:left w:val="single" w:sz="4" w:space="0" w:color="auto"/>
              <w:bottom w:val="single" w:sz="4" w:space="0" w:color="auto"/>
              <w:right w:val="single" w:sz="4" w:space="0" w:color="auto"/>
            </w:tcBorders>
            <w:textDirection w:val="btLr"/>
          </w:tcPr>
          <w:p>
            <w:pPr>
              <w:ind w:left="113" w:right="113"/>
              <w:jc w:val="center"/>
              <w:rPr>
                <w:rFonts w:eastAsia="Times New Roman"/>
                <w:noProof/>
                <w:sz w:val="18"/>
                <w:szCs w:val="18"/>
              </w:rPr>
            </w:pPr>
            <w:r>
              <w:rPr>
                <w:noProof/>
                <w:sz w:val="18"/>
              </w:rPr>
              <w:t>Брой</w:t>
            </w:r>
            <w:r>
              <w:rPr>
                <w:rFonts w:eastAsia="Times New Roman"/>
                <w:noProof/>
                <w:sz w:val="18"/>
                <w:szCs w:val="18"/>
              </w:rPr>
              <w:br/>
            </w:r>
            <w:r>
              <w:rPr>
                <w:noProof/>
                <w:sz w:val="18"/>
              </w:rPr>
              <w:t>на резултатите</w:t>
            </w:r>
          </w:p>
        </w:tc>
        <w:tc>
          <w:tcPr>
            <w:tcW w:w="339" w:type="pct"/>
            <w:tcBorders>
              <w:top w:val="single" w:sz="4" w:space="0" w:color="auto"/>
              <w:left w:val="single" w:sz="4" w:space="0" w:color="auto"/>
              <w:bottom w:val="single" w:sz="4" w:space="0" w:color="auto"/>
              <w:right w:val="single" w:sz="4" w:space="0" w:color="auto"/>
            </w:tcBorders>
          </w:tcPr>
          <w:p>
            <w:pPr>
              <w:jc w:val="center"/>
              <w:rPr>
                <w:rFonts w:eastAsia="Times New Roman"/>
                <w:noProof/>
                <w:sz w:val="18"/>
                <w:szCs w:val="18"/>
              </w:rPr>
            </w:pPr>
            <w:r>
              <w:rPr>
                <w:noProof/>
                <w:sz w:val="18"/>
              </w:rPr>
              <w:t>Разход</w:t>
            </w:r>
          </w:p>
        </w:tc>
        <w:tc>
          <w:tcPr>
            <w:tcW w:w="339" w:type="pct"/>
            <w:tcBorders>
              <w:top w:val="single" w:sz="4" w:space="0" w:color="auto"/>
              <w:left w:val="single" w:sz="4" w:space="0" w:color="auto"/>
              <w:bottom w:val="single" w:sz="4" w:space="0" w:color="auto"/>
              <w:right w:val="single" w:sz="4" w:space="0" w:color="auto"/>
            </w:tcBorders>
          </w:tcPr>
          <w:p>
            <w:pPr>
              <w:jc w:val="center"/>
              <w:rPr>
                <w:rFonts w:eastAsia="Times New Roman"/>
                <w:noProof/>
                <w:sz w:val="18"/>
                <w:szCs w:val="18"/>
              </w:rPr>
            </w:pPr>
            <w:r>
              <w:rPr>
                <w:noProof/>
                <w:sz w:val="18"/>
              </w:rPr>
              <w:t>Общ брой на резултатите</w:t>
            </w:r>
          </w:p>
        </w:tc>
        <w:tc>
          <w:tcPr>
            <w:tcW w:w="339" w:type="pct"/>
            <w:tcBorders>
              <w:top w:val="single" w:sz="4" w:space="0" w:color="auto"/>
              <w:left w:val="single" w:sz="4" w:space="0" w:color="auto"/>
              <w:bottom w:val="single" w:sz="4" w:space="0" w:color="auto"/>
              <w:right w:val="single" w:sz="4" w:space="0" w:color="auto"/>
            </w:tcBorders>
          </w:tcPr>
          <w:p>
            <w:pPr>
              <w:jc w:val="center"/>
              <w:rPr>
                <w:rFonts w:eastAsia="Times New Roman"/>
                <w:noProof/>
                <w:sz w:val="18"/>
                <w:szCs w:val="18"/>
              </w:rPr>
            </w:pPr>
            <w:r>
              <w:rPr>
                <w:noProof/>
                <w:sz w:val="18"/>
              </w:rPr>
              <w:t xml:space="preserve">Общо </w:t>
            </w:r>
            <w:r>
              <w:rPr>
                <w:rFonts w:eastAsia="Times New Roman"/>
                <w:noProof/>
                <w:sz w:val="18"/>
                <w:szCs w:val="18"/>
              </w:rPr>
              <w:br/>
            </w:r>
            <w:r>
              <w:rPr>
                <w:noProof/>
                <w:sz w:val="18"/>
              </w:rPr>
              <w:t>разходи</w:t>
            </w:r>
          </w:p>
        </w:tc>
      </w:tr>
      <w:tr>
        <w:trPr>
          <w:jc w:val="center"/>
        </w:trPr>
        <w:tc>
          <w:tcPr>
            <w:tcW w:w="5000" w:type="pct"/>
            <w:gridSpan w:val="13"/>
            <w:vAlign w:val="center"/>
          </w:tcPr>
          <w:p>
            <w:pPr>
              <w:spacing w:before="60" w:after="60"/>
              <w:ind w:right="-29"/>
              <w:rPr>
                <w:rFonts w:eastAsia="Times New Roman"/>
                <w:noProof/>
                <w:sz w:val="18"/>
                <w:szCs w:val="18"/>
              </w:rPr>
            </w:pPr>
            <w:r>
              <w:rPr>
                <w:noProof/>
                <w:sz w:val="18"/>
              </w:rPr>
              <w:t xml:space="preserve">СПЕЦИФИЧНА ЦЕЛ:  Безопасна и надеждна работа на HFR </w:t>
            </w:r>
          </w:p>
        </w:tc>
      </w:tr>
      <w:tr>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880"/>
        </w:trPr>
        <w:tc>
          <w:tcPr>
            <w:tcW w:w="643"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 Резултат</w:t>
            </w:r>
          </w:p>
        </w:tc>
        <w:tc>
          <w:tcPr>
            <w:tcW w:w="54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Дни на експлоатация при пълна мощност</w:t>
            </w:r>
          </w:p>
        </w:tc>
        <w:tc>
          <w:tcPr>
            <w:tcW w:w="418"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не се прилага</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250</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p.m.</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250</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p.m.</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250</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p.m.</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250</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p.m.</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1000</w:t>
            </w:r>
          </w:p>
        </w:tc>
        <w:tc>
          <w:tcPr>
            <w:tcW w:w="339" w:type="pct"/>
            <w:tcBorders>
              <w:top w:val="single" w:sz="4" w:space="0" w:color="auto"/>
              <w:left w:val="single" w:sz="4" w:space="0" w:color="auto"/>
              <w:bottom w:val="single" w:sz="4" w:space="0" w:color="auto"/>
              <w:right w:val="single" w:sz="4" w:space="0" w:color="auto"/>
            </w:tcBorders>
          </w:tcPr>
          <w:p>
            <w:pPr>
              <w:ind w:right="-29"/>
              <w:jc w:val="center"/>
              <w:rPr>
                <w:rFonts w:eastAsia="Times New Roman"/>
                <w:noProof/>
                <w:sz w:val="18"/>
                <w:szCs w:val="18"/>
              </w:rPr>
            </w:pPr>
            <w:r>
              <w:rPr>
                <w:noProof/>
                <w:sz w:val="18"/>
              </w:rPr>
              <w:t>p.m.</w:t>
            </w:r>
          </w:p>
        </w:tc>
      </w:tr>
      <w:tr>
        <w:trPr>
          <w:jc w:val="center"/>
        </w:trPr>
        <w:tc>
          <w:tcPr>
            <w:tcW w:w="1610" w:type="pct"/>
            <w:gridSpan w:val="3"/>
            <w:tcBorders>
              <w:bottom w:val="single" w:sz="4" w:space="0" w:color="auto"/>
            </w:tcBorders>
            <w:vAlign w:val="center"/>
          </w:tcPr>
          <w:p>
            <w:pPr>
              <w:ind w:right="-29"/>
              <w:jc w:val="center"/>
              <w:rPr>
                <w:rFonts w:eastAsia="Times New Roman"/>
                <w:noProof/>
                <w:sz w:val="18"/>
                <w:szCs w:val="18"/>
              </w:rPr>
            </w:pPr>
            <w:r>
              <w:rPr>
                <w:noProof/>
                <w:sz w:val="18"/>
              </w:rPr>
              <w:t>Междинен сбор за конкретна цел</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250</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p.m.</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250</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p.m.</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250</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p.m.</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250</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p.m.</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1000</w:t>
            </w:r>
          </w:p>
        </w:tc>
        <w:tc>
          <w:tcPr>
            <w:tcW w:w="339" w:type="pct"/>
            <w:tcBorders>
              <w:bottom w:val="single" w:sz="4" w:space="0" w:color="auto"/>
            </w:tcBorders>
            <w:vAlign w:val="center"/>
          </w:tcPr>
          <w:p>
            <w:pPr>
              <w:ind w:right="-29"/>
              <w:jc w:val="center"/>
              <w:rPr>
                <w:rFonts w:eastAsia="Times New Roman"/>
                <w:noProof/>
                <w:sz w:val="18"/>
                <w:szCs w:val="18"/>
              </w:rPr>
            </w:pPr>
            <w:r>
              <w:rPr>
                <w:noProof/>
                <w:sz w:val="18"/>
              </w:rPr>
              <w:t>p.m.</w:t>
            </w:r>
          </w:p>
        </w:tc>
      </w:tr>
      <w:tr>
        <w:trPr>
          <w:jc w:val="center"/>
        </w:trPr>
        <w:tc>
          <w:tcPr>
            <w:tcW w:w="1610" w:type="pct"/>
            <w:gridSpan w:val="3"/>
            <w:tcBorders>
              <w:top w:val="single" w:sz="4" w:space="0" w:color="auto"/>
              <w:left w:val="single" w:sz="12" w:space="0" w:color="auto"/>
              <w:bottom w:val="single" w:sz="12" w:space="0" w:color="auto"/>
            </w:tcBorders>
            <w:vAlign w:val="center"/>
          </w:tcPr>
          <w:p>
            <w:pPr>
              <w:ind w:right="-29"/>
              <w:jc w:val="center"/>
              <w:rPr>
                <w:rFonts w:eastAsia="Times New Roman"/>
                <w:noProof/>
                <w:sz w:val="18"/>
                <w:szCs w:val="18"/>
              </w:rPr>
            </w:pPr>
            <w:r>
              <w:rPr>
                <w:b/>
                <w:noProof/>
                <w:sz w:val="18"/>
              </w:rPr>
              <w:t>ОБЩО РАЗХОДИ</w:t>
            </w:r>
          </w:p>
        </w:tc>
        <w:tc>
          <w:tcPr>
            <w:tcW w:w="339" w:type="pct"/>
            <w:tcBorders>
              <w:top w:val="single" w:sz="4" w:space="0" w:color="auto"/>
              <w:bottom w:val="single" w:sz="12" w:space="0" w:color="auto"/>
            </w:tcBorders>
            <w:vAlign w:val="center"/>
          </w:tcPr>
          <w:p>
            <w:pPr>
              <w:ind w:right="-29"/>
              <w:jc w:val="center"/>
              <w:rPr>
                <w:rFonts w:eastAsia="Times New Roman"/>
                <w:noProof/>
                <w:sz w:val="18"/>
                <w:szCs w:val="18"/>
              </w:rPr>
            </w:pPr>
          </w:p>
        </w:tc>
        <w:tc>
          <w:tcPr>
            <w:tcW w:w="339" w:type="pct"/>
            <w:tcBorders>
              <w:top w:val="single" w:sz="4" w:space="0" w:color="auto"/>
              <w:bottom w:val="single" w:sz="12" w:space="0" w:color="auto"/>
            </w:tcBorders>
            <w:vAlign w:val="center"/>
          </w:tcPr>
          <w:p>
            <w:pPr>
              <w:ind w:right="-29"/>
              <w:jc w:val="center"/>
              <w:rPr>
                <w:rFonts w:eastAsia="Times New Roman"/>
                <w:noProof/>
                <w:sz w:val="18"/>
                <w:szCs w:val="18"/>
              </w:rPr>
            </w:pPr>
            <w:r>
              <w:rPr>
                <w:noProof/>
                <w:sz w:val="18"/>
              </w:rPr>
              <w:t>p.m.</w:t>
            </w:r>
          </w:p>
        </w:tc>
        <w:tc>
          <w:tcPr>
            <w:tcW w:w="339" w:type="pct"/>
            <w:tcBorders>
              <w:top w:val="single" w:sz="4" w:space="0" w:color="auto"/>
              <w:bottom w:val="single" w:sz="12" w:space="0" w:color="auto"/>
            </w:tcBorders>
            <w:vAlign w:val="center"/>
          </w:tcPr>
          <w:p>
            <w:pPr>
              <w:ind w:right="-29"/>
              <w:jc w:val="center"/>
              <w:rPr>
                <w:rFonts w:eastAsia="Times New Roman"/>
                <w:noProof/>
                <w:sz w:val="18"/>
                <w:szCs w:val="18"/>
              </w:rPr>
            </w:pPr>
          </w:p>
        </w:tc>
        <w:tc>
          <w:tcPr>
            <w:tcW w:w="339" w:type="pct"/>
            <w:tcBorders>
              <w:top w:val="single" w:sz="4" w:space="0" w:color="auto"/>
              <w:bottom w:val="single" w:sz="12" w:space="0" w:color="auto"/>
            </w:tcBorders>
            <w:vAlign w:val="center"/>
          </w:tcPr>
          <w:p>
            <w:pPr>
              <w:ind w:right="-29"/>
              <w:jc w:val="center"/>
              <w:rPr>
                <w:rFonts w:eastAsia="Times New Roman"/>
                <w:noProof/>
                <w:sz w:val="18"/>
                <w:szCs w:val="18"/>
              </w:rPr>
            </w:pPr>
            <w:r>
              <w:rPr>
                <w:noProof/>
                <w:sz w:val="18"/>
              </w:rPr>
              <w:t>p.m.</w:t>
            </w:r>
          </w:p>
        </w:tc>
        <w:tc>
          <w:tcPr>
            <w:tcW w:w="339" w:type="pct"/>
            <w:tcBorders>
              <w:top w:val="single" w:sz="4" w:space="0" w:color="auto"/>
              <w:bottom w:val="single" w:sz="12" w:space="0" w:color="auto"/>
            </w:tcBorders>
            <w:vAlign w:val="center"/>
          </w:tcPr>
          <w:p>
            <w:pPr>
              <w:ind w:right="-29"/>
              <w:jc w:val="center"/>
              <w:rPr>
                <w:rFonts w:eastAsia="Times New Roman"/>
                <w:noProof/>
                <w:sz w:val="18"/>
                <w:szCs w:val="18"/>
              </w:rPr>
            </w:pPr>
          </w:p>
        </w:tc>
        <w:tc>
          <w:tcPr>
            <w:tcW w:w="339" w:type="pct"/>
            <w:tcBorders>
              <w:top w:val="single" w:sz="4" w:space="0" w:color="auto"/>
              <w:bottom w:val="single" w:sz="12" w:space="0" w:color="auto"/>
            </w:tcBorders>
            <w:vAlign w:val="center"/>
          </w:tcPr>
          <w:p>
            <w:pPr>
              <w:ind w:right="-29"/>
              <w:jc w:val="center"/>
              <w:rPr>
                <w:rFonts w:eastAsia="Times New Roman"/>
                <w:noProof/>
                <w:sz w:val="18"/>
                <w:szCs w:val="18"/>
              </w:rPr>
            </w:pPr>
            <w:r>
              <w:rPr>
                <w:noProof/>
                <w:sz w:val="18"/>
              </w:rPr>
              <w:t>p.m.</w:t>
            </w:r>
          </w:p>
        </w:tc>
        <w:tc>
          <w:tcPr>
            <w:tcW w:w="339" w:type="pct"/>
            <w:tcBorders>
              <w:top w:val="single" w:sz="4" w:space="0" w:color="auto"/>
              <w:bottom w:val="single" w:sz="12" w:space="0" w:color="auto"/>
            </w:tcBorders>
            <w:vAlign w:val="center"/>
          </w:tcPr>
          <w:p>
            <w:pPr>
              <w:ind w:right="-29"/>
              <w:jc w:val="center"/>
              <w:rPr>
                <w:rFonts w:eastAsia="Times New Roman"/>
                <w:noProof/>
                <w:sz w:val="18"/>
                <w:szCs w:val="18"/>
              </w:rPr>
            </w:pPr>
          </w:p>
        </w:tc>
        <w:tc>
          <w:tcPr>
            <w:tcW w:w="339" w:type="pct"/>
            <w:tcBorders>
              <w:top w:val="single" w:sz="4" w:space="0" w:color="auto"/>
              <w:bottom w:val="single" w:sz="12" w:space="0" w:color="auto"/>
            </w:tcBorders>
            <w:vAlign w:val="center"/>
          </w:tcPr>
          <w:p>
            <w:pPr>
              <w:ind w:right="-29"/>
              <w:jc w:val="center"/>
              <w:rPr>
                <w:rFonts w:eastAsia="Times New Roman"/>
                <w:noProof/>
                <w:sz w:val="18"/>
                <w:szCs w:val="18"/>
              </w:rPr>
            </w:pPr>
            <w:r>
              <w:rPr>
                <w:noProof/>
                <w:sz w:val="18"/>
              </w:rPr>
              <w:t>p.m.</w:t>
            </w:r>
          </w:p>
        </w:tc>
        <w:tc>
          <w:tcPr>
            <w:tcW w:w="339" w:type="pct"/>
            <w:tcBorders>
              <w:top w:val="single" w:sz="4" w:space="0" w:color="auto"/>
              <w:bottom w:val="single" w:sz="12" w:space="0" w:color="auto"/>
            </w:tcBorders>
            <w:vAlign w:val="center"/>
          </w:tcPr>
          <w:p>
            <w:pPr>
              <w:ind w:right="-29"/>
              <w:jc w:val="center"/>
              <w:rPr>
                <w:rFonts w:eastAsia="Times New Roman"/>
                <w:noProof/>
                <w:sz w:val="18"/>
                <w:szCs w:val="18"/>
              </w:rPr>
            </w:pPr>
          </w:p>
        </w:tc>
        <w:tc>
          <w:tcPr>
            <w:tcW w:w="339" w:type="pct"/>
            <w:tcBorders>
              <w:top w:val="single" w:sz="4" w:space="0" w:color="auto"/>
              <w:bottom w:val="single" w:sz="12" w:space="0" w:color="auto"/>
              <w:right w:val="single" w:sz="12" w:space="0" w:color="auto"/>
            </w:tcBorders>
            <w:vAlign w:val="center"/>
          </w:tcPr>
          <w:p>
            <w:pPr>
              <w:ind w:right="-29"/>
              <w:jc w:val="center"/>
              <w:rPr>
                <w:rFonts w:eastAsia="Times New Roman"/>
                <w:noProof/>
                <w:sz w:val="18"/>
                <w:szCs w:val="18"/>
              </w:rPr>
            </w:pPr>
            <w:r>
              <w:rPr>
                <w:noProof/>
                <w:sz w:val="18"/>
              </w:rPr>
              <w:t>p.m.</w:t>
            </w:r>
          </w:p>
        </w:tc>
      </w:tr>
    </w:tbl>
    <w:p>
      <w:pPr>
        <w:rPr>
          <w:rFonts w:eastAsia="Times New Roman"/>
          <w:noProof/>
          <w:szCs w:val="24"/>
        </w:rPr>
        <w:sectPr>
          <w:pgSz w:w="15840" w:h="12240" w:orient="landscape" w:code="1"/>
          <w:pgMar w:top="1418" w:right="902" w:bottom="902" w:left="567" w:header="709" w:footer="709" w:gutter="0"/>
          <w:cols w:space="708"/>
          <w:docGrid w:linePitch="360"/>
        </w:sectPr>
      </w:pPr>
    </w:p>
    <w:p>
      <w:pPr>
        <w:keepNext/>
        <w:numPr>
          <w:ilvl w:val="2"/>
          <w:numId w:val="0"/>
        </w:numPr>
        <w:tabs>
          <w:tab w:val="num" w:pos="850"/>
        </w:tabs>
        <w:ind w:left="850" w:hanging="850"/>
        <w:outlineLvl w:val="2"/>
        <w:rPr>
          <w:rFonts w:eastAsia="Times New Roman"/>
          <w:bCs/>
          <w:i/>
          <w:noProof/>
        </w:rPr>
      </w:pPr>
      <w:r>
        <w:rPr>
          <w:i/>
          <w:noProof/>
        </w:rPr>
        <w:t>Очаквано отражение върху бюджетните кредити за административни разходи</w:t>
      </w:r>
    </w:p>
    <w:p>
      <w:pPr>
        <w:keepNext/>
        <w:numPr>
          <w:ilvl w:val="3"/>
          <w:numId w:val="0"/>
        </w:numPr>
        <w:tabs>
          <w:tab w:val="num" w:pos="850"/>
        </w:tabs>
        <w:ind w:left="850" w:hanging="850"/>
        <w:outlineLvl w:val="3"/>
        <w:rPr>
          <w:rFonts w:eastAsia="Times New Roman"/>
          <w:bCs/>
          <w:iCs/>
          <w:noProof/>
        </w:rPr>
      </w:pPr>
      <w:r>
        <w:rPr>
          <w:noProof/>
        </w:rPr>
        <w:t xml:space="preserve">Обобщение </w:t>
      </w:r>
    </w:p>
    <w:p>
      <w:pPr>
        <w:tabs>
          <w:tab w:val="num" w:pos="1134"/>
        </w:tabs>
        <w:ind w:left="1134" w:hanging="283"/>
        <w:rPr>
          <w:rFonts w:eastAsia="Times New Roman"/>
          <w:noProof/>
          <w:szCs w:val="24"/>
        </w:rPr>
      </w:pPr>
      <w:r>
        <w:rPr>
          <w:rFonts w:eastAsia="Times New Roman"/>
          <w:noProof/>
          <w:szCs w:val="24"/>
        </w:rPr>
        <w:sym w:font="Wingdings" w:char="F078"/>
      </w:r>
      <w:r>
        <w:rPr>
          <w:noProof/>
        </w:rPr>
        <w:tab/>
        <w:t xml:space="preserve">Предложението/инициативата не води до използване на бюджетни кредити за административни разходи </w:t>
      </w:r>
    </w:p>
    <w:p>
      <w:pPr>
        <w:tabs>
          <w:tab w:val="num" w:pos="1134"/>
        </w:tabs>
        <w:ind w:left="1134" w:hanging="283"/>
        <w:rPr>
          <w:rFonts w:eastAsia="Times New Roman"/>
          <w:noProof/>
          <w:szCs w:val="24"/>
        </w:rPr>
      </w:pPr>
      <w:r>
        <w:rPr>
          <w:rFonts w:eastAsia="Times New Roman"/>
          <w:noProof/>
          <w:szCs w:val="24"/>
        </w:rPr>
        <w:sym w:font="Wingdings" w:char="F0A8"/>
      </w:r>
      <w:r>
        <w:rPr>
          <w:noProof/>
        </w:rPr>
        <w:tab/>
        <w:t>Предложението/инициативата води до използването на бюджетни кредити за административни разходи съгласно обяснението по-долу:</w:t>
      </w:r>
    </w:p>
    <w:p>
      <w:pPr>
        <w:rPr>
          <w:rFonts w:eastAsia="Times New Roman"/>
          <w:noProof/>
          <w:sz w:val="20"/>
          <w:szCs w:val="20"/>
        </w:rPr>
      </w:pPr>
      <w:r>
        <w:rPr>
          <w:noProof/>
          <w:sz w:val="20"/>
        </w:rPr>
        <w:t>млн. евро (до 3-тия знак след десетичната запетая)</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189"/>
        <w:gridCol w:w="1194"/>
        <w:gridCol w:w="1195"/>
        <w:gridCol w:w="1195"/>
        <w:gridCol w:w="1195"/>
        <w:gridCol w:w="1128"/>
        <w:gridCol w:w="1193"/>
      </w:tblGrid>
      <w:tr>
        <w:trPr>
          <w:trHeight w:val="585"/>
        </w:trPr>
        <w:tc>
          <w:tcPr>
            <w:tcW w:w="1179" w:type="pct"/>
          </w:tcPr>
          <w:p>
            <w:pPr>
              <w:spacing w:before="60" w:after="60"/>
              <w:rPr>
                <w:rFonts w:eastAsia="Times New Roman"/>
                <w:noProof/>
                <w:sz w:val="20"/>
                <w:szCs w:val="20"/>
              </w:rPr>
            </w:pPr>
          </w:p>
        </w:tc>
        <w:tc>
          <w:tcPr>
            <w:tcW w:w="643"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2016</w:t>
            </w:r>
          </w:p>
        </w:tc>
        <w:tc>
          <w:tcPr>
            <w:tcW w:w="643"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2017</w:t>
            </w:r>
          </w:p>
        </w:tc>
        <w:tc>
          <w:tcPr>
            <w:tcW w:w="643"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2018</w:t>
            </w:r>
          </w:p>
        </w:tc>
        <w:tc>
          <w:tcPr>
            <w:tcW w:w="643"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2019</w:t>
            </w:r>
          </w:p>
        </w:tc>
        <w:tc>
          <w:tcPr>
            <w:tcW w:w="607" w:type="pct"/>
            <w:tcBorders>
              <w:right w:val="single" w:sz="4" w:space="0" w:color="auto"/>
            </w:tcBorders>
            <w:vAlign w:val="center"/>
          </w:tcPr>
          <w:p>
            <w:pPr>
              <w:jc w:val="center"/>
              <w:rPr>
                <w:rFonts w:eastAsia="Times New Roman"/>
                <w:noProof/>
                <w:sz w:val="20"/>
                <w:szCs w:val="20"/>
              </w:rPr>
            </w:pPr>
            <w:r>
              <w:rPr>
                <w:noProof/>
                <w:color w:val="000000"/>
                <w:sz w:val="20"/>
              </w:rPr>
              <w:t>Година</w:t>
            </w:r>
            <w:r>
              <w:rPr>
                <w:rFonts w:eastAsia="Times New Roman"/>
                <w:noProof/>
                <w:sz w:val="20"/>
                <w:szCs w:val="20"/>
              </w:rPr>
              <w:br/>
            </w:r>
            <w:r>
              <w:rPr>
                <w:noProof/>
                <w:color w:val="000000"/>
                <w:sz w:val="20"/>
              </w:rPr>
              <w:t>≥ 2019</w:t>
            </w:r>
          </w:p>
        </w:tc>
        <w:tc>
          <w:tcPr>
            <w:tcW w:w="643" w:type="pct"/>
            <w:vAlign w:val="center"/>
          </w:tcPr>
          <w:p>
            <w:pPr>
              <w:spacing w:before="60" w:after="60"/>
              <w:jc w:val="center"/>
              <w:rPr>
                <w:rFonts w:eastAsia="Times New Roman"/>
                <w:noProof/>
                <w:sz w:val="20"/>
                <w:szCs w:val="20"/>
              </w:rPr>
            </w:pPr>
            <w:r>
              <w:rPr>
                <w:noProof/>
                <w:sz w:val="20"/>
              </w:rPr>
              <w:t>ОБЩО</w:t>
            </w:r>
          </w:p>
        </w:tc>
      </w:tr>
    </w:tbl>
    <w:p>
      <w:pPr>
        <w:rPr>
          <w:rFonts w:eastAsia="Times New Roman"/>
          <w:noProof/>
          <w:sz w:val="20"/>
          <w:szCs w:val="20"/>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175"/>
        <w:gridCol w:w="1186"/>
        <w:gridCol w:w="1186"/>
        <w:gridCol w:w="1186"/>
        <w:gridCol w:w="1186"/>
        <w:gridCol w:w="1185"/>
        <w:gridCol w:w="1185"/>
      </w:tblGrid>
      <w:tr>
        <w:trPr>
          <w:trHeight w:val="585"/>
        </w:trPr>
        <w:tc>
          <w:tcPr>
            <w:tcW w:w="1170" w:type="pct"/>
            <w:shd w:val="clear" w:color="auto" w:fill="CCCCCC"/>
            <w:vAlign w:val="center"/>
          </w:tcPr>
          <w:p>
            <w:pPr>
              <w:spacing w:before="60" w:after="60"/>
              <w:jc w:val="center"/>
              <w:rPr>
                <w:rFonts w:eastAsia="Times New Roman"/>
                <w:b/>
                <w:noProof/>
                <w:sz w:val="20"/>
                <w:szCs w:val="20"/>
              </w:rPr>
            </w:pPr>
            <w:r>
              <w:rPr>
                <w:b/>
                <w:noProof/>
                <w:sz w:val="20"/>
              </w:rPr>
              <w:t>ФУНКЦИЯ 5</w:t>
            </w:r>
            <w:r>
              <w:rPr>
                <w:rFonts w:eastAsia="Times New Roman"/>
                <w:b/>
                <w:noProof/>
                <w:sz w:val="20"/>
                <w:szCs w:val="20"/>
              </w:rPr>
              <w:br/>
            </w:r>
            <w:r>
              <w:rPr>
                <w:b/>
                <w:noProof/>
                <w:sz w:val="20"/>
              </w:rPr>
              <w:t>от многогодишната финансова рамка</w:t>
            </w: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b/>
                <w:noProof/>
                <w:sz w:val="20"/>
                <w:szCs w:val="20"/>
              </w:rPr>
            </w:pPr>
          </w:p>
        </w:tc>
      </w:tr>
      <w:tr>
        <w:trPr>
          <w:trHeight w:val="585"/>
        </w:trPr>
        <w:tc>
          <w:tcPr>
            <w:tcW w:w="1170" w:type="pct"/>
            <w:vAlign w:val="center"/>
          </w:tcPr>
          <w:p>
            <w:pPr>
              <w:spacing w:before="60" w:after="60"/>
              <w:ind w:left="72"/>
              <w:rPr>
                <w:rFonts w:eastAsia="Times New Roman"/>
                <w:noProof/>
                <w:sz w:val="20"/>
                <w:szCs w:val="20"/>
              </w:rPr>
            </w:pPr>
            <w:r>
              <w:rPr>
                <w:noProof/>
                <w:sz w:val="20"/>
              </w:rPr>
              <w:t xml:space="preserve">Човешки ресурси </w:t>
            </w:r>
          </w:p>
        </w:tc>
        <w:tc>
          <w:tcPr>
            <w:tcW w:w="638" w:type="pct"/>
            <w:vAlign w:val="center"/>
          </w:tcPr>
          <w:p>
            <w:pPr>
              <w:spacing w:before="60" w:after="60"/>
              <w:jc w:val="center"/>
              <w:rPr>
                <w:rFonts w:eastAsia="Times New Roman"/>
                <w:noProof/>
                <w:sz w:val="20"/>
                <w:szCs w:val="20"/>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r>
      <w:tr>
        <w:trPr>
          <w:trHeight w:val="585"/>
        </w:trPr>
        <w:tc>
          <w:tcPr>
            <w:tcW w:w="1170" w:type="pct"/>
            <w:vAlign w:val="center"/>
          </w:tcPr>
          <w:p>
            <w:pPr>
              <w:spacing w:before="60" w:after="60"/>
              <w:ind w:left="72"/>
              <w:rPr>
                <w:rFonts w:eastAsia="Times New Roman"/>
                <w:noProof/>
                <w:sz w:val="20"/>
                <w:szCs w:val="20"/>
              </w:rPr>
            </w:pPr>
            <w:r>
              <w:rPr>
                <w:noProof/>
                <w:sz w:val="20"/>
              </w:rPr>
              <w:t xml:space="preserve">Други административни разходи </w:t>
            </w: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r>
      <w:tr>
        <w:trPr>
          <w:trHeight w:val="585"/>
        </w:trPr>
        <w:tc>
          <w:tcPr>
            <w:tcW w:w="1170" w:type="pct"/>
            <w:shd w:val="clear" w:color="auto" w:fill="CCCCCC"/>
            <w:vAlign w:val="center"/>
          </w:tcPr>
          <w:p>
            <w:pPr>
              <w:spacing w:before="60" w:after="60"/>
              <w:jc w:val="center"/>
              <w:rPr>
                <w:rFonts w:eastAsia="Times New Roman"/>
                <w:b/>
                <w:noProof/>
                <w:sz w:val="18"/>
                <w:szCs w:val="18"/>
              </w:rPr>
            </w:pPr>
            <w:r>
              <w:rPr>
                <w:b/>
                <w:noProof/>
                <w:sz w:val="18"/>
              </w:rPr>
              <w:t>Междинен сбор за ФУНКЦИЯ 5</w:t>
            </w:r>
            <w:r>
              <w:rPr>
                <w:rFonts w:eastAsia="Times New Roman"/>
                <w:b/>
                <w:noProof/>
                <w:sz w:val="18"/>
                <w:szCs w:val="18"/>
              </w:rPr>
              <w:br/>
            </w:r>
            <w:r>
              <w:rPr>
                <w:b/>
                <w:noProof/>
                <w:sz w:val="18"/>
              </w:rPr>
              <w:t xml:space="preserve">от многогодишната финансова рамка </w:t>
            </w: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r>
    </w:tbl>
    <w:p>
      <w:pPr>
        <w:rPr>
          <w:rFonts w:eastAsia="Times New Roman"/>
          <w:noProof/>
          <w:sz w:val="20"/>
          <w:szCs w:val="20"/>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175"/>
        <w:gridCol w:w="1186"/>
        <w:gridCol w:w="1186"/>
        <w:gridCol w:w="1186"/>
        <w:gridCol w:w="1186"/>
        <w:gridCol w:w="1185"/>
        <w:gridCol w:w="1185"/>
      </w:tblGrid>
      <w:tr>
        <w:trPr>
          <w:trHeight w:val="585"/>
        </w:trPr>
        <w:tc>
          <w:tcPr>
            <w:tcW w:w="1170" w:type="pct"/>
            <w:shd w:val="clear" w:color="auto" w:fill="CCCCCC"/>
            <w:vAlign w:val="center"/>
          </w:tcPr>
          <w:p>
            <w:pPr>
              <w:spacing w:before="60" w:after="60"/>
              <w:jc w:val="center"/>
              <w:rPr>
                <w:rFonts w:eastAsia="Times New Roman"/>
                <w:b/>
                <w:noProof/>
                <w:sz w:val="18"/>
                <w:szCs w:val="18"/>
              </w:rPr>
            </w:pPr>
            <w:r>
              <w:rPr>
                <w:b/>
                <w:noProof/>
                <w:sz w:val="18"/>
              </w:rPr>
              <w:t>Извън ФУНКЦИЯ 5</w:t>
            </w:r>
            <w:r>
              <w:rPr>
                <w:rFonts w:eastAsia="Times New Roman"/>
                <w:b/>
                <w:noProof/>
                <w:sz w:val="18"/>
                <w:szCs w:val="18"/>
              </w:rPr>
              <w:br/>
            </w:r>
            <w:r>
              <w:rPr>
                <w:b/>
                <w:noProof/>
                <w:sz w:val="18"/>
              </w:rPr>
              <w:t xml:space="preserve">от многогодишната финансова рамка </w:t>
            </w: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noProof/>
                <w:sz w:val="20"/>
                <w:szCs w:val="20"/>
              </w:rPr>
            </w:pPr>
          </w:p>
        </w:tc>
        <w:tc>
          <w:tcPr>
            <w:tcW w:w="638" w:type="pct"/>
            <w:vAlign w:val="center"/>
          </w:tcPr>
          <w:p>
            <w:pPr>
              <w:spacing w:before="60" w:after="60"/>
              <w:jc w:val="center"/>
              <w:rPr>
                <w:rFonts w:eastAsia="Times New Roman"/>
                <w:b/>
                <w:noProof/>
                <w:sz w:val="20"/>
                <w:szCs w:val="20"/>
              </w:rPr>
            </w:pPr>
          </w:p>
        </w:tc>
      </w:tr>
      <w:tr>
        <w:trPr>
          <w:trHeight w:val="585"/>
        </w:trPr>
        <w:tc>
          <w:tcPr>
            <w:tcW w:w="1170" w:type="pct"/>
            <w:vAlign w:val="center"/>
          </w:tcPr>
          <w:p>
            <w:pPr>
              <w:spacing w:before="60" w:after="60"/>
              <w:ind w:left="72"/>
              <w:rPr>
                <w:rFonts w:eastAsia="Times New Roman"/>
                <w:noProof/>
                <w:sz w:val="20"/>
                <w:szCs w:val="20"/>
              </w:rPr>
            </w:pPr>
            <w:r>
              <w:rPr>
                <w:noProof/>
                <w:sz w:val="20"/>
              </w:rPr>
              <w:t xml:space="preserve">Човешки ресурси </w:t>
            </w: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r>
      <w:tr>
        <w:trPr>
          <w:trHeight w:val="585"/>
        </w:trPr>
        <w:tc>
          <w:tcPr>
            <w:tcW w:w="1170" w:type="pct"/>
            <w:vAlign w:val="center"/>
          </w:tcPr>
          <w:p>
            <w:pPr>
              <w:spacing w:before="60" w:after="60"/>
              <w:ind w:left="72"/>
              <w:rPr>
                <w:rFonts w:eastAsia="Times New Roman"/>
                <w:noProof/>
                <w:sz w:val="20"/>
                <w:szCs w:val="20"/>
              </w:rPr>
            </w:pPr>
            <w:r>
              <w:rPr>
                <w:noProof/>
                <w:sz w:val="20"/>
              </w:rPr>
              <w:t xml:space="preserve">Други </w:t>
            </w:r>
            <w:r>
              <w:rPr>
                <w:rFonts w:eastAsia="Times New Roman"/>
                <w:noProof/>
                <w:sz w:val="20"/>
                <w:szCs w:val="20"/>
              </w:rPr>
              <w:br/>
            </w:r>
            <w:r>
              <w:rPr>
                <w:noProof/>
                <w:sz w:val="20"/>
              </w:rPr>
              <w:t>административни разходи</w:t>
            </w: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r>
      <w:tr>
        <w:trPr>
          <w:trHeight w:val="585"/>
        </w:trPr>
        <w:tc>
          <w:tcPr>
            <w:tcW w:w="1170" w:type="pct"/>
            <w:shd w:val="clear" w:color="auto" w:fill="CCCCCC"/>
            <w:vAlign w:val="center"/>
          </w:tcPr>
          <w:p>
            <w:pPr>
              <w:spacing w:before="60" w:after="60"/>
              <w:jc w:val="center"/>
              <w:rPr>
                <w:rFonts w:eastAsia="Times New Roman"/>
                <w:b/>
                <w:noProof/>
                <w:sz w:val="18"/>
                <w:szCs w:val="18"/>
              </w:rPr>
            </w:pPr>
            <w:r>
              <w:rPr>
                <w:b/>
                <w:noProof/>
                <w:sz w:val="18"/>
              </w:rPr>
              <w:t xml:space="preserve">Междинен сбор </w:t>
            </w:r>
            <w:r>
              <w:rPr>
                <w:rFonts w:eastAsia="Times New Roman"/>
                <w:b/>
                <w:noProof/>
                <w:sz w:val="18"/>
                <w:szCs w:val="18"/>
              </w:rPr>
              <w:br/>
            </w:r>
            <w:r>
              <w:rPr>
                <w:b/>
                <w:noProof/>
                <w:sz w:val="18"/>
              </w:rPr>
              <w:t>извън ФУНКЦИЯ 5</w:t>
            </w:r>
            <w:r>
              <w:rPr>
                <w:rFonts w:eastAsia="Times New Roman"/>
                <w:b/>
                <w:noProof/>
                <w:sz w:val="18"/>
                <w:szCs w:val="18"/>
              </w:rPr>
              <w:br/>
            </w:r>
            <w:r>
              <w:rPr>
                <w:b/>
                <w:noProof/>
                <w:sz w:val="18"/>
              </w:rPr>
              <w:t xml:space="preserve">от многогодишната финансова рамка </w:t>
            </w: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c>
          <w:tcPr>
            <w:tcW w:w="638" w:type="pct"/>
            <w:vAlign w:val="center"/>
          </w:tcPr>
          <w:p>
            <w:pPr>
              <w:jc w:val="center"/>
              <w:rPr>
                <w:rFonts w:eastAsia="Times New Roman"/>
                <w:noProof/>
                <w:szCs w:val="24"/>
              </w:rPr>
            </w:pPr>
          </w:p>
        </w:tc>
      </w:tr>
    </w:tbl>
    <w:p>
      <w:pPr>
        <w:rPr>
          <w:rFonts w:eastAsia="Times New Roman"/>
          <w:noProof/>
          <w:sz w:val="20"/>
          <w:szCs w:val="20"/>
        </w:rPr>
      </w:pPr>
    </w:p>
    <w:tbl>
      <w:tblPr>
        <w:tblW w:w="5000" w:type="pct"/>
        <w:tblLook w:val="01E0" w:firstRow="1" w:lastRow="1" w:firstColumn="1" w:lastColumn="1" w:noHBand="0" w:noVBand="0"/>
      </w:tblPr>
      <w:tblGrid>
        <w:gridCol w:w="2175"/>
        <w:gridCol w:w="1186"/>
        <w:gridCol w:w="1186"/>
        <w:gridCol w:w="1186"/>
        <w:gridCol w:w="1186"/>
        <w:gridCol w:w="1185"/>
        <w:gridCol w:w="1185"/>
      </w:tblGrid>
      <w:tr>
        <w:trPr>
          <w:trHeight w:val="585"/>
        </w:trPr>
        <w:tc>
          <w:tcPr>
            <w:tcW w:w="1170" w:type="pct"/>
            <w:tcBorders>
              <w:top w:val="single" w:sz="12" w:space="0" w:color="auto"/>
              <w:left w:val="single" w:sz="12" w:space="0" w:color="auto"/>
              <w:bottom w:val="single" w:sz="12" w:space="0" w:color="auto"/>
              <w:right w:val="single" w:sz="2" w:space="0" w:color="auto"/>
            </w:tcBorders>
            <w:vAlign w:val="center"/>
          </w:tcPr>
          <w:p>
            <w:pPr>
              <w:spacing w:before="60" w:after="60"/>
              <w:jc w:val="center"/>
              <w:rPr>
                <w:rFonts w:eastAsia="Times New Roman"/>
                <w:noProof/>
                <w:sz w:val="20"/>
                <w:szCs w:val="20"/>
              </w:rPr>
            </w:pPr>
            <w:r>
              <w:rPr>
                <w:b/>
                <w:noProof/>
                <w:sz w:val="20"/>
              </w:rPr>
              <w:t>ОБЩО</w:t>
            </w:r>
          </w:p>
        </w:tc>
        <w:tc>
          <w:tcPr>
            <w:tcW w:w="638" w:type="pct"/>
            <w:tcBorders>
              <w:top w:val="single" w:sz="12" w:space="0" w:color="auto"/>
              <w:left w:val="single" w:sz="2" w:space="0" w:color="auto"/>
              <w:bottom w:val="single" w:sz="12" w:space="0" w:color="auto"/>
              <w:right w:val="single" w:sz="2" w:space="0" w:color="auto"/>
            </w:tcBorders>
            <w:vAlign w:val="center"/>
          </w:tcPr>
          <w:p>
            <w:pPr>
              <w:jc w:val="center"/>
              <w:rPr>
                <w:rFonts w:eastAsia="Times New Roman"/>
                <w:noProof/>
                <w:szCs w:val="24"/>
              </w:rPr>
            </w:pPr>
          </w:p>
        </w:tc>
        <w:tc>
          <w:tcPr>
            <w:tcW w:w="638" w:type="pct"/>
            <w:tcBorders>
              <w:top w:val="single" w:sz="12" w:space="0" w:color="auto"/>
              <w:left w:val="single" w:sz="2" w:space="0" w:color="auto"/>
              <w:bottom w:val="single" w:sz="12" w:space="0" w:color="auto"/>
              <w:right w:val="single" w:sz="2" w:space="0" w:color="auto"/>
            </w:tcBorders>
            <w:vAlign w:val="center"/>
          </w:tcPr>
          <w:p>
            <w:pPr>
              <w:jc w:val="center"/>
              <w:rPr>
                <w:rFonts w:eastAsia="Times New Roman"/>
                <w:noProof/>
                <w:szCs w:val="24"/>
              </w:rPr>
            </w:pPr>
          </w:p>
        </w:tc>
        <w:tc>
          <w:tcPr>
            <w:tcW w:w="638" w:type="pct"/>
            <w:tcBorders>
              <w:top w:val="single" w:sz="12" w:space="0" w:color="auto"/>
              <w:left w:val="single" w:sz="2" w:space="0" w:color="auto"/>
              <w:bottom w:val="single" w:sz="12" w:space="0" w:color="auto"/>
              <w:right w:val="single" w:sz="2" w:space="0" w:color="auto"/>
            </w:tcBorders>
            <w:vAlign w:val="center"/>
          </w:tcPr>
          <w:p>
            <w:pPr>
              <w:jc w:val="center"/>
              <w:rPr>
                <w:rFonts w:eastAsia="Times New Roman"/>
                <w:noProof/>
                <w:szCs w:val="24"/>
              </w:rPr>
            </w:pPr>
          </w:p>
        </w:tc>
        <w:tc>
          <w:tcPr>
            <w:tcW w:w="638" w:type="pct"/>
            <w:tcBorders>
              <w:top w:val="single" w:sz="12" w:space="0" w:color="auto"/>
              <w:left w:val="single" w:sz="2" w:space="0" w:color="auto"/>
              <w:bottom w:val="single" w:sz="12" w:space="0" w:color="auto"/>
              <w:right w:val="single" w:sz="2" w:space="0" w:color="auto"/>
            </w:tcBorders>
            <w:vAlign w:val="center"/>
          </w:tcPr>
          <w:p>
            <w:pPr>
              <w:jc w:val="center"/>
              <w:rPr>
                <w:rFonts w:eastAsia="Times New Roman"/>
                <w:noProof/>
                <w:szCs w:val="24"/>
              </w:rPr>
            </w:pPr>
          </w:p>
        </w:tc>
        <w:tc>
          <w:tcPr>
            <w:tcW w:w="638" w:type="pct"/>
            <w:tcBorders>
              <w:top w:val="single" w:sz="12" w:space="0" w:color="auto"/>
              <w:left w:val="single" w:sz="2" w:space="0" w:color="auto"/>
              <w:bottom w:val="single" w:sz="12" w:space="0" w:color="auto"/>
              <w:right w:val="single" w:sz="2" w:space="0" w:color="auto"/>
            </w:tcBorders>
            <w:vAlign w:val="center"/>
          </w:tcPr>
          <w:p>
            <w:pPr>
              <w:jc w:val="center"/>
              <w:rPr>
                <w:rFonts w:eastAsia="Times New Roman"/>
                <w:noProof/>
                <w:szCs w:val="24"/>
              </w:rPr>
            </w:pPr>
          </w:p>
        </w:tc>
        <w:tc>
          <w:tcPr>
            <w:tcW w:w="638" w:type="pct"/>
            <w:tcBorders>
              <w:top w:val="single" w:sz="12" w:space="0" w:color="auto"/>
              <w:left w:val="single" w:sz="2" w:space="0" w:color="auto"/>
              <w:bottom w:val="single" w:sz="12" w:space="0" w:color="auto"/>
              <w:right w:val="single" w:sz="12" w:space="0" w:color="auto"/>
            </w:tcBorders>
            <w:vAlign w:val="center"/>
          </w:tcPr>
          <w:p>
            <w:pPr>
              <w:jc w:val="center"/>
              <w:rPr>
                <w:rFonts w:eastAsia="Times New Roman"/>
                <w:noProof/>
                <w:szCs w:val="24"/>
              </w:rPr>
            </w:pPr>
          </w:p>
        </w:tc>
      </w:tr>
    </w:tbl>
    <w:p>
      <w:pPr>
        <w:rPr>
          <w:rFonts w:eastAsia="Times New Roman"/>
          <w:noProof/>
          <w:szCs w:val="24"/>
          <w:u w:val="single"/>
        </w:rPr>
        <w:sectPr>
          <w:headerReference w:type="default" r:id="rId17"/>
          <w:footerReference w:type="default" r:id="rId18"/>
          <w:headerReference w:type="first" r:id="rId19"/>
          <w:footerReference w:type="first" r:id="rId20"/>
          <w:pgSz w:w="11907" w:h="16839"/>
          <w:pgMar w:top="1134" w:right="1417" w:bottom="1134" w:left="1417" w:header="709" w:footer="709" w:gutter="0"/>
          <w:cols w:space="708"/>
          <w:docGrid w:linePitch="360"/>
        </w:sectPr>
      </w:pPr>
    </w:p>
    <w:p>
      <w:pPr>
        <w:keepNext/>
        <w:numPr>
          <w:ilvl w:val="3"/>
          <w:numId w:val="0"/>
        </w:numPr>
        <w:tabs>
          <w:tab w:val="num" w:pos="850"/>
        </w:tabs>
        <w:ind w:left="850" w:hanging="850"/>
        <w:outlineLvl w:val="3"/>
        <w:rPr>
          <w:rFonts w:eastAsia="Times New Roman"/>
          <w:bCs/>
          <w:iCs/>
          <w:noProof/>
        </w:rPr>
      </w:pPr>
      <w:r>
        <w:rPr>
          <w:noProof/>
        </w:rPr>
        <w:t xml:space="preserve">Очаквани нужди от човешки ресурси </w:t>
      </w:r>
    </w:p>
    <w:p>
      <w:pPr>
        <w:tabs>
          <w:tab w:val="num" w:pos="1134"/>
        </w:tabs>
        <w:ind w:left="1134" w:hanging="283"/>
        <w:rPr>
          <w:rFonts w:eastAsia="Times New Roman"/>
          <w:noProof/>
          <w:szCs w:val="24"/>
        </w:rPr>
      </w:pPr>
      <w:r>
        <w:rPr>
          <w:rFonts w:eastAsia="Times New Roman"/>
          <w:noProof/>
          <w:szCs w:val="24"/>
        </w:rPr>
        <w:sym w:font="Wingdings" w:char="F078"/>
      </w:r>
      <w:r>
        <w:rPr>
          <w:noProof/>
        </w:rPr>
        <w:tab/>
        <w:t xml:space="preserve">Предложението/инициативата не налага използване на човешки ресурси. </w:t>
      </w:r>
    </w:p>
    <w:p>
      <w:pPr>
        <w:tabs>
          <w:tab w:val="num" w:pos="1134"/>
        </w:tabs>
        <w:ind w:left="1134" w:hanging="283"/>
        <w:rPr>
          <w:rFonts w:eastAsia="Times New Roman"/>
          <w:noProof/>
          <w:szCs w:val="24"/>
        </w:rPr>
      </w:pPr>
      <w:r>
        <w:rPr>
          <w:rFonts w:eastAsia="Times New Roman"/>
          <w:noProof/>
          <w:szCs w:val="24"/>
        </w:rPr>
        <w:sym w:font="Wingdings" w:char="F0A8"/>
      </w:r>
      <w:r>
        <w:rPr>
          <w:noProof/>
        </w:rPr>
        <w:tab/>
        <w:t>Предложението/инициативата води до използването на човешки ресурси съгласно обяснението по-долу:</w:t>
      </w:r>
    </w:p>
    <w:p>
      <w:pPr>
        <w:spacing w:after="60"/>
        <w:jc w:val="right"/>
        <w:rPr>
          <w:rFonts w:eastAsia="Times New Roman"/>
          <w:i/>
          <w:noProof/>
          <w:sz w:val="20"/>
          <w:szCs w:val="20"/>
        </w:rPr>
      </w:pPr>
      <w:r>
        <w:rPr>
          <w:i/>
          <w:noProof/>
          <w:sz w:val="20"/>
        </w:rPr>
        <w:t>Оценката се посочва в цели стойности (или най-много до един знак след десетичната запетая)</w:t>
      </w:r>
    </w:p>
    <w:tbl>
      <w:tblPr>
        <w:tblStyle w:val="TableGrid"/>
        <w:tblW w:w="4064" w:type="pct"/>
        <w:jc w:val="center"/>
        <w:tblInd w:w="-18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855"/>
        <w:gridCol w:w="1851"/>
        <w:gridCol w:w="961"/>
        <w:gridCol w:w="961"/>
        <w:gridCol w:w="961"/>
        <w:gridCol w:w="961"/>
      </w:tblGrid>
      <w:tr>
        <w:trPr>
          <w:trHeight w:val="289"/>
          <w:jc w:val="center"/>
        </w:trPr>
        <w:tc>
          <w:tcPr>
            <w:tcW w:w="2821" w:type="pct"/>
            <w:gridSpan w:val="2"/>
          </w:tcPr>
          <w:p>
            <w:pPr>
              <w:spacing w:before="40" w:after="40"/>
              <w:jc w:val="center"/>
              <w:rPr>
                <w:noProof/>
              </w:rPr>
            </w:pPr>
          </w:p>
        </w:tc>
        <w:tc>
          <w:tcPr>
            <w:tcW w:w="548" w:type="pct"/>
            <w:vAlign w:val="center"/>
          </w:tcPr>
          <w:p>
            <w:pPr>
              <w:spacing w:before="60" w:after="60"/>
              <w:jc w:val="center"/>
              <w:rPr>
                <w:noProof/>
              </w:rPr>
            </w:pPr>
            <w:r>
              <w:rPr>
                <w:noProof/>
              </w:rPr>
              <w:t>Година</w:t>
            </w:r>
            <w:r>
              <w:rPr>
                <w:noProof/>
              </w:rPr>
              <w:br/>
              <w:t>2016</w:t>
            </w:r>
          </w:p>
        </w:tc>
        <w:tc>
          <w:tcPr>
            <w:tcW w:w="548" w:type="pct"/>
            <w:vAlign w:val="center"/>
          </w:tcPr>
          <w:p>
            <w:pPr>
              <w:spacing w:before="60" w:after="60"/>
              <w:jc w:val="center"/>
              <w:rPr>
                <w:noProof/>
              </w:rPr>
            </w:pPr>
            <w:r>
              <w:rPr>
                <w:noProof/>
              </w:rPr>
              <w:t>Година</w:t>
            </w:r>
            <w:r>
              <w:rPr>
                <w:noProof/>
              </w:rPr>
              <w:br/>
              <w:t>2017</w:t>
            </w:r>
          </w:p>
        </w:tc>
        <w:tc>
          <w:tcPr>
            <w:tcW w:w="538" w:type="pct"/>
            <w:vAlign w:val="center"/>
          </w:tcPr>
          <w:p>
            <w:pPr>
              <w:spacing w:before="60" w:after="60"/>
              <w:jc w:val="center"/>
              <w:rPr>
                <w:noProof/>
              </w:rPr>
            </w:pPr>
            <w:r>
              <w:rPr>
                <w:noProof/>
              </w:rPr>
              <w:t>Година</w:t>
            </w:r>
            <w:r>
              <w:rPr>
                <w:noProof/>
              </w:rPr>
              <w:br/>
              <w:t>2018</w:t>
            </w:r>
          </w:p>
        </w:tc>
        <w:tc>
          <w:tcPr>
            <w:tcW w:w="546" w:type="pct"/>
            <w:vAlign w:val="center"/>
          </w:tcPr>
          <w:p>
            <w:pPr>
              <w:spacing w:before="60" w:after="60"/>
              <w:jc w:val="center"/>
              <w:rPr>
                <w:noProof/>
              </w:rPr>
            </w:pPr>
            <w:r>
              <w:rPr>
                <w:noProof/>
              </w:rPr>
              <w:t>Година</w:t>
            </w:r>
            <w:r>
              <w:rPr>
                <w:noProof/>
              </w:rPr>
              <w:br/>
              <w:t>2019</w:t>
            </w:r>
          </w:p>
        </w:tc>
      </w:tr>
      <w:tr>
        <w:trPr>
          <w:trHeight w:val="289"/>
          <w:jc w:val="center"/>
        </w:trPr>
        <w:tc>
          <w:tcPr>
            <w:tcW w:w="5000" w:type="pct"/>
            <w:gridSpan w:val="6"/>
          </w:tcPr>
          <w:p>
            <w:pPr>
              <w:spacing w:before="60" w:after="60"/>
              <w:rPr>
                <w:noProof/>
              </w:rPr>
            </w:pPr>
            <w:r>
              <w:rPr>
                <w:noProof/>
              </w:rPr>
              <w:sym w:font="Wingdings" w:char="F09F"/>
            </w:r>
            <w:r>
              <w:rPr>
                <w:noProof/>
              </w:rPr>
              <w:t xml:space="preserve"> Длъжности в щатното разписание (длъжностни лица и временно наети лица)</w:t>
            </w:r>
          </w:p>
        </w:tc>
      </w:tr>
      <w:tr>
        <w:trPr>
          <w:trHeight w:val="289"/>
          <w:jc w:val="center"/>
        </w:trPr>
        <w:tc>
          <w:tcPr>
            <w:tcW w:w="2821" w:type="pct"/>
            <w:gridSpan w:val="2"/>
            <w:vAlign w:val="center"/>
          </w:tcPr>
          <w:p>
            <w:pPr>
              <w:spacing w:beforeLines="20" w:before="48" w:afterLines="20" w:after="48"/>
              <w:ind w:left="134"/>
              <w:rPr>
                <w:noProof/>
              </w:rPr>
            </w:pPr>
            <w:r>
              <w:rPr>
                <w:noProof/>
              </w:rPr>
              <w:t>XX 01 01 01 (Централа и представителства на Комисията)</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2821" w:type="pct"/>
            <w:gridSpan w:val="2"/>
            <w:vAlign w:val="center"/>
          </w:tcPr>
          <w:p>
            <w:pPr>
              <w:spacing w:beforeLines="20" w:before="48" w:afterLines="20" w:after="48"/>
              <w:ind w:left="134"/>
              <w:rPr>
                <w:noProof/>
              </w:rPr>
            </w:pPr>
            <w:r>
              <w:rPr>
                <w:noProof/>
              </w:rPr>
              <w:t>XX 01 01 02 (Делегации)</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2821" w:type="pct"/>
            <w:gridSpan w:val="2"/>
            <w:vAlign w:val="center"/>
          </w:tcPr>
          <w:p>
            <w:pPr>
              <w:spacing w:beforeLines="20" w:before="48" w:afterLines="20" w:after="48"/>
              <w:ind w:left="134"/>
              <w:rPr>
                <w:noProof/>
              </w:rPr>
            </w:pPr>
            <w:r>
              <w:rPr>
                <w:noProof/>
              </w:rPr>
              <w:t>XX 01 05 01 (Непряка изследователска дейност)</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2821" w:type="pct"/>
            <w:gridSpan w:val="2"/>
            <w:vAlign w:val="center"/>
          </w:tcPr>
          <w:p>
            <w:pPr>
              <w:spacing w:beforeLines="20" w:before="48" w:afterLines="20" w:after="48"/>
              <w:ind w:left="134"/>
              <w:rPr>
                <w:noProof/>
              </w:rPr>
            </w:pPr>
            <w:r>
              <w:rPr>
                <w:noProof/>
              </w:rPr>
              <w:t>10 01 05 01 (Пряка изследователска дейност)</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5000" w:type="pct"/>
            <w:gridSpan w:val="6"/>
            <w:vAlign w:val="center"/>
          </w:tcPr>
          <w:p>
            <w:pPr>
              <w:spacing w:beforeLines="20" w:before="48" w:afterLines="20" w:after="48"/>
              <w:rPr>
                <w:noProof/>
              </w:rPr>
            </w:pPr>
            <w:r>
              <w:rPr>
                <w:noProof/>
              </w:rPr>
              <w:sym w:font="Wingdings" w:char="F09F"/>
            </w:r>
            <w:r>
              <w:rPr>
                <w:noProof/>
              </w:rPr>
              <w:t xml:space="preserve"> Външен персонал (в еквивалент на пълно работно време — ЕПРВ)</w:t>
            </w:r>
          </w:p>
        </w:tc>
      </w:tr>
      <w:tr>
        <w:trPr>
          <w:trHeight w:val="289"/>
          <w:jc w:val="center"/>
        </w:trPr>
        <w:tc>
          <w:tcPr>
            <w:tcW w:w="2821" w:type="pct"/>
            <w:gridSpan w:val="2"/>
            <w:vAlign w:val="center"/>
          </w:tcPr>
          <w:p>
            <w:pPr>
              <w:spacing w:beforeLines="20" w:before="48" w:afterLines="20" w:after="48"/>
              <w:ind w:left="136"/>
              <w:rPr>
                <w:noProof/>
              </w:rPr>
            </w:pPr>
            <w:r>
              <w:rPr>
                <w:noProof/>
              </w:rPr>
              <w:t>XX 01 02 01 (ДНП, ПНА, КНЕ от общия финансов пакет)</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2821" w:type="pct"/>
            <w:gridSpan w:val="2"/>
            <w:vAlign w:val="center"/>
          </w:tcPr>
          <w:p>
            <w:pPr>
              <w:spacing w:beforeLines="20" w:before="48" w:afterLines="20" w:after="48"/>
              <w:ind w:left="136"/>
              <w:rPr>
                <w:noProof/>
              </w:rPr>
            </w:pPr>
            <w:r>
              <w:rPr>
                <w:noProof/>
              </w:rPr>
              <w:t>XX 01 02 02 (ДНП, ПНА, МЕД, МП и КНЕ в делегациите)</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1412" w:type="pct"/>
            <w:vMerge w:val="restart"/>
            <w:vAlign w:val="center"/>
          </w:tcPr>
          <w:p>
            <w:pPr>
              <w:spacing w:beforeLines="20" w:before="48" w:afterLines="20" w:after="48"/>
              <w:ind w:left="136"/>
              <w:rPr>
                <w:noProof/>
              </w:rPr>
            </w:pPr>
            <w:r>
              <w:rPr>
                <w:noProof/>
              </w:rPr>
              <w:t>XX 01 04 yy</w:t>
            </w:r>
          </w:p>
        </w:tc>
        <w:tc>
          <w:tcPr>
            <w:tcW w:w="1409" w:type="pct"/>
            <w:vAlign w:val="center"/>
          </w:tcPr>
          <w:p>
            <w:pPr>
              <w:spacing w:beforeLines="20" w:before="48" w:afterLines="20" w:after="48"/>
              <w:ind w:left="136"/>
              <w:rPr>
                <w:noProof/>
              </w:rPr>
            </w:pPr>
            <w:r>
              <w:rPr>
                <w:noProof/>
              </w:rPr>
              <w:t>- в централата</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1412" w:type="pct"/>
            <w:vMerge/>
            <w:vAlign w:val="center"/>
          </w:tcPr>
          <w:p>
            <w:pPr>
              <w:spacing w:beforeLines="20" w:before="48" w:afterLines="20" w:after="48"/>
              <w:ind w:left="136"/>
              <w:rPr>
                <w:noProof/>
              </w:rPr>
            </w:pPr>
          </w:p>
        </w:tc>
        <w:tc>
          <w:tcPr>
            <w:tcW w:w="1409" w:type="pct"/>
            <w:vAlign w:val="center"/>
          </w:tcPr>
          <w:p>
            <w:pPr>
              <w:spacing w:beforeLines="20" w:before="48" w:afterLines="20" w:after="48"/>
              <w:ind w:left="136"/>
              <w:rPr>
                <w:noProof/>
              </w:rPr>
            </w:pPr>
            <w:r>
              <w:rPr>
                <w:noProof/>
              </w:rPr>
              <w:t xml:space="preserve">- в делегациите </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2821" w:type="pct"/>
            <w:gridSpan w:val="2"/>
            <w:vAlign w:val="center"/>
          </w:tcPr>
          <w:p>
            <w:pPr>
              <w:spacing w:beforeLines="20" w:before="48" w:afterLines="20" w:after="48"/>
              <w:ind w:left="136"/>
              <w:rPr>
                <w:noProof/>
              </w:rPr>
            </w:pPr>
            <w:r>
              <w:rPr>
                <w:noProof/>
              </w:rPr>
              <w:t>XX 01 05 02 (ДНП, ПНА, КНЕ — Непряка изследователска дейност)</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2821" w:type="pct"/>
            <w:gridSpan w:val="2"/>
            <w:vAlign w:val="center"/>
          </w:tcPr>
          <w:p>
            <w:pPr>
              <w:spacing w:beforeLines="20" w:before="48" w:afterLines="20" w:after="48"/>
              <w:ind w:left="136"/>
              <w:rPr>
                <w:noProof/>
              </w:rPr>
            </w:pPr>
            <w:r>
              <w:rPr>
                <w:noProof/>
              </w:rPr>
              <w:t>10 01 05 02 (ДНП, ПНА, КНЕ — Пряка изследователска дейност)</w:t>
            </w:r>
          </w:p>
        </w:tc>
        <w:tc>
          <w:tcPr>
            <w:tcW w:w="548" w:type="pct"/>
            <w:vAlign w:val="center"/>
          </w:tcPr>
          <w:p>
            <w:pPr>
              <w:spacing w:beforeLines="20" w:before="48" w:afterLines="20" w:after="48"/>
              <w:jc w:val="center"/>
              <w:rPr>
                <w:noProof/>
              </w:rPr>
            </w:pPr>
          </w:p>
        </w:tc>
        <w:tc>
          <w:tcPr>
            <w:tcW w:w="548" w:type="pct"/>
            <w:vAlign w:val="center"/>
          </w:tcPr>
          <w:p>
            <w:pPr>
              <w:spacing w:beforeLines="20" w:before="48" w:afterLines="20" w:after="48"/>
              <w:jc w:val="center"/>
              <w:rPr>
                <w:noProof/>
              </w:rPr>
            </w:pPr>
          </w:p>
        </w:tc>
        <w:tc>
          <w:tcPr>
            <w:tcW w:w="538" w:type="pct"/>
            <w:vAlign w:val="center"/>
          </w:tcPr>
          <w:p>
            <w:pPr>
              <w:spacing w:beforeLines="20" w:before="48" w:afterLines="20" w:after="48"/>
              <w:jc w:val="center"/>
              <w:rPr>
                <w:noProof/>
              </w:rPr>
            </w:pPr>
          </w:p>
        </w:tc>
        <w:tc>
          <w:tcPr>
            <w:tcW w:w="546" w:type="pct"/>
            <w:vAlign w:val="center"/>
          </w:tcPr>
          <w:p>
            <w:pPr>
              <w:spacing w:beforeLines="20" w:before="48" w:afterLines="20" w:after="48"/>
              <w:jc w:val="center"/>
              <w:rPr>
                <w:noProof/>
              </w:rPr>
            </w:pPr>
          </w:p>
        </w:tc>
      </w:tr>
      <w:tr>
        <w:trPr>
          <w:trHeight w:val="289"/>
          <w:jc w:val="center"/>
        </w:trPr>
        <w:tc>
          <w:tcPr>
            <w:tcW w:w="2821" w:type="pct"/>
            <w:gridSpan w:val="2"/>
            <w:tcBorders>
              <w:bottom w:val="double" w:sz="4" w:space="0" w:color="auto"/>
            </w:tcBorders>
            <w:vAlign w:val="center"/>
          </w:tcPr>
          <w:p>
            <w:pPr>
              <w:spacing w:beforeLines="20" w:before="48" w:afterLines="20" w:after="48"/>
              <w:ind w:left="134"/>
              <w:rPr>
                <w:noProof/>
              </w:rPr>
            </w:pPr>
            <w:r>
              <w:rPr>
                <w:noProof/>
              </w:rPr>
              <w:t>Други бюджетни редове (да се посочат)</w:t>
            </w:r>
          </w:p>
        </w:tc>
        <w:tc>
          <w:tcPr>
            <w:tcW w:w="548" w:type="pct"/>
            <w:tcBorders>
              <w:bottom w:val="double" w:sz="4" w:space="0" w:color="auto"/>
            </w:tcBorders>
            <w:vAlign w:val="center"/>
          </w:tcPr>
          <w:p>
            <w:pPr>
              <w:spacing w:beforeLines="20" w:before="48" w:afterLines="20" w:after="48"/>
              <w:jc w:val="center"/>
              <w:rPr>
                <w:noProof/>
              </w:rPr>
            </w:pPr>
          </w:p>
        </w:tc>
        <w:tc>
          <w:tcPr>
            <w:tcW w:w="548" w:type="pct"/>
            <w:tcBorders>
              <w:bottom w:val="double" w:sz="4" w:space="0" w:color="auto"/>
            </w:tcBorders>
            <w:vAlign w:val="center"/>
          </w:tcPr>
          <w:p>
            <w:pPr>
              <w:spacing w:beforeLines="20" w:before="48" w:afterLines="20" w:after="48"/>
              <w:jc w:val="center"/>
              <w:rPr>
                <w:noProof/>
              </w:rPr>
            </w:pPr>
          </w:p>
        </w:tc>
        <w:tc>
          <w:tcPr>
            <w:tcW w:w="538" w:type="pct"/>
            <w:tcBorders>
              <w:bottom w:val="double" w:sz="4" w:space="0" w:color="auto"/>
            </w:tcBorders>
            <w:vAlign w:val="center"/>
          </w:tcPr>
          <w:p>
            <w:pPr>
              <w:spacing w:beforeLines="20" w:before="48" w:afterLines="20" w:after="48"/>
              <w:jc w:val="center"/>
              <w:rPr>
                <w:noProof/>
              </w:rPr>
            </w:pPr>
          </w:p>
        </w:tc>
        <w:tc>
          <w:tcPr>
            <w:tcW w:w="546" w:type="pct"/>
            <w:tcBorders>
              <w:bottom w:val="double" w:sz="4" w:space="0" w:color="auto"/>
            </w:tcBorders>
            <w:vAlign w:val="center"/>
          </w:tcPr>
          <w:p>
            <w:pPr>
              <w:spacing w:beforeLines="20" w:before="48" w:afterLines="20" w:after="48"/>
              <w:jc w:val="center"/>
              <w:rPr>
                <w:noProof/>
              </w:rPr>
            </w:pPr>
          </w:p>
        </w:tc>
      </w:tr>
      <w:tr>
        <w:trPr>
          <w:trHeight w:val="289"/>
          <w:jc w:val="center"/>
        </w:trPr>
        <w:tc>
          <w:tcPr>
            <w:tcW w:w="2821" w:type="pct"/>
            <w:gridSpan w:val="2"/>
            <w:tcBorders>
              <w:top w:val="double" w:sz="4" w:space="0" w:color="auto"/>
            </w:tcBorders>
            <w:vAlign w:val="center"/>
          </w:tcPr>
          <w:p>
            <w:pPr>
              <w:spacing w:beforeLines="20" w:before="48" w:afterLines="20" w:after="48"/>
              <w:ind w:left="136"/>
              <w:rPr>
                <w:noProof/>
              </w:rPr>
            </w:pPr>
            <w:r>
              <w:rPr>
                <w:noProof/>
              </w:rPr>
              <w:t>ОБЩО</w:t>
            </w:r>
          </w:p>
        </w:tc>
        <w:tc>
          <w:tcPr>
            <w:tcW w:w="548" w:type="pct"/>
            <w:tcBorders>
              <w:top w:val="double" w:sz="4" w:space="0" w:color="auto"/>
            </w:tcBorders>
            <w:vAlign w:val="center"/>
          </w:tcPr>
          <w:p>
            <w:pPr>
              <w:spacing w:beforeLines="20" w:before="48" w:afterLines="20" w:after="48"/>
              <w:jc w:val="center"/>
              <w:rPr>
                <w:noProof/>
              </w:rPr>
            </w:pPr>
          </w:p>
        </w:tc>
        <w:tc>
          <w:tcPr>
            <w:tcW w:w="548" w:type="pct"/>
            <w:tcBorders>
              <w:top w:val="double" w:sz="4" w:space="0" w:color="auto"/>
            </w:tcBorders>
            <w:vAlign w:val="center"/>
          </w:tcPr>
          <w:p>
            <w:pPr>
              <w:spacing w:beforeLines="20" w:before="48" w:afterLines="20" w:after="48"/>
              <w:jc w:val="center"/>
              <w:rPr>
                <w:noProof/>
              </w:rPr>
            </w:pPr>
          </w:p>
        </w:tc>
        <w:tc>
          <w:tcPr>
            <w:tcW w:w="538" w:type="pct"/>
            <w:tcBorders>
              <w:top w:val="double" w:sz="4" w:space="0" w:color="auto"/>
            </w:tcBorders>
            <w:vAlign w:val="center"/>
          </w:tcPr>
          <w:p>
            <w:pPr>
              <w:spacing w:beforeLines="20" w:before="48" w:afterLines="20" w:after="48"/>
              <w:jc w:val="center"/>
              <w:rPr>
                <w:noProof/>
              </w:rPr>
            </w:pPr>
          </w:p>
        </w:tc>
        <w:tc>
          <w:tcPr>
            <w:tcW w:w="546" w:type="pct"/>
            <w:tcBorders>
              <w:top w:val="double" w:sz="4" w:space="0" w:color="auto"/>
            </w:tcBorders>
            <w:vAlign w:val="center"/>
          </w:tcPr>
          <w:p>
            <w:pPr>
              <w:spacing w:beforeLines="20" w:before="48" w:afterLines="20" w:after="48"/>
              <w:jc w:val="center"/>
              <w:rPr>
                <w:noProof/>
              </w:rPr>
            </w:pPr>
          </w:p>
        </w:tc>
      </w:tr>
    </w:tbl>
    <w:p>
      <w:pPr>
        <w:spacing w:before="60" w:after="60"/>
        <w:ind w:left="851"/>
        <w:rPr>
          <w:rFonts w:eastAsia="Times New Roman"/>
          <w:noProof/>
          <w:szCs w:val="24"/>
        </w:rPr>
      </w:pPr>
      <w:r>
        <w:rPr>
          <w:b/>
          <w:noProof/>
        </w:rPr>
        <w:t>XX</w:t>
      </w:r>
      <w:r>
        <w:rPr>
          <w:noProof/>
        </w:rPr>
        <w:t xml:space="preserve"> е съответната област на политиката или съответния бюджетен дял.</w:t>
      </w:r>
    </w:p>
    <w:p>
      <w:pPr>
        <w:ind w:left="850"/>
        <w:rPr>
          <w:rFonts w:eastAsia="Times New Roman"/>
          <w:noProof/>
        </w:rPr>
      </w:pPr>
      <w:r>
        <w:rPr>
          <w:noProof/>
        </w:rPr>
        <w:t>Нуждите от човешки ресурси ще бъдат покрити от персонала на ГД, на който вече е възложено управлението на мярката и/или който е преразпределен в рамките на ГД, при необходимост заедно с всички допълнителни отпуснати ресурси, които могат да бъдат предоставени на управляващата ГД в рамките на годишната процедура за отпускане на ресурси и като се имат предвид бюджетните ограничения.</w:t>
      </w:r>
    </w:p>
    <w:p>
      <w:pPr>
        <w:rPr>
          <w:rFonts w:eastAsia="Times New Roman"/>
          <w:noProof/>
          <w:sz w:val="20"/>
          <w:szCs w:val="20"/>
        </w:rPr>
      </w:pPr>
      <w:r>
        <w:rPr>
          <w:noProof/>
          <w:sz w:val="20"/>
        </w:rPr>
        <w:t>Описание на задачите, които трябва да се изпълнят:</w:t>
      </w:r>
    </w:p>
    <w:tbl>
      <w:tblPr>
        <w:tblpPr w:leftFromText="180" w:rightFromText="180" w:horzAnchor="margin" w:tblpY="402"/>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883"/>
        <w:gridCol w:w="6406"/>
      </w:tblGrid>
      <w:tr>
        <w:tc>
          <w:tcPr>
            <w:tcW w:w="1552" w:type="pct"/>
          </w:tcPr>
          <w:p>
            <w:pPr>
              <w:rPr>
                <w:rFonts w:eastAsia="Times New Roman"/>
                <w:noProof/>
                <w:sz w:val="20"/>
                <w:szCs w:val="20"/>
              </w:rPr>
            </w:pPr>
            <w:r>
              <w:rPr>
                <w:noProof/>
                <w:sz w:val="20"/>
              </w:rPr>
              <w:t>Длъжностни лица и временно наети лица</w:t>
            </w:r>
          </w:p>
        </w:tc>
        <w:tc>
          <w:tcPr>
            <w:tcW w:w="3448" w:type="pct"/>
          </w:tcPr>
          <w:p>
            <w:pPr>
              <w:rPr>
                <w:rFonts w:eastAsia="Times New Roman"/>
                <w:noProof/>
                <w:sz w:val="20"/>
                <w:szCs w:val="20"/>
              </w:rPr>
            </w:pPr>
            <w:r>
              <w:rPr>
                <w:noProof/>
                <w:sz w:val="20"/>
              </w:rPr>
              <w:t>Единствената задача, изпълнявана от JRC, е управлението на допълнителната програма. Това се извършва по начини, които изцяло са финансирани от целеви приходи от допълнителната изследователска програма.</w:t>
            </w:r>
          </w:p>
        </w:tc>
      </w:tr>
      <w:tr>
        <w:tc>
          <w:tcPr>
            <w:tcW w:w="1552" w:type="pct"/>
          </w:tcPr>
          <w:p>
            <w:pPr>
              <w:rPr>
                <w:rFonts w:eastAsia="Times New Roman"/>
                <w:noProof/>
                <w:sz w:val="20"/>
                <w:szCs w:val="20"/>
              </w:rPr>
            </w:pPr>
            <w:r>
              <w:rPr>
                <w:noProof/>
                <w:sz w:val="20"/>
              </w:rPr>
              <w:t>Външен персонал</w:t>
            </w:r>
          </w:p>
        </w:tc>
        <w:tc>
          <w:tcPr>
            <w:tcW w:w="3448" w:type="pct"/>
          </w:tcPr>
          <w:p>
            <w:pPr>
              <w:rPr>
                <w:rFonts w:eastAsia="Times New Roman"/>
                <w:noProof/>
                <w:sz w:val="20"/>
                <w:szCs w:val="20"/>
              </w:rPr>
            </w:pPr>
            <w:r>
              <w:rPr>
                <w:noProof/>
                <w:sz w:val="20"/>
              </w:rPr>
              <w:t>не се прилага</w:t>
            </w:r>
          </w:p>
        </w:tc>
      </w:tr>
    </w:tbl>
    <w:p>
      <w:pPr>
        <w:rPr>
          <w:rFonts w:eastAsia="Times New Roman"/>
          <w:noProof/>
          <w:szCs w:val="24"/>
        </w:rPr>
        <w:sectPr>
          <w:pgSz w:w="11907" w:h="16839"/>
          <w:pgMar w:top="1134" w:right="1417" w:bottom="1134" w:left="1417" w:header="709" w:footer="709" w:gutter="0"/>
          <w:cols w:space="708"/>
          <w:docGrid w:linePitch="360"/>
        </w:sectPr>
      </w:pPr>
    </w:p>
    <w:p>
      <w:pPr>
        <w:keepNext/>
        <w:numPr>
          <w:ilvl w:val="2"/>
          <w:numId w:val="0"/>
        </w:numPr>
        <w:tabs>
          <w:tab w:val="num" w:pos="850"/>
        </w:tabs>
        <w:ind w:left="850" w:hanging="850"/>
        <w:outlineLvl w:val="2"/>
        <w:rPr>
          <w:rFonts w:eastAsia="Times New Roman"/>
          <w:bCs/>
          <w:i/>
          <w:noProof/>
        </w:rPr>
      </w:pPr>
      <w:r>
        <w:rPr>
          <w:i/>
          <w:noProof/>
        </w:rPr>
        <w:t xml:space="preserve">Съвместимост с настоящата многогодишна финансова рамка </w:t>
      </w:r>
    </w:p>
    <w:p>
      <w:pPr>
        <w:tabs>
          <w:tab w:val="num" w:pos="1134"/>
        </w:tabs>
        <w:ind w:left="1134" w:hanging="283"/>
        <w:rPr>
          <w:rFonts w:eastAsia="Times New Roman"/>
          <w:noProof/>
          <w:szCs w:val="24"/>
        </w:rPr>
      </w:pPr>
      <w:r>
        <w:rPr>
          <w:rFonts w:eastAsia="Times New Roman"/>
          <w:noProof/>
          <w:szCs w:val="24"/>
        </w:rPr>
        <w:sym w:font="Wingdings" w:char="F078"/>
      </w:r>
      <w:r>
        <w:rPr>
          <w:noProof/>
        </w:rPr>
        <w:tab/>
        <w:t>Предложението/инициативата е съвместимо(а) с настоящата многогодишна финансова рамка.</w:t>
      </w:r>
    </w:p>
    <w:p>
      <w:pPr>
        <w:tabs>
          <w:tab w:val="num" w:pos="1134"/>
        </w:tabs>
        <w:ind w:left="1134" w:hanging="283"/>
        <w:rPr>
          <w:rFonts w:eastAsia="Times New Roman"/>
          <w:noProof/>
          <w:szCs w:val="24"/>
        </w:rPr>
      </w:pPr>
      <w:r>
        <w:rPr>
          <w:rFonts w:eastAsia="Times New Roman"/>
          <w:noProof/>
          <w:szCs w:val="24"/>
        </w:rPr>
        <w:sym w:font="Wingdings" w:char="F0A8"/>
      </w:r>
      <w:r>
        <w:rPr>
          <w:noProof/>
        </w:rPr>
        <w:tab/>
        <w:t>Предложението/инициативата налага препрограмиране на съответната функция от многогодишната финансова рамка.</w:t>
      </w:r>
    </w:p>
    <w:p>
      <w:pPr>
        <w:pBdr>
          <w:top w:val="single" w:sz="4" w:space="1" w:color="auto"/>
          <w:left w:val="single" w:sz="4" w:space="4" w:color="auto"/>
          <w:bottom w:val="single" w:sz="4" w:space="1" w:color="auto"/>
          <w:right w:val="single" w:sz="4" w:space="4" w:color="auto"/>
        </w:pBdr>
        <w:ind w:left="850"/>
        <w:rPr>
          <w:rFonts w:eastAsia="Times New Roman"/>
          <w:noProof/>
          <w:sz w:val="20"/>
          <w:szCs w:val="20"/>
        </w:rPr>
      </w:pPr>
      <w:r>
        <w:rPr>
          <w:noProof/>
          <w:color w:val="0000FF"/>
        </w:rPr>
        <w:t>не се прилага</w:t>
      </w:r>
    </w:p>
    <w:p>
      <w:pPr>
        <w:tabs>
          <w:tab w:val="num" w:pos="1134"/>
        </w:tabs>
        <w:ind w:left="1134" w:hanging="283"/>
        <w:rPr>
          <w:rFonts w:eastAsia="Times New Roman"/>
          <w:noProof/>
          <w:szCs w:val="24"/>
        </w:rPr>
      </w:pPr>
      <w:r>
        <w:rPr>
          <w:rFonts w:eastAsia="Times New Roman"/>
          <w:noProof/>
          <w:szCs w:val="24"/>
        </w:rPr>
        <w:sym w:font="Wingdings" w:char="F0A8"/>
      </w:r>
      <w:r>
        <w:rPr>
          <w:noProof/>
        </w:rPr>
        <w:tab/>
        <w:t>Предложението/инициативата налага да се използва Инструментът за гъвкавост или да се преразгледа многогодишната финансова рамка.</w:t>
      </w:r>
    </w:p>
    <w:p>
      <w:pPr>
        <w:pBdr>
          <w:top w:val="single" w:sz="4" w:space="1" w:color="auto"/>
          <w:left w:val="single" w:sz="4" w:space="4" w:color="auto"/>
          <w:bottom w:val="single" w:sz="4" w:space="1" w:color="auto"/>
          <w:right w:val="single" w:sz="4" w:space="4" w:color="auto"/>
        </w:pBdr>
        <w:ind w:left="850"/>
        <w:rPr>
          <w:rFonts w:eastAsia="Times New Roman"/>
          <w:noProof/>
          <w:sz w:val="20"/>
          <w:szCs w:val="20"/>
        </w:rPr>
      </w:pPr>
      <w:r>
        <w:rPr>
          <w:noProof/>
          <w:color w:val="0000FF"/>
        </w:rPr>
        <w:t>не се прилага</w:t>
      </w:r>
    </w:p>
    <w:p>
      <w:pPr>
        <w:keepNext/>
        <w:numPr>
          <w:ilvl w:val="2"/>
          <w:numId w:val="0"/>
        </w:numPr>
        <w:tabs>
          <w:tab w:val="num" w:pos="850"/>
        </w:tabs>
        <w:ind w:left="850" w:hanging="850"/>
        <w:outlineLvl w:val="2"/>
        <w:rPr>
          <w:rFonts w:eastAsia="Times New Roman"/>
          <w:bCs/>
          <w:i/>
          <w:noProof/>
        </w:rPr>
      </w:pPr>
      <w:r>
        <w:rPr>
          <w:i/>
          <w:noProof/>
        </w:rPr>
        <w:t xml:space="preserve">Участие на трети страни във финансирането </w:t>
      </w:r>
    </w:p>
    <w:p>
      <w:pPr>
        <w:tabs>
          <w:tab w:val="num" w:pos="1134"/>
        </w:tabs>
        <w:ind w:left="1134" w:hanging="283"/>
        <w:rPr>
          <w:rFonts w:eastAsia="Times New Roman"/>
          <w:noProof/>
          <w:szCs w:val="24"/>
        </w:rPr>
      </w:pPr>
      <w:r>
        <w:rPr>
          <w:rFonts w:eastAsia="Times New Roman"/>
          <w:noProof/>
          <w:szCs w:val="24"/>
        </w:rPr>
        <w:sym w:font="Wingdings" w:char="F0A8"/>
      </w:r>
      <w:r>
        <w:rPr>
          <w:noProof/>
        </w:rPr>
        <w:t xml:space="preserve"> Предложението/инициативата не предвижда съфинансиране от трети страни. </w:t>
      </w:r>
    </w:p>
    <w:p>
      <w:pPr>
        <w:tabs>
          <w:tab w:val="num" w:pos="1134"/>
        </w:tabs>
        <w:ind w:left="1134" w:hanging="283"/>
        <w:rPr>
          <w:rFonts w:eastAsia="Times New Roman"/>
          <w:noProof/>
          <w:szCs w:val="24"/>
        </w:rPr>
      </w:pPr>
      <w:r>
        <w:rPr>
          <w:rFonts w:eastAsia="Times New Roman"/>
          <w:noProof/>
          <w:szCs w:val="24"/>
        </w:rPr>
        <w:sym w:font="Wingdings" w:char="F078"/>
      </w:r>
      <w:r>
        <w:rPr>
          <w:noProof/>
        </w:rPr>
        <w:t xml:space="preserve"> Предложението/инициативата предвижда съфинансиране съгласно следните прогнози:</w:t>
      </w:r>
    </w:p>
    <w:p>
      <w:pPr>
        <w:jc w:val="right"/>
        <w:rPr>
          <w:rFonts w:eastAsia="Times New Roman"/>
          <w:noProof/>
          <w:sz w:val="20"/>
          <w:szCs w:val="20"/>
        </w:rPr>
      </w:pPr>
      <w:r>
        <w:rPr>
          <w:noProof/>
          <w:sz w:val="20"/>
        </w:rPr>
        <w:t>бюджетни кредити в млн. евро (до 3-тия знак след десетичната запетая)</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20"/>
        <w:gridCol w:w="1365"/>
        <w:gridCol w:w="1365"/>
        <w:gridCol w:w="1365"/>
        <w:gridCol w:w="1365"/>
        <w:gridCol w:w="1640"/>
      </w:tblGrid>
      <w:tr>
        <w:trPr>
          <w:cantSplit/>
        </w:trPr>
        <w:tc>
          <w:tcPr>
            <w:tcW w:w="1593" w:type="pct"/>
          </w:tcPr>
          <w:p>
            <w:pPr>
              <w:spacing w:before="60" w:after="60"/>
              <w:rPr>
                <w:rFonts w:eastAsia="Times New Roman"/>
                <w:noProof/>
                <w:sz w:val="20"/>
                <w:szCs w:val="20"/>
              </w:rPr>
            </w:pPr>
          </w:p>
        </w:tc>
        <w:tc>
          <w:tcPr>
            <w:tcW w:w="655"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2016</w:t>
            </w:r>
          </w:p>
        </w:tc>
        <w:tc>
          <w:tcPr>
            <w:tcW w:w="655"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2017</w:t>
            </w:r>
          </w:p>
        </w:tc>
        <w:tc>
          <w:tcPr>
            <w:tcW w:w="655"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2018</w:t>
            </w:r>
          </w:p>
        </w:tc>
        <w:tc>
          <w:tcPr>
            <w:tcW w:w="655"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2019</w:t>
            </w:r>
          </w:p>
        </w:tc>
        <w:tc>
          <w:tcPr>
            <w:tcW w:w="787" w:type="pct"/>
            <w:vAlign w:val="center"/>
          </w:tcPr>
          <w:p>
            <w:pPr>
              <w:spacing w:before="60" w:after="60"/>
              <w:jc w:val="center"/>
              <w:rPr>
                <w:rFonts w:eastAsia="Times New Roman"/>
                <w:noProof/>
                <w:sz w:val="20"/>
                <w:szCs w:val="20"/>
              </w:rPr>
            </w:pPr>
            <w:r>
              <w:rPr>
                <w:noProof/>
                <w:sz w:val="20"/>
              </w:rPr>
              <w:t>Общо</w:t>
            </w:r>
          </w:p>
        </w:tc>
      </w:tr>
      <w:tr>
        <w:trPr>
          <w:cantSplit/>
        </w:trPr>
        <w:tc>
          <w:tcPr>
            <w:tcW w:w="1593" w:type="pct"/>
          </w:tcPr>
          <w:p>
            <w:pPr>
              <w:rPr>
                <w:rFonts w:eastAsia="Times New Roman"/>
                <w:i/>
                <w:noProof/>
                <w:sz w:val="20"/>
                <w:szCs w:val="20"/>
              </w:rPr>
            </w:pPr>
            <w:r>
              <w:rPr>
                <w:i/>
                <w:noProof/>
                <w:sz w:val="20"/>
              </w:rPr>
              <w:t>Нидерландия</w:t>
            </w:r>
          </w:p>
        </w:tc>
        <w:tc>
          <w:tcPr>
            <w:tcW w:w="655" w:type="pct"/>
            <w:vAlign w:val="center"/>
          </w:tcPr>
          <w:p>
            <w:pPr>
              <w:spacing w:before="60" w:after="60"/>
              <w:jc w:val="center"/>
              <w:rPr>
                <w:rFonts w:eastAsia="Times New Roman"/>
                <w:b/>
                <w:noProof/>
                <w:sz w:val="20"/>
                <w:szCs w:val="20"/>
              </w:rPr>
            </w:pPr>
            <w:r>
              <w:rPr>
                <w:b/>
                <w:noProof/>
                <w:sz w:val="20"/>
              </w:rPr>
              <w:t>7,250</w:t>
            </w:r>
          </w:p>
        </w:tc>
        <w:tc>
          <w:tcPr>
            <w:tcW w:w="655" w:type="pct"/>
            <w:vAlign w:val="center"/>
          </w:tcPr>
          <w:p>
            <w:pPr>
              <w:spacing w:before="60" w:after="60"/>
              <w:jc w:val="center"/>
              <w:rPr>
                <w:rFonts w:eastAsia="Times New Roman"/>
                <w:b/>
                <w:noProof/>
                <w:sz w:val="20"/>
                <w:szCs w:val="20"/>
              </w:rPr>
            </w:pPr>
            <w:r>
              <w:rPr>
                <w:b/>
                <w:noProof/>
                <w:sz w:val="20"/>
              </w:rPr>
              <w:t>7,250</w:t>
            </w:r>
          </w:p>
        </w:tc>
        <w:tc>
          <w:tcPr>
            <w:tcW w:w="655" w:type="pct"/>
            <w:vAlign w:val="center"/>
          </w:tcPr>
          <w:p>
            <w:pPr>
              <w:spacing w:before="60" w:after="60"/>
              <w:jc w:val="center"/>
              <w:rPr>
                <w:rFonts w:eastAsia="Times New Roman"/>
                <w:b/>
                <w:noProof/>
                <w:sz w:val="20"/>
                <w:szCs w:val="20"/>
              </w:rPr>
            </w:pPr>
            <w:r>
              <w:rPr>
                <w:b/>
                <w:noProof/>
                <w:sz w:val="20"/>
              </w:rPr>
              <w:t>7,250</w:t>
            </w:r>
          </w:p>
        </w:tc>
        <w:tc>
          <w:tcPr>
            <w:tcW w:w="655" w:type="pct"/>
            <w:vAlign w:val="center"/>
          </w:tcPr>
          <w:p>
            <w:pPr>
              <w:spacing w:before="60" w:after="60"/>
              <w:jc w:val="center"/>
              <w:rPr>
                <w:rFonts w:eastAsia="Times New Roman"/>
                <w:b/>
                <w:noProof/>
                <w:sz w:val="20"/>
                <w:szCs w:val="20"/>
              </w:rPr>
            </w:pPr>
            <w:r>
              <w:rPr>
                <w:b/>
                <w:noProof/>
                <w:sz w:val="20"/>
              </w:rPr>
              <w:t>7,250</w:t>
            </w:r>
          </w:p>
        </w:tc>
        <w:tc>
          <w:tcPr>
            <w:tcW w:w="787" w:type="pct"/>
            <w:vAlign w:val="center"/>
          </w:tcPr>
          <w:p>
            <w:pPr>
              <w:spacing w:before="60" w:after="60"/>
              <w:jc w:val="center"/>
              <w:rPr>
                <w:rFonts w:eastAsia="Times New Roman"/>
                <w:b/>
                <w:noProof/>
                <w:sz w:val="20"/>
                <w:szCs w:val="20"/>
              </w:rPr>
            </w:pPr>
            <w:r>
              <w:rPr>
                <w:b/>
                <w:noProof/>
                <w:sz w:val="20"/>
              </w:rPr>
              <w:t>29 000</w:t>
            </w:r>
          </w:p>
        </w:tc>
      </w:tr>
      <w:tr>
        <w:trPr>
          <w:cantSplit/>
        </w:trPr>
        <w:tc>
          <w:tcPr>
            <w:tcW w:w="1593" w:type="pct"/>
          </w:tcPr>
          <w:p>
            <w:pPr>
              <w:rPr>
                <w:rFonts w:eastAsia="Times New Roman"/>
                <w:i/>
                <w:noProof/>
                <w:sz w:val="20"/>
                <w:szCs w:val="20"/>
              </w:rPr>
            </w:pPr>
            <w:r>
              <w:rPr>
                <w:i/>
                <w:noProof/>
                <w:sz w:val="20"/>
              </w:rPr>
              <w:t>Франция</w:t>
            </w:r>
          </w:p>
        </w:tc>
        <w:tc>
          <w:tcPr>
            <w:tcW w:w="655" w:type="pct"/>
            <w:vAlign w:val="center"/>
          </w:tcPr>
          <w:p>
            <w:pPr>
              <w:spacing w:before="60" w:after="60"/>
              <w:jc w:val="center"/>
              <w:rPr>
                <w:rFonts w:eastAsia="Times New Roman"/>
                <w:b/>
                <w:noProof/>
                <w:sz w:val="20"/>
                <w:szCs w:val="20"/>
              </w:rPr>
            </w:pPr>
            <w:r>
              <w:rPr>
                <w:b/>
                <w:noProof/>
                <w:sz w:val="20"/>
              </w:rPr>
              <w:t>0,300</w:t>
            </w:r>
          </w:p>
        </w:tc>
        <w:tc>
          <w:tcPr>
            <w:tcW w:w="655" w:type="pct"/>
            <w:vAlign w:val="center"/>
          </w:tcPr>
          <w:p>
            <w:pPr>
              <w:spacing w:before="60" w:after="60"/>
              <w:jc w:val="center"/>
              <w:rPr>
                <w:rFonts w:eastAsia="Times New Roman"/>
                <w:b/>
                <w:noProof/>
                <w:sz w:val="20"/>
                <w:szCs w:val="20"/>
              </w:rPr>
            </w:pPr>
            <w:r>
              <w:rPr>
                <w:b/>
                <w:noProof/>
                <w:sz w:val="20"/>
              </w:rPr>
              <w:t>0,300</w:t>
            </w:r>
          </w:p>
        </w:tc>
        <w:tc>
          <w:tcPr>
            <w:tcW w:w="655" w:type="pct"/>
            <w:vAlign w:val="center"/>
          </w:tcPr>
          <w:p>
            <w:pPr>
              <w:spacing w:before="60" w:after="60"/>
              <w:jc w:val="center"/>
              <w:rPr>
                <w:rFonts w:eastAsia="Times New Roman"/>
                <w:b/>
                <w:noProof/>
                <w:sz w:val="20"/>
                <w:szCs w:val="20"/>
              </w:rPr>
            </w:pPr>
            <w:r>
              <w:rPr>
                <w:b/>
                <w:noProof/>
                <w:sz w:val="20"/>
              </w:rPr>
              <w:t>0,300</w:t>
            </w:r>
          </w:p>
        </w:tc>
        <w:tc>
          <w:tcPr>
            <w:tcW w:w="655" w:type="pct"/>
            <w:vAlign w:val="center"/>
          </w:tcPr>
          <w:p>
            <w:pPr>
              <w:spacing w:before="60" w:after="60"/>
              <w:jc w:val="center"/>
              <w:rPr>
                <w:rFonts w:eastAsia="Times New Roman"/>
                <w:b/>
                <w:noProof/>
                <w:sz w:val="20"/>
                <w:szCs w:val="20"/>
              </w:rPr>
            </w:pPr>
            <w:r>
              <w:rPr>
                <w:b/>
                <w:noProof/>
                <w:sz w:val="20"/>
              </w:rPr>
              <w:t>0,300</w:t>
            </w:r>
          </w:p>
        </w:tc>
        <w:tc>
          <w:tcPr>
            <w:tcW w:w="787" w:type="pct"/>
            <w:vAlign w:val="center"/>
          </w:tcPr>
          <w:p>
            <w:pPr>
              <w:spacing w:before="60" w:after="60"/>
              <w:jc w:val="center"/>
              <w:rPr>
                <w:rFonts w:eastAsia="Times New Roman"/>
                <w:b/>
                <w:noProof/>
                <w:sz w:val="20"/>
                <w:szCs w:val="20"/>
              </w:rPr>
            </w:pPr>
            <w:r>
              <w:rPr>
                <w:b/>
                <w:noProof/>
                <w:sz w:val="20"/>
              </w:rPr>
              <w:t>1,200</w:t>
            </w:r>
          </w:p>
        </w:tc>
      </w:tr>
      <w:tr>
        <w:trPr>
          <w:cantSplit/>
          <w:trHeight w:val="694"/>
        </w:trPr>
        <w:tc>
          <w:tcPr>
            <w:tcW w:w="1593" w:type="pct"/>
          </w:tcPr>
          <w:p>
            <w:pPr>
              <w:spacing w:before="60" w:after="60"/>
              <w:rPr>
                <w:rFonts w:eastAsia="Times New Roman"/>
                <w:noProof/>
                <w:sz w:val="20"/>
                <w:szCs w:val="20"/>
              </w:rPr>
            </w:pPr>
            <w:r>
              <w:rPr>
                <w:noProof/>
                <w:sz w:val="20"/>
              </w:rPr>
              <w:t xml:space="preserve">ОБЩО съфинансирани бюджетни кредити </w:t>
            </w:r>
          </w:p>
        </w:tc>
        <w:tc>
          <w:tcPr>
            <w:tcW w:w="655" w:type="pct"/>
            <w:vAlign w:val="center"/>
          </w:tcPr>
          <w:p>
            <w:pPr>
              <w:spacing w:before="60" w:after="60"/>
              <w:jc w:val="center"/>
              <w:rPr>
                <w:rFonts w:eastAsia="Times New Roman"/>
                <w:b/>
                <w:noProof/>
                <w:sz w:val="20"/>
                <w:szCs w:val="20"/>
              </w:rPr>
            </w:pPr>
            <w:r>
              <w:rPr>
                <w:b/>
                <w:noProof/>
                <w:sz w:val="20"/>
              </w:rPr>
              <w:t>7,550</w:t>
            </w:r>
          </w:p>
        </w:tc>
        <w:tc>
          <w:tcPr>
            <w:tcW w:w="655" w:type="pct"/>
            <w:vAlign w:val="center"/>
          </w:tcPr>
          <w:p>
            <w:pPr>
              <w:spacing w:before="60" w:after="60"/>
              <w:jc w:val="center"/>
              <w:rPr>
                <w:rFonts w:eastAsia="Times New Roman"/>
                <w:b/>
                <w:noProof/>
                <w:sz w:val="20"/>
                <w:szCs w:val="20"/>
              </w:rPr>
            </w:pPr>
            <w:r>
              <w:rPr>
                <w:b/>
                <w:noProof/>
                <w:sz w:val="20"/>
              </w:rPr>
              <w:t>7,550</w:t>
            </w:r>
          </w:p>
        </w:tc>
        <w:tc>
          <w:tcPr>
            <w:tcW w:w="655" w:type="pct"/>
            <w:vAlign w:val="center"/>
          </w:tcPr>
          <w:p>
            <w:pPr>
              <w:spacing w:before="60" w:after="60"/>
              <w:jc w:val="center"/>
              <w:rPr>
                <w:rFonts w:eastAsia="Times New Roman"/>
                <w:b/>
                <w:noProof/>
                <w:sz w:val="20"/>
                <w:szCs w:val="20"/>
              </w:rPr>
            </w:pPr>
            <w:r>
              <w:rPr>
                <w:b/>
                <w:noProof/>
                <w:sz w:val="20"/>
              </w:rPr>
              <w:t>7,550</w:t>
            </w:r>
          </w:p>
        </w:tc>
        <w:tc>
          <w:tcPr>
            <w:tcW w:w="655" w:type="pct"/>
            <w:vAlign w:val="center"/>
          </w:tcPr>
          <w:p>
            <w:pPr>
              <w:spacing w:before="60" w:after="60"/>
              <w:jc w:val="center"/>
              <w:rPr>
                <w:rFonts w:eastAsia="Times New Roman"/>
                <w:b/>
                <w:noProof/>
                <w:sz w:val="20"/>
                <w:szCs w:val="20"/>
              </w:rPr>
            </w:pPr>
            <w:r>
              <w:rPr>
                <w:b/>
                <w:noProof/>
                <w:sz w:val="20"/>
              </w:rPr>
              <w:t>7,550</w:t>
            </w:r>
          </w:p>
        </w:tc>
        <w:tc>
          <w:tcPr>
            <w:tcW w:w="787" w:type="pct"/>
            <w:vAlign w:val="center"/>
          </w:tcPr>
          <w:p>
            <w:pPr>
              <w:spacing w:before="60" w:after="60"/>
              <w:jc w:val="center"/>
              <w:rPr>
                <w:rFonts w:eastAsia="Times New Roman"/>
                <w:b/>
                <w:noProof/>
                <w:sz w:val="20"/>
                <w:szCs w:val="20"/>
              </w:rPr>
            </w:pPr>
            <w:r>
              <w:rPr>
                <w:b/>
                <w:noProof/>
                <w:sz w:val="20"/>
              </w:rPr>
              <w:t>30,200</w:t>
            </w:r>
          </w:p>
        </w:tc>
      </w:tr>
    </w:tbl>
    <w:p>
      <w:pPr>
        <w:ind w:left="851"/>
        <w:rPr>
          <w:rFonts w:eastAsia="Times New Roman"/>
          <w:noProof/>
          <w:szCs w:val="24"/>
        </w:rPr>
      </w:pPr>
      <w:r>
        <w:rPr>
          <w:noProof/>
        </w:rPr>
        <w:t>Допълнителната изследователска програма изисква само бюджетна структура (p.m.), предназначена да получава от участниците бюджетни кредити с целеви характер. Горните суми са изчислени от засегнатите държави членки с цел да се покрият прогнозираните разходи по реактора за периода 2016—2019 г., като е взето предвид очакваното ниво на търговските приходи. Комисията в никакъв случай няма да покрива дефицит при експлоатацията, включително потенциални разходи за поддръжка и ремонт.</w:t>
      </w:r>
    </w:p>
    <w:p>
      <w:pPr>
        <w:keepNext/>
        <w:numPr>
          <w:ilvl w:val="1"/>
          <w:numId w:val="0"/>
        </w:numPr>
        <w:tabs>
          <w:tab w:val="num" w:pos="850"/>
        </w:tabs>
        <w:ind w:left="850" w:hanging="850"/>
        <w:outlineLvl w:val="1"/>
        <w:rPr>
          <w:rFonts w:eastAsia="Times New Roman"/>
          <w:b/>
          <w:bCs/>
          <w:noProof/>
          <w:szCs w:val="26"/>
        </w:rPr>
      </w:pPr>
      <w:r>
        <w:rPr>
          <w:noProof/>
        </w:rPr>
        <w:br w:type="page"/>
      </w:r>
      <w:r>
        <w:rPr>
          <w:b/>
          <w:noProof/>
        </w:rPr>
        <w:t xml:space="preserve">Очаквано отражение върху приходите </w:t>
      </w:r>
    </w:p>
    <w:p>
      <w:pPr>
        <w:tabs>
          <w:tab w:val="num" w:pos="1134"/>
        </w:tabs>
        <w:ind w:left="1134" w:hanging="283"/>
        <w:rPr>
          <w:rFonts w:eastAsia="Times New Roman"/>
          <w:noProof/>
          <w:szCs w:val="24"/>
        </w:rPr>
      </w:pPr>
      <w:r>
        <w:rPr>
          <w:rFonts w:eastAsia="Times New Roman"/>
          <w:noProof/>
          <w:szCs w:val="24"/>
        </w:rPr>
        <w:sym w:font="Wingdings" w:char="F0A8"/>
      </w:r>
      <w:r>
        <w:rPr>
          <w:noProof/>
        </w:rPr>
        <w:tab/>
        <w:t>Предложението/инициативата няма финансово отражение върху приходите.</w:t>
      </w:r>
    </w:p>
    <w:p>
      <w:pPr>
        <w:tabs>
          <w:tab w:val="num" w:pos="1134"/>
        </w:tabs>
        <w:ind w:left="1134" w:hanging="283"/>
        <w:rPr>
          <w:rFonts w:eastAsia="Times New Roman"/>
          <w:noProof/>
          <w:szCs w:val="24"/>
        </w:rPr>
      </w:pPr>
      <w:r>
        <w:rPr>
          <w:rFonts w:eastAsia="Times New Roman"/>
          <w:noProof/>
          <w:szCs w:val="24"/>
        </w:rPr>
        <w:sym w:font="Wingdings" w:char="F078"/>
      </w:r>
      <w:r>
        <w:rPr>
          <w:noProof/>
        </w:rPr>
        <w:tab/>
        <w:t>Предложението/инициативата има следното финансово отражение:</w:t>
      </w:r>
    </w:p>
    <w:p>
      <w:pPr>
        <w:numPr>
          <w:ilvl w:val="2"/>
          <w:numId w:val="0"/>
        </w:numPr>
        <w:tabs>
          <w:tab w:val="num" w:pos="2126"/>
        </w:tabs>
        <w:ind w:left="2126" w:hanging="709"/>
        <w:rPr>
          <w:rFonts w:eastAsia="Times New Roman"/>
          <w:noProof/>
          <w:szCs w:val="24"/>
        </w:rPr>
      </w:pPr>
      <w:r>
        <w:rPr>
          <w:rFonts w:eastAsia="Times New Roman"/>
          <w:noProof/>
          <w:szCs w:val="24"/>
        </w:rPr>
        <w:sym w:font="Wingdings" w:char="F0A8"/>
      </w:r>
      <w:r>
        <w:rPr>
          <w:noProof/>
        </w:rPr>
        <w:tab/>
        <w:t xml:space="preserve">върху собствените ресурси </w:t>
      </w:r>
    </w:p>
    <w:p>
      <w:pPr>
        <w:numPr>
          <w:ilvl w:val="2"/>
          <w:numId w:val="0"/>
        </w:numPr>
        <w:tabs>
          <w:tab w:val="num" w:pos="2126"/>
        </w:tabs>
        <w:ind w:left="2126" w:hanging="709"/>
        <w:rPr>
          <w:rFonts w:eastAsia="Times New Roman"/>
          <w:noProof/>
          <w:szCs w:val="24"/>
        </w:rPr>
      </w:pPr>
      <w:r>
        <w:rPr>
          <w:rFonts w:eastAsia="Times New Roman"/>
          <w:noProof/>
          <w:szCs w:val="24"/>
        </w:rPr>
        <w:sym w:font="Wingdings" w:char="F078"/>
      </w:r>
      <w:r>
        <w:rPr>
          <w:noProof/>
        </w:rPr>
        <w:tab/>
        <w:t xml:space="preserve">върху разните приходи </w:t>
      </w:r>
    </w:p>
    <w:p>
      <w:pPr>
        <w:jc w:val="right"/>
        <w:rPr>
          <w:rFonts w:eastAsia="Times New Roman"/>
          <w:i/>
          <w:noProof/>
          <w:sz w:val="20"/>
          <w:szCs w:val="20"/>
        </w:rPr>
      </w:pPr>
      <w:r>
        <w:rPr>
          <w:noProof/>
          <w:sz w:val="20"/>
        </w:rPr>
        <w:t>млн. евро (до 3-тия знак след десетичната запетая)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6"/>
        <w:gridCol w:w="2534"/>
        <w:gridCol w:w="1598"/>
        <w:gridCol w:w="1332"/>
        <w:gridCol w:w="1332"/>
        <w:gridCol w:w="1598"/>
      </w:tblGrid>
      <w:tr>
        <w:trPr>
          <w:trHeight w:val="388"/>
        </w:trPr>
        <w:tc>
          <w:tcPr>
            <w:tcW w:w="972" w:type="pct"/>
            <w:vMerge w:val="restart"/>
            <w:vAlign w:val="center"/>
          </w:tcPr>
          <w:p>
            <w:pPr>
              <w:spacing w:before="40" w:after="40"/>
              <w:rPr>
                <w:rFonts w:eastAsia="Times New Roman"/>
                <w:noProof/>
                <w:sz w:val="18"/>
                <w:szCs w:val="18"/>
              </w:rPr>
            </w:pPr>
            <w:r>
              <w:rPr>
                <w:noProof/>
                <w:sz w:val="18"/>
              </w:rPr>
              <w:t>Приходен бюджетен ред:</w:t>
            </w:r>
          </w:p>
        </w:tc>
        <w:tc>
          <w:tcPr>
            <w:tcW w:w="1216" w:type="pct"/>
            <w:vMerge w:val="restart"/>
            <w:vAlign w:val="center"/>
          </w:tcPr>
          <w:p>
            <w:pPr>
              <w:jc w:val="center"/>
              <w:rPr>
                <w:rFonts w:eastAsia="Times New Roman"/>
                <w:noProof/>
                <w:sz w:val="18"/>
                <w:szCs w:val="18"/>
              </w:rPr>
            </w:pPr>
            <w:r>
              <w:rPr>
                <w:noProof/>
                <w:sz w:val="18"/>
              </w:rPr>
              <w:t>Налични бюджетни кредити за текущата бюджетна година</w:t>
            </w:r>
          </w:p>
        </w:tc>
        <w:tc>
          <w:tcPr>
            <w:tcW w:w="2812" w:type="pct"/>
            <w:gridSpan w:val="4"/>
            <w:vAlign w:val="center"/>
          </w:tcPr>
          <w:p>
            <w:pPr>
              <w:jc w:val="center"/>
              <w:rPr>
                <w:rFonts w:eastAsia="Times New Roman"/>
                <w:noProof/>
                <w:sz w:val="18"/>
                <w:szCs w:val="18"/>
              </w:rPr>
            </w:pPr>
            <w:r>
              <w:rPr>
                <w:noProof/>
                <w:sz w:val="18"/>
              </w:rPr>
              <w:t>Отражение на предложението/инициативата</w:t>
            </w:r>
          </w:p>
        </w:tc>
      </w:tr>
      <w:tr>
        <w:trPr>
          <w:trHeight w:val="388"/>
        </w:trPr>
        <w:tc>
          <w:tcPr>
            <w:tcW w:w="972" w:type="pct"/>
            <w:vMerge/>
          </w:tcPr>
          <w:p>
            <w:pPr>
              <w:spacing w:before="40" w:after="40"/>
              <w:rPr>
                <w:rFonts w:eastAsia="Times New Roman"/>
                <w:noProof/>
                <w:sz w:val="18"/>
                <w:szCs w:val="18"/>
              </w:rPr>
            </w:pPr>
          </w:p>
        </w:tc>
        <w:tc>
          <w:tcPr>
            <w:tcW w:w="1216" w:type="pct"/>
            <w:vMerge/>
          </w:tcPr>
          <w:p>
            <w:pPr>
              <w:spacing w:beforeLines="40" w:before="96" w:afterLines="40" w:after="96"/>
              <w:rPr>
                <w:rFonts w:eastAsia="Times New Roman"/>
                <w:i/>
                <w:noProof/>
                <w:sz w:val="18"/>
                <w:szCs w:val="18"/>
              </w:rPr>
            </w:pPr>
          </w:p>
        </w:tc>
        <w:tc>
          <w:tcPr>
            <w:tcW w:w="767"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2016</w:t>
            </w:r>
          </w:p>
        </w:tc>
        <w:tc>
          <w:tcPr>
            <w:tcW w:w="639"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2017</w:t>
            </w:r>
          </w:p>
        </w:tc>
        <w:tc>
          <w:tcPr>
            <w:tcW w:w="639"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2018</w:t>
            </w:r>
          </w:p>
        </w:tc>
        <w:tc>
          <w:tcPr>
            <w:tcW w:w="767" w:type="pct"/>
            <w:vAlign w:val="center"/>
          </w:tcPr>
          <w:p>
            <w:pPr>
              <w:spacing w:before="60" w:after="60"/>
              <w:jc w:val="center"/>
              <w:rPr>
                <w:rFonts w:eastAsia="Times New Roman"/>
                <w:noProof/>
                <w:sz w:val="20"/>
                <w:szCs w:val="20"/>
              </w:rPr>
            </w:pPr>
            <w:r>
              <w:rPr>
                <w:noProof/>
                <w:sz w:val="20"/>
              </w:rPr>
              <w:t>Година</w:t>
            </w:r>
            <w:r>
              <w:rPr>
                <w:rFonts w:eastAsia="Times New Roman"/>
                <w:noProof/>
                <w:sz w:val="20"/>
                <w:szCs w:val="20"/>
              </w:rPr>
              <w:br/>
            </w:r>
            <w:r>
              <w:rPr>
                <w:noProof/>
                <w:sz w:val="20"/>
              </w:rPr>
              <w:t>2019</w:t>
            </w:r>
          </w:p>
        </w:tc>
      </w:tr>
      <w:tr>
        <w:trPr>
          <w:trHeight w:val="388"/>
        </w:trPr>
        <w:tc>
          <w:tcPr>
            <w:tcW w:w="972" w:type="pct"/>
            <w:vAlign w:val="center"/>
          </w:tcPr>
          <w:p>
            <w:pPr>
              <w:spacing w:before="40" w:after="40"/>
              <w:rPr>
                <w:rFonts w:eastAsia="Times New Roman"/>
                <w:noProof/>
                <w:sz w:val="18"/>
                <w:szCs w:val="18"/>
              </w:rPr>
            </w:pPr>
            <w:r>
              <w:rPr>
                <w:noProof/>
                <w:sz w:val="18"/>
              </w:rPr>
              <w:t>Позиция 6 2 2 1</w:t>
            </w:r>
          </w:p>
        </w:tc>
        <w:tc>
          <w:tcPr>
            <w:tcW w:w="1216" w:type="pct"/>
          </w:tcPr>
          <w:p>
            <w:pPr>
              <w:spacing w:beforeLines="40" w:before="96" w:afterLines="40" w:after="96"/>
              <w:jc w:val="center"/>
              <w:rPr>
                <w:rFonts w:eastAsia="Times New Roman"/>
                <w:i/>
                <w:noProof/>
                <w:sz w:val="18"/>
                <w:szCs w:val="18"/>
              </w:rPr>
            </w:pPr>
          </w:p>
        </w:tc>
        <w:tc>
          <w:tcPr>
            <w:tcW w:w="767" w:type="pct"/>
          </w:tcPr>
          <w:p>
            <w:pPr>
              <w:spacing w:beforeLines="40" w:before="96" w:afterLines="40" w:after="96"/>
              <w:jc w:val="center"/>
              <w:rPr>
                <w:rFonts w:eastAsia="Times New Roman"/>
                <w:noProof/>
                <w:sz w:val="18"/>
                <w:szCs w:val="18"/>
              </w:rPr>
            </w:pPr>
            <w:r>
              <w:rPr>
                <w:noProof/>
                <w:sz w:val="18"/>
              </w:rPr>
              <w:t>p.m.</w:t>
            </w:r>
          </w:p>
        </w:tc>
        <w:tc>
          <w:tcPr>
            <w:tcW w:w="639" w:type="pct"/>
          </w:tcPr>
          <w:p>
            <w:pPr>
              <w:spacing w:beforeLines="40" w:before="96" w:afterLines="40" w:after="96"/>
              <w:jc w:val="center"/>
              <w:rPr>
                <w:rFonts w:eastAsia="Times New Roman"/>
                <w:noProof/>
                <w:sz w:val="18"/>
                <w:szCs w:val="18"/>
              </w:rPr>
            </w:pPr>
            <w:r>
              <w:rPr>
                <w:noProof/>
                <w:sz w:val="18"/>
              </w:rPr>
              <w:t>p.m.</w:t>
            </w:r>
          </w:p>
        </w:tc>
        <w:tc>
          <w:tcPr>
            <w:tcW w:w="639" w:type="pct"/>
          </w:tcPr>
          <w:p>
            <w:pPr>
              <w:spacing w:beforeLines="40" w:before="96" w:afterLines="40" w:after="96"/>
              <w:jc w:val="center"/>
              <w:rPr>
                <w:rFonts w:eastAsia="Times New Roman"/>
                <w:noProof/>
                <w:sz w:val="18"/>
                <w:szCs w:val="18"/>
              </w:rPr>
            </w:pPr>
            <w:r>
              <w:rPr>
                <w:noProof/>
                <w:sz w:val="18"/>
              </w:rPr>
              <w:t>p.m.</w:t>
            </w:r>
          </w:p>
        </w:tc>
        <w:tc>
          <w:tcPr>
            <w:tcW w:w="767" w:type="pct"/>
          </w:tcPr>
          <w:p>
            <w:pPr>
              <w:spacing w:beforeLines="40" w:before="96" w:afterLines="40" w:after="96"/>
              <w:jc w:val="center"/>
              <w:rPr>
                <w:rFonts w:eastAsia="Times New Roman"/>
                <w:noProof/>
                <w:sz w:val="18"/>
                <w:szCs w:val="18"/>
              </w:rPr>
            </w:pPr>
            <w:r>
              <w:rPr>
                <w:noProof/>
                <w:sz w:val="18"/>
              </w:rPr>
              <w:t>p.m.</w:t>
            </w:r>
          </w:p>
        </w:tc>
      </w:tr>
    </w:tbl>
    <w:p>
      <w:pPr>
        <w:ind w:left="850"/>
        <w:rPr>
          <w:rFonts w:eastAsia="Times New Roman"/>
          <w:noProof/>
          <w:sz w:val="20"/>
          <w:szCs w:val="20"/>
        </w:rPr>
      </w:pPr>
      <w:r>
        <w:rPr>
          <w:noProof/>
          <w:sz w:val="20"/>
        </w:rPr>
        <w:t>За разните „целеви“ приходи да се посочат съответните разходни бюджетни редове.</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 xml:space="preserve">Позиция 6 2 2 1 — Приходи от експлоатацията на реактора с висока плътност на неутронния поток (HFR), които да се използват за осигуряване на допълнителни бюджетни кредити — Целеви приходи </w:t>
      </w:r>
    </w:p>
    <w:p>
      <w:pPr>
        <w:ind w:left="850"/>
        <w:rPr>
          <w:rFonts w:eastAsia="Times New Roman"/>
          <w:noProof/>
          <w:sz w:val="20"/>
          <w:szCs w:val="20"/>
        </w:rPr>
      </w:pPr>
      <w:r>
        <w:rPr>
          <w:noProof/>
          <w:sz w:val="20"/>
        </w:rPr>
        <w:t>Да се посочи методът за изчисляване на отражението върху приходите.</w:t>
      </w:r>
    </w:p>
    <w:p>
      <w:pPr>
        <w:pBdr>
          <w:top w:val="single" w:sz="4" w:space="1" w:color="auto"/>
          <w:left w:val="single" w:sz="4" w:space="4" w:color="auto"/>
          <w:bottom w:val="single" w:sz="4" w:space="1" w:color="auto"/>
          <w:right w:val="single" w:sz="4" w:space="4" w:color="auto"/>
        </w:pBdr>
        <w:ind w:left="850"/>
        <w:rPr>
          <w:rFonts w:eastAsia="Times New Roman"/>
          <w:noProof/>
          <w:szCs w:val="24"/>
        </w:rPr>
      </w:pPr>
      <w:r>
        <w:rPr>
          <w:noProof/>
        </w:rPr>
        <w:t>Допълнителната изследователска програма се финансира с вноски от участващите държави членки, изчислени въз основа на бюджета за периода 2012—2015 г.</w:t>
      </w:r>
    </w:p>
    <w:p>
      <w:pPr>
        <w:jc w:val="center"/>
        <w:rPr>
          <w:rFonts w:eastAsia="Times New Roman"/>
          <w:b/>
          <w:bCs/>
          <w:noProof/>
          <w:sz w:val="28"/>
          <w:szCs w:val="28"/>
          <w:u w:val="single"/>
        </w:rPr>
      </w:pPr>
      <w:r>
        <w:rPr>
          <w:noProof/>
        </w:rPr>
        <w:br w:type="page"/>
      </w:r>
    </w:p>
    <w:p>
      <w:pPr>
        <w:jc w:val="center"/>
        <w:rPr>
          <w:rFonts w:eastAsia="Times New Roman"/>
          <w:b/>
          <w:bCs/>
          <w:noProof/>
          <w:sz w:val="36"/>
          <w:szCs w:val="36"/>
          <w:u w:val="single"/>
        </w:rPr>
      </w:pPr>
      <w:r>
        <w:rPr>
          <w:b/>
          <w:noProof/>
          <w:sz w:val="36"/>
          <w:u w:val="single"/>
        </w:rPr>
        <w:t>ПРИЛОЖЕНИЕ към</w:t>
      </w:r>
      <w:r>
        <w:rPr>
          <w:rFonts w:eastAsia="Times New Roman"/>
          <w:b/>
          <w:bCs/>
          <w:noProof/>
          <w:sz w:val="36"/>
          <w:szCs w:val="36"/>
          <w:u w:val="single"/>
        </w:rPr>
        <w:br/>
      </w:r>
      <w:r>
        <w:rPr>
          <w:b/>
          <w:noProof/>
          <w:sz w:val="36"/>
          <w:u w:val="single"/>
        </w:rPr>
        <w:t>ЗАКОНОДАТЕЛНАТА ФИНАНСОВА ОБОСНОВКА</w:t>
      </w:r>
    </w:p>
    <w:p>
      <w:pPr>
        <w:jc w:val="center"/>
        <w:rPr>
          <w:rFonts w:eastAsia="Times New Roman"/>
          <w:noProof/>
          <w:szCs w:val="24"/>
        </w:rPr>
      </w:pPr>
    </w:p>
    <w:p>
      <w:pPr>
        <w:spacing w:before="240"/>
        <w:ind w:left="360"/>
        <w:jc w:val="center"/>
        <w:rPr>
          <w:rFonts w:eastAsia="Times New Roman"/>
          <w:noProof/>
          <w:szCs w:val="24"/>
        </w:rPr>
      </w:pPr>
      <w:r>
        <w:rPr>
          <w:noProof/>
        </w:rPr>
        <w:t>Наименование на предложението/инициативата:</w:t>
      </w:r>
    </w:p>
    <w:p>
      <w:pPr>
        <w:pBdr>
          <w:top w:val="dotted" w:sz="4" w:space="1" w:color="auto"/>
          <w:left w:val="dotted" w:sz="4" w:space="4" w:color="auto"/>
          <w:bottom w:val="dotted" w:sz="4" w:space="1" w:color="auto"/>
          <w:right w:val="dotted" w:sz="4" w:space="4" w:color="auto"/>
        </w:pBdr>
        <w:shd w:val="clear" w:color="auto" w:fill="FFFF99"/>
        <w:spacing w:after="60"/>
        <w:rPr>
          <w:rFonts w:eastAsia="Times New Roman"/>
          <w:noProof/>
          <w:szCs w:val="24"/>
        </w:rPr>
      </w:pPr>
      <w:r>
        <w:rPr>
          <w:noProof/>
        </w:rPr>
        <w:t>Допълнителната изследователска програма за Реактора с висока плътност на неутронния поток за 2016—2019 г. за изпълнение от Съвместния изследователски център за Европейската общност за атомна енергия</w:t>
      </w:r>
    </w:p>
    <w:p>
      <w:pPr>
        <w:outlineLvl w:val="0"/>
        <w:rPr>
          <w:rFonts w:eastAsia="Times New Roman"/>
          <w:b/>
          <w:bCs/>
          <w:noProof/>
          <w:szCs w:val="24"/>
        </w:rPr>
      </w:pPr>
    </w:p>
    <w:p>
      <w:pPr>
        <w:spacing w:before="240" w:after="240"/>
        <w:rPr>
          <w:rFonts w:eastAsia="Times New Roman"/>
          <w:bCs/>
          <w:noProof/>
          <w:sz w:val="32"/>
          <w:szCs w:val="32"/>
        </w:rPr>
      </w:pPr>
      <w:r>
        <w:rPr>
          <w:noProof/>
          <w:sz w:val="32"/>
        </w:rPr>
        <w:t>БРОЙ и РАЗХОДИ за СЧЕТЕНИТЕ ЗА НЕОБХОДИМИ ЧОВЕШКИ РЕСУРСИ</w:t>
      </w:r>
    </w:p>
    <w:p>
      <w:pPr>
        <w:spacing w:before="240" w:after="240"/>
        <w:rPr>
          <w:rFonts w:eastAsia="Times New Roman"/>
          <w:bCs/>
          <w:noProof/>
          <w:sz w:val="32"/>
          <w:szCs w:val="32"/>
        </w:rPr>
      </w:pPr>
      <w:r>
        <w:rPr>
          <w:noProof/>
          <w:sz w:val="32"/>
        </w:rPr>
        <w:t>ДРУГИ АДМИНИСТРАТИВНИ РАЗХОДИ</w:t>
      </w:r>
    </w:p>
    <w:p>
      <w:pPr>
        <w:spacing w:before="240"/>
        <w:rPr>
          <w:rFonts w:eastAsia="Times New Roman"/>
          <w:bCs/>
          <w:noProof/>
          <w:sz w:val="32"/>
          <w:szCs w:val="32"/>
        </w:rPr>
      </w:pPr>
      <w:r>
        <w:rPr>
          <w:noProof/>
          <w:sz w:val="32"/>
        </w:rPr>
        <w:t>МЕТОДИ, използвани за ИЗЧИСЛЯВАНЕТО НА РАЗХОДИТЕ</w:t>
      </w:r>
    </w:p>
    <w:p>
      <w:pPr>
        <w:rPr>
          <w:rFonts w:eastAsia="Times New Roman"/>
          <w:bCs/>
          <w:noProof/>
          <w:sz w:val="32"/>
          <w:szCs w:val="32"/>
        </w:rPr>
      </w:pPr>
      <w:r>
        <w:rPr>
          <w:noProof/>
          <w:sz w:val="32"/>
        </w:rPr>
        <w:t>За човешки ресурси</w:t>
      </w:r>
    </w:p>
    <w:p>
      <w:pPr>
        <w:rPr>
          <w:rFonts w:eastAsia="Times New Roman"/>
          <w:bCs/>
          <w:noProof/>
          <w:sz w:val="32"/>
          <w:szCs w:val="32"/>
        </w:rPr>
      </w:pPr>
      <w:r>
        <w:rPr>
          <w:noProof/>
          <w:sz w:val="32"/>
        </w:rPr>
        <w:t>За другите административни разходи</w:t>
      </w:r>
    </w:p>
    <w:p>
      <w:pPr>
        <w:spacing w:before="240" w:after="240"/>
        <w:rPr>
          <w:rFonts w:eastAsia="Times New Roman"/>
          <w:bCs/>
          <w:noProof/>
          <w:sz w:val="32"/>
          <w:szCs w:val="32"/>
        </w:rPr>
      </w:pPr>
    </w:p>
    <w:p>
      <w:pPr>
        <w:spacing w:before="240" w:after="240"/>
        <w:rPr>
          <w:rFonts w:ascii="Times New Roman Bold" w:eastAsia="Times New Roman" w:hAnsi="Times New Roman Bold"/>
          <w:bCs/>
          <w:noProof/>
          <w:sz w:val="32"/>
          <w:szCs w:val="32"/>
        </w:rPr>
      </w:pPr>
    </w:p>
    <w:p>
      <w:pPr>
        <w:pBdr>
          <w:top w:val="single" w:sz="4" w:space="0" w:color="auto"/>
          <w:left w:val="single" w:sz="4" w:space="4" w:color="auto"/>
          <w:bottom w:val="single" w:sz="4" w:space="1" w:color="auto"/>
          <w:right w:val="single" w:sz="4" w:space="4" w:color="auto"/>
        </w:pBdr>
        <w:shd w:val="pct30" w:color="CCFFFF" w:fill="auto"/>
        <w:rPr>
          <w:rFonts w:eastAsia="Times New Roman"/>
          <w:noProof/>
          <w:sz w:val="16"/>
          <w:szCs w:val="16"/>
        </w:rPr>
      </w:pPr>
    </w:p>
    <w:p>
      <w:pPr>
        <w:pBdr>
          <w:top w:val="single" w:sz="4" w:space="0" w:color="auto"/>
          <w:left w:val="single" w:sz="4" w:space="4" w:color="auto"/>
          <w:bottom w:val="single" w:sz="4" w:space="1" w:color="auto"/>
          <w:right w:val="single" w:sz="4" w:space="4" w:color="auto"/>
        </w:pBdr>
        <w:shd w:val="pct30" w:color="CCFFFF" w:fill="auto"/>
        <w:rPr>
          <w:rFonts w:eastAsia="Times New Roman"/>
          <w:i/>
          <w:noProof/>
        </w:rPr>
      </w:pPr>
      <w:r>
        <w:rPr>
          <w:i/>
          <w:noProof/>
        </w:rPr>
        <w:t>Настоящото приложение ще придружава законодателната финансова обосновка по време на междуведомствената консултация.</w:t>
      </w:r>
    </w:p>
    <w:p>
      <w:pPr>
        <w:pBdr>
          <w:top w:val="single" w:sz="4" w:space="0" w:color="auto"/>
          <w:left w:val="single" w:sz="4" w:space="4" w:color="auto"/>
          <w:bottom w:val="single" w:sz="4" w:space="1" w:color="auto"/>
          <w:right w:val="single" w:sz="4" w:space="4" w:color="auto"/>
        </w:pBdr>
        <w:shd w:val="pct30" w:color="CCFFFF" w:fill="auto"/>
        <w:rPr>
          <w:rFonts w:eastAsia="Times New Roman"/>
          <w:i/>
          <w:noProof/>
        </w:rPr>
      </w:pPr>
      <w:r>
        <w:rPr>
          <w:i/>
          <w:noProof/>
        </w:rPr>
        <w:t>Таблиците, включени в настоящото приложение служат за попълване на таблиците в законодателната финансова обосновка.</w:t>
      </w:r>
    </w:p>
    <w:p>
      <w:pPr>
        <w:pBdr>
          <w:top w:val="single" w:sz="4" w:space="0" w:color="auto"/>
          <w:left w:val="single" w:sz="4" w:space="4" w:color="auto"/>
          <w:bottom w:val="single" w:sz="4" w:space="1" w:color="auto"/>
          <w:right w:val="single" w:sz="4" w:space="4" w:color="auto"/>
        </w:pBdr>
        <w:shd w:val="pct30" w:color="CCFFFF" w:fill="auto"/>
        <w:rPr>
          <w:rFonts w:eastAsia="Times New Roman"/>
          <w:i/>
          <w:noProof/>
        </w:rPr>
      </w:pPr>
      <w:r>
        <w:rPr>
          <w:i/>
          <w:noProof/>
        </w:rPr>
        <w:t>Настоящото приложение е документ за вътрешно ползване, който следва да не напуска службите на Комисията.</w:t>
      </w:r>
    </w:p>
    <w:p>
      <w:pPr>
        <w:pBdr>
          <w:top w:val="single" w:sz="4" w:space="0" w:color="auto"/>
          <w:left w:val="single" w:sz="4" w:space="4" w:color="auto"/>
          <w:bottom w:val="single" w:sz="4" w:space="1" w:color="auto"/>
          <w:right w:val="single" w:sz="4" w:space="4" w:color="auto"/>
        </w:pBdr>
        <w:shd w:val="pct30" w:color="CCFFFF" w:fill="auto"/>
        <w:rPr>
          <w:rFonts w:eastAsia="Times New Roman"/>
          <w:bCs/>
          <w:noProof/>
          <w:sz w:val="16"/>
          <w:szCs w:val="16"/>
        </w:rPr>
      </w:pPr>
    </w:p>
    <w:p>
      <w:pPr>
        <w:spacing w:after="80"/>
        <w:rPr>
          <w:rFonts w:eastAsia="Times New Roman"/>
          <w:b/>
          <w:bCs/>
          <w:noProof/>
          <w:szCs w:val="24"/>
        </w:rPr>
      </w:pPr>
    </w:p>
    <w:p>
      <w:pPr>
        <w:rPr>
          <w:rFonts w:eastAsia="Times New Roman"/>
          <w:noProof/>
          <w:szCs w:val="24"/>
        </w:rPr>
        <w:sectPr>
          <w:pgSz w:w="12240" w:h="15840" w:code="1"/>
          <w:pgMar w:top="902" w:right="1134" w:bottom="1247" w:left="902" w:header="709" w:footer="709" w:gutter="0"/>
          <w:cols w:space="708"/>
          <w:rtlGutter/>
          <w:docGrid w:linePitch="360"/>
        </w:sectPr>
      </w:pPr>
    </w:p>
    <w:p>
      <w:pPr>
        <w:rPr>
          <w:rFonts w:eastAsia="Times New Roman"/>
          <w:noProof/>
          <w:sz w:val="16"/>
          <w:szCs w:val="16"/>
        </w:rPr>
      </w:pPr>
    </w:p>
    <w:p>
      <w:pPr>
        <w:spacing w:after="0"/>
        <w:rPr>
          <w:rFonts w:eastAsia="Times New Roman"/>
          <w:noProof/>
          <w:sz w:val="28"/>
          <w:szCs w:val="28"/>
          <w:u w:val="single"/>
        </w:rPr>
      </w:pPr>
      <w:r>
        <w:rPr>
          <w:noProof/>
          <w:sz w:val="28"/>
          <w:u w:val="single"/>
        </w:rPr>
        <w:t>Брой и разходи за счетените за необходими човешки ресурси</w:t>
      </w:r>
    </w:p>
    <w:p>
      <w:pPr>
        <w:spacing w:after="0"/>
        <w:ind w:left="1979" w:hanging="539"/>
        <w:rPr>
          <w:rFonts w:eastAsia="Times New Roman"/>
          <w:noProof/>
          <w:szCs w:val="24"/>
        </w:rPr>
      </w:pPr>
      <w:r>
        <w:rPr>
          <w:rFonts w:eastAsia="Times New Roman"/>
          <w:noProof/>
          <w:szCs w:val="24"/>
        </w:rPr>
        <w:sym w:font="Wingdings" w:char="F078"/>
      </w:r>
      <w:r>
        <w:rPr>
          <w:noProof/>
        </w:rPr>
        <w:tab/>
        <w:t>Предложението/инициативата не налага използване на човешки ресурси.</w:t>
      </w:r>
    </w:p>
    <w:p>
      <w:pPr>
        <w:spacing w:before="60" w:after="0"/>
        <w:ind w:left="1979" w:hanging="539"/>
        <w:rPr>
          <w:rFonts w:eastAsia="Times New Roman"/>
          <w:noProof/>
          <w:szCs w:val="24"/>
        </w:rPr>
      </w:pPr>
      <w:r>
        <w:rPr>
          <w:rFonts w:eastAsia="Times New Roman"/>
          <w:noProof/>
          <w:szCs w:val="24"/>
        </w:rPr>
        <w:sym w:font="Wingdings" w:char="F0A8"/>
      </w:r>
      <w:r>
        <w:rPr>
          <w:noProof/>
        </w:rPr>
        <w:tab/>
        <w:t>Предложението/инициативата води до използване на човешки ресурси съгласно описанието по-долу:</w:t>
      </w:r>
    </w:p>
    <w:p>
      <w:pPr>
        <w:spacing w:after="60"/>
        <w:ind w:left="1701" w:firstLine="567"/>
        <w:jc w:val="right"/>
        <w:rPr>
          <w:rFonts w:eastAsia="Times New Roman"/>
          <w:noProof/>
          <w:szCs w:val="24"/>
        </w:rPr>
      </w:pPr>
      <w:r>
        <w:rPr>
          <w:noProof/>
          <w:sz w:val="20"/>
        </w:rPr>
        <w:t>млн. евро (до 3-тия знак след десетичната запетая)</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3576"/>
        <w:gridCol w:w="662"/>
        <w:gridCol w:w="713"/>
        <w:gridCol w:w="1153"/>
        <w:gridCol w:w="713"/>
        <w:gridCol w:w="1153"/>
        <w:gridCol w:w="713"/>
        <w:gridCol w:w="1153"/>
        <w:gridCol w:w="713"/>
        <w:gridCol w:w="1153"/>
        <w:gridCol w:w="713"/>
        <w:gridCol w:w="1147"/>
      </w:tblGrid>
      <w:tr>
        <w:trPr>
          <w:trHeight w:val="289"/>
        </w:trPr>
        <w:tc>
          <w:tcPr>
            <w:tcW w:w="1562" w:type="pct"/>
            <w:gridSpan w:val="2"/>
            <w:vMerge w:val="restart"/>
            <w:shd w:val="pct50" w:color="C0C0C0" w:fill="auto"/>
            <w:vAlign w:val="center"/>
          </w:tcPr>
          <w:p>
            <w:pPr>
              <w:jc w:val="center"/>
              <w:rPr>
                <w:rFonts w:ascii="Arial Narrow" w:eastAsia="Times New Roman" w:hAnsi="Arial Narrow"/>
                <w:noProof/>
                <w:sz w:val="16"/>
                <w:szCs w:val="16"/>
              </w:rPr>
            </w:pPr>
            <w:r>
              <w:rPr>
                <w:rFonts w:ascii="Arial Narrow" w:hAnsi="Arial Narrow"/>
                <w:b/>
                <w:noProof/>
              </w:rPr>
              <w:t>ФУНКЦИЯ 5</w:t>
            </w:r>
            <w:r>
              <w:rPr>
                <w:rFonts w:ascii="Arial Narrow" w:eastAsia="Times New Roman" w:hAnsi="Arial Narrow"/>
                <w:b/>
                <w:noProof/>
              </w:rPr>
              <w:br/>
            </w:r>
            <w:r>
              <w:rPr>
                <w:rFonts w:ascii="Arial Narrow" w:hAnsi="Arial Narrow"/>
                <w:noProof/>
                <w:sz w:val="20"/>
              </w:rPr>
              <w:t>от многогодишната финансова рамка</w:t>
            </w:r>
          </w:p>
        </w:tc>
        <w:tc>
          <w:tcPr>
            <w:tcW w:w="687" w:type="pct"/>
            <w:gridSpan w:val="2"/>
            <w:shd w:val="pct10" w:color="CCFFFF" w:fill="auto"/>
            <w:vAlign w:val="center"/>
          </w:tcPr>
          <w:p>
            <w:pPr>
              <w:jc w:val="center"/>
              <w:rPr>
                <w:rFonts w:ascii="Arial Narrow" w:eastAsia="Times New Roman" w:hAnsi="Arial Narrow"/>
                <w:noProof/>
                <w:sz w:val="16"/>
                <w:szCs w:val="16"/>
              </w:rPr>
            </w:pPr>
            <w:r>
              <w:rPr>
                <w:rFonts w:ascii="Arial Narrow" w:hAnsi="Arial Narrow"/>
                <w:noProof/>
                <w:sz w:val="20"/>
              </w:rPr>
              <w:t>Година 2016</w:t>
            </w:r>
          </w:p>
        </w:tc>
        <w:tc>
          <w:tcPr>
            <w:tcW w:w="688" w:type="pct"/>
            <w:gridSpan w:val="2"/>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20"/>
              </w:rPr>
              <w:t>Година 2017</w:t>
            </w:r>
          </w:p>
        </w:tc>
        <w:tc>
          <w:tcPr>
            <w:tcW w:w="688" w:type="pct"/>
            <w:gridSpan w:val="2"/>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20"/>
              </w:rPr>
              <w:t>Година 2018</w:t>
            </w:r>
          </w:p>
        </w:tc>
        <w:tc>
          <w:tcPr>
            <w:tcW w:w="688" w:type="pct"/>
            <w:gridSpan w:val="2"/>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20"/>
              </w:rPr>
              <w:t>Година 2019</w:t>
            </w:r>
          </w:p>
        </w:tc>
        <w:tc>
          <w:tcPr>
            <w:tcW w:w="688" w:type="pct"/>
            <w:gridSpan w:val="2"/>
            <w:shd w:val="pct10" w:color="CCFFFF" w:fill="auto"/>
            <w:vAlign w:val="center"/>
          </w:tcPr>
          <w:p>
            <w:pPr>
              <w:jc w:val="center"/>
              <w:rPr>
                <w:rFonts w:ascii="Arial Narrow" w:eastAsia="Times New Roman" w:hAnsi="Arial Narrow"/>
                <w:noProof/>
                <w:sz w:val="16"/>
                <w:szCs w:val="16"/>
              </w:rPr>
            </w:pPr>
            <w:r>
              <w:rPr>
                <w:rFonts w:ascii="Arial Narrow" w:hAnsi="Arial Narrow"/>
                <w:noProof/>
                <w:sz w:val="20"/>
              </w:rPr>
              <w:t>ОБЩО</w:t>
            </w:r>
          </w:p>
        </w:tc>
      </w:tr>
      <w:tr>
        <w:trPr>
          <w:trHeight w:val="289"/>
        </w:trPr>
        <w:tc>
          <w:tcPr>
            <w:tcW w:w="1562" w:type="pct"/>
            <w:gridSpan w:val="2"/>
            <w:vMerge/>
            <w:shd w:val="pct50" w:color="C0C0C0" w:fill="auto"/>
            <w:vAlign w:val="center"/>
          </w:tcPr>
          <w:p>
            <w:pPr>
              <w:jc w:val="center"/>
              <w:rPr>
                <w:rFonts w:ascii="Arial Narrow" w:eastAsia="Times New Roman" w:hAnsi="Arial Narrow"/>
                <w:noProof/>
                <w:sz w:val="16"/>
                <w:szCs w:val="16"/>
              </w:rPr>
            </w:pPr>
          </w:p>
        </w:tc>
        <w:tc>
          <w:tcPr>
            <w:tcW w:w="263" w:type="pct"/>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ЕПРВ</w:t>
            </w:r>
          </w:p>
        </w:tc>
        <w:tc>
          <w:tcPr>
            <w:tcW w:w="425" w:type="pct"/>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Бюджетни кредити</w:t>
            </w:r>
          </w:p>
        </w:tc>
        <w:tc>
          <w:tcPr>
            <w:tcW w:w="263" w:type="pct"/>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ЕПРВ</w:t>
            </w:r>
          </w:p>
        </w:tc>
        <w:tc>
          <w:tcPr>
            <w:tcW w:w="425" w:type="pct"/>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Бюджетни кредити</w:t>
            </w:r>
          </w:p>
        </w:tc>
        <w:tc>
          <w:tcPr>
            <w:tcW w:w="263" w:type="pct"/>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ЕПРВ</w:t>
            </w:r>
          </w:p>
        </w:tc>
        <w:tc>
          <w:tcPr>
            <w:tcW w:w="425" w:type="pct"/>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Бюджетни кредити</w:t>
            </w:r>
          </w:p>
        </w:tc>
        <w:tc>
          <w:tcPr>
            <w:tcW w:w="263" w:type="pct"/>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ЕПРВ</w:t>
            </w:r>
          </w:p>
        </w:tc>
        <w:tc>
          <w:tcPr>
            <w:tcW w:w="425" w:type="pct"/>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Бюджетни кредити</w:t>
            </w:r>
          </w:p>
        </w:tc>
        <w:tc>
          <w:tcPr>
            <w:tcW w:w="263" w:type="pct"/>
            <w:tcBorders>
              <w:right w:val="nil"/>
            </w:tcBorders>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ЕПРВ</w:t>
            </w:r>
          </w:p>
        </w:tc>
        <w:tc>
          <w:tcPr>
            <w:tcW w:w="425" w:type="pct"/>
            <w:shd w:val="pct10" w:color="CCFFFF" w:fill="auto"/>
            <w:vAlign w:val="center"/>
          </w:tcPr>
          <w:p>
            <w:pPr>
              <w:jc w:val="center"/>
              <w:rPr>
                <w:rFonts w:ascii="Arial Narrow" w:eastAsia="Times New Roman" w:hAnsi="Arial Narrow"/>
                <w:noProof/>
                <w:sz w:val="16"/>
                <w:szCs w:val="16"/>
              </w:rPr>
            </w:pPr>
            <w:r>
              <w:rPr>
                <w:rFonts w:ascii="Arial Narrow" w:hAnsi="Arial Narrow"/>
                <w:noProof/>
                <w:sz w:val="16"/>
              </w:rPr>
              <w:t>Бюджетни кредити</w:t>
            </w:r>
          </w:p>
        </w:tc>
      </w:tr>
      <w:tr>
        <w:trPr>
          <w:trHeight w:val="465"/>
        </w:trPr>
        <w:tc>
          <w:tcPr>
            <w:tcW w:w="5000" w:type="pct"/>
            <w:gridSpan w:val="12"/>
            <w:shd w:val="clear" w:color="C0C0C0" w:fill="CCFFCC"/>
            <w:vAlign w:val="center"/>
          </w:tcPr>
          <w:p>
            <w:pPr>
              <w:spacing w:before="40" w:after="40"/>
              <w:rPr>
                <w:rFonts w:ascii="Arial Narrow" w:eastAsia="Times New Roman" w:hAnsi="Arial Narrow"/>
                <w:noProof/>
                <w:sz w:val="16"/>
                <w:szCs w:val="16"/>
              </w:rPr>
            </w:pPr>
            <w:r>
              <w:rPr>
                <w:rFonts w:ascii="Arial Narrow" w:eastAsia="Times New Roman" w:hAnsi="Arial Narrow"/>
                <w:b/>
                <w:noProof/>
                <w:color w:val="008000"/>
                <w:sz w:val="20"/>
                <w:szCs w:val="20"/>
              </w:rPr>
              <w:sym w:font="Wingdings" w:char="F09F"/>
            </w:r>
            <w:r>
              <w:rPr>
                <w:rFonts w:ascii="Arial Narrow" w:hAnsi="Arial Narrow"/>
                <w:b/>
                <w:noProof/>
                <w:color w:val="008000"/>
                <w:sz w:val="20"/>
              </w:rPr>
              <w:t xml:space="preserve"> </w:t>
            </w:r>
            <w:r>
              <w:rPr>
                <w:rFonts w:ascii="Arial Narrow" w:hAnsi="Arial Narrow"/>
                <w:b/>
                <w:noProof/>
                <w:color w:val="008000"/>
              </w:rPr>
              <w:t>Длъжности в щатното разписание (длъжностни лица и временно наети лица)</w:t>
            </w:r>
          </w:p>
        </w:tc>
      </w:tr>
      <w:tr>
        <w:trPr>
          <w:trHeight w:val="69"/>
        </w:trPr>
        <w:tc>
          <w:tcPr>
            <w:tcW w:w="1318" w:type="pct"/>
            <w:vMerge w:val="restart"/>
            <w:shd w:val="pct10" w:color="CCFFFF" w:fill="auto"/>
            <w:vAlign w:val="center"/>
          </w:tcPr>
          <w:p>
            <w:pPr>
              <w:spacing w:before="40" w:after="40"/>
              <w:rPr>
                <w:rFonts w:ascii="Arial Narrow" w:eastAsia="Times New Roman" w:hAnsi="Arial Narrow"/>
                <w:i/>
                <w:noProof/>
                <w:sz w:val="20"/>
                <w:szCs w:val="20"/>
              </w:rPr>
            </w:pPr>
            <w:r>
              <w:rPr>
                <w:rFonts w:ascii="Arial Narrow" w:hAnsi="Arial Narrow"/>
                <w:noProof/>
                <w:sz w:val="20"/>
              </w:rPr>
              <w:t xml:space="preserve">XX 01 01 01 </w:t>
            </w:r>
            <w:r>
              <w:rPr>
                <w:noProof/>
              </w:rPr>
              <w:t xml:space="preserve">— </w:t>
            </w:r>
            <w:r>
              <w:rPr>
                <w:rFonts w:ascii="Arial Narrow" w:hAnsi="Arial Narrow"/>
                <w:noProof/>
                <w:sz w:val="16"/>
              </w:rPr>
              <w:t>(в централата и в представителствата на Комисията в държавите членки)</w:t>
            </w: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AD</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r>
      <w:tr>
        <w:trPr>
          <w:trHeight w:val="65"/>
        </w:trPr>
        <w:tc>
          <w:tcPr>
            <w:tcW w:w="1318" w:type="pct"/>
            <w:vMerge/>
            <w:shd w:val="pct10" w:color="CCFFFF" w:fill="auto"/>
            <w:vAlign w:val="center"/>
          </w:tcPr>
          <w:p>
            <w:pPr>
              <w:spacing w:before="40" w:after="40"/>
              <w:rPr>
                <w:rFonts w:ascii="Arial Narrow" w:eastAsia="Times New Roman" w:hAnsi="Arial Narrow"/>
                <w:noProof/>
                <w:sz w:val="20"/>
                <w:szCs w:val="20"/>
              </w:rPr>
            </w:pP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AST</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r>
      <w:tr>
        <w:trPr>
          <w:trHeight w:val="289"/>
        </w:trPr>
        <w:tc>
          <w:tcPr>
            <w:tcW w:w="1318" w:type="pct"/>
            <w:vMerge w:val="restart"/>
            <w:shd w:val="pct10" w:color="CCFFFF" w:fill="auto"/>
            <w:vAlign w:val="center"/>
          </w:tcPr>
          <w:p>
            <w:pPr>
              <w:spacing w:before="40" w:after="40"/>
              <w:rPr>
                <w:rFonts w:ascii="Arial Narrow" w:eastAsia="Times New Roman" w:hAnsi="Arial Narrow"/>
                <w:i/>
                <w:noProof/>
                <w:sz w:val="20"/>
                <w:szCs w:val="20"/>
              </w:rPr>
            </w:pPr>
            <w:r>
              <w:rPr>
                <w:rFonts w:ascii="Arial Narrow" w:hAnsi="Arial Narrow"/>
                <w:noProof/>
                <w:sz w:val="20"/>
              </w:rPr>
              <w:t>XX 01 01 02 (в делегациите)</w:t>
            </w: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AD</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r>
      <w:tr>
        <w:trPr>
          <w:trHeight w:val="289"/>
        </w:trPr>
        <w:tc>
          <w:tcPr>
            <w:tcW w:w="1318" w:type="pct"/>
            <w:vMerge/>
            <w:shd w:val="pct10" w:color="CCFFFF" w:fill="auto"/>
            <w:vAlign w:val="center"/>
          </w:tcPr>
          <w:p>
            <w:pPr>
              <w:spacing w:before="40" w:after="40"/>
              <w:rPr>
                <w:rFonts w:ascii="Arial Narrow" w:eastAsia="Times New Roman" w:hAnsi="Arial Narrow"/>
                <w:noProof/>
                <w:sz w:val="20"/>
                <w:szCs w:val="20"/>
              </w:rPr>
            </w:pP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AST</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c>
          <w:tcPr>
            <w:tcW w:w="263" w:type="pct"/>
            <w:shd w:val="pct10" w:color="CCFFFF" w:fill="auto"/>
          </w:tcPr>
          <w:p>
            <w:pPr>
              <w:spacing w:before="40" w:after="40"/>
              <w:jc w:val="center"/>
              <w:rPr>
                <w:rFonts w:ascii="Arial Narrow" w:eastAsia="Times New Roman" w:hAnsi="Arial Narrow"/>
                <w:noProof/>
                <w:sz w:val="20"/>
                <w:szCs w:val="20"/>
                <w:highlight w:val="green"/>
              </w:rPr>
            </w:pPr>
          </w:p>
        </w:tc>
        <w:tc>
          <w:tcPr>
            <w:tcW w:w="425" w:type="pct"/>
            <w:shd w:val="pct10" w:color="CCFFFF" w:fill="auto"/>
            <w:vAlign w:val="center"/>
          </w:tcPr>
          <w:p>
            <w:pPr>
              <w:spacing w:before="40" w:after="40"/>
              <w:jc w:val="center"/>
              <w:rPr>
                <w:rFonts w:ascii="Arial Narrow" w:eastAsia="Times New Roman" w:hAnsi="Arial Narrow"/>
                <w:noProof/>
                <w:sz w:val="20"/>
                <w:szCs w:val="20"/>
                <w:highlight w:val="green"/>
              </w:rPr>
            </w:pPr>
          </w:p>
        </w:tc>
      </w:tr>
      <w:tr>
        <w:trPr>
          <w:trHeight w:val="378"/>
        </w:trPr>
        <w:tc>
          <w:tcPr>
            <w:tcW w:w="5000" w:type="pct"/>
            <w:gridSpan w:val="12"/>
            <w:shd w:val="pct10" w:color="CCFFFF" w:fill="FFFF99"/>
            <w:vAlign w:val="center"/>
          </w:tcPr>
          <w:p>
            <w:pPr>
              <w:rPr>
                <w:rFonts w:ascii="Arial Narrow" w:eastAsia="Times New Roman" w:hAnsi="Arial Narrow"/>
                <w:noProof/>
                <w:sz w:val="20"/>
                <w:szCs w:val="20"/>
                <w:highlight w:val="green"/>
              </w:rPr>
            </w:pPr>
            <w:r>
              <w:rPr>
                <w:rFonts w:ascii="Arial Narrow" w:eastAsia="Times New Roman" w:hAnsi="Arial Narrow"/>
                <w:b/>
                <w:noProof/>
                <w:color w:val="FF6600"/>
                <w:sz w:val="20"/>
                <w:szCs w:val="20"/>
              </w:rPr>
              <w:sym w:font="Wingdings" w:char="F09F"/>
            </w:r>
            <w:r>
              <w:rPr>
                <w:rFonts w:ascii="Arial Narrow" w:hAnsi="Arial Narrow"/>
                <w:b/>
                <w:noProof/>
                <w:color w:val="FF6600"/>
                <w:sz w:val="20"/>
              </w:rPr>
              <w:t xml:space="preserve"> </w:t>
            </w:r>
            <w:r>
              <w:rPr>
                <w:rFonts w:ascii="Arial Narrow" w:hAnsi="Arial Narrow"/>
                <w:b/>
                <w:noProof/>
                <w:color w:val="FF6600"/>
              </w:rPr>
              <w:t xml:space="preserve">Външен персонал </w:t>
            </w:r>
          </w:p>
        </w:tc>
      </w:tr>
      <w:tr>
        <w:trPr>
          <w:trHeight w:val="289"/>
        </w:trPr>
        <w:tc>
          <w:tcPr>
            <w:tcW w:w="1318" w:type="pct"/>
            <w:vMerge w:val="restart"/>
            <w:shd w:val="pct10" w:color="CCFFFF" w:fill="auto"/>
            <w:vAlign w:val="center"/>
          </w:tcPr>
          <w:p>
            <w:pPr>
              <w:spacing w:before="40" w:after="40"/>
              <w:rPr>
                <w:rFonts w:ascii="Arial Narrow" w:eastAsia="Times New Roman" w:hAnsi="Arial Narrow"/>
                <w:noProof/>
                <w:sz w:val="20"/>
                <w:szCs w:val="20"/>
              </w:rPr>
            </w:pPr>
            <w:r>
              <w:rPr>
                <w:rFonts w:ascii="Arial Narrow" w:hAnsi="Arial Narrow"/>
                <w:b/>
                <w:noProof/>
                <w:color w:val="0000FF"/>
                <w:sz w:val="20"/>
              </w:rPr>
              <w:t>XX</w:t>
            </w:r>
            <w:r>
              <w:rPr>
                <w:rFonts w:ascii="Arial Narrow" w:hAnsi="Arial Narrow"/>
                <w:noProof/>
                <w:sz w:val="20"/>
              </w:rPr>
              <w:t xml:space="preserve"> 01 02 01 (от общия финансов пакет)</w:t>
            </w: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ДНП</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r>
      <w:tr>
        <w:trPr>
          <w:trHeight w:val="289"/>
        </w:trPr>
        <w:tc>
          <w:tcPr>
            <w:tcW w:w="1318" w:type="pct"/>
            <w:vMerge/>
            <w:shd w:val="pct10" w:color="CCFFFF" w:fill="auto"/>
            <w:vAlign w:val="center"/>
          </w:tcPr>
          <w:p>
            <w:pPr>
              <w:spacing w:before="40" w:after="40"/>
              <w:rPr>
                <w:rFonts w:ascii="Arial Narrow" w:eastAsia="Times New Roman" w:hAnsi="Arial Narrow"/>
                <w:noProof/>
                <w:sz w:val="20"/>
                <w:szCs w:val="20"/>
              </w:rPr>
            </w:pP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ПНА</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r>
      <w:tr>
        <w:trPr>
          <w:trHeight w:val="289"/>
        </w:trPr>
        <w:tc>
          <w:tcPr>
            <w:tcW w:w="1318" w:type="pct"/>
            <w:vMerge/>
            <w:shd w:val="pct10" w:color="CCFFFF" w:fill="auto"/>
            <w:vAlign w:val="center"/>
          </w:tcPr>
          <w:p>
            <w:pPr>
              <w:spacing w:before="40" w:after="40"/>
              <w:rPr>
                <w:rFonts w:ascii="Arial Narrow" w:eastAsia="Times New Roman" w:hAnsi="Arial Narrow"/>
                <w:noProof/>
                <w:sz w:val="20"/>
                <w:szCs w:val="20"/>
              </w:rPr>
            </w:pP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КНЕ</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r>
      <w:tr>
        <w:trPr>
          <w:trHeight w:val="289"/>
        </w:trPr>
        <w:tc>
          <w:tcPr>
            <w:tcW w:w="1318" w:type="pct"/>
            <w:vMerge w:val="restart"/>
            <w:shd w:val="pct10" w:color="CCFFFF" w:fill="auto"/>
            <w:vAlign w:val="center"/>
          </w:tcPr>
          <w:p>
            <w:pPr>
              <w:spacing w:before="40" w:after="40"/>
              <w:rPr>
                <w:rFonts w:ascii="Arial Narrow" w:eastAsia="Times New Roman" w:hAnsi="Arial Narrow"/>
                <w:noProof/>
                <w:sz w:val="20"/>
                <w:szCs w:val="20"/>
              </w:rPr>
            </w:pPr>
            <w:r>
              <w:rPr>
                <w:rFonts w:ascii="Arial Narrow" w:hAnsi="Arial Narrow"/>
                <w:noProof/>
                <w:sz w:val="20"/>
              </w:rPr>
              <w:t>XX 01 02 02 (в делегациите)</w:t>
            </w: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ДНП</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r>
      <w:tr>
        <w:trPr>
          <w:trHeight w:val="289"/>
        </w:trPr>
        <w:tc>
          <w:tcPr>
            <w:tcW w:w="1318" w:type="pct"/>
            <w:vMerge/>
            <w:shd w:val="pct10" w:color="CCFFFF" w:fill="auto"/>
            <w:vAlign w:val="center"/>
          </w:tcPr>
          <w:p>
            <w:pPr>
              <w:spacing w:before="40" w:after="40"/>
              <w:rPr>
                <w:rFonts w:ascii="Arial Narrow" w:eastAsia="Times New Roman" w:hAnsi="Arial Narrow"/>
                <w:noProof/>
                <w:sz w:val="20"/>
                <w:szCs w:val="20"/>
              </w:rPr>
            </w:pP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ПНА</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r>
      <w:tr>
        <w:trPr>
          <w:trHeight w:val="289"/>
        </w:trPr>
        <w:tc>
          <w:tcPr>
            <w:tcW w:w="1318" w:type="pct"/>
            <w:vMerge/>
            <w:shd w:val="pct10" w:color="CCFFFF" w:fill="auto"/>
            <w:vAlign w:val="center"/>
          </w:tcPr>
          <w:p>
            <w:pPr>
              <w:spacing w:before="40" w:after="40"/>
              <w:rPr>
                <w:rFonts w:ascii="Arial Narrow" w:eastAsia="Times New Roman" w:hAnsi="Arial Narrow"/>
                <w:noProof/>
                <w:sz w:val="20"/>
                <w:szCs w:val="20"/>
              </w:rPr>
            </w:pP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МЕД</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r>
      <w:tr>
        <w:trPr>
          <w:trHeight w:val="289"/>
        </w:trPr>
        <w:tc>
          <w:tcPr>
            <w:tcW w:w="1318" w:type="pct"/>
            <w:vMerge/>
            <w:shd w:val="pct10" w:color="CCFFFF" w:fill="auto"/>
            <w:vAlign w:val="center"/>
          </w:tcPr>
          <w:p>
            <w:pPr>
              <w:spacing w:before="40" w:after="40"/>
              <w:rPr>
                <w:rFonts w:ascii="Arial Narrow" w:eastAsia="Times New Roman" w:hAnsi="Arial Narrow"/>
                <w:noProof/>
                <w:sz w:val="20"/>
                <w:szCs w:val="20"/>
              </w:rPr>
            </w:pP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МП</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r>
      <w:tr>
        <w:trPr>
          <w:trHeight w:val="289"/>
        </w:trPr>
        <w:tc>
          <w:tcPr>
            <w:tcW w:w="1318" w:type="pct"/>
            <w:vMerge/>
            <w:shd w:val="pct10" w:color="CCFFFF" w:fill="auto"/>
            <w:vAlign w:val="center"/>
          </w:tcPr>
          <w:p>
            <w:pPr>
              <w:spacing w:before="40" w:after="40"/>
              <w:rPr>
                <w:rFonts w:ascii="Arial Narrow" w:eastAsia="Times New Roman" w:hAnsi="Arial Narrow"/>
                <w:noProof/>
                <w:sz w:val="20"/>
                <w:szCs w:val="20"/>
              </w:rPr>
            </w:pPr>
          </w:p>
        </w:tc>
        <w:tc>
          <w:tcPr>
            <w:tcW w:w="244" w:type="pct"/>
            <w:shd w:val="pct10" w:color="CCFFFF" w:fill="auto"/>
            <w:vAlign w:val="center"/>
          </w:tcPr>
          <w:p>
            <w:pPr>
              <w:spacing w:before="40" w:after="40"/>
              <w:jc w:val="center"/>
              <w:rPr>
                <w:rFonts w:ascii="Arial Narrow" w:eastAsia="Times New Roman" w:hAnsi="Arial Narrow"/>
                <w:noProof/>
                <w:sz w:val="18"/>
                <w:szCs w:val="18"/>
              </w:rPr>
            </w:pPr>
            <w:r>
              <w:rPr>
                <w:rFonts w:ascii="Arial Narrow" w:hAnsi="Arial Narrow"/>
                <w:noProof/>
                <w:sz w:val="18"/>
              </w:rPr>
              <w:t>КНЕ</w:t>
            </w: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c>
          <w:tcPr>
            <w:tcW w:w="263" w:type="pct"/>
            <w:shd w:val="pct10" w:color="CCFFFF" w:fill="auto"/>
          </w:tcPr>
          <w:p>
            <w:pPr>
              <w:spacing w:before="40" w:after="40"/>
              <w:jc w:val="center"/>
              <w:rPr>
                <w:rFonts w:ascii="Arial Narrow" w:eastAsia="Times New Roman" w:hAnsi="Arial Narrow"/>
                <w:noProof/>
                <w:sz w:val="20"/>
                <w:szCs w:val="20"/>
              </w:rPr>
            </w:pPr>
          </w:p>
        </w:tc>
        <w:tc>
          <w:tcPr>
            <w:tcW w:w="425" w:type="pct"/>
            <w:shd w:val="pct10" w:color="CCFFFF" w:fill="auto"/>
            <w:vAlign w:val="center"/>
          </w:tcPr>
          <w:p>
            <w:pPr>
              <w:spacing w:before="40" w:after="40"/>
              <w:jc w:val="center"/>
              <w:rPr>
                <w:rFonts w:ascii="Arial Narrow" w:eastAsia="Times New Roman" w:hAnsi="Arial Narrow"/>
                <w:noProof/>
                <w:sz w:val="20"/>
                <w:szCs w:val="20"/>
              </w:rPr>
            </w:pPr>
          </w:p>
        </w:tc>
      </w:tr>
      <w:tr>
        <w:trPr>
          <w:trHeight w:val="221"/>
        </w:trPr>
        <w:tc>
          <w:tcPr>
            <w:tcW w:w="1318" w:type="pct"/>
            <w:tcBorders>
              <w:bottom w:val="single" w:sz="12" w:space="0" w:color="auto"/>
            </w:tcBorders>
            <w:shd w:val="pct10" w:color="CCFFFF" w:fill="auto"/>
            <w:vAlign w:val="center"/>
          </w:tcPr>
          <w:p>
            <w:pPr>
              <w:spacing w:before="40" w:after="40"/>
              <w:rPr>
                <w:rFonts w:ascii="Arial Narrow" w:eastAsia="Times New Roman" w:hAnsi="Arial Narrow"/>
                <w:noProof/>
                <w:sz w:val="20"/>
                <w:szCs w:val="20"/>
              </w:rPr>
            </w:pPr>
            <w:r>
              <w:rPr>
                <w:rFonts w:ascii="Arial Narrow" w:hAnsi="Arial Narrow"/>
                <w:noProof/>
                <w:sz w:val="20"/>
              </w:rPr>
              <w:t xml:space="preserve">Други бюджетни редове </w:t>
            </w:r>
            <w:r>
              <w:rPr>
                <w:rFonts w:ascii="Arial Narrow" w:hAnsi="Arial Narrow"/>
                <w:i/>
                <w:noProof/>
                <w:sz w:val="20"/>
              </w:rPr>
              <w:t>(да се посочат)</w:t>
            </w:r>
          </w:p>
        </w:tc>
        <w:tc>
          <w:tcPr>
            <w:tcW w:w="244" w:type="pct"/>
            <w:tcBorders>
              <w:bottom w:val="single" w:sz="12" w:space="0" w:color="auto"/>
            </w:tcBorders>
            <w:shd w:val="pct10" w:color="CCFFFF" w:fill="auto"/>
            <w:vAlign w:val="center"/>
          </w:tcPr>
          <w:p>
            <w:pPr>
              <w:spacing w:before="40" w:after="40"/>
              <w:jc w:val="center"/>
              <w:rPr>
                <w:rFonts w:ascii="Arial Narrow" w:eastAsia="Times New Roman" w:hAnsi="Arial Narrow"/>
                <w:noProof/>
                <w:sz w:val="18"/>
                <w:szCs w:val="18"/>
              </w:rPr>
            </w:pPr>
          </w:p>
        </w:tc>
        <w:tc>
          <w:tcPr>
            <w:tcW w:w="263" w:type="pct"/>
            <w:tcBorders>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c>
          <w:tcPr>
            <w:tcW w:w="263" w:type="pct"/>
            <w:tcBorders>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c>
          <w:tcPr>
            <w:tcW w:w="263" w:type="pct"/>
            <w:tcBorders>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c>
          <w:tcPr>
            <w:tcW w:w="263" w:type="pct"/>
            <w:tcBorders>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c>
          <w:tcPr>
            <w:tcW w:w="263" w:type="pct"/>
            <w:tcBorders>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r>
      <w:tr>
        <w:trPr>
          <w:trHeight w:val="289"/>
        </w:trPr>
        <w:tc>
          <w:tcPr>
            <w:tcW w:w="1318" w:type="pct"/>
            <w:tcBorders>
              <w:top w:val="single" w:sz="12" w:space="0" w:color="auto"/>
              <w:left w:val="single" w:sz="12" w:space="0" w:color="auto"/>
              <w:bottom w:val="single" w:sz="12" w:space="0" w:color="auto"/>
            </w:tcBorders>
            <w:shd w:val="pct10" w:color="CCFFFF" w:fill="auto"/>
            <w:vAlign w:val="center"/>
          </w:tcPr>
          <w:p>
            <w:pPr>
              <w:spacing w:before="40" w:after="40"/>
              <w:jc w:val="center"/>
              <w:rPr>
                <w:rFonts w:ascii="Arial Narrow" w:eastAsia="Times New Roman" w:hAnsi="Arial Narrow"/>
                <w:b/>
                <w:noProof/>
                <w:szCs w:val="24"/>
              </w:rPr>
            </w:pPr>
            <w:r>
              <w:rPr>
                <w:rFonts w:ascii="Arial Narrow" w:hAnsi="Arial Narrow"/>
                <w:b/>
                <w:noProof/>
              </w:rPr>
              <w:t>Междинен сбор за ФУКЦИЯ 5</w:t>
            </w:r>
            <w:r>
              <w:rPr>
                <w:rFonts w:ascii="Arial Narrow" w:eastAsia="Times New Roman" w:hAnsi="Arial Narrow"/>
                <w:b/>
                <w:noProof/>
              </w:rPr>
              <w:br/>
            </w:r>
            <w:r>
              <w:rPr>
                <w:rFonts w:ascii="Arial Narrow" w:hAnsi="Arial Narrow"/>
                <w:noProof/>
                <w:sz w:val="20"/>
              </w:rPr>
              <w:t>от многогодишната финансова рамка</w:t>
            </w:r>
          </w:p>
        </w:tc>
        <w:tc>
          <w:tcPr>
            <w:tcW w:w="244" w:type="pct"/>
            <w:tcBorders>
              <w:top w:val="single" w:sz="12" w:space="0" w:color="auto"/>
              <w:bottom w:val="single" w:sz="12" w:space="0" w:color="auto"/>
            </w:tcBorders>
            <w:shd w:val="pct10" w:color="CCFFFF" w:fill="auto"/>
            <w:vAlign w:val="center"/>
          </w:tcPr>
          <w:p>
            <w:pPr>
              <w:spacing w:before="40" w:after="40"/>
              <w:jc w:val="center"/>
              <w:rPr>
                <w:rFonts w:ascii="Arial Narrow" w:eastAsia="Times New Roman" w:hAnsi="Arial Narrow"/>
                <w:noProof/>
                <w:sz w:val="18"/>
                <w:szCs w:val="18"/>
              </w:rPr>
            </w:pPr>
          </w:p>
        </w:tc>
        <w:tc>
          <w:tcPr>
            <w:tcW w:w="263" w:type="pct"/>
            <w:tcBorders>
              <w:top w:val="single" w:sz="12" w:space="0" w:color="auto"/>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before="40" w:after="4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before="40" w:after="40"/>
              <w:jc w:val="center"/>
              <w:rPr>
                <w:rFonts w:ascii="Arial Narrow" w:eastAsia="Times New Roman" w:hAnsi="Arial Narrow"/>
                <w:noProof/>
                <w:sz w:val="20"/>
                <w:szCs w:val="20"/>
              </w:rPr>
            </w:pPr>
          </w:p>
        </w:tc>
      </w:tr>
    </w:tbl>
    <w:p>
      <w:pPr>
        <w:rPr>
          <w:rFonts w:eastAsia="Times New Roman"/>
          <w:noProof/>
          <w:sz w:val="20"/>
          <w:szCs w:val="20"/>
        </w:rPr>
      </w:pPr>
      <w:r>
        <w:rPr>
          <w:b/>
          <w:noProof/>
          <w:color w:val="0000FF"/>
          <w:sz w:val="20"/>
        </w:rPr>
        <w:t>XX</w:t>
      </w:r>
      <w:r>
        <w:rPr>
          <w:noProof/>
        </w:rPr>
        <w:t xml:space="preserve"> </w:t>
      </w:r>
      <w:r>
        <w:rPr>
          <w:noProof/>
          <w:sz w:val="20"/>
        </w:rPr>
        <w:t>е съответната област на политиката или съответния бюджетен дял</w:t>
      </w:r>
    </w:p>
    <w:p>
      <w:pPr>
        <w:jc w:val="right"/>
        <w:rPr>
          <w:rFonts w:eastAsia="Times New Roman"/>
          <w:noProof/>
          <w:szCs w:val="24"/>
        </w:rPr>
      </w:pPr>
      <w:r>
        <w:rPr>
          <w:noProof/>
        </w:rPr>
        <w:br w:type="page"/>
      </w:r>
      <w:r>
        <w:rPr>
          <w:noProof/>
          <w:sz w:val="20"/>
        </w:rPr>
        <w:t>млн. евро (до 3-тия знак след десетичната запетая)</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111"/>
        <w:gridCol w:w="1455"/>
        <w:gridCol w:w="659"/>
        <w:gridCol w:w="713"/>
        <w:gridCol w:w="1153"/>
        <w:gridCol w:w="713"/>
        <w:gridCol w:w="1153"/>
        <w:gridCol w:w="713"/>
        <w:gridCol w:w="1153"/>
        <w:gridCol w:w="713"/>
        <w:gridCol w:w="1155"/>
        <w:gridCol w:w="713"/>
        <w:gridCol w:w="1158"/>
      </w:tblGrid>
      <w:tr>
        <w:trPr>
          <w:trHeight w:val="289"/>
        </w:trPr>
        <w:tc>
          <w:tcPr>
            <w:tcW w:w="1557" w:type="pct"/>
            <w:gridSpan w:val="3"/>
            <w:vMerge w:val="restart"/>
            <w:shd w:val="pct50" w:color="C0C0C0" w:fill="auto"/>
            <w:vAlign w:val="center"/>
          </w:tcPr>
          <w:p>
            <w:pPr>
              <w:spacing w:after="0"/>
              <w:jc w:val="center"/>
              <w:rPr>
                <w:rFonts w:ascii="Arial Narrow" w:eastAsia="Times New Roman" w:hAnsi="Arial Narrow"/>
                <w:noProof/>
                <w:sz w:val="16"/>
                <w:szCs w:val="16"/>
              </w:rPr>
            </w:pPr>
            <w:r>
              <w:rPr>
                <w:rFonts w:ascii="Arial Narrow" w:hAnsi="Arial Narrow"/>
                <w:b/>
                <w:noProof/>
              </w:rPr>
              <w:t>Извън ФУНКЦИЯ 5</w:t>
            </w:r>
            <w:r>
              <w:rPr>
                <w:rFonts w:ascii="Arial Narrow" w:eastAsia="Times New Roman" w:hAnsi="Arial Narrow"/>
                <w:b/>
                <w:noProof/>
              </w:rPr>
              <w:br/>
            </w:r>
            <w:r>
              <w:rPr>
                <w:rFonts w:ascii="Arial Narrow" w:hAnsi="Arial Narrow"/>
                <w:noProof/>
                <w:sz w:val="20"/>
              </w:rPr>
              <w:t>от многогодишната финансова рамка</w:t>
            </w:r>
          </w:p>
        </w:tc>
        <w:tc>
          <w:tcPr>
            <w:tcW w:w="687" w:type="pct"/>
            <w:gridSpan w:val="2"/>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20"/>
              </w:rPr>
              <w:t>Година 2016</w:t>
            </w:r>
          </w:p>
        </w:tc>
        <w:tc>
          <w:tcPr>
            <w:tcW w:w="688" w:type="pct"/>
            <w:gridSpan w:val="2"/>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20"/>
              </w:rPr>
              <w:t>Година 2017</w:t>
            </w:r>
          </w:p>
        </w:tc>
        <w:tc>
          <w:tcPr>
            <w:tcW w:w="688" w:type="pct"/>
            <w:gridSpan w:val="2"/>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20"/>
              </w:rPr>
              <w:t>Година 2018</w:t>
            </w:r>
          </w:p>
        </w:tc>
        <w:tc>
          <w:tcPr>
            <w:tcW w:w="689" w:type="pct"/>
            <w:gridSpan w:val="2"/>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20"/>
              </w:rPr>
              <w:t>Година 2019</w:t>
            </w:r>
          </w:p>
        </w:tc>
        <w:tc>
          <w:tcPr>
            <w:tcW w:w="691" w:type="pct"/>
            <w:gridSpan w:val="2"/>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20"/>
              </w:rPr>
              <w:t>ОБЩО</w:t>
            </w:r>
          </w:p>
        </w:tc>
      </w:tr>
      <w:tr>
        <w:trPr>
          <w:trHeight w:val="289"/>
        </w:trPr>
        <w:tc>
          <w:tcPr>
            <w:tcW w:w="1557" w:type="pct"/>
            <w:gridSpan w:val="3"/>
            <w:vMerge/>
            <w:shd w:val="pct50" w:color="C0C0C0" w:fill="auto"/>
            <w:vAlign w:val="center"/>
          </w:tcPr>
          <w:p>
            <w:pPr>
              <w:spacing w:after="0"/>
              <w:jc w:val="center"/>
              <w:rPr>
                <w:rFonts w:ascii="Arial Narrow" w:eastAsia="Times New Roman" w:hAnsi="Arial Narrow"/>
                <w:noProof/>
                <w:sz w:val="16"/>
                <w:szCs w:val="16"/>
              </w:rPr>
            </w:pPr>
          </w:p>
        </w:tc>
        <w:tc>
          <w:tcPr>
            <w:tcW w:w="263" w:type="pct"/>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ЕПРВ</w:t>
            </w:r>
          </w:p>
        </w:tc>
        <w:tc>
          <w:tcPr>
            <w:tcW w:w="425" w:type="pct"/>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Бюджетни кредити</w:t>
            </w:r>
          </w:p>
        </w:tc>
        <w:tc>
          <w:tcPr>
            <w:tcW w:w="263" w:type="pct"/>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ЕПРВ</w:t>
            </w:r>
          </w:p>
        </w:tc>
        <w:tc>
          <w:tcPr>
            <w:tcW w:w="425" w:type="pct"/>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Бюджетни кредити</w:t>
            </w:r>
          </w:p>
        </w:tc>
        <w:tc>
          <w:tcPr>
            <w:tcW w:w="263" w:type="pct"/>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ЕПРВ</w:t>
            </w:r>
          </w:p>
        </w:tc>
        <w:tc>
          <w:tcPr>
            <w:tcW w:w="425" w:type="pct"/>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Бюджетни кредити</w:t>
            </w:r>
          </w:p>
        </w:tc>
        <w:tc>
          <w:tcPr>
            <w:tcW w:w="263" w:type="pct"/>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ЕПРВ</w:t>
            </w:r>
          </w:p>
        </w:tc>
        <w:tc>
          <w:tcPr>
            <w:tcW w:w="426" w:type="pct"/>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Бюджетни кредити</w:t>
            </w:r>
          </w:p>
        </w:tc>
        <w:tc>
          <w:tcPr>
            <w:tcW w:w="263" w:type="pct"/>
            <w:tcBorders>
              <w:right w:val="nil"/>
            </w:tcBorders>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ЕПРВ</w:t>
            </w:r>
          </w:p>
        </w:tc>
        <w:tc>
          <w:tcPr>
            <w:tcW w:w="428" w:type="pct"/>
            <w:shd w:val="pct10" w:color="CCFFFF" w:fill="auto"/>
            <w:vAlign w:val="center"/>
          </w:tcPr>
          <w:p>
            <w:pPr>
              <w:spacing w:after="0"/>
              <w:jc w:val="center"/>
              <w:rPr>
                <w:rFonts w:ascii="Arial Narrow" w:eastAsia="Times New Roman" w:hAnsi="Arial Narrow"/>
                <w:noProof/>
                <w:sz w:val="16"/>
                <w:szCs w:val="16"/>
              </w:rPr>
            </w:pPr>
            <w:r>
              <w:rPr>
                <w:rFonts w:ascii="Arial Narrow" w:hAnsi="Arial Narrow"/>
                <w:noProof/>
                <w:sz w:val="16"/>
              </w:rPr>
              <w:t>Бюджетни кредити</w:t>
            </w:r>
          </w:p>
        </w:tc>
      </w:tr>
      <w:tr>
        <w:trPr>
          <w:trHeight w:val="289"/>
        </w:trPr>
        <w:tc>
          <w:tcPr>
            <w:tcW w:w="4309" w:type="pct"/>
            <w:gridSpan w:val="11"/>
            <w:shd w:val="pct10" w:color="CCFFFF" w:fill="CCFFCC"/>
            <w:vAlign w:val="center"/>
          </w:tcPr>
          <w:p>
            <w:pPr>
              <w:spacing w:after="0"/>
              <w:rPr>
                <w:rFonts w:ascii="Arial Narrow" w:eastAsia="Times New Roman" w:hAnsi="Arial Narrow"/>
                <w:noProof/>
                <w:sz w:val="20"/>
                <w:szCs w:val="20"/>
              </w:rPr>
            </w:pPr>
            <w:r>
              <w:rPr>
                <w:rFonts w:ascii="Arial Narrow" w:eastAsia="Times New Roman" w:hAnsi="Arial Narrow"/>
                <w:b/>
                <w:noProof/>
                <w:color w:val="008000"/>
                <w:sz w:val="20"/>
                <w:szCs w:val="20"/>
              </w:rPr>
              <w:sym w:font="Wingdings" w:char="F09F"/>
            </w:r>
            <w:r>
              <w:rPr>
                <w:rFonts w:ascii="Arial Narrow" w:hAnsi="Arial Narrow"/>
                <w:b/>
                <w:noProof/>
                <w:color w:val="008000"/>
                <w:sz w:val="20"/>
              </w:rPr>
              <w:t xml:space="preserve"> </w:t>
            </w:r>
            <w:r>
              <w:rPr>
                <w:rFonts w:ascii="Arial Narrow" w:hAnsi="Arial Narrow"/>
                <w:b/>
                <w:noProof/>
                <w:color w:val="008000"/>
              </w:rPr>
              <w:t>Длъжности в щатното разписание (длъжностни лица и временно наети лица)</w:t>
            </w:r>
          </w:p>
        </w:tc>
        <w:tc>
          <w:tcPr>
            <w:tcW w:w="691" w:type="pct"/>
            <w:gridSpan w:val="2"/>
            <w:shd w:val="pct10" w:color="CCFFFF" w:fill="CCFFCC"/>
            <w:vAlign w:val="center"/>
          </w:tcPr>
          <w:p>
            <w:pPr>
              <w:spacing w:after="0"/>
              <w:rPr>
                <w:rFonts w:ascii="Arial Narrow" w:eastAsia="Times New Roman" w:hAnsi="Arial Narrow"/>
                <w:noProof/>
                <w:sz w:val="20"/>
                <w:szCs w:val="20"/>
              </w:rPr>
            </w:pPr>
          </w:p>
        </w:tc>
      </w:tr>
      <w:tr>
        <w:trPr>
          <w:trHeight w:val="107"/>
        </w:trPr>
        <w:tc>
          <w:tcPr>
            <w:tcW w:w="1314" w:type="pct"/>
            <w:gridSpan w:val="2"/>
            <w:vMerge w:val="restart"/>
            <w:shd w:val="pct10" w:color="CCFFFF" w:fill="auto"/>
            <w:vAlign w:val="center"/>
          </w:tcPr>
          <w:p>
            <w:pPr>
              <w:spacing w:after="0"/>
              <w:rPr>
                <w:rFonts w:ascii="Arial Narrow" w:eastAsia="Times New Roman" w:hAnsi="Arial Narrow"/>
                <w:i/>
                <w:noProof/>
                <w:sz w:val="20"/>
                <w:szCs w:val="20"/>
              </w:rPr>
            </w:pPr>
            <w:r>
              <w:rPr>
                <w:rFonts w:ascii="Arial Narrow" w:hAnsi="Arial Narrow"/>
                <w:b/>
                <w:noProof/>
                <w:color w:val="0000FF"/>
                <w:sz w:val="20"/>
              </w:rPr>
              <w:t>XX</w:t>
            </w:r>
            <w:r>
              <w:rPr>
                <w:noProof/>
              </w:rPr>
              <w:t xml:space="preserve"> </w:t>
            </w:r>
            <w:r>
              <w:rPr>
                <w:rFonts w:ascii="Arial Narrow" w:hAnsi="Arial Narrow"/>
                <w:noProof/>
                <w:sz w:val="20"/>
              </w:rPr>
              <w:t>01 05 01 (Непряка изследователска дейност)</w:t>
            </w: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AD</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215"/>
        </w:trPr>
        <w:tc>
          <w:tcPr>
            <w:tcW w:w="1314" w:type="pct"/>
            <w:gridSpan w:val="2"/>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AST</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1314" w:type="pct"/>
            <w:gridSpan w:val="2"/>
            <w:vMerge w:val="restart"/>
            <w:shd w:val="pct10" w:color="CCFFFF" w:fill="auto"/>
            <w:vAlign w:val="center"/>
          </w:tcPr>
          <w:p>
            <w:pPr>
              <w:spacing w:after="0"/>
              <w:rPr>
                <w:rFonts w:ascii="Arial Narrow" w:eastAsia="Times New Roman" w:hAnsi="Arial Narrow"/>
                <w:i/>
                <w:noProof/>
                <w:sz w:val="20"/>
                <w:szCs w:val="20"/>
              </w:rPr>
            </w:pPr>
            <w:r>
              <w:rPr>
                <w:rFonts w:ascii="Arial Narrow" w:hAnsi="Arial Narrow"/>
                <w:noProof/>
                <w:sz w:val="20"/>
              </w:rPr>
              <w:t>10 01 05 01 (Пряка изследователска дейност)</w:t>
            </w: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AD</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1314" w:type="pct"/>
            <w:gridSpan w:val="2"/>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AST</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289"/>
        </w:trPr>
        <w:tc>
          <w:tcPr>
            <w:tcW w:w="4309" w:type="pct"/>
            <w:gridSpan w:val="11"/>
            <w:shd w:val="pct10" w:color="CCFFFF" w:fill="FFFF99"/>
            <w:vAlign w:val="center"/>
          </w:tcPr>
          <w:p>
            <w:pPr>
              <w:spacing w:after="0"/>
              <w:rPr>
                <w:rFonts w:ascii="Arial Narrow" w:eastAsia="Times New Roman" w:hAnsi="Arial Narrow"/>
                <w:noProof/>
                <w:sz w:val="20"/>
                <w:szCs w:val="20"/>
              </w:rPr>
            </w:pPr>
            <w:r>
              <w:rPr>
                <w:rFonts w:ascii="Arial Narrow" w:eastAsia="Times New Roman" w:hAnsi="Arial Narrow"/>
                <w:b/>
                <w:noProof/>
                <w:color w:val="FF6600"/>
                <w:sz w:val="20"/>
                <w:szCs w:val="20"/>
              </w:rPr>
              <w:sym w:font="Wingdings" w:char="F09F"/>
            </w:r>
            <w:r>
              <w:rPr>
                <w:rFonts w:ascii="Arial Narrow" w:hAnsi="Arial Narrow"/>
                <w:b/>
                <w:noProof/>
                <w:color w:val="FF6600"/>
                <w:sz w:val="20"/>
              </w:rPr>
              <w:t xml:space="preserve"> </w:t>
            </w:r>
            <w:r>
              <w:rPr>
                <w:rFonts w:ascii="Arial Narrow" w:hAnsi="Arial Narrow"/>
                <w:b/>
                <w:noProof/>
                <w:color w:val="FF6600"/>
              </w:rPr>
              <w:t>Външен персонал</w:t>
            </w:r>
          </w:p>
        </w:tc>
        <w:tc>
          <w:tcPr>
            <w:tcW w:w="691" w:type="pct"/>
            <w:gridSpan w:val="2"/>
            <w:shd w:val="pct10" w:color="CCFFFF" w:fill="FFFF99"/>
            <w:vAlign w:val="center"/>
          </w:tcPr>
          <w:p>
            <w:pPr>
              <w:spacing w:after="0"/>
              <w:rPr>
                <w:rFonts w:ascii="Arial Narrow" w:eastAsia="Times New Roman" w:hAnsi="Arial Narrow"/>
                <w:noProof/>
                <w:sz w:val="20"/>
                <w:szCs w:val="20"/>
              </w:rPr>
            </w:pPr>
          </w:p>
        </w:tc>
      </w:tr>
      <w:tr>
        <w:trPr>
          <w:trHeight w:val="65"/>
        </w:trPr>
        <w:tc>
          <w:tcPr>
            <w:tcW w:w="778" w:type="pct"/>
            <w:vMerge w:val="restart"/>
            <w:shd w:val="pct10" w:color="CCFFFF" w:fill="auto"/>
            <w:vAlign w:val="center"/>
          </w:tcPr>
          <w:p>
            <w:pPr>
              <w:spacing w:after="0"/>
              <w:rPr>
                <w:rFonts w:ascii="Arial Narrow" w:eastAsia="Times New Roman" w:hAnsi="Arial Narrow"/>
                <w:b/>
                <w:i/>
                <w:noProof/>
                <w:color w:val="0000FF"/>
                <w:sz w:val="20"/>
                <w:szCs w:val="20"/>
              </w:rPr>
            </w:pPr>
            <w:r>
              <w:rPr>
                <w:rFonts w:ascii="Arial Narrow" w:hAnsi="Arial Narrow"/>
                <w:b/>
                <w:noProof/>
                <w:color w:val="0000FF"/>
                <w:sz w:val="20"/>
              </w:rPr>
              <w:t>XX</w:t>
            </w:r>
            <w:r>
              <w:rPr>
                <w:noProof/>
              </w:rPr>
              <w:t xml:space="preserve"> </w:t>
            </w:r>
            <w:r>
              <w:rPr>
                <w:rFonts w:ascii="Arial Narrow" w:hAnsi="Arial Narrow"/>
                <w:noProof/>
                <w:sz w:val="20"/>
              </w:rPr>
              <w:t xml:space="preserve">01 04 </w:t>
            </w:r>
            <w:r>
              <w:rPr>
                <w:rFonts w:ascii="Arial Narrow" w:hAnsi="Arial Narrow"/>
                <w:b/>
                <w:i/>
                <w:noProof/>
                <w:color w:val="0000FF"/>
                <w:sz w:val="20"/>
              </w:rPr>
              <w:t>yy</w:t>
            </w:r>
          </w:p>
          <w:p>
            <w:pPr>
              <w:spacing w:after="0"/>
              <w:rPr>
                <w:rFonts w:ascii="Arial Narrow" w:eastAsia="Times New Roman" w:hAnsi="Arial Narrow"/>
                <w:noProof/>
                <w:sz w:val="20"/>
                <w:szCs w:val="20"/>
              </w:rPr>
            </w:pPr>
            <w:r>
              <w:rPr>
                <w:rFonts w:ascii="Arial Narrow" w:hAnsi="Arial Narrow"/>
                <w:noProof/>
                <w:sz w:val="20"/>
              </w:rPr>
              <w:t>Бюджетни кредити за външен персонал, разрешени в предишни редове „BA“</w:t>
            </w:r>
          </w:p>
        </w:tc>
        <w:tc>
          <w:tcPr>
            <w:tcW w:w="536" w:type="pct"/>
            <w:vMerge w:val="restart"/>
            <w:shd w:val="pct10" w:color="CCFFFF" w:fill="auto"/>
            <w:vAlign w:val="center"/>
          </w:tcPr>
          <w:p>
            <w:pPr>
              <w:spacing w:after="0"/>
              <w:rPr>
                <w:rFonts w:ascii="Arial Narrow" w:eastAsia="Times New Roman" w:hAnsi="Arial Narrow"/>
                <w:noProof/>
                <w:sz w:val="20"/>
                <w:szCs w:val="20"/>
              </w:rPr>
            </w:pPr>
            <w:r>
              <w:rPr>
                <w:rFonts w:ascii="Arial Narrow" w:hAnsi="Arial Narrow"/>
                <w:noProof/>
                <w:sz w:val="20"/>
              </w:rPr>
              <w:t>В централата</w:t>
            </w: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ДНП</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778" w:type="pct"/>
            <w:vMerge/>
            <w:shd w:val="pct10" w:color="CCFFFF" w:fill="auto"/>
            <w:vAlign w:val="center"/>
          </w:tcPr>
          <w:p>
            <w:pPr>
              <w:spacing w:after="0"/>
              <w:rPr>
                <w:rFonts w:ascii="Arial Narrow" w:eastAsia="Times New Roman" w:hAnsi="Arial Narrow"/>
                <w:noProof/>
                <w:sz w:val="20"/>
                <w:szCs w:val="20"/>
              </w:rPr>
            </w:pPr>
          </w:p>
        </w:tc>
        <w:tc>
          <w:tcPr>
            <w:tcW w:w="536" w:type="pct"/>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ПНА</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778" w:type="pct"/>
            <w:vMerge/>
            <w:shd w:val="pct10" w:color="CCFFFF" w:fill="auto"/>
            <w:vAlign w:val="center"/>
          </w:tcPr>
          <w:p>
            <w:pPr>
              <w:spacing w:after="0"/>
              <w:rPr>
                <w:rFonts w:ascii="Arial Narrow" w:eastAsia="Times New Roman" w:hAnsi="Arial Narrow"/>
                <w:noProof/>
                <w:sz w:val="20"/>
                <w:szCs w:val="20"/>
              </w:rPr>
            </w:pPr>
          </w:p>
        </w:tc>
        <w:tc>
          <w:tcPr>
            <w:tcW w:w="536" w:type="pct"/>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КНЕ</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778" w:type="pct"/>
            <w:vMerge/>
            <w:shd w:val="pct10" w:color="CCFFFF" w:fill="auto"/>
            <w:vAlign w:val="center"/>
          </w:tcPr>
          <w:p>
            <w:pPr>
              <w:spacing w:after="0"/>
              <w:rPr>
                <w:rFonts w:ascii="Arial Narrow" w:eastAsia="Times New Roman" w:hAnsi="Arial Narrow"/>
                <w:noProof/>
                <w:sz w:val="20"/>
                <w:szCs w:val="20"/>
              </w:rPr>
            </w:pPr>
          </w:p>
        </w:tc>
        <w:tc>
          <w:tcPr>
            <w:tcW w:w="536" w:type="pct"/>
            <w:vMerge w:val="restart"/>
            <w:shd w:val="pct10" w:color="CCFFFF" w:fill="auto"/>
            <w:vAlign w:val="center"/>
          </w:tcPr>
          <w:p>
            <w:pPr>
              <w:spacing w:after="0"/>
              <w:rPr>
                <w:rFonts w:ascii="Arial Narrow" w:eastAsia="Times New Roman" w:hAnsi="Arial Narrow"/>
                <w:noProof/>
                <w:sz w:val="20"/>
                <w:szCs w:val="20"/>
              </w:rPr>
            </w:pPr>
            <w:r>
              <w:rPr>
                <w:rFonts w:ascii="Arial Narrow" w:hAnsi="Arial Narrow"/>
                <w:noProof/>
                <w:sz w:val="20"/>
              </w:rPr>
              <w:t>В делегациите</w:t>
            </w: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ДНП</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778" w:type="pct"/>
            <w:vMerge/>
            <w:shd w:val="pct10" w:color="CCFFFF" w:fill="auto"/>
            <w:vAlign w:val="center"/>
          </w:tcPr>
          <w:p>
            <w:pPr>
              <w:spacing w:after="0"/>
              <w:rPr>
                <w:rFonts w:ascii="Arial Narrow" w:eastAsia="Times New Roman" w:hAnsi="Arial Narrow"/>
                <w:noProof/>
                <w:sz w:val="20"/>
                <w:szCs w:val="20"/>
              </w:rPr>
            </w:pPr>
          </w:p>
        </w:tc>
        <w:tc>
          <w:tcPr>
            <w:tcW w:w="536" w:type="pct"/>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ПНА</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107"/>
        </w:trPr>
        <w:tc>
          <w:tcPr>
            <w:tcW w:w="778" w:type="pct"/>
            <w:vMerge/>
            <w:shd w:val="pct10" w:color="CCFFFF" w:fill="auto"/>
            <w:vAlign w:val="center"/>
          </w:tcPr>
          <w:p>
            <w:pPr>
              <w:spacing w:after="0"/>
              <w:rPr>
                <w:rFonts w:ascii="Arial Narrow" w:eastAsia="Times New Roman" w:hAnsi="Arial Narrow"/>
                <w:noProof/>
                <w:sz w:val="20"/>
                <w:szCs w:val="20"/>
              </w:rPr>
            </w:pPr>
          </w:p>
        </w:tc>
        <w:tc>
          <w:tcPr>
            <w:tcW w:w="536" w:type="pct"/>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МЕД</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778" w:type="pct"/>
            <w:vMerge/>
            <w:shd w:val="pct10" w:color="CCFFFF" w:fill="auto"/>
            <w:vAlign w:val="center"/>
          </w:tcPr>
          <w:p>
            <w:pPr>
              <w:spacing w:after="0"/>
              <w:rPr>
                <w:rFonts w:ascii="Arial Narrow" w:eastAsia="Times New Roman" w:hAnsi="Arial Narrow"/>
                <w:noProof/>
                <w:sz w:val="20"/>
                <w:szCs w:val="20"/>
              </w:rPr>
            </w:pPr>
          </w:p>
        </w:tc>
        <w:tc>
          <w:tcPr>
            <w:tcW w:w="536" w:type="pct"/>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МП</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778" w:type="pct"/>
            <w:vMerge/>
            <w:shd w:val="pct10" w:color="CCFFFF" w:fill="auto"/>
            <w:vAlign w:val="center"/>
          </w:tcPr>
          <w:p>
            <w:pPr>
              <w:spacing w:after="0"/>
              <w:rPr>
                <w:rFonts w:ascii="Arial Narrow" w:eastAsia="Times New Roman" w:hAnsi="Arial Narrow"/>
                <w:noProof/>
                <w:sz w:val="20"/>
                <w:szCs w:val="20"/>
              </w:rPr>
            </w:pPr>
          </w:p>
        </w:tc>
        <w:tc>
          <w:tcPr>
            <w:tcW w:w="536" w:type="pct"/>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КНЕ</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99"/>
        </w:trPr>
        <w:tc>
          <w:tcPr>
            <w:tcW w:w="1314" w:type="pct"/>
            <w:gridSpan w:val="2"/>
            <w:vMerge w:val="restart"/>
            <w:shd w:val="pct10" w:color="CCFFFF" w:fill="auto"/>
            <w:vAlign w:val="center"/>
          </w:tcPr>
          <w:p>
            <w:pPr>
              <w:spacing w:after="0"/>
              <w:rPr>
                <w:rFonts w:ascii="Arial Narrow" w:eastAsia="Times New Roman" w:hAnsi="Arial Narrow"/>
                <w:noProof/>
                <w:sz w:val="20"/>
                <w:szCs w:val="20"/>
              </w:rPr>
            </w:pPr>
            <w:r>
              <w:rPr>
                <w:rFonts w:ascii="Arial Narrow" w:hAnsi="Arial Narrow"/>
                <w:b/>
                <w:noProof/>
                <w:color w:val="0000FF"/>
                <w:sz w:val="20"/>
              </w:rPr>
              <w:t>XX</w:t>
            </w:r>
            <w:r>
              <w:rPr>
                <w:noProof/>
              </w:rPr>
              <w:t xml:space="preserve"> </w:t>
            </w:r>
            <w:r>
              <w:rPr>
                <w:rFonts w:ascii="Arial Narrow" w:hAnsi="Arial Narrow"/>
                <w:noProof/>
                <w:sz w:val="20"/>
              </w:rPr>
              <w:t>01 05 02 (Непряка изследователска дейност)</w:t>
            </w: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ДНП</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1314" w:type="pct"/>
            <w:gridSpan w:val="2"/>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ПНА</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1314" w:type="pct"/>
            <w:gridSpan w:val="2"/>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КНЕ</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1314" w:type="pct"/>
            <w:gridSpan w:val="2"/>
            <w:vMerge w:val="restart"/>
            <w:shd w:val="pct10" w:color="CCFFFF" w:fill="auto"/>
            <w:vAlign w:val="center"/>
          </w:tcPr>
          <w:p>
            <w:pPr>
              <w:spacing w:after="0"/>
              <w:rPr>
                <w:rFonts w:ascii="Arial Narrow" w:eastAsia="Times New Roman" w:hAnsi="Arial Narrow"/>
                <w:noProof/>
                <w:sz w:val="20"/>
                <w:szCs w:val="20"/>
              </w:rPr>
            </w:pPr>
            <w:r>
              <w:rPr>
                <w:rFonts w:ascii="Arial Narrow" w:hAnsi="Arial Narrow"/>
                <w:noProof/>
                <w:sz w:val="20"/>
              </w:rPr>
              <w:t>10 01 05 02 (Пряка изследователска дейност)</w:t>
            </w: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ДНП</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1314" w:type="pct"/>
            <w:gridSpan w:val="2"/>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ПНА</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65"/>
        </w:trPr>
        <w:tc>
          <w:tcPr>
            <w:tcW w:w="1314" w:type="pct"/>
            <w:gridSpan w:val="2"/>
            <w:vMerge/>
            <w:shd w:val="pct10" w:color="CCFFFF" w:fill="auto"/>
            <w:vAlign w:val="center"/>
          </w:tcPr>
          <w:p>
            <w:pPr>
              <w:spacing w:after="0"/>
              <w:rPr>
                <w:rFonts w:ascii="Arial Narrow" w:eastAsia="Times New Roman" w:hAnsi="Arial Narrow"/>
                <w:noProof/>
                <w:sz w:val="20"/>
                <w:szCs w:val="20"/>
              </w:rPr>
            </w:pPr>
          </w:p>
        </w:tc>
        <w:tc>
          <w:tcPr>
            <w:tcW w:w="243" w:type="pct"/>
            <w:shd w:val="pct10" w:color="CCFFFF" w:fill="auto"/>
            <w:vAlign w:val="center"/>
          </w:tcPr>
          <w:p>
            <w:pPr>
              <w:spacing w:after="0"/>
              <w:jc w:val="center"/>
              <w:rPr>
                <w:rFonts w:ascii="Arial Narrow" w:eastAsia="Times New Roman" w:hAnsi="Arial Narrow"/>
                <w:noProof/>
                <w:sz w:val="18"/>
                <w:szCs w:val="18"/>
              </w:rPr>
            </w:pPr>
            <w:r>
              <w:rPr>
                <w:rFonts w:ascii="Arial Narrow" w:hAnsi="Arial Narrow"/>
                <w:noProof/>
                <w:sz w:val="18"/>
              </w:rPr>
              <w:t>КНЕ</w:t>
            </w: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5"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6" w:type="pct"/>
            <w:shd w:val="pct10" w:color="CCFFFF" w:fill="auto"/>
            <w:vAlign w:val="center"/>
          </w:tcPr>
          <w:p>
            <w:pPr>
              <w:spacing w:after="0"/>
              <w:jc w:val="center"/>
              <w:rPr>
                <w:rFonts w:ascii="Arial Narrow" w:eastAsia="Times New Roman" w:hAnsi="Arial Narrow"/>
                <w:noProof/>
                <w:sz w:val="20"/>
                <w:szCs w:val="20"/>
              </w:rPr>
            </w:pPr>
          </w:p>
        </w:tc>
        <w:tc>
          <w:tcPr>
            <w:tcW w:w="263" w:type="pct"/>
            <w:shd w:val="pct10" w:color="CCFFFF" w:fill="auto"/>
          </w:tcPr>
          <w:p>
            <w:pPr>
              <w:spacing w:after="0"/>
              <w:jc w:val="center"/>
              <w:rPr>
                <w:rFonts w:ascii="Arial Narrow" w:eastAsia="Times New Roman" w:hAnsi="Arial Narrow"/>
                <w:noProof/>
                <w:sz w:val="20"/>
                <w:szCs w:val="20"/>
              </w:rPr>
            </w:pPr>
          </w:p>
        </w:tc>
        <w:tc>
          <w:tcPr>
            <w:tcW w:w="428" w:type="pct"/>
            <w:shd w:val="pct10" w:color="CCFFFF" w:fill="auto"/>
            <w:vAlign w:val="center"/>
          </w:tcPr>
          <w:p>
            <w:pPr>
              <w:spacing w:after="0"/>
              <w:jc w:val="center"/>
              <w:rPr>
                <w:rFonts w:ascii="Arial Narrow" w:eastAsia="Times New Roman" w:hAnsi="Arial Narrow"/>
                <w:noProof/>
                <w:sz w:val="20"/>
                <w:szCs w:val="20"/>
              </w:rPr>
            </w:pPr>
          </w:p>
        </w:tc>
      </w:tr>
      <w:tr>
        <w:trPr>
          <w:trHeight w:val="221"/>
        </w:trPr>
        <w:tc>
          <w:tcPr>
            <w:tcW w:w="1314" w:type="pct"/>
            <w:gridSpan w:val="2"/>
            <w:tcBorders>
              <w:bottom w:val="single" w:sz="12" w:space="0" w:color="auto"/>
            </w:tcBorders>
            <w:shd w:val="pct10" w:color="CCFFFF" w:fill="auto"/>
            <w:vAlign w:val="center"/>
          </w:tcPr>
          <w:p>
            <w:pPr>
              <w:spacing w:after="0"/>
              <w:rPr>
                <w:rFonts w:ascii="Arial Narrow" w:eastAsia="Times New Roman" w:hAnsi="Arial Narrow"/>
                <w:noProof/>
                <w:sz w:val="20"/>
                <w:szCs w:val="20"/>
              </w:rPr>
            </w:pPr>
            <w:r>
              <w:rPr>
                <w:rFonts w:ascii="Arial Narrow" w:hAnsi="Arial Narrow"/>
                <w:noProof/>
                <w:sz w:val="20"/>
              </w:rPr>
              <w:t xml:space="preserve">Други бюджетни редове </w:t>
            </w:r>
            <w:r>
              <w:rPr>
                <w:rFonts w:ascii="Arial Narrow" w:hAnsi="Arial Narrow"/>
                <w:i/>
                <w:noProof/>
                <w:sz w:val="20"/>
              </w:rPr>
              <w:t>(да се посочат)</w:t>
            </w:r>
          </w:p>
        </w:tc>
        <w:tc>
          <w:tcPr>
            <w:tcW w:w="243" w:type="pct"/>
            <w:tcBorders>
              <w:bottom w:val="single" w:sz="12" w:space="0" w:color="auto"/>
            </w:tcBorders>
            <w:shd w:val="pct10" w:color="CCFFFF" w:fill="auto"/>
            <w:vAlign w:val="center"/>
          </w:tcPr>
          <w:p>
            <w:pPr>
              <w:spacing w:after="0"/>
              <w:jc w:val="center"/>
              <w:rPr>
                <w:rFonts w:ascii="Arial Narrow" w:eastAsia="Times New Roman" w:hAnsi="Arial Narrow"/>
                <w:noProof/>
                <w:sz w:val="18"/>
                <w:szCs w:val="18"/>
              </w:rPr>
            </w:pPr>
          </w:p>
        </w:tc>
        <w:tc>
          <w:tcPr>
            <w:tcW w:w="263" w:type="pct"/>
            <w:tcBorders>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6" w:type="pct"/>
            <w:tcBorders>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8" w:type="pct"/>
            <w:tcBorders>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r>
      <w:tr>
        <w:trPr>
          <w:trHeight w:val="289"/>
        </w:trPr>
        <w:tc>
          <w:tcPr>
            <w:tcW w:w="1314" w:type="pct"/>
            <w:gridSpan w:val="2"/>
            <w:tcBorders>
              <w:top w:val="single" w:sz="12" w:space="0" w:color="auto"/>
              <w:left w:val="single" w:sz="12" w:space="0" w:color="auto"/>
              <w:bottom w:val="single" w:sz="12" w:space="0" w:color="auto"/>
            </w:tcBorders>
            <w:shd w:val="pct10" w:color="CCFFFF" w:fill="auto"/>
            <w:vAlign w:val="center"/>
          </w:tcPr>
          <w:p>
            <w:pPr>
              <w:spacing w:after="0"/>
              <w:jc w:val="center"/>
              <w:rPr>
                <w:rFonts w:ascii="Arial Narrow" w:eastAsia="Times New Roman" w:hAnsi="Arial Narrow"/>
                <w:b/>
                <w:noProof/>
                <w:szCs w:val="24"/>
              </w:rPr>
            </w:pPr>
            <w:r>
              <w:rPr>
                <w:rFonts w:ascii="Arial Narrow" w:hAnsi="Arial Narrow"/>
                <w:b/>
                <w:noProof/>
              </w:rPr>
              <w:t>Междинен сбор извън ФУНКЦИЯ 5</w:t>
            </w:r>
            <w:r>
              <w:rPr>
                <w:rFonts w:ascii="Arial Narrow" w:eastAsia="Times New Roman" w:hAnsi="Arial Narrow"/>
                <w:b/>
                <w:noProof/>
              </w:rPr>
              <w:br/>
            </w:r>
            <w:r>
              <w:rPr>
                <w:rFonts w:ascii="Arial Narrow" w:hAnsi="Arial Narrow"/>
                <w:noProof/>
                <w:sz w:val="20"/>
              </w:rPr>
              <w:t>от многогодишната финансова рамка</w:t>
            </w:r>
          </w:p>
        </w:tc>
        <w:tc>
          <w:tcPr>
            <w:tcW w:w="243"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18"/>
                <w:szCs w:val="18"/>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6"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8"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r>
    </w:tbl>
    <w:p>
      <w:pPr>
        <w:rPr>
          <w:rFonts w:eastAsia="Times New Roman"/>
          <w:noProof/>
          <w:sz w:val="14"/>
          <w:szCs w:val="14"/>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3576"/>
        <w:gridCol w:w="662"/>
        <w:gridCol w:w="713"/>
        <w:gridCol w:w="1153"/>
        <w:gridCol w:w="713"/>
        <w:gridCol w:w="1153"/>
        <w:gridCol w:w="713"/>
        <w:gridCol w:w="1153"/>
        <w:gridCol w:w="713"/>
        <w:gridCol w:w="1153"/>
        <w:gridCol w:w="713"/>
        <w:gridCol w:w="1147"/>
      </w:tblGrid>
      <w:tr>
        <w:trPr>
          <w:trHeight w:val="289"/>
        </w:trPr>
        <w:tc>
          <w:tcPr>
            <w:tcW w:w="1318" w:type="pct"/>
            <w:tcBorders>
              <w:top w:val="single" w:sz="12" w:space="0" w:color="auto"/>
              <w:left w:val="single" w:sz="12" w:space="0" w:color="auto"/>
              <w:bottom w:val="single" w:sz="12" w:space="0" w:color="auto"/>
            </w:tcBorders>
            <w:shd w:val="pct10" w:color="CCFFFF" w:fill="auto"/>
            <w:vAlign w:val="center"/>
          </w:tcPr>
          <w:p>
            <w:pPr>
              <w:spacing w:after="0"/>
              <w:jc w:val="center"/>
              <w:rPr>
                <w:rFonts w:ascii="Arial Narrow" w:eastAsia="Times New Roman" w:hAnsi="Arial Narrow"/>
                <w:b/>
                <w:noProof/>
              </w:rPr>
            </w:pPr>
            <w:r>
              <w:rPr>
                <w:rFonts w:ascii="Arial Narrow" w:hAnsi="Arial Narrow"/>
                <w:b/>
                <w:noProof/>
              </w:rPr>
              <w:t>ОБЩО</w:t>
            </w:r>
            <w:r>
              <w:rPr>
                <w:rFonts w:ascii="Arial Narrow" w:eastAsia="Times New Roman" w:hAnsi="Arial Narrow"/>
                <w:b/>
                <w:noProof/>
              </w:rPr>
              <w:br/>
            </w:r>
            <w:r>
              <w:rPr>
                <w:rFonts w:ascii="Arial Narrow" w:hAnsi="Arial Narrow"/>
                <w:b/>
                <w:noProof/>
              </w:rPr>
              <w:t>ФУНКЦИЯ 5 и извън ФУНКЦИЯ 5</w:t>
            </w:r>
            <w:r>
              <w:rPr>
                <w:rFonts w:ascii="Arial Narrow" w:eastAsia="Times New Roman" w:hAnsi="Arial Narrow"/>
                <w:b/>
                <w:noProof/>
              </w:rPr>
              <w:br/>
            </w:r>
            <w:r>
              <w:rPr>
                <w:rFonts w:ascii="Arial Narrow" w:hAnsi="Arial Narrow"/>
                <w:noProof/>
              </w:rPr>
              <w:t>от многогодишната финансова рамка</w:t>
            </w:r>
          </w:p>
        </w:tc>
        <w:tc>
          <w:tcPr>
            <w:tcW w:w="244"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18"/>
                <w:szCs w:val="18"/>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5"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c>
          <w:tcPr>
            <w:tcW w:w="263" w:type="pct"/>
            <w:tcBorders>
              <w:top w:val="single" w:sz="12" w:space="0" w:color="auto"/>
              <w:bottom w:val="single" w:sz="12" w:space="0" w:color="auto"/>
            </w:tcBorders>
            <w:shd w:val="pct10" w:color="CCFFFF" w:fill="auto"/>
          </w:tcPr>
          <w:p>
            <w:pPr>
              <w:spacing w:after="0"/>
              <w:jc w:val="center"/>
              <w:rPr>
                <w:rFonts w:ascii="Arial Narrow" w:eastAsia="Times New Roman" w:hAnsi="Arial Narrow"/>
                <w:noProof/>
                <w:sz w:val="20"/>
                <w:szCs w:val="20"/>
              </w:rPr>
            </w:pPr>
          </w:p>
        </w:tc>
        <w:tc>
          <w:tcPr>
            <w:tcW w:w="423" w:type="pct"/>
            <w:tcBorders>
              <w:top w:val="single" w:sz="12" w:space="0" w:color="auto"/>
              <w:bottom w:val="single" w:sz="12" w:space="0" w:color="auto"/>
            </w:tcBorders>
            <w:shd w:val="pct10" w:color="CCFFFF" w:fill="auto"/>
            <w:vAlign w:val="center"/>
          </w:tcPr>
          <w:p>
            <w:pPr>
              <w:spacing w:after="0"/>
              <w:jc w:val="center"/>
              <w:rPr>
                <w:rFonts w:ascii="Arial Narrow" w:eastAsia="Times New Roman" w:hAnsi="Arial Narrow"/>
                <w:noProof/>
                <w:sz w:val="20"/>
                <w:szCs w:val="20"/>
              </w:rPr>
            </w:pPr>
          </w:p>
        </w:tc>
      </w:tr>
    </w:tbl>
    <w:p>
      <w:pPr>
        <w:rPr>
          <w:rFonts w:eastAsia="Times New Roman"/>
          <w:noProof/>
        </w:rPr>
      </w:pPr>
      <w:r>
        <w:rPr>
          <w:noProof/>
        </w:rPr>
        <w:t xml:space="preserve"> JRC управлява HFR посредством двама души, които изцяло са финансирани от целеви приходи от допълнителната изследователска програма.</w:t>
      </w:r>
    </w:p>
    <w:p>
      <w:pPr>
        <w:pageBreakBefore/>
        <w:spacing w:after="0"/>
        <w:rPr>
          <w:rFonts w:eastAsia="Times New Roman"/>
          <w:noProof/>
          <w:sz w:val="28"/>
          <w:szCs w:val="28"/>
          <w:u w:val="single"/>
        </w:rPr>
      </w:pPr>
      <w:r>
        <w:rPr>
          <w:noProof/>
          <w:sz w:val="28"/>
          <w:u w:val="single"/>
        </w:rPr>
        <w:t>Други административни разходи</w:t>
      </w:r>
    </w:p>
    <w:p>
      <w:pPr>
        <w:spacing w:after="20"/>
        <w:ind w:left="1979" w:hanging="539"/>
        <w:rPr>
          <w:rFonts w:eastAsia="Times New Roman"/>
          <w:noProof/>
          <w:szCs w:val="24"/>
        </w:rPr>
      </w:pPr>
      <w:r>
        <w:rPr>
          <w:rFonts w:eastAsia="Times New Roman"/>
          <w:noProof/>
          <w:szCs w:val="24"/>
        </w:rPr>
        <w:sym w:font="Wingdings" w:char="F078"/>
      </w:r>
      <w:r>
        <w:rPr>
          <w:noProof/>
        </w:rPr>
        <w:tab/>
        <w:t>Предложението/инициативата не налага използване на никакви бюджетни кредити за административни разходи</w:t>
      </w:r>
    </w:p>
    <w:p>
      <w:pPr>
        <w:spacing w:before="20" w:after="20"/>
        <w:ind w:left="1979" w:hanging="539"/>
        <w:rPr>
          <w:rFonts w:eastAsia="Times New Roman"/>
          <w:noProof/>
          <w:szCs w:val="24"/>
        </w:rPr>
      </w:pPr>
      <w:r>
        <w:rPr>
          <w:rFonts w:eastAsia="Times New Roman"/>
          <w:noProof/>
          <w:szCs w:val="24"/>
        </w:rPr>
        <w:sym w:font="Wingdings" w:char="F0A8"/>
      </w:r>
      <w:r>
        <w:rPr>
          <w:noProof/>
        </w:rPr>
        <w:tab/>
        <w:t>Предложението/инициативата налага използване на бюджетни кредити за административни разходи, съгласно описанието по-долу:</w:t>
      </w:r>
    </w:p>
    <w:p>
      <w:pPr>
        <w:jc w:val="right"/>
        <w:rPr>
          <w:rFonts w:eastAsia="Times New Roman"/>
          <w:noProof/>
          <w:sz w:val="16"/>
          <w:szCs w:val="16"/>
        </w:rPr>
      </w:pPr>
      <w:r>
        <w:rPr>
          <w:i/>
          <w:noProof/>
          <w:sz w:val="20"/>
        </w:rPr>
        <w:t>млн. евро (до 3-тия знак след десетичната запетая)</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082"/>
        <w:gridCol w:w="1451"/>
        <w:gridCol w:w="1451"/>
        <w:gridCol w:w="1451"/>
        <w:gridCol w:w="1451"/>
        <w:gridCol w:w="1676"/>
      </w:tblGrid>
      <w:tr>
        <w:trPr>
          <w:trHeight w:val="289"/>
          <w:jc w:val="center"/>
        </w:trPr>
        <w:tc>
          <w:tcPr>
            <w:tcW w:w="2242" w:type="pct"/>
          </w:tcPr>
          <w:p>
            <w:pPr>
              <w:spacing w:before="40" w:after="40"/>
              <w:jc w:val="center"/>
              <w:rPr>
                <w:rFonts w:eastAsia="Times New Roman"/>
                <w:i/>
                <w:noProof/>
                <w:sz w:val="20"/>
                <w:szCs w:val="20"/>
              </w:rPr>
            </w:pPr>
          </w:p>
        </w:tc>
        <w:tc>
          <w:tcPr>
            <w:tcW w:w="535" w:type="pct"/>
            <w:vAlign w:val="center"/>
          </w:tcPr>
          <w:p>
            <w:pPr>
              <w:spacing w:before="40" w:after="40"/>
              <w:jc w:val="center"/>
              <w:rPr>
                <w:rFonts w:ascii="Arial Narrow" w:eastAsia="Times New Roman" w:hAnsi="Arial Narrow"/>
                <w:noProof/>
                <w:sz w:val="20"/>
                <w:szCs w:val="20"/>
              </w:rPr>
            </w:pPr>
            <w:r>
              <w:rPr>
                <w:rFonts w:ascii="Arial Narrow" w:hAnsi="Arial Narrow"/>
                <w:noProof/>
                <w:sz w:val="20"/>
              </w:rPr>
              <w:t>Година 2016</w:t>
            </w:r>
          </w:p>
        </w:tc>
        <w:tc>
          <w:tcPr>
            <w:tcW w:w="535" w:type="pct"/>
            <w:vAlign w:val="center"/>
          </w:tcPr>
          <w:p>
            <w:pPr>
              <w:spacing w:before="40" w:after="40"/>
              <w:jc w:val="center"/>
              <w:rPr>
                <w:rFonts w:ascii="Arial Narrow" w:eastAsia="Times New Roman" w:hAnsi="Arial Narrow"/>
                <w:noProof/>
                <w:sz w:val="20"/>
                <w:szCs w:val="20"/>
              </w:rPr>
            </w:pPr>
            <w:r>
              <w:rPr>
                <w:rFonts w:ascii="Arial Narrow" w:hAnsi="Arial Narrow"/>
                <w:noProof/>
                <w:sz w:val="20"/>
              </w:rPr>
              <w:t>Година 2017</w:t>
            </w:r>
          </w:p>
        </w:tc>
        <w:tc>
          <w:tcPr>
            <w:tcW w:w="535" w:type="pct"/>
            <w:vAlign w:val="center"/>
          </w:tcPr>
          <w:p>
            <w:pPr>
              <w:spacing w:before="40" w:after="40"/>
              <w:jc w:val="center"/>
              <w:rPr>
                <w:rFonts w:ascii="Arial Narrow" w:eastAsia="Times New Roman" w:hAnsi="Arial Narrow"/>
                <w:noProof/>
                <w:sz w:val="20"/>
                <w:szCs w:val="20"/>
              </w:rPr>
            </w:pPr>
            <w:r>
              <w:rPr>
                <w:rFonts w:ascii="Arial Narrow" w:hAnsi="Arial Narrow"/>
                <w:noProof/>
                <w:sz w:val="20"/>
              </w:rPr>
              <w:t>Година 2018</w:t>
            </w:r>
          </w:p>
        </w:tc>
        <w:tc>
          <w:tcPr>
            <w:tcW w:w="535" w:type="pct"/>
            <w:vAlign w:val="center"/>
          </w:tcPr>
          <w:p>
            <w:pPr>
              <w:spacing w:before="40" w:after="40"/>
              <w:jc w:val="center"/>
              <w:rPr>
                <w:rFonts w:ascii="Arial Narrow" w:eastAsia="Times New Roman" w:hAnsi="Arial Narrow"/>
                <w:noProof/>
                <w:sz w:val="20"/>
                <w:szCs w:val="20"/>
              </w:rPr>
            </w:pPr>
            <w:r>
              <w:rPr>
                <w:rFonts w:ascii="Arial Narrow" w:hAnsi="Arial Narrow"/>
                <w:noProof/>
                <w:sz w:val="20"/>
              </w:rPr>
              <w:t>Година 2019</w:t>
            </w:r>
          </w:p>
        </w:tc>
        <w:tc>
          <w:tcPr>
            <w:tcW w:w="619" w:type="pct"/>
            <w:vAlign w:val="center"/>
          </w:tcPr>
          <w:p>
            <w:pPr>
              <w:spacing w:before="40" w:after="40"/>
              <w:jc w:val="center"/>
              <w:rPr>
                <w:rFonts w:ascii="Arial Narrow" w:eastAsia="Times New Roman" w:hAnsi="Arial Narrow"/>
                <w:b/>
                <w:noProof/>
                <w:sz w:val="20"/>
                <w:szCs w:val="20"/>
              </w:rPr>
            </w:pPr>
            <w:r>
              <w:rPr>
                <w:rFonts w:ascii="Arial Narrow" w:hAnsi="Arial Narrow"/>
                <w:b/>
                <w:noProof/>
                <w:sz w:val="20"/>
              </w:rPr>
              <w:t>ОБЩО</w:t>
            </w:r>
          </w:p>
        </w:tc>
      </w:tr>
      <w:tr>
        <w:trPr>
          <w:trHeight w:val="289"/>
          <w:jc w:val="center"/>
        </w:trPr>
        <w:tc>
          <w:tcPr>
            <w:tcW w:w="2242" w:type="pct"/>
            <w:shd w:val="clear" w:color="auto" w:fill="D9D9D9"/>
          </w:tcPr>
          <w:p>
            <w:pPr>
              <w:spacing w:before="40" w:after="40"/>
              <w:jc w:val="center"/>
              <w:rPr>
                <w:rFonts w:ascii="Arial Narrow" w:eastAsia="Times New Roman" w:hAnsi="Arial Narrow"/>
                <w:i/>
                <w:noProof/>
                <w:sz w:val="20"/>
                <w:szCs w:val="20"/>
              </w:rPr>
            </w:pPr>
            <w:r>
              <w:rPr>
                <w:rFonts w:ascii="Arial Narrow" w:hAnsi="Arial Narrow"/>
                <w:b/>
                <w:noProof/>
              </w:rPr>
              <w:t>ФУНКЦИЯ 5</w:t>
            </w:r>
            <w:r>
              <w:rPr>
                <w:noProof/>
              </w:rPr>
              <w:t xml:space="preserve"> </w:t>
            </w:r>
            <w:r>
              <w:rPr>
                <w:rFonts w:ascii="Arial Narrow" w:hAnsi="Arial Narrow"/>
                <w:noProof/>
              </w:rPr>
              <w:t>от многогодишната финансова рамка</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shd w:val="pct30" w:color="CCFFCC" w:fill="auto"/>
          </w:tcPr>
          <w:p>
            <w:pPr>
              <w:spacing w:before="40" w:after="40"/>
              <w:rPr>
                <w:rFonts w:ascii="Arial Narrow" w:eastAsia="Times New Roman" w:hAnsi="Arial Narrow"/>
                <w:b/>
                <w:i/>
                <w:noProof/>
                <w:color w:val="008000"/>
                <w:sz w:val="20"/>
                <w:szCs w:val="20"/>
              </w:rPr>
            </w:pPr>
            <w:r>
              <w:rPr>
                <w:noProof/>
              </w:rPr>
              <w:tab/>
            </w:r>
            <w:r>
              <w:rPr>
                <w:rFonts w:ascii="Arial Narrow" w:hAnsi="Arial Narrow"/>
                <w:b/>
                <w:noProof/>
                <w:color w:val="008000"/>
                <w:sz w:val="20"/>
                <w:u w:val="single"/>
              </w:rPr>
              <w:t>В централата:</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b/>
                <w:noProof/>
                <w:sz w:val="20"/>
                <w:szCs w:val="20"/>
              </w:rPr>
            </w:pPr>
            <w:r>
              <w:rPr>
                <w:rFonts w:ascii="Arial Narrow" w:hAnsi="Arial Narrow"/>
                <w:b/>
                <w:noProof/>
                <w:color w:val="0000FF"/>
                <w:sz w:val="20"/>
              </w:rPr>
              <w:t>XX</w:t>
            </w:r>
            <w:r>
              <w:rPr>
                <w:noProof/>
              </w:rPr>
              <w:t xml:space="preserve"> </w:t>
            </w:r>
            <w:r>
              <w:rPr>
                <w:rFonts w:ascii="Arial Narrow" w:hAnsi="Arial Narrow"/>
                <w:noProof/>
                <w:sz w:val="20"/>
              </w:rPr>
              <w:t>01 02 11 01 — Разходи за командировки и представителни разходи</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sz w:val="20"/>
                <w:szCs w:val="20"/>
              </w:rPr>
            </w:pPr>
            <w:r>
              <w:rPr>
                <w:rFonts w:ascii="Arial Narrow" w:hAnsi="Arial Narrow"/>
                <w:b/>
                <w:noProof/>
                <w:color w:val="0000FF"/>
                <w:sz w:val="20"/>
              </w:rPr>
              <w:t>XX</w:t>
            </w:r>
            <w:r>
              <w:rPr>
                <w:noProof/>
              </w:rPr>
              <w:t xml:space="preserve"> </w:t>
            </w:r>
            <w:r>
              <w:rPr>
                <w:rFonts w:ascii="Arial Narrow" w:hAnsi="Arial Narrow"/>
                <w:noProof/>
                <w:sz w:val="20"/>
              </w:rPr>
              <w:t>01 02 11 02 — Конференции и заседания</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sz w:val="20"/>
                <w:szCs w:val="20"/>
              </w:rPr>
            </w:pPr>
            <w:r>
              <w:rPr>
                <w:rFonts w:ascii="Arial Narrow" w:hAnsi="Arial Narrow"/>
                <w:b/>
                <w:noProof/>
                <w:color w:val="0000FF"/>
                <w:sz w:val="20"/>
              </w:rPr>
              <w:t>XX</w:t>
            </w:r>
            <w:r>
              <w:rPr>
                <w:noProof/>
              </w:rPr>
              <w:t xml:space="preserve"> </w:t>
            </w:r>
            <w:r>
              <w:rPr>
                <w:rFonts w:ascii="Arial Narrow" w:hAnsi="Arial Narrow"/>
                <w:noProof/>
                <w:sz w:val="20"/>
              </w:rPr>
              <w:t xml:space="preserve">01 02 11 03 — Заседания на комитети </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sz w:val="20"/>
                <w:szCs w:val="20"/>
              </w:rPr>
            </w:pPr>
            <w:r>
              <w:rPr>
                <w:rFonts w:ascii="Arial Narrow" w:hAnsi="Arial Narrow"/>
                <w:b/>
                <w:noProof/>
                <w:color w:val="0000FF"/>
                <w:sz w:val="20"/>
              </w:rPr>
              <w:t>XX</w:t>
            </w:r>
            <w:r>
              <w:rPr>
                <w:noProof/>
              </w:rPr>
              <w:t xml:space="preserve"> </w:t>
            </w:r>
            <w:r>
              <w:rPr>
                <w:rFonts w:ascii="Arial Narrow" w:hAnsi="Arial Narrow"/>
                <w:noProof/>
                <w:sz w:val="20"/>
              </w:rPr>
              <w:t>01 02 11 04 — Проучвания и консултации</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sz w:val="20"/>
                <w:szCs w:val="20"/>
              </w:rPr>
            </w:pPr>
            <w:r>
              <w:rPr>
                <w:rFonts w:ascii="Arial Narrow" w:hAnsi="Arial Narrow"/>
                <w:b/>
                <w:noProof/>
                <w:color w:val="0000FF"/>
                <w:sz w:val="20"/>
              </w:rPr>
              <w:t>XX</w:t>
            </w:r>
            <w:r>
              <w:rPr>
                <w:noProof/>
              </w:rPr>
              <w:t xml:space="preserve"> </w:t>
            </w:r>
            <w:r>
              <w:rPr>
                <w:rFonts w:ascii="Arial Narrow" w:hAnsi="Arial Narrow"/>
                <w:noProof/>
                <w:sz w:val="20"/>
              </w:rPr>
              <w:t>01 02 11 05 — ИТ системи за управление и информация</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sz w:val="20"/>
                <w:szCs w:val="20"/>
              </w:rPr>
            </w:pPr>
            <w:r>
              <w:rPr>
                <w:rFonts w:ascii="Arial Narrow" w:hAnsi="Arial Narrow"/>
                <w:b/>
                <w:noProof/>
                <w:color w:val="0000FF"/>
                <w:sz w:val="20"/>
              </w:rPr>
              <w:t>XX</w:t>
            </w:r>
            <w:r>
              <w:rPr>
                <w:noProof/>
              </w:rPr>
              <w:t xml:space="preserve"> </w:t>
            </w:r>
            <w:r>
              <w:rPr>
                <w:rFonts w:ascii="Arial Narrow" w:hAnsi="Arial Narrow"/>
                <w:noProof/>
                <w:sz w:val="20"/>
              </w:rPr>
              <w:t>01 02 11 06 — Допълнително обучение</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color w:val="0000FF"/>
                <w:sz w:val="20"/>
                <w:szCs w:val="20"/>
              </w:rPr>
            </w:pPr>
            <w:r>
              <w:rPr>
                <w:rFonts w:ascii="Arial Narrow" w:hAnsi="Arial Narrow"/>
                <w:noProof/>
                <w:sz w:val="20"/>
              </w:rPr>
              <w:t>XX</w:t>
            </w:r>
            <w:r>
              <w:rPr>
                <w:rFonts w:ascii="Arial Narrow" w:hAnsi="Arial Narrow"/>
                <w:noProof/>
                <w:color w:val="0000FF"/>
                <w:sz w:val="20"/>
              </w:rPr>
              <w:t xml:space="preserve"> </w:t>
            </w:r>
            <w:r>
              <w:rPr>
                <w:rFonts w:ascii="Arial Narrow" w:hAnsi="Arial Narrow"/>
                <w:noProof/>
                <w:sz w:val="20"/>
              </w:rPr>
              <w:t>01 03 01 03 — Оборудване и обзавеждане</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color w:val="0000FF"/>
                <w:sz w:val="20"/>
                <w:szCs w:val="20"/>
              </w:rPr>
            </w:pPr>
            <w:r>
              <w:rPr>
                <w:rFonts w:ascii="Arial Narrow" w:hAnsi="Arial Narrow"/>
                <w:noProof/>
                <w:sz w:val="20"/>
              </w:rPr>
              <w:t>XX 01 03 01 04 — Услуги и други оперативни разходи</w:t>
            </w:r>
            <w:r>
              <w:rPr>
                <w:rFonts w:ascii="Arial Narrow" w:hAnsi="Arial Narrow"/>
                <w:noProof/>
                <w:color w:val="0000FF"/>
                <w:sz w:val="20"/>
              </w:rPr>
              <w:t xml:space="preserve"> </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sz w:val="20"/>
                <w:szCs w:val="20"/>
              </w:rPr>
            </w:pPr>
            <w:r>
              <w:rPr>
                <w:rFonts w:ascii="Arial Narrow" w:hAnsi="Arial Narrow"/>
                <w:noProof/>
                <w:sz w:val="20"/>
              </w:rPr>
              <w:t xml:space="preserve">Други бюджетни редове </w:t>
            </w:r>
            <w:r>
              <w:rPr>
                <w:rFonts w:ascii="Arial Narrow" w:hAnsi="Arial Narrow"/>
                <w:i/>
                <w:noProof/>
                <w:sz w:val="20"/>
              </w:rPr>
              <w:t>(да се посочат)</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shd w:val="pct30" w:color="CCFFCC" w:fill="auto"/>
            <w:vAlign w:val="center"/>
          </w:tcPr>
          <w:p>
            <w:pPr>
              <w:spacing w:before="40" w:after="40"/>
              <w:rPr>
                <w:rFonts w:ascii="Arial Narrow" w:eastAsia="Times New Roman" w:hAnsi="Arial Narrow"/>
                <w:b/>
                <w:noProof/>
                <w:color w:val="008000"/>
                <w:sz w:val="20"/>
                <w:szCs w:val="20"/>
                <w:u w:val="single"/>
              </w:rPr>
            </w:pPr>
            <w:r>
              <w:rPr>
                <w:noProof/>
              </w:rPr>
              <w:tab/>
            </w:r>
            <w:r>
              <w:rPr>
                <w:rFonts w:ascii="Arial Narrow" w:hAnsi="Arial Narrow"/>
                <w:b/>
                <w:noProof/>
                <w:color w:val="008000"/>
                <w:sz w:val="20"/>
                <w:u w:val="single"/>
              </w:rPr>
              <w:t>В делегациите:</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sz w:val="20"/>
                <w:szCs w:val="20"/>
              </w:rPr>
            </w:pPr>
            <w:r>
              <w:rPr>
                <w:rFonts w:ascii="Arial Narrow" w:hAnsi="Arial Narrow"/>
                <w:noProof/>
                <w:sz w:val="20"/>
              </w:rPr>
              <w:t>XX 01 02 12 01 — Разходи за мисии, конференции и представителни разходи</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sz w:val="20"/>
                <w:szCs w:val="20"/>
              </w:rPr>
            </w:pPr>
            <w:r>
              <w:rPr>
                <w:rFonts w:ascii="Arial Narrow" w:hAnsi="Arial Narrow"/>
                <w:noProof/>
                <w:sz w:val="20"/>
              </w:rPr>
              <w:t>XX 01 02 12 02 — Допълнително обучение на персонала</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vAlign w:val="center"/>
          </w:tcPr>
          <w:p>
            <w:pPr>
              <w:spacing w:before="40" w:after="40"/>
              <w:rPr>
                <w:rFonts w:ascii="Arial Narrow" w:eastAsia="Times New Roman" w:hAnsi="Arial Narrow"/>
                <w:noProof/>
                <w:color w:val="0000FF"/>
                <w:sz w:val="20"/>
                <w:szCs w:val="20"/>
              </w:rPr>
            </w:pPr>
            <w:r>
              <w:rPr>
                <w:rFonts w:ascii="Arial Narrow" w:hAnsi="Arial Narrow"/>
                <w:noProof/>
                <w:sz w:val="20"/>
              </w:rPr>
              <w:t>XX 01 03 02 01 — Придобиване, наем и свързани разходи</w:t>
            </w: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535" w:type="pct"/>
            <w:vAlign w:val="center"/>
          </w:tcPr>
          <w:p>
            <w:pPr>
              <w:spacing w:before="40" w:after="40"/>
              <w:jc w:val="center"/>
              <w:rPr>
                <w:rFonts w:ascii="Arial Narrow" w:eastAsia="Times New Roman" w:hAnsi="Arial Narrow"/>
                <w:noProof/>
                <w:sz w:val="20"/>
                <w:szCs w:val="20"/>
              </w:rPr>
            </w:pPr>
          </w:p>
        </w:tc>
        <w:tc>
          <w:tcPr>
            <w:tcW w:w="619" w:type="pct"/>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tcBorders>
              <w:bottom w:val="single" w:sz="12" w:space="0" w:color="auto"/>
            </w:tcBorders>
            <w:vAlign w:val="center"/>
          </w:tcPr>
          <w:p>
            <w:pPr>
              <w:spacing w:before="40" w:after="40"/>
              <w:rPr>
                <w:rFonts w:ascii="Arial Narrow" w:eastAsia="Times New Roman" w:hAnsi="Arial Narrow"/>
                <w:noProof/>
                <w:sz w:val="20"/>
                <w:szCs w:val="20"/>
              </w:rPr>
            </w:pPr>
            <w:r>
              <w:rPr>
                <w:rFonts w:ascii="Arial Narrow" w:hAnsi="Arial Narrow"/>
                <w:noProof/>
                <w:sz w:val="20"/>
              </w:rPr>
              <w:t>XX 01 03 02 02 — Оборудване, обзавеждане, консумативи и услуги</w:t>
            </w:r>
          </w:p>
        </w:tc>
        <w:tc>
          <w:tcPr>
            <w:tcW w:w="535" w:type="pct"/>
            <w:tcBorders>
              <w:bottom w:val="single" w:sz="12" w:space="0" w:color="auto"/>
            </w:tcBorders>
            <w:vAlign w:val="center"/>
          </w:tcPr>
          <w:p>
            <w:pPr>
              <w:spacing w:before="40" w:after="40"/>
              <w:jc w:val="center"/>
              <w:rPr>
                <w:rFonts w:ascii="Arial Narrow" w:eastAsia="Times New Roman" w:hAnsi="Arial Narrow"/>
                <w:noProof/>
                <w:sz w:val="20"/>
                <w:szCs w:val="20"/>
              </w:rPr>
            </w:pPr>
          </w:p>
        </w:tc>
        <w:tc>
          <w:tcPr>
            <w:tcW w:w="535" w:type="pct"/>
            <w:tcBorders>
              <w:bottom w:val="single" w:sz="12" w:space="0" w:color="auto"/>
            </w:tcBorders>
            <w:vAlign w:val="center"/>
          </w:tcPr>
          <w:p>
            <w:pPr>
              <w:spacing w:before="40" w:after="40"/>
              <w:jc w:val="center"/>
              <w:rPr>
                <w:rFonts w:ascii="Arial Narrow" w:eastAsia="Times New Roman" w:hAnsi="Arial Narrow"/>
                <w:noProof/>
                <w:sz w:val="20"/>
                <w:szCs w:val="20"/>
              </w:rPr>
            </w:pPr>
          </w:p>
        </w:tc>
        <w:tc>
          <w:tcPr>
            <w:tcW w:w="535" w:type="pct"/>
            <w:tcBorders>
              <w:bottom w:val="single" w:sz="12" w:space="0" w:color="auto"/>
            </w:tcBorders>
            <w:vAlign w:val="center"/>
          </w:tcPr>
          <w:p>
            <w:pPr>
              <w:spacing w:before="40" w:after="40"/>
              <w:jc w:val="center"/>
              <w:rPr>
                <w:rFonts w:ascii="Arial Narrow" w:eastAsia="Times New Roman" w:hAnsi="Arial Narrow"/>
                <w:noProof/>
                <w:sz w:val="20"/>
                <w:szCs w:val="20"/>
              </w:rPr>
            </w:pPr>
          </w:p>
        </w:tc>
        <w:tc>
          <w:tcPr>
            <w:tcW w:w="535" w:type="pct"/>
            <w:tcBorders>
              <w:bottom w:val="single" w:sz="12" w:space="0" w:color="auto"/>
            </w:tcBorders>
            <w:vAlign w:val="center"/>
          </w:tcPr>
          <w:p>
            <w:pPr>
              <w:spacing w:before="40" w:after="40"/>
              <w:jc w:val="center"/>
              <w:rPr>
                <w:rFonts w:ascii="Arial Narrow" w:eastAsia="Times New Roman" w:hAnsi="Arial Narrow"/>
                <w:noProof/>
                <w:sz w:val="20"/>
                <w:szCs w:val="20"/>
              </w:rPr>
            </w:pPr>
          </w:p>
        </w:tc>
        <w:tc>
          <w:tcPr>
            <w:tcW w:w="619" w:type="pct"/>
            <w:tcBorders>
              <w:bottom w:val="single" w:sz="12" w:space="0" w:color="auto"/>
            </w:tcBorders>
            <w:vAlign w:val="center"/>
          </w:tcPr>
          <w:p>
            <w:pPr>
              <w:spacing w:before="40" w:after="40"/>
              <w:jc w:val="center"/>
              <w:rPr>
                <w:rFonts w:ascii="Arial Narrow" w:eastAsia="Times New Roman" w:hAnsi="Arial Narrow"/>
                <w:b/>
                <w:noProof/>
                <w:sz w:val="20"/>
                <w:szCs w:val="20"/>
              </w:rPr>
            </w:pPr>
          </w:p>
        </w:tc>
      </w:tr>
      <w:tr>
        <w:trPr>
          <w:trHeight w:val="289"/>
          <w:jc w:val="center"/>
        </w:trPr>
        <w:tc>
          <w:tcPr>
            <w:tcW w:w="2242" w:type="pct"/>
            <w:tcBorders>
              <w:top w:val="single" w:sz="12" w:space="0" w:color="auto"/>
              <w:left w:val="single" w:sz="12" w:space="0" w:color="auto"/>
              <w:bottom w:val="single" w:sz="12" w:space="0" w:color="auto"/>
            </w:tcBorders>
            <w:vAlign w:val="center"/>
          </w:tcPr>
          <w:p>
            <w:pPr>
              <w:spacing w:before="40" w:after="40"/>
              <w:jc w:val="center"/>
              <w:rPr>
                <w:rFonts w:ascii="Arial Narrow" w:eastAsia="Times New Roman" w:hAnsi="Arial Narrow"/>
                <w:b/>
                <w:noProof/>
                <w:color w:val="0000FF"/>
                <w:sz w:val="20"/>
                <w:szCs w:val="20"/>
              </w:rPr>
            </w:pPr>
            <w:r>
              <w:rPr>
                <w:rFonts w:ascii="Arial Narrow" w:hAnsi="Arial Narrow"/>
                <w:b/>
                <w:noProof/>
              </w:rPr>
              <w:t>Междинен сбор за ФУНКЦИЯ 5</w:t>
            </w:r>
            <w:r>
              <w:rPr>
                <w:noProof/>
              </w:rPr>
              <w:t xml:space="preserve"> </w:t>
            </w:r>
            <w:r>
              <w:rPr>
                <w:rFonts w:ascii="Arial Narrow" w:hAnsi="Arial Narrow"/>
                <w:noProof/>
              </w:rPr>
              <w:t>от многогодишната финансова рамка</w:t>
            </w:r>
          </w:p>
        </w:tc>
        <w:tc>
          <w:tcPr>
            <w:tcW w:w="535" w:type="pct"/>
            <w:tcBorders>
              <w:top w:val="single" w:sz="12" w:space="0" w:color="auto"/>
              <w:bottom w:val="single" w:sz="12" w:space="0" w:color="auto"/>
            </w:tcBorders>
            <w:vAlign w:val="center"/>
          </w:tcPr>
          <w:p>
            <w:pPr>
              <w:spacing w:before="40" w:after="40"/>
              <w:jc w:val="center"/>
              <w:rPr>
                <w:rFonts w:ascii="Arial Narrow" w:eastAsia="Times New Roman" w:hAnsi="Arial Narrow"/>
                <w:noProof/>
                <w:sz w:val="20"/>
                <w:szCs w:val="20"/>
              </w:rPr>
            </w:pPr>
          </w:p>
        </w:tc>
        <w:tc>
          <w:tcPr>
            <w:tcW w:w="535" w:type="pct"/>
            <w:tcBorders>
              <w:top w:val="single" w:sz="12" w:space="0" w:color="auto"/>
              <w:bottom w:val="single" w:sz="12" w:space="0" w:color="auto"/>
            </w:tcBorders>
            <w:vAlign w:val="center"/>
          </w:tcPr>
          <w:p>
            <w:pPr>
              <w:spacing w:before="40" w:after="40"/>
              <w:jc w:val="center"/>
              <w:rPr>
                <w:rFonts w:ascii="Arial Narrow" w:eastAsia="Times New Roman" w:hAnsi="Arial Narrow"/>
                <w:noProof/>
                <w:sz w:val="20"/>
                <w:szCs w:val="20"/>
              </w:rPr>
            </w:pPr>
          </w:p>
        </w:tc>
        <w:tc>
          <w:tcPr>
            <w:tcW w:w="535" w:type="pct"/>
            <w:tcBorders>
              <w:top w:val="single" w:sz="12" w:space="0" w:color="auto"/>
              <w:bottom w:val="single" w:sz="12" w:space="0" w:color="auto"/>
            </w:tcBorders>
            <w:vAlign w:val="center"/>
          </w:tcPr>
          <w:p>
            <w:pPr>
              <w:spacing w:before="40" w:after="40"/>
              <w:jc w:val="center"/>
              <w:rPr>
                <w:rFonts w:ascii="Arial Narrow" w:eastAsia="Times New Roman" w:hAnsi="Arial Narrow"/>
                <w:noProof/>
                <w:sz w:val="20"/>
                <w:szCs w:val="20"/>
              </w:rPr>
            </w:pPr>
          </w:p>
        </w:tc>
        <w:tc>
          <w:tcPr>
            <w:tcW w:w="535" w:type="pct"/>
            <w:tcBorders>
              <w:top w:val="single" w:sz="12" w:space="0" w:color="auto"/>
              <w:bottom w:val="single" w:sz="12" w:space="0" w:color="auto"/>
            </w:tcBorders>
            <w:vAlign w:val="center"/>
          </w:tcPr>
          <w:p>
            <w:pPr>
              <w:spacing w:before="40" w:after="40"/>
              <w:jc w:val="center"/>
              <w:rPr>
                <w:rFonts w:ascii="Arial Narrow" w:eastAsia="Times New Roman" w:hAnsi="Arial Narrow"/>
                <w:noProof/>
                <w:sz w:val="20"/>
                <w:szCs w:val="20"/>
              </w:rPr>
            </w:pPr>
          </w:p>
        </w:tc>
        <w:tc>
          <w:tcPr>
            <w:tcW w:w="619" w:type="pct"/>
            <w:tcBorders>
              <w:top w:val="single" w:sz="12" w:space="0" w:color="auto"/>
              <w:bottom w:val="single" w:sz="12" w:space="0" w:color="auto"/>
              <w:right w:val="single" w:sz="12" w:space="0" w:color="auto"/>
            </w:tcBorders>
            <w:vAlign w:val="center"/>
          </w:tcPr>
          <w:p>
            <w:pPr>
              <w:spacing w:before="40" w:after="40"/>
              <w:jc w:val="center"/>
              <w:rPr>
                <w:rFonts w:ascii="Arial Narrow" w:eastAsia="Times New Roman" w:hAnsi="Arial Narrow"/>
                <w:b/>
                <w:noProof/>
                <w:sz w:val="20"/>
                <w:szCs w:val="20"/>
              </w:rPr>
            </w:pPr>
          </w:p>
        </w:tc>
      </w:tr>
    </w:tbl>
    <w:p>
      <w:pPr>
        <w:rPr>
          <w:rFonts w:eastAsia="Times New Roman"/>
          <w:noProof/>
          <w:szCs w:val="24"/>
        </w:rPr>
      </w:pPr>
      <w:r>
        <w:rPr>
          <w:b/>
          <w:noProof/>
          <w:color w:val="0000FF"/>
          <w:sz w:val="20"/>
        </w:rPr>
        <w:t>XX</w:t>
      </w:r>
      <w:r>
        <w:rPr>
          <w:noProof/>
        </w:rPr>
        <w:t xml:space="preserve"> </w:t>
      </w:r>
      <w:r>
        <w:rPr>
          <w:noProof/>
          <w:sz w:val="20"/>
        </w:rPr>
        <w:t>е съответната област на политиката или съответния бюджетен дял</w:t>
      </w:r>
    </w:p>
    <w:p>
      <w:pPr>
        <w:pageBreakBefore/>
        <w:ind w:right="-493"/>
        <w:jc w:val="right"/>
        <w:rPr>
          <w:rFonts w:eastAsia="Times New Roman"/>
          <w:i/>
          <w:iCs/>
          <w:noProof/>
          <w:sz w:val="20"/>
          <w:szCs w:val="20"/>
        </w:rPr>
      </w:pPr>
      <w:r>
        <w:rPr>
          <w:i/>
          <w:noProof/>
          <w:sz w:val="20"/>
        </w:rPr>
        <w:t>млн. евро (до 3-тия знак след десетичната запетая)</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882"/>
        <w:gridCol w:w="1456"/>
        <w:gridCol w:w="1457"/>
        <w:gridCol w:w="1457"/>
        <w:gridCol w:w="1457"/>
        <w:gridCol w:w="1853"/>
      </w:tblGrid>
      <w:tr>
        <w:trPr>
          <w:trHeight w:val="289"/>
          <w:jc w:val="center"/>
        </w:trPr>
        <w:tc>
          <w:tcPr>
            <w:tcW w:w="2169" w:type="pct"/>
          </w:tcPr>
          <w:p>
            <w:pPr>
              <w:spacing w:before="40" w:after="40"/>
              <w:jc w:val="center"/>
              <w:rPr>
                <w:rFonts w:eastAsia="Times New Roman"/>
                <w:i/>
                <w:noProof/>
                <w:sz w:val="20"/>
                <w:szCs w:val="20"/>
              </w:rPr>
            </w:pPr>
          </w:p>
        </w:tc>
        <w:tc>
          <w:tcPr>
            <w:tcW w:w="537" w:type="pct"/>
            <w:vAlign w:val="center"/>
          </w:tcPr>
          <w:p>
            <w:pPr>
              <w:jc w:val="center"/>
              <w:rPr>
                <w:rFonts w:ascii="Arial Narrow" w:eastAsia="Times New Roman" w:hAnsi="Arial Narrow"/>
                <w:noProof/>
                <w:sz w:val="20"/>
                <w:szCs w:val="20"/>
              </w:rPr>
            </w:pPr>
            <w:r>
              <w:rPr>
                <w:rFonts w:ascii="Arial Narrow" w:hAnsi="Arial Narrow"/>
                <w:noProof/>
                <w:sz w:val="20"/>
              </w:rPr>
              <w:t xml:space="preserve">Година </w:t>
            </w:r>
            <w:r>
              <w:rPr>
                <w:rFonts w:ascii="Arial Narrow" w:eastAsia="Times New Roman" w:hAnsi="Arial Narrow"/>
                <w:noProof/>
                <w:sz w:val="20"/>
                <w:szCs w:val="20"/>
              </w:rPr>
              <w:br/>
            </w:r>
            <w:r>
              <w:rPr>
                <w:rFonts w:ascii="Arial Narrow" w:hAnsi="Arial Narrow"/>
                <w:noProof/>
                <w:sz w:val="20"/>
              </w:rPr>
              <w:t>2016</w:t>
            </w:r>
          </w:p>
        </w:tc>
        <w:tc>
          <w:tcPr>
            <w:tcW w:w="537" w:type="pct"/>
            <w:vAlign w:val="center"/>
          </w:tcPr>
          <w:p>
            <w:pPr>
              <w:jc w:val="center"/>
              <w:rPr>
                <w:rFonts w:ascii="Arial Narrow" w:eastAsia="Times New Roman" w:hAnsi="Arial Narrow"/>
                <w:noProof/>
                <w:sz w:val="20"/>
                <w:szCs w:val="20"/>
              </w:rPr>
            </w:pPr>
            <w:r>
              <w:rPr>
                <w:rFonts w:ascii="Arial Narrow" w:hAnsi="Arial Narrow"/>
                <w:noProof/>
                <w:sz w:val="20"/>
              </w:rPr>
              <w:t>Година</w:t>
            </w:r>
            <w:r>
              <w:rPr>
                <w:rFonts w:ascii="Arial Narrow" w:eastAsia="Times New Roman" w:hAnsi="Arial Narrow"/>
                <w:noProof/>
                <w:sz w:val="20"/>
                <w:szCs w:val="20"/>
              </w:rPr>
              <w:br/>
            </w:r>
            <w:r>
              <w:rPr>
                <w:rFonts w:ascii="Arial Narrow" w:hAnsi="Arial Narrow"/>
                <w:noProof/>
                <w:sz w:val="20"/>
              </w:rPr>
              <w:t>2017</w:t>
            </w:r>
          </w:p>
        </w:tc>
        <w:tc>
          <w:tcPr>
            <w:tcW w:w="537" w:type="pct"/>
            <w:vAlign w:val="center"/>
          </w:tcPr>
          <w:p>
            <w:pPr>
              <w:jc w:val="center"/>
              <w:rPr>
                <w:rFonts w:ascii="Arial Narrow" w:eastAsia="Times New Roman" w:hAnsi="Arial Narrow"/>
                <w:noProof/>
                <w:sz w:val="20"/>
                <w:szCs w:val="20"/>
              </w:rPr>
            </w:pPr>
            <w:r>
              <w:rPr>
                <w:rFonts w:ascii="Arial Narrow" w:hAnsi="Arial Narrow"/>
                <w:noProof/>
                <w:sz w:val="20"/>
              </w:rPr>
              <w:t>Година</w:t>
            </w:r>
            <w:r>
              <w:rPr>
                <w:rFonts w:ascii="Arial Narrow" w:eastAsia="Times New Roman" w:hAnsi="Arial Narrow"/>
                <w:noProof/>
                <w:sz w:val="20"/>
                <w:szCs w:val="20"/>
              </w:rPr>
              <w:br/>
            </w:r>
            <w:r>
              <w:rPr>
                <w:rFonts w:ascii="Arial Narrow" w:hAnsi="Arial Narrow"/>
                <w:noProof/>
                <w:sz w:val="20"/>
              </w:rPr>
              <w:t>2018</w:t>
            </w:r>
          </w:p>
        </w:tc>
        <w:tc>
          <w:tcPr>
            <w:tcW w:w="537" w:type="pct"/>
            <w:vAlign w:val="center"/>
          </w:tcPr>
          <w:p>
            <w:pPr>
              <w:jc w:val="center"/>
              <w:rPr>
                <w:rFonts w:ascii="Arial Narrow" w:eastAsia="Times New Roman" w:hAnsi="Arial Narrow"/>
                <w:noProof/>
                <w:sz w:val="20"/>
                <w:szCs w:val="20"/>
              </w:rPr>
            </w:pPr>
            <w:r>
              <w:rPr>
                <w:rFonts w:ascii="Arial Narrow" w:hAnsi="Arial Narrow"/>
                <w:noProof/>
                <w:sz w:val="20"/>
              </w:rPr>
              <w:t>Година</w:t>
            </w:r>
            <w:r>
              <w:rPr>
                <w:rFonts w:ascii="Arial Narrow" w:eastAsia="Times New Roman" w:hAnsi="Arial Narrow"/>
                <w:noProof/>
                <w:sz w:val="20"/>
                <w:szCs w:val="20"/>
              </w:rPr>
              <w:br/>
            </w:r>
            <w:r>
              <w:rPr>
                <w:rFonts w:ascii="Arial Narrow" w:hAnsi="Arial Narrow"/>
                <w:noProof/>
                <w:sz w:val="20"/>
              </w:rPr>
              <w:t>2019</w:t>
            </w:r>
          </w:p>
        </w:tc>
        <w:tc>
          <w:tcPr>
            <w:tcW w:w="684" w:type="pct"/>
            <w:vAlign w:val="center"/>
          </w:tcPr>
          <w:p>
            <w:pPr>
              <w:jc w:val="center"/>
              <w:rPr>
                <w:rFonts w:ascii="Arial Narrow" w:eastAsia="Times New Roman" w:hAnsi="Arial Narrow"/>
                <w:b/>
                <w:noProof/>
                <w:sz w:val="20"/>
                <w:szCs w:val="20"/>
              </w:rPr>
            </w:pPr>
            <w:r>
              <w:rPr>
                <w:rFonts w:ascii="Arial Narrow" w:hAnsi="Arial Narrow"/>
                <w:b/>
                <w:noProof/>
                <w:sz w:val="20"/>
              </w:rPr>
              <w:t>ОБЩО</w:t>
            </w:r>
          </w:p>
        </w:tc>
      </w:tr>
    </w:tbl>
    <w:p>
      <w:pPr>
        <w:rPr>
          <w:rFonts w:ascii="Arial Narrow" w:eastAsia="Times New Roman" w:hAnsi="Arial Narrow"/>
          <w:noProof/>
          <w:sz w:val="18"/>
          <w:szCs w:val="18"/>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882"/>
        <w:gridCol w:w="1456"/>
        <w:gridCol w:w="1457"/>
        <w:gridCol w:w="1457"/>
        <w:gridCol w:w="1457"/>
        <w:gridCol w:w="1853"/>
      </w:tblGrid>
      <w:tr>
        <w:trPr>
          <w:trHeight w:val="289"/>
          <w:jc w:val="center"/>
        </w:trPr>
        <w:tc>
          <w:tcPr>
            <w:tcW w:w="2169" w:type="pct"/>
            <w:tcBorders>
              <w:top w:val="single" w:sz="12" w:space="0" w:color="auto"/>
            </w:tcBorders>
            <w:shd w:val="clear" w:color="auto" w:fill="D9D9D9"/>
            <w:vAlign w:val="center"/>
          </w:tcPr>
          <w:p>
            <w:pPr>
              <w:spacing w:before="40" w:after="40"/>
              <w:jc w:val="center"/>
              <w:rPr>
                <w:rFonts w:ascii="Arial Narrow" w:eastAsia="Times New Roman" w:hAnsi="Arial Narrow"/>
                <w:b/>
                <w:noProof/>
                <w:color w:val="0000FF"/>
                <w:sz w:val="20"/>
                <w:szCs w:val="20"/>
              </w:rPr>
            </w:pPr>
            <w:r>
              <w:rPr>
                <w:rFonts w:ascii="Arial Narrow" w:hAnsi="Arial Narrow"/>
                <w:b/>
                <w:noProof/>
              </w:rPr>
              <w:t>Извън ФУНКЦИЯ 5</w:t>
            </w:r>
            <w:r>
              <w:rPr>
                <w:rFonts w:ascii="Arial Narrow" w:eastAsia="Times New Roman" w:hAnsi="Arial Narrow"/>
                <w:b/>
                <w:noProof/>
              </w:rPr>
              <w:br/>
            </w:r>
            <w:r>
              <w:rPr>
                <w:rFonts w:ascii="Arial Narrow" w:hAnsi="Arial Narrow"/>
                <w:noProof/>
              </w:rPr>
              <w:t>от многогодишната финансова рамка</w:t>
            </w:r>
          </w:p>
        </w:tc>
        <w:tc>
          <w:tcPr>
            <w:tcW w:w="537" w:type="pct"/>
            <w:tcBorders>
              <w:top w:val="single" w:sz="12" w:space="0" w:color="auto"/>
            </w:tcBorders>
            <w:vAlign w:val="center"/>
          </w:tcPr>
          <w:p>
            <w:pPr>
              <w:jc w:val="center"/>
              <w:rPr>
                <w:rFonts w:ascii="Arial Narrow" w:eastAsia="Times New Roman" w:hAnsi="Arial Narrow"/>
                <w:noProof/>
                <w:sz w:val="20"/>
                <w:szCs w:val="20"/>
              </w:rPr>
            </w:pPr>
          </w:p>
        </w:tc>
        <w:tc>
          <w:tcPr>
            <w:tcW w:w="537" w:type="pct"/>
            <w:tcBorders>
              <w:top w:val="single" w:sz="12" w:space="0" w:color="auto"/>
            </w:tcBorders>
            <w:vAlign w:val="center"/>
          </w:tcPr>
          <w:p>
            <w:pPr>
              <w:jc w:val="center"/>
              <w:rPr>
                <w:rFonts w:ascii="Arial Narrow" w:eastAsia="Times New Roman" w:hAnsi="Arial Narrow"/>
                <w:noProof/>
                <w:sz w:val="20"/>
                <w:szCs w:val="20"/>
              </w:rPr>
            </w:pPr>
          </w:p>
        </w:tc>
        <w:tc>
          <w:tcPr>
            <w:tcW w:w="537" w:type="pct"/>
            <w:tcBorders>
              <w:top w:val="single" w:sz="12" w:space="0" w:color="auto"/>
            </w:tcBorders>
            <w:vAlign w:val="center"/>
          </w:tcPr>
          <w:p>
            <w:pPr>
              <w:jc w:val="center"/>
              <w:rPr>
                <w:rFonts w:ascii="Arial Narrow" w:eastAsia="Times New Roman" w:hAnsi="Arial Narrow"/>
                <w:noProof/>
                <w:sz w:val="20"/>
                <w:szCs w:val="20"/>
              </w:rPr>
            </w:pPr>
          </w:p>
        </w:tc>
        <w:tc>
          <w:tcPr>
            <w:tcW w:w="537" w:type="pct"/>
            <w:tcBorders>
              <w:top w:val="single" w:sz="12" w:space="0" w:color="auto"/>
            </w:tcBorders>
            <w:vAlign w:val="center"/>
          </w:tcPr>
          <w:p>
            <w:pPr>
              <w:jc w:val="center"/>
              <w:rPr>
                <w:rFonts w:ascii="Arial Narrow" w:eastAsia="Times New Roman" w:hAnsi="Arial Narrow"/>
                <w:noProof/>
                <w:sz w:val="20"/>
                <w:szCs w:val="20"/>
              </w:rPr>
            </w:pPr>
          </w:p>
        </w:tc>
        <w:tc>
          <w:tcPr>
            <w:tcW w:w="683" w:type="pct"/>
            <w:tcBorders>
              <w:top w:val="single" w:sz="12" w:space="0" w:color="auto"/>
            </w:tcBorders>
            <w:vAlign w:val="center"/>
          </w:tcPr>
          <w:p>
            <w:pPr>
              <w:jc w:val="center"/>
              <w:rPr>
                <w:rFonts w:ascii="Arial Narrow" w:eastAsia="Times New Roman" w:hAnsi="Arial Narrow"/>
                <w:b/>
                <w:noProof/>
                <w:sz w:val="20"/>
                <w:szCs w:val="20"/>
              </w:rPr>
            </w:pPr>
          </w:p>
        </w:tc>
      </w:tr>
      <w:tr>
        <w:trPr>
          <w:trHeight w:val="289"/>
          <w:jc w:val="center"/>
        </w:trPr>
        <w:tc>
          <w:tcPr>
            <w:tcW w:w="2169" w:type="pct"/>
            <w:vAlign w:val="center"/>
          </w:tcPr>
          <w:p>
            <w:pPr>
              <w:spacing w:before="40" w:after="40"/>
              <w:rPr>
                <w:rFonts w:ascii="Arial Narrow" w:eastAsia="Times New Roman" w:hAnsi="Arial Narrow"/>
                <w:noProof/>
                <w:sz w:val="20"/>
                <w:szCs w:val="20"/>
              </w:rPr>
            </w:pPr>
            <w:r>
              <w:rPr>
                <w:rFonts w:ascii="Arial Narrow" w:hAnsi="Arial Narrow"/>
                <w:b/>
                <w:noProof/>
                <w:color w:val="0000FF"/>
                <w:sz w:val="20"/>
              </w:rPr>
              <w:t>XX</w:t>
            </w:r>
            <w:r>
              <w:rPr>
                <w:rFonts w:ascii="Arial Narrow" w:hAnsi="Arial Narrow"/>
                <w:noProof/>
                <w:sz w:val="20"/>
              </w:rPr>
              <w:t xml:space="preserve"> 01 04 </w:t>
            </w:r>
            <w:r>
              <w:rPr>
                <w:rFonts w:ascii="Arial Narrow" w:hAnsi="Arial Narrow"/>
                <w:b/>
                <w:i/>
                <w:noProof/>
                <w:color w:val="0000FF"/>
                <w:sz w:val="20"/>
              </w:rPr>
              <w:t>yy</w:t>
            </w:r>
            <w:r>
              <w:rPr>
                <w:rFonts w:ascii="Arial Narrow" w:hAnsi="Arial Narrow"/>
                <w:i/>
                <w:noProof/>
                <w:sz w:val="20"/>
              </w:rPr>
              <w:t xml:space="preserve"> </w:t>
            </w:r>
            <w:r>
              <w:rPr>
                <w:rFonts w:ascii="Arial Narrow" w:hAnsi="Arial Narrow"/>
                <w:noProof/>
                <w:sz w:val="20"/>
              </w:rPr>
              <w:t xml:space="preserve"> — Административна и техническа помощ (</w:t>
            </w:r>
            <w:r>
              <w:rPr>
                <w:rFonts w:ascii="Arial Narrow" w:hAnsi="Arial Narrow"/>
                <w:noProof/>
                <w:sz w:val="20"/>
                <w:u w:val="single"/>
              </w:rPr>
              <w:t>без</w:t>
            </w:r>
            <w:r>
              <w:rPr>
                <w:rFonts w:ascii="Arial Narrow" w:hAnsi="Arial Narrow"/>
                <w:noProof/>
                <w:sz w:val="20"/>
              </w:rPr>
              <w:t xml:space="preserve"> външен персонал), финансирана от бюджетни кредити за оперативни разходи (бивши редове „ВА“)</w:t>
            </w: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683" w:type="pct"/>
            <w:vAlign w:val="center"/>
          </w:tcPr>
          <w:p>
            <w:pPr>
              <w:jc w:val="center"/>
              <w:rPr>
                <w:rFonts w:ascii="Arial Narrow" w:eastAsia="Times New Roman" w:hAnsi="Arial Narrow"/>
                <w:b/>
                <w:noProof/>
                <w:sz w:val="20"/>
                <w:szCs w:val="20"/>
              </w:rPr>
            </w:pPr>
          </w:p>
        </w:tc>
      </w:tr>
      <w:tr>
        <w:trPr>
          <w:trHeight w:val="289"/>
          <w:jc w:val="center"/>
        </w:trPr>
        <w:tc>
          <w:tcPr>
            <w:tcW w:w="2169" w:type="pct"/>
            <w:vAlign w:val="center"/>
          </w:tcPr>
          <w:p>
            <w:pPr>
              <w:spacing w:before="40" w:after="40"/>
              <w:ind w:left="136"/>
              <w:rPr>
                <w:rFonts w:ascii="Arial Narrow" w:eastAsia="Times New Roman" w:hAnsi="Arial Narrow"/>
                <w:noProof/>
                <w:sz w:val="20"/>
                <w:szCs w:val="20"/>
              </w:rPr>
            </w:pPr>
            <w:r>
              <w:rPr>
                <w:rFonts w:ascii="Arial Narrow" w:hAnsi="Arial Narrow"/>
                <w:noProof/>
                <w:sz w:val="20"/>
              </w:rPr>
              <w:t>- в централата</w:t>
            </w: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683" w:type="pct"/>
            <w:vAlign w:val="center"/>
          </w:tcPr>
          <w:p>
            <w:pPr>
              <w:jc w:val="center"/>
              <w:rPr>
                <w:rFonts w:ascii="Arial Narrow" w:eastAsia="Times New Roman" w:hAnsi="Arial Narrow"/>
                <w:b/>
                <w:noProof/>
                <w:sz w:val="20"/>
                <w:szCs w:val="20"/>
              </w:rPr>
            </w:pPr>
          </w:p>
        </w:tc>
      </w:tr>
      <w:tr>
        <w:trPr>
          <w:trHeight w:val="289"/>
          <w:jc w:val="center"/>
        </w:trPr>
        <w:tc>
          <w:tcPr>
            <w:tcW w:w="2169" w:type="pct"/>
            <w:vAlign w:val="center"/>
          </w:tcPr>
          <w:p>
            <w:pPr>
              <w:spacing w:before="40" w:after="40"/>
              <w:ind w:left="136"/>
              <w:rPr>
                <w:rFonts w:ascii="Arial Narrow" w:eastAsia="Times New Roman" w:hAnsi="Arial Narrow"/>
                <w:noProof/>
                <w:sz w:val="20"/>
                <w:szCs w:val="20"/>
              </w:rPr>
            </w:pPr>
            <w:r>
              <w:rPr>
                <w:rFonts w:ascii="Arial Narrow" w:hAnsi="Arial Narrow"/>
                <w:noProof/>
                <w:sz w:val="20"/>
              </w:rPr>
              <w:t>- в делегациите</w:t>
            </w: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683" w:type="pct"/>
            <w:vAlign w:val="center"/>
          </w:tcPr>
          <w:p>
            <w:pPr>
              <w:jc w:val="center"/>
              <w:rPr>
                <w:rFonts w:ascii="Arial Narrow" w:eastAsia="Times New Roman" w:hAnsi="Arial Narrow"/>
                <w:b/>
                <w:noProof/>
                <w:sz w:val="20"/>
                <w:szCs w:val="20"/>
              </w:rPr>
            </w:pPr>
          </w:p>
        </w:tc>
      </w:tr>
      <w:tr>
        <w:trPr>
          <w:trHeight w:val="289"/>
          <w:jc w:val="center"/>
        </w:trPr>
        <w:tc>
          <w:tcPr>
            <w:tcW w:w="2169" w:type="pct"/>
            <w:vAlign w:val="center"/>
          </w:tcPr>
          <w:p>
            <w:pPr>
              <w:spacing w:before="40" w:after="40"/>
              <w:rPr>
                <w:rFonts w:ascii="Arial Narrow" w:eastAsia="Times New Roman" w:hAnsi="Arial Narrow"/>
                <w:noProof/>
                <w:sz w:val="20"/>
                <w:szCs w:val="20"/>
              </w:rPr>
            </w:pPr>
            <w:r>
              <w:rPr>
                <w:rFonts w:ascii="Arial Narrow" w:hAnsi="Arial Narrow"/>
                <w:b/>
                <w:noProof/>
                <w:color w:val="0000FF"/>
                <w:sz w:val="20"/>
              </w:rPr>
              <w:t>XX</w:t>
            </w:r>
            <w:r>
              <w:rPr>
                <w:rFonts w:ascii="Arial Narrow" w:hAnsi="Arial Narrow"/>
                <w:i/>
                <w:noProof/>
                <w:sz w:val="20"/>
              </w:rPr>
              <w:t xml:space="preserve"> </w:t>
            </w:r>
            <w:r>
              <w:rPr>
                <w:rFonts w:ascii="Arial Narrow" w:hAnsi="Arial Narrow"/>
                <w:noProof/>
                <w:sz w:val="20"/>
              </w:rPr>
              <w:t>01 05 03 — Други разходи за управление за непряката изследователска дейност</w:t>
            </w: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537" w:type="pct"/>
            <w:vAlign w:val="center"/>
          </w:tcPr>
          <w:p>
            <w:pPr>
              <w:jc w:val="center"/>
              <w:rPr>
                <w:rFonts w:ascii="Arial Narrow" w:eastAsia="Times New Roman" w:hAnsi="Arial Narrow"/>
                <w:noProof/>
                <w:sz w:val="20"/>
                <w:szCs w:val="20"/>
              </w:rPr>
            </w:pPr>
          </w:p>
        </w:tc>
        <w:tc>
          <w:tcPr>
            <w:tcW w:w="683" w:type="pct"/>
            <w:vAlign w:val="center"/>
          </w:tcPr>
          <w:p>
            <w:pPr>
              <w:jc w:val="center"/>
              <w:rPr>
                <w:rFonts w:ascii="Arial Narrow" w:eastAsia="Times New Roman" w:hAnsi="Arial Narrow"/>
                <w:b/>
                <w:noProof/>
                <w:sz w:val="20"/>
                <w:szCs w:val="20"/>
              </w:rPr>
            </w:pPr>
          </w:p>
        </w:tc>
      </w:tr>
      <w:tr>
        <w:trPr>
          <w:trHeight w:val="289"/>
          <w:jc w:val="center"/>
        </w:trPr>
        <w:tc>
          <w:tcPr>
            <w:tcW w:w="2169" w:type="pct"/>
            <w:tcBorders>
              <w:bottom w:val="single" w:sz="12" w:space="0" w:color="auto"/>
            </w:tcBorders>
            <w:vAlign w:val="center"/>
          </w:tcPr>
          <w:p>
            <w:pPr>
              <w:spacing w:before="40" w:after="40"/>
              <w:rPr>
                <w:rFonts w:ascii="Arial Narrow" w:eastAsia="Times New Roman" w:hAnsi="Arial Narrow"/>
                <w:noProof/>
                <w:sz w:val="20"/>
                <w:szCs w:val="20"/>
              </w:rPr>
            </w:pPr>
            <w:r>
              <w:rPr>
                <w:rFonts w:ascii="Arial Narrow" w:hAnsi="Arial Narrow"/>
                <w:noProof/>
                <w:sz w:val="20"/>
              </w:rPr>
              <w:t>10 01 05 03 — Други разходи за управление за пряката изследователска дейност</w:t>
            </w:r>
          </w:p>
        </w:tc>
        <w:tc>
          <w:tcPr>
            <w:tcW w:w="537" w:type="pct"/>
            <w:tcBorders>
              <w:bottom w:val="single" w:sz="12" w:space="0" w:color="auto"/>
            </w:tcBorders>
            <w:vAlign w:val="center"/>
          </w:tcPr>
          <w:p>
            <w:pPr>
              <w:jc w:val="center"/>
              <w:rPr>
                <w:rFonts w:ascii="Arial Narrow" w:eastAsia="Times New Roman" w:hAnsi="Arial Narrow"/>
                <w:noProof/>
                <w:sz w:val="20"/>
                <w:szCs w:val="20"/>
              </w:rPr>
            </w:pPr>
          </w:p>
        </w:tc>
        <w:tc>
          <w:tcPr>
            <w:tcW w:w="537" w:type="pct"/>
            <w:tcBorders>
              <w:bottom w:val="single" w:sz="12" w:space="0" w:color="auto"/>
            </w:tcBorders>
            <w:vAlign w:val="center"/>
          </w:tcPr>
          <w:p>
            <w:pPr>
              <w:jc w:val="center"/>
              <w:rPr>
                <w:rFonts w:ascii="Arial Narrow" w:eastAsia="Times New Roman" w:hAnsi="Arial Narrow"/>
                <w:noProof/>
                <w:sz w:val="20"/>
                <w:szCs w:val="20"/>
              </w:rPr>
            </w:pPr>
          </w:p>
        </w:tc>
        <w:tc>
          <w:tcPr>
            <w:tcW w:w="537" w:type="pct"/>
            <w:tcBorders>
              <w:bottom w:val="single" w:sz="12" w:space="0" w:color="auto"/>
            </w:tcBorders>
            <w:vAlign w:val="center"/>
          </w:tcPr>
          <w:p>
            <w:pPr>
              <w:jc w:val="center"/>
              <w:rPr>
                <w:rFonts w:ascii="Arial Narrow" w:eastAsia="Times New Roman" w:hAnsi="Arial Narrow"/>
                <w:noProof/>
                <w:sz w:val="20"/>
                <w:szCs w:val="20"/>
              </w:rPr>
            </w:pPr>
          </w:p>
        </w:tc>
        <w:tc>
          <w:tcPr>
            <w:tcW w:w="537" w:type="pct"/>
            <w:tcBorders>
              <w:bottom w:val="single" w:sz="12" w:space="0" w:color="auto"/>
            </w:tcBorders>
            <w:vAlign w:val="center"/>
          </w:tcPr>
          <w:p>
            <w:pPr>
              <w:jc w:val="center"/>
              <w:rPr>
                <w:rFonts w:ascii="Arial Narrow" w:eastAsia="Times New Roman" w:hAnsi="Arial Narrow"/>
                <w:noProof/>
                <w:sz w:val="20"/>
                <w:szCs w:val="20"/>
              </w:rPr>
            </w:pPr>
          </w:p>
        </w:tc>
        <w:tc>
          <w:tcPr>
            <w:tcW w:w="683" w:type="pct"/>
            <w:tcBorders>
              <w:bottom w:val="single" w:sz="12" w:space="0" w:color="auto"/>
            </w:tcBorders>
            <w:vAlign w:val="center"/>
          </w:tcPr>
          <w:p>
            <w:pPr>
              <w:jc w:val="center"/>
              <w:rPr>
                <w:rFonts w:ascii="Arial Narrow" w:eastAsia="Times New Roman" w:hAnsi="Arial Narrow"/>
                <w:b/>
                <w:noProof/>
                <w:sz w:val="20"/>
                <w:szCs w:val="20"/>
              </w:rPr>
            </w:pPr>
          </w:p>
        </w:tc>
      </w:tr>
      <w:tr>
        <w:trPr>
          <w:trHeight w:val="289"/>
          <w:jc w:val="center"/>
        </w:trPr>
        <w:tc>
          <w:tcPr>
            <w:tcW w:w="2169" w:type="pct"/>
            <w:tcBorders>
              <w:bottom w:val="single" w:sz="12" w:space="0" w:color="auto"/>
            </w:tcBorders>
            <w:vAlign w:val="center"/>
          </w:tcPr>
          <w:p>
            <w:pPr>
              <w:spacing w:before="40" w:after="40"/>
              <w:rPr>
                <w:rFonts w:ascii="Arial Narrow" w:eastAsia="Times New Roman" w:hAnsi="Arial Narrow"/>
                <w:b/>
                <w:noProof/>
                <w:sz w:val="20"/>
                <w:szCs w:val="20"/>
              </w:rPr>
            </w:pPr>
            <w:r>
              <w:rPr>
                <w:rFonts w:ascii="Arial Narrow" w:hAnsi="Arial Narrow"/>
                <w:noProof/>
                <w:sz w:val="20"/>
              </w:rPr>
              <w:t xml:space="preserve">Други бюджетни редове </w:t>
            </w:r>
            <w:r>
              <w:rPr>
                <w:rFonts w:ascii="Arial Narrow" w:hAnsi="Arial Narrow"/>
                <w:i/>
                <w:noProof/>
                <w:sz w:val="20"/>
              </w:rPr>
              <w:t>(да се посочат)</w:t>
            </w:r>
          </w:p>
        </w:tc>
        <w:tc>
          <w:tcPr>
            <w:tcW w:w="537" w:type="pct"/>
            <w:tcBorders>
              <w:bottom w:val="single" w:sz="12" w:space="0" w:color="auto"/>
            </w:tcBorders>
            <w:vAlign w:val="center"/>
          </w:tcPr>
          <w:p>
            <w:pPr>
              <w:jc w:val="center"/>
              <w:rPr>
                <w:rFonts w:ascii="Arial Narrow" w:eastAsia="Times New Roman" w:hAnsi="Arial Narrow"/>
                <w:noProof/>
                <w:sz w:val="20"/>
                <w:szCs w:val="20"/>
              </w:rPr>
            </w:pPr>
          </w:p>
        </w:tc>
        <w:tc>
          <w:tcPr>
            <w:tcW w:w="537" w:type="pct"/>
            <w:tcBorders>
              <w:bottom w:val="single" w:sz="12" w:space="0" w:color="auto"/>
            </w:tcBorders>
            <w:vAlign w:val="center"/>
          </w:tcPr>
          <w:p>
            <w:pPr>
              <w:jc w:val="center"/>
              <w:rPr>
                <w:rFonts w:ascii="Arial Narrow" w:eastAsia="Times New Roman" w:hAnsi="Arial Narrow"/>
                <w:noProof/>
                <w:sz w:val="20"/>
                <w:szCs w:val="20"/>
              </w:rPr>
            </w:pPr>
          </w:p>
        </w:tc>
        <w:tc>
          <w:tcPr>
            <w:tcW w:w="537" w:type="pct"/>
            <w:tcBorders>
              <w:bottom w:val="single" w:sz="12" w:space="0" w:color="auto"/>
            </w:tcBorders>
            <w:vAlign w:val="center"/>
          </w:tcPr>
          <w:p>
            <w:pPr>
              <w:jc w:val="center"/>
              <w:rPr>
                <w:rFonts w:ascii="Arial Narrow" w:eastAsia="Times New Roman" w:hAnsi="Arial Narrow"/>
                <w:noProof/>
                <w:sz w:val="20"/>
                <w:szCs w:val="20"/>
              </w:rPr>
            </w:pPr>
          </w:p>
        </w:tc>
        <w:tc>
          <w:tcPr>
            <w:tcW w:w="537" w:type="pct"/>
            <w:tcBorders>
              <w:bottom w:val="single" w:sz="12" w:space="0" w:color="auto"/>
            </w:tcBorders>
            <w:vAlign w:val="center"/>
          </w:tcPr>
          <w:p>
            <w:pPr>
              <w:jc w:val="center"/>
              <w:rPr>
                <w:rFonts w:ascii="Arial Narrow" w:eastAsia="Times New Roman" w:hAnsi="Arial Narrow"/>
                <w:noProof/>
                <w:sz w:val="20"/>
                <w:szCs w:val="20"/>
              </w:rPr>
            </w:pPr>
          </w:p>
        </w:tc>
        <w:tc>
          <w:tcPr>
            <w:tcW w:w="683" w:type="pct"/>
            <w:tcBorders>
              <w:bottom w:val="single" w:sz="12" w:space="0" w:color="auto"/>
            </w:tcBorders>
            <w:vAlign w:val="center"/>
          </w:tcPr>
          <w:p>
            <w:pPr>
              <w:jc w:val="center"/>
              <w:rPr>
                <w:rFonts w:ascii="Arial Narrow" w:eastAsia="Times New Roman" w:hAnsi="Arial Narrow"/>
                <w:b/>
                <w:noProof/>
                <w:sz w:val="20"/>
                <w:szCs w:val="20"/>
              </w:rPr>
            </w:pPr>
          </w:p>
        </w:tc>
      </w:tr>
      <w:tr>
        <w:trPr>
          <w:trHeight w:val="289"/>
          <w:jc w:val="center"/>
        </w:trPr>
        <w:tc>
          <w:tcPr>
            <w:tcW w:w="2169" w:type="pct"/>
            <w:tcBorders>
              <w:top w:val="single" w:sz="12" w:space="0" w:color="auto"/>
              <w:left w:val="single" w:sz="12" w:space="0" w:color="auto"/>
              <w:bottom w:val="single" w:sz="12" w:space="0" w:color="auto"/>
            </w:tcBorders>
            <w:vAlign w:val="center"/>
          </w:tcPr>
          <w:p>
            <w:pPr>
              <w:jc w:val="center"/>
              <w:rPr>
                <w:rFonts w:ascii="Arial Narrow" w:eastAsia="Times New Roman" w:hAnsi="Arial Narrow"/>
                <w:b/>
                <w:noProof/>
                <w:color w:val="0000FF"/>
                <w:sz w:val="20"/>
                <w:szCs w:val="20"/>
              </w:rPr>
            </w:pPr>
            <w:r>
              <w:rPr>
                <w:rFonts w:ascii="Arial Narrow" w:hAnsi="Arial Narrow"/>
                <w:b/>
                <w:noProof/>
              </w:rPr>
              <w:t>Междинен сбор извън ФУНКЦИЯ 5</w:t>
            </w:r>
            <w:r>
              <w:rPr>
                <w:rFonts w:ascii="Arial Narrow" w:eastAsia="Times New Roman" w:hAnsi="Arial Narrow"/>
                <w:b/>
                <w:noProof/>
              </w:rPr>
              <w:br/>
            </w:r>
            <w:r>
              <w:rPr>
                <w:rFonts w:ascii="Arial Narrow" w:hAnsi="Arial Narrow"/>
                <w:noProof/>
              </w:rPr>
              <w:t>от многогодишната финансова рамка</w:t>
            </w:r>
          </w:p>
        </w:tc>
        <w:tc>
          <w:tcPr>
            <w:tcW w:w="537" w:type="pct"/>
            <w:tcBorders>
              <w:top w:val="single" w:sz="12" w:space="0" w:color="auto"/>
              <w:bottom w:val="single" w:sz="12" w:space="0" w:color="auto"/>
            </w:tcBorders>
            <w:vAlign w:val="center"/>
          </w:tcPr>
          <w:p>
            <w:pPr>
              <w:jc w:val="center"/>
              <w:rPr>
                <w:rFonts w:ascii="Arial Narrow" w:eastAsia="Times New Roman" w:hAnsi="Arial Narrow"/>
                <w:noProof/>
                <w:sz w:val="20"/>
                <w:szCs w:val="20"/>
              </w:rPr>
            </w:pPr>
          </w:p>
        </w:tc>
        <w:tc>
          <w:tcPr>
            <w:tcW w:w="537" w:type="pct"/>
            <w:tcBorders>
              <w:top w:val="single" w:sz="12" w:space="0" w:color="auto"/>
              <w:bottom w:val="single" w:sz="12" w:space="0" w:color="auto"/>
            </w:tcBorders>
            <w:vAlign w:val="center"/>
          </w:tcPr>
          <w:p>
            <w:pPr>
              <w:jc w:val="center"/>
              <w:rPr>
                <w:rFonts w:ascii="Arial Narrow" w:eastAsia="Times New Roman" w:hAnsi="Arial Narrow"/>
                <w:noProof/>
                <w:sz w:val="20"/>
                <w:szCs w:val="20"/>
              </w:rPr>
            </w:pPr>
          </w:p>
        </w:tc>
        <w:tc>
          <w:tcPr>
            <w:tcW w:w="537" w:type="pct"/>
            <w:tcBorders>
              <w:top w:val="single" w:sz="12" w:space="0" w:color="auto"/>
              <w:bottom w:val="single" w:sz="12" w:space="0" w:color="auto"/>
            </w:tcBorders>
            <w:vAlign w:val="center"/>
          </w:tcPr>
          <w:p>
            <w:pPr>
              <w:jc w:val="center"/>
              <w:rPr>
                <w:rFonts w:ascii="Arial Narrow" w:eastAsia="Times New Roman" w:hAnsi="Arial Narrow"/>
                <w:noProof/>
                <w:sz w:val="20"/>
                <w:szCs w:val="20"/>
              </w:rPr>
            </w:pPr>
          </w:p>
        </w:tc>
        <w:tc>
          <w:tcPr>
            <w:tcW w:w="537" w:type="pct"/>
            <w:tcBorders>
              <w:top w:val="single" w:sz="12" w:space="0" w:color="auto"/>
              <w:bottom w:val="single" w:sz="12" w:space="0" w:color="auto"/>
            </w:tcBorders>
            <w:vAlign w:val="center"/>
          </w:tcPr>
          <w:p>
            <w:pPr>
              <w:jc w:val="center"/>
              <w:rPr>
                <w:rFonts w:ascii="Arial Narrow" w:eastAsia="Times New Roman" w:hAnsi="Arial Narrow"/>
                <w:noProof/>
                <w:sz w:val="20"/>
                <w:szCs w:val="20"/>
              </w:rPr>
            </w:pPr>
          </w:p>
        </w:tc>
        <w:tc>
          <w:tcPr>
            <w:tcW w:w="683" w:type="pct"/>
            <w:tcBorders>
              <w:top w:val="single" w:sz="12" w:space="0" w:color="auto"/>
              <w:bottom w:val="single" w:sz="12" w:space="0" w:color="auto"/>
              <w:right w:val="single" w:sz="12" w:space="0" w:color="auto"/>
            </w:tcBorders>
            <w:vAlign w:val="center"/>
          </w:tcPr>
          <w:p>
            <w:pPr>
              <w:jc w:val="center"/>
              <w:rPr>
                <w:rFonts w:ascii="Arial Narrow" w:eastAsia="Times New Roman" w:hAnsi="Arial Narrow"/>
                <w:b/>
                <w:noProof/>
                <w:sz w:val="20"/>
                <w:szCs w:val="20"/>
              </w:rPr>
            </w:pPr>
          </w:p>
        </w:tc>
      </w:tr>
    </w:tbl>
    <w:p>
      <w:pPr>
        <w:spacing w:before="60"/>
        <w:rPr>
          <w:rFonts w:eastAsia="Times New Roman"/>
          <w:noProof/>
          <w:sz w:val="20"/>
          <w:szCs w:val="20"/>
        </w:rPr>
      </w:pPr>
      <w:r>
        <w:rPr>
          <w:b/>
          <w:noProof/>
          <w:color w:val="0000FF"/>
          <w:sz w:val="20"/>
        </w:rPr>
        <w:t>XX</w:t>
      </w:r>
      <w:r>
        <w:rPr>
          <w:noProof/>
        </w:rPr>
        <w:t xml:space="preserve"> </w:t>
      </w:r>
      <w:r>
        <w:rPr>
          <w:noProof/>
          <w:sz w:val="20"/>
        </w:rPr>
        <w:t>е съответната област на политиката или съответния бюджетен дял</w:t>
      </w:r>
    </w:p>
    <w:p>
      <w:pPr>
        <w:rPr>
          <w:rFonts w:eastAsia="Times New Roman"/>
          <w:noProof/>
          <w:sz w:val="18"/>
          <w:szCs w:val="18"/>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847"/>
        <w:gridCol w:w="1627"/>
        <w:gridCol w:w="1465"/>
        <w:gridCol w:w="1465"/>
        <w:gridCol w:w="1465"/>
        <w:gridCol w:w="1693"/>
      </w:tblGrid>
      <w:tr>
        <w:trPr>
          <w:trHeight w:val="289"/>
          <w:jc w:val="center"/>
        </w:trPr>
        <w:tc>
          <w:tcPr>
            <w:tcW w:w="2156" w:type="pct"/>
            <w:tcBorders>
              <w:top w:val="single" w:sz="12" w:space="0" w:color="auto"/>
            </w:tcBorders>
            <w:vAlign w:val="center"/>
          </w:tcPr>
          <w:p>
            <w:pPr>
              <w:spacing w:after="0"/>
              <w:jc w:val="center"/>
              <w:rPr>
                <w:rFonts w:ascii="Arial Narrow" w:eastAsia="Times New Roman" w:hAnsi="Arial Narrow"/>
                <w:b/>
                <w:noProof/>
                <w:szCs w:val="24"/>
              </w:rPr>
            </w:pPr>
            <w:r>
              <w:rPr>
                <w:rFonts w:ascii="Arial Narrow" w:hAnsi="Arial Narrow"/>
                <w:b/>
                <w:noProof/>
              </w:rPr>
              <w:t>ОБЩО</w:t>
            </w:r>
          </w:p>
          <w:p>
            <w:pPr>
              <w:jc w:val="center"/>
              <w:rPr>
                <w:rFonts w:ascii="Arial Narrow" w:eastAsia="Times New Roman" w:hAnsi="Arial Narrow"/>
                <w:b/>
                <w:noProof/>
                <w:szCs w:val="24"/>
              </w:rPr>
            </w:pPr>
            <w:r>
              <w:rPr>
                <w:rFonts w:ascii="Arial Narrow" w:hAnsi="Arial Narrow"/>
                <w:b/>
                <w:noProof/>
              </w:rPr>
              <w:t>ФУНКЦИЯ 5 и извън ФУНКЦИЯ 5</w:t>
            </w:r>
            <w:r>
              <w:rPr>
                <w:rFonts w:ascii="Arial Narrow" w:eastAsia="Times New Roman" w:hAnsi="Arial Narrow"/>
                <w:b/>
                <w:noProof/>
              </w:rPr>
              <w:br/>
            </w:r>
            <w:r>
              <w:rPr>
                <w:rFonts w:ascii="Arial Narrow" w:hAnsi="Arial Narrow"/>
                <w:noProof/>
              </w:rPr>
              <w:t>от многогодишната финансова рамка</w:t>
            </w:r>
          </w:p>
        </w:tc>
        <w:tc>
          <w:tcPr>
            <w:tcW w:w="600" w:type="pct"/>
            <w:tcBorders>
              <w:top w:val="single" w:sz="12" w:space="0" w:color="auto"/>
            </w:tcBorders>
            <w:vAlign w:val="center"/>
          </w:tcPr>
          <w:p>
            <w:pPr>
              <w:jc w:val="center"/>
              <w:rPr>
                <w:rFonts w:ascii="Arial Narrow" w:eastAsia="Times New Roman" w:hAnsi="Arial Narrow"/>
                <w:noProof/>
                <w:sz w:val="20"/>
                <w:szCs w:val="20"/>
              </w:rPr>
            </w:pPr>
          </w:p>
        </w:tc>
        <w:tc>
          <w:tcPr>
            <w:tcW w:w="540" w:type="pct"/>
            <w:tcBorders>
              <w:top w:val="single" w:sz="12" w:space="0" w:color="auto"/>
            </w:tcBorders>
            <w:vAlign w:val="center"/>
          </w:tcPr>
          <w:p>
            <w:pPr>
              <w:jc w:val="center"/>
              <w:rPr>
                <w:rFonts w:ascii="Arial Narrow" w:eastAsia="Times New Roman" w:hAnsi="Arial Narrow"/>
                <w:noProof/>
                <w:sz w:val="20"/>
                <w:szCs w:val="20"/>
              </w:rPr>
            </w:pPr>
          </w:p>
        </w:tc>
        <w:tc>
          <w:tcPr>
            <w:tcW w:w="540" w:type="pct"/>
            <w:tcBorders>
              <w:top w:val="single" w:sz="12" w:space="0" w:color="auto"/>
            </w:tcBorders>
            <w:vAlign w:val="center"/>
          </w:tcPr>
          <w:p>
            <w:pPr>
              <w:jc w:val="center"/>
              <w:rPr>
                <w:rFonts w:ascii="Arial Narrow" w:eastAsia="Times New Roman" w:hAnsi="Arial Narrow"/>
                <w:noProof/>
                <w:sz w:val="20"/>
                <w:szCs w:val="20"/>
              </w:rPr>
            </w:pPr>
          </w:p>
        </w:tc>
        <w:tc>
          <w:tcPr>
            <w:tcW w:w="540" w:type="pct"/>
            <w:tcBorders>
              <w:top w:val="single" w:sz="12" w:space="0" w:color="auto"/>
            </w:tcBorders>
            <w:vAlign w:val="center"/>
          </w:tcPr>
          <w:p>
            <w:pPr>
              <w:jc w:val="center"/>
              <w:rPr>
                <w:rFonts w:ascii="Arial Narrow" w:eastAsia="Times New Roman" w:hAnsi="Arial Narrow"/>
                <w:noProof/>
                <w:sz w:val="20"/>
                <w:szCs w:val="20"/>
              </w:rPr>
            </w:pPr>
          </w:p>
        </w:tc>
        <w:tc>
          <w:tcPr>
            <w:tcW w:w="625" w:type="pct"/>
            <w:tcBorders>
              <w:top w:val="single" w:sz="12" w:space="0" w:color="auto"/>
            </w:tcBorders>
            <w:vAlign w:val="center"/>
          </w:tcPr>
          <w:p>
            <w:pPr>
              <w:jc w:val="center"/>
              <w:rPr>
                <w:rFonts w:ascii="Arial Narrow" w:eastAsia="Times New Roman" w:hAnsi="Arial Narrow"/>
                <w:b/>
                <w:noProof/>
                <w:sz w:val="20"/>
                <w:szCs w:val="20"/>
              </w:rPr>
            </w:pPr>
          </w:p>
        </w:tc>
      </w:tr>
    </w:tbl>
    <w:p>
      <w:pPr>
        <w:spacing w:before="60"/>
        <w:ind w:left="-360" w:firstLine="900"/>
        <w:jc w:val="center"/>
        <w:rPr>
          <w:rFonts w:eastAsia="Times New Roman"/>
          <w:noProof/>
          <w:color w:val="000000"/>
          <w:sz w:val="18"/>
          <w:szCs w:val="18"/>
        </w:rPr>
      </w:pPr>
    </w:p>
    <w:p>
      <w:pPr>
        <w:spacing w:before="60"/>
        <w:rPr>
          <w:rFonts w:eastAsia="Times New Roman"/>
          <w:noProof/>
          <w:sz w:val="20"/>
          <w:szCs w:val="20"/>
        </w:rPr>
      </w:pPr>
      <w:r>
        <w:rPr>
          <w:noProof/>
          <w:sz w:val="20"/>
        </w:rPr>
        <w:t>Необходимите бюджетни кредити за административни разходи ще бъдат покрити от бюджетните кредити, които вече са разпределени за управлението на действието и/или които са преразпределени, при необходимост заедно с всички допълнителни отпуснати средства, които могат да бъдат предоставени на управляващата ГД в рамките на годишната процедура за отпускане на средства и като се имат предвид съществуващите бюджетни ограничения.</w:t>
      </w:r>
    </w:p>
    <w:p>
      <w:pPr>
        <w:spacing w:before="60"/>
        <w:ind w:left="-360" w:firstLine="900"/>
        <w:rPr>
          <w:rFonts w:eastAsia="Times New Roman"/>
          <w:noProof/>
          <w:sz w:val="20"/>
          <w:szCs w:val="20"/>
        </w:rPr>
      </w:pPr>
    </w:p>
    <w:p>
      <w:pPr>
        <w:keepNext/>
        <w:spacing w:before="240" w:after="0"/>
        <w:rPr>
          <w:rFonts w:eastAsia="Times New Roman"/>
          <w:noProof/>
          <w:sz w:val="28"/>
          <w:szCs w:val="28"/>
          <w:u w:val="single"/>
        </w:rPr>
        <w:sectPr>
          <w:headerReference w:type="default" r:id="rId21"/>
          <w:footerReference w:type="default" r:id="rId22"/>
          <w:headerReference w:type="first" r:id="rId23"/>
          <w:footerReference w:type="first" r:id="rId24"/>
          <w:pgSz w:w="15840" w:h="12240" w:orient="landscape" w:code="1"/>
          <w:pgMar w:top="1304" w:right="1247" w:bottom="1304" w:left="1247" w:header="709" w:footer="709" w:gutter="0"/>
          <w:cols w:space="708"/>
          <w:docGrid w:linePitch="360"/>
        </w:sectPr>
      </w:pPr>
    </w:p>
    <w:p>
      <w:pPr>
        <w:keepNext/>
        <w:spacing w:before="240" w:after="0"/>
        <w:rPr>
          <w:rFonts w:eastAsia="Times New Roman"/>
          <w:noProof/>
          <w:sz w:val="28"/>
          <w:szCs w:val="28"/>
          <w:u w:val="single"/>
        </w:rPr>
      </w:pPr>
      <w:r>
        <w:rPr>
          <w:noProof/>
          <w:sz w:val="28"/>
          <w:u w:val="single"/>
        </w:rPr>
        <w:t>Методи за изчисляване, използвани за оценка на разходите</w:t>
      </w:r>
    </w:p>
    <w:p>
      <w:pPr>
        <w:keepNext/>
        <w:spacing w:before="240" w:after="0"/>
        <w:rPr>
          <w:rFonts w:eastAsia="Times New Roman"/>
          <w:noProof/>
          <w:sz w:val="28"/>
          <w:szCs w:val="28"/>
          <w:u w:val="single"/>
        </w:rPr>
      </w:pPr>
      <w:r>
        <w:rPr>
          <w:noProof/>
          <w:sz w:val="28"/>
          <w:u w:val="single"/>
        </w:rPr>
        <w:t>За човешки ресурси</w:t>
      </w:r>
    </w:p>
    <w:p>
      <w:pPr>
        <w:spacing w:after="60"/>
        <w:jc w:val="center"/>
        <w:rPr>
          <w:rFonts w:eastAsia="Times New Roman"/>
          <w:i/>
          <w:noProof/>
          <w:sz w:val="20"/>
          <w:szCs w:val="20"/>
        </w:rPr>
      </w:pPr>
      <w:r>
        <w:rPr>
          <w:i/>
          <w:noProof/>
          <w:sz w:val="20"/>
        </w:rPr>
        <w:t>Да се опише подробно методът на изчисление, използван за всяка категория персонал (хипотези, средни разходи и др.)</w:t>
      </w:r>
    </w:p>
    <w:tbl>
      <w:tblPr>
        <w:tblW w:w="0" w:type="auto"/>
        <w:jc w:val="center"/>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1E0" w:firstRow="1" w:lastRow="1" w:firstColumn="1" w:lastColumn="1" w:noHBand="0" w:noVBand="0"/>
      </w:tblPr>
      <w:tblGrid>
        <w:gridCol w:w="9289"/>
      </w:tblGrid>
      <w:tr>
        <w:trPr>
          <w:jc w:val="center"/>
        </w:trPr>
        <w:tc>
          <w:tcPr>
            <w:tcW w:w="9620" w:type="dxa"/>
            <w:tcBorders>
              <w:top w:val="single" w:sz="4" w:space="0" w:color="auto"/>
            </w:tcBorders>
          </w:tcPr>
          <w:p>
            <w:pPr>
              <w:spacing w:before="60" w:after="60"/>
              <w:rPr>
                <w:rFonts w:ascii="Arial Narrow" w:eastAsia="Times New Roman" w:hAnsi="Arial Narrow"/>
                <w:b/>
                <w:noProof/>
                <w:szCs w:val="24"/>
              </w:rPr>
            </w:pPr>
            <w:r>
              <w:rPr>
                <w:rFonts w:ascii="Arial Narrow" w:hAnsi="Arial Narrow"/>
                <w:b/>
                <w:noProof/>
              </w:rPr>
              <w:t>ФУНКЦИЯ 5</w:t>
            </w:r>
            <w:r>
              <w:rPr>
                <w:noProof/>
              </w:rPr>
              <w:t xml:space="preserve"> </w:t>
            </w:r>
            <w:r>
              <w:rPr>
                <w:rFonts w:ascii="Arial Narrow" w:hAnsi="Arial Narrow"/>
                <w:noProof/>
              </w:rPr>
              <w:t>от многогодишната финансова рамка</w:t>
            </w:r>
          </w:p>
        </w:tc>
      </w:tr>
      <w:tr>
        <w:trPr>
          <w:jc w:val="center"/>
        </w:trPr>
        <w:tc>
          <w:tcPr>
            <w:tcW w:w="9620" w:type="dxa"/>
          </w:tcPr>
          <w:p>
            <w:pPr>
              <w:spacing w:before="20" w:after="20"/>
              <w:jc w:val="center"/>
              <w:rPr>
                <w:rFonts w:ascii="Arial Narrow" w:eastAsia="Times New Roman" w:hAnsi="Arial Narrow"/>
                <w:noProof/>
                <w:sz w:val="18"/>
                <w:szCs w:val="18"/>
              </w:rPr>
            </w:pPr>
            <w:r>
              <w:rPr>
                <w:rFonts w:ascii="Arial Narrow" w:hAnsi="Arial Narrow"/>
                <w:noProof/>
                <w:sz w:val="18"/>
                <w:u w:val="single"/>
              </w:rPr>
              <w:t>Напомняне:</w:t>
            </w:r>
            <w:r>
              <w:rPr>
                <w:rFonts w:ascii="Arial Narrow" w:hAnsi="Arial Narrow"/>
                <w:noProof/>
                <w:sz w:val="18"/>
              </w:rPr>
              <w:t xml:space="preserve"> Средните разходи за всяка категория служители могат да бъдат намерени на уебсайта BudgWeb:</w:t>
            </w:r>
          </w:p>
          <w:p>
            <w:pPr>
              <w:spacing w:after="20"/>
              <w:jc w:val="center"/>
              <w:rPr>
                <w:rFonts w:ascii="Arial Narrow" w:eastAsia="Times New Roman" w:hAnsi="Arial Narrow"/>
                <w:noProof/>
                <w:sz w:val="18"/>
                <w:szCs w:val="18"/>
              </w:rPr>
            </w:pPr>
            <w:hyperlink r:id="rId25" w:anchor="forms">
              <w:r>
                <w:rPr>
                  <w:rFonts w:ascii="Arial Narrow" w:hAnsi="Arial Narrow"/>
                  <w:noProof/>
                  <w:color w:val="0000FF"/>
                  <w:sz w:val="18"/>
                  <w:u w:val="single"/>
                </w:rPr>
                <w:t>http://www.cc.cec/budg/pre/legalbasis/pre-040-020_preparation_en.html#forms</w:t>
              </w:r>
            </w:hyperlink>
          </w:p>
        </w:tc>
      </w:tr>
      <w:tr>
        <w:trPr>
          <w:jc w:val="center"/>
        </w:trPr>
        <w:tc>
          <w:tcPr>
            <w:tcW w:w="9620" w:type="dxa"/>
          </w:tcPr>
          <w:p>
            <w:pPr>
              <w:spacing w:before="40" w:after="0"/>
              <w:rPr>
                <w:rFonts w:ascii="Arial Narrow" w:eastAsia="Times New Roman" w:hAnsi="Arial Narrow"/>
                <w:bCs/>
                <w:iCs/>
                <w:noProof/>
                <w:sz w:val="20"/>
                <w:szCs w:val="20"/>
              </w:rPr>
            </w:pPr>
            <w:r>
              <w:rPr>
                <w:rFonts w:ascii="Arial Narrow" w:eastAsia="Times New Roman" w:hAnsi="Arial Narrow"/>
                <w:b/>
                <w:noProof/>
                <w:szCs w:val="24"/>
              </w:rPr>
              <w:sym w:font="Wingdings" w:char="F09F"/>
            </w:r>
            <w:r>
              <w:rPr>
                <w:rFonts w:ascii="Arial Narrow" w:hAnsi="Arial Narrow"/>
                <w:b/>
                <w:noProof/>
              </w:rPr>
              <w:t xml:space="preserve"> </w:t>
            </w:r>
            <w:r>
              <w:rPr>
                <w:rFonts w:ascii="Arial Narrow" w:hAnsi="Arial Narrow"/>
                <w:noProof/>
              </w:rPr>
              <w:t>за длъжности в щатното разписание (длъжностни лица и временно наети лица)</w:t>
            </w:r>
          </w:p>
          <w:p>
            <w:pPr>
              <w:spacing w:after="0"/>
              <w:rPr>
                <w:rFonts w:ascii="Arial Narrow" w:eastAsia="Times New Roman" w:hAnsi="Arial Narrow"/>
                <w:noProof/>
                <w:sz w:val="20"/>
                <w:szCs w:val="20"/>
                <w:u w:val="single"/>
              </w:rPr>
            </w:pPr>
          </w:p>
          <w:p>
            <w:pPr>
              <w:spacing w:after="0"/>
              <w:rPr>
                <w:rFonts w:ascii="Arial Narrow" w:eastAsia="Times New Roman" w:hAnsi="Arial Narrow"/>
                <w:noProof/>
                <w:sz w:val="20"/>
                <w:szCs w:val="20"/>
              </w:rPr>
            </w:pPr>
            <w:r>
              <w:rPr>
                <w:rFonts w:ascii="Arial Narrow" w:hAnsi="Arial Narrow"/>
                <w:noProof/>
                <w:sz w:val="20"/>
              </w:rPr>
              <w:t>не се прилага</w:t>
            </w:r>
          </w:p>
          <w:p>
            <w:pPr>
              <w:spacing w:before="60" w:after="0"/>
              <w:rPr>
                <w:rFonts w:ascii="Arial Narrow" w:eastAsia="Times New Roman" w:hAnsi="Arial Narrow"/>
                <w:noProof/>
                <w:sz w:val="18"/>
                <w:szCs w:val="18"/>
                <w:u w:val="single"/>
              </w:rPr>
            </w:pPr>
          </w:p>
        </w:tc>
      </w:tr>
      <w:tr>
        <w:trPr>
          <w:jc w:val="center"/>
        </w:trPr>
        <w:tc>
          <w:tcPr>
            <w:tcW w:w="9620" w:type="dxa"/>
            <w:tcBorders>
              <w:bottom w:val="single" w:sz="4" w:space="0" w:color="auto"/>
            </w:tcBorders>
          </w:tcPr>
          <w:p>
            <w:pPr>
              <w:spacing w:before="40" w:after="0"/>
              <w:rPr>
                <w:rFonts w:ascii="Arial Narrow" w:eastAsia="Times New Roman" w:hAnsi="Arial Narrow"/>
                <w:noProof/>
                <w:sz w:val="20"/>
                <w:szCs w:val="20"/>
              </w:rPr>
            </w:pPr>
            <w:r>
              <w:rPr>
                <w:rFonts w:ascii="Arial Narrow" w:eastAsia="Times New Roman" w:hAnsi="Arial Narrow"/>
                <w:b/>
                <w:noProof/>
                <w:szCs w:val="24"/>
              </w:rPr>
              <w:sym w:font="Wingdings" w:char="F09F"/>
            </w:r>
            <w:r>
              <w:rPr>
                <w:rFonts w:ascii="Arial Narrow" w:hAnsi="Arial Narrow"/>
                <w:b/>
                <w:noProof/>
              </w:rPr>
              <w:t xml:space="preserve"> </w:t>
            </w:r>
            <w:r>
              <w:rPr>
                <w:rFonts w:ascii="Arial Narrow" w:hAnsi="Arial Narrow"/>
                <w:noProof/>
              </w:rPr>
              <w:t>за външен персонал</w:t>
            </w:r>
          </w:p>
          <w:p>
            <w:pPr>
              <w:spacing w:after="0"/>
              <w:rPr>
                <w:rFonts w:ascii="Arial Narrow" w:eastAsia="Times New Roman" w:hAnsi="Arial Narrow"/>
                <w:noProof/>
                <w:sz w:val="20"/>
                <w:szCs w:val="20"/>
                <w:u w:val="single"/>
              </w:rPr>
            </w:pPr>
          </w:p>
          <w:p>
            <w:pPr>
              <w:spacing w:after="0"/>
              <w:rPr>
                <w:rFonts w:ascii="Arial Narrow" w:eastAsia="Times New Roman" w:hAnsi="Arial Narrow"/>
                <w:noProof/>
                <w:sz w:val="20"/>
                <w:szCs w:val="20"/>
              </w:rPr>
            </w:pPr>
            <w:r>
              <w:rPr>
                <w:rFonts w:ascii="Arial Narrow" w:hAnsi="Arial Narrow"/>
                <w:noProof/>
                <w:sz w:val="20"/>
              </w:rPr>
              <w:t>не се прилага</w:t>
            </w:r>
          </w:p>
          <w:p>
            <w:pPr>
              <w:spacing w:before="60" w:after="0"/>
              <w:rPr>
                <w:rFonts w:ascii="Arial Narrow" w:eastAsia="Times New Roman" w:hAnsi="Arial Narrow"/>
                <w:noProof/>
                <w:sz w:val="18"/>
                <w:szCs w:val="18"/>
                <w:u w:val="single"/>
              </w:rPr>
            </w:pPr>
          </w:p>
        </w:tc>
      </w:tr>
    </w:tbl>
    <w:p>
      <w:pPr>
        <w:rPr>
          <w:rFonts w:ascii="Arial Narrow" w:eastAsia="Times New Roman" w:hAnsi="Arial Narrow"/>
          <w:noProof/>
          <w:szCs w:val="24"/>
        </w:rPr>
      </w:pPr>
    </w:p>
    <w:tbl>
      <w:tblPr>
        <w:tblW w:w="0" w:type="auto"/>
        <w:jc w:val="center"/>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1E0" w:firstRow="1" w:lastRow="1" w:firstColumn="1" w:lastColumn="1" w:noHBand="0" w:noVBand="0"/>
      </w:tblPr>
      <w:tblGrid>
        <w:gridCol w:w="9289"/>
      </w:tblGrid>
      <w:tr>
        <w:trPr>
          <w:jc w:val="center"/>
        </w:trPr>
        <w:tc>
          <w:tcPr>
            <w:tcW w:w="12474" w:type="dxa"/>
            <w:tcBorders>
              <w:top w:val="single" w:sz="4" w:space="0" w:color="auto"/>
            </w:tcBorders>
          </w:tcPr>
          <w:p>
            <w:pPr>
              <w:spacing w:before="60" w:after="60"/>
              <w:rPr>
                <w:rFonts w:ascii="Arial Narrow" w:eastAsia="Times New Roman" w:hAnsi="Arial Narrow"/>
                <w:b/>
                <w:noProof/>
                <w:szCs w:val="24"/>
              </w:rPr>
            </w:pPr>
            <w:r>
              <w:rPr>
                <w:rFonts w:ascii="Arial Narrow" w:hAnsi="Arial Narrow"/>
                <w:b/>
                <w:noProof/>
              </w:rPr>
              <w:t>Извън ФУНКЦИЯ 5</w:t>
            </w:r>
            <w:r>
              <w:rPr>
                <w:noProof/>
              </w:rPr>
              <w:t xml:space="preserve"> </w:t>
            </w:r>
            <w:r>
              <w:rPr>
                <w:rFonts w:ascii="Arial Narrow" w:hAnsi="Arial Narrow"/>
                <w:noProof/>
              </w:rPr>
              <w:t>от многогодишната финансова рамка</w:t>
            </w:r>
          </w:p>
        </w:tc>
      </w:tr>
      <w:tr>
        <w:trPr>
          <w:jc w:val="center"/>
        </w:trPr>
        <w:tc>
          <w:tcPr>
            <w:tcW w:w="12474" w:type="dxa"/>
          </w:tcPr>
          <w:p>
            <w:pPr>
              <w:spacing w:before="40" w:after="0"/>
              <w:rPr>
                <w:rFonts w:ascii="Arial Narrow" w:eastAsia="Times New Roman" w:hAnsi="Arial Narrow"/>
                <w:bCs/>
                <w:iCs/>
                <w:noProof/>
                <w:sz w:val="20"/>
                <w:szCs w:val="20"/>
              </w:rPr>
            </w:pPr>
            <w:r>
              <w:rPr>
                <w:rFonts w:ascii="Arial Narrow" w:eastAsia="Times New Roman" w:hAnsi="Arial Narrow"/>
                <w:b/>
                <w:noProof/>
                <w:szCs w:val="24"/>
              </w:rPr>
              <w:sym w:font="Wingdings" w:char="F09F"/>
            </w:r>
            <w:r>
              <w:rPr>
                <w:rFonts w:ascii="Arial Narrow" w:hAnsi="Arial Narrow"/>
                <w:b/>
                <w:noProof/>
              </w:rPr>
              <w:t xml:space="preserve"> </w:t>
            </w:r>
            <w:r>
              <w:rPr>
                <w:rFonts w:ascii="Arial Narrow" w:hAnsi="Arial Narrow"/>
                <w:noProof/>
              </w:rPr>
              <w:t>за длъжности в щатното разписание (длъжностни лица и временно наети лица, заети с изследователска дейност)</w:t>
            </w:r>
          </w:p>
          <w:p>
            <w:pPr>
              <w:spacing w:after="0"/>
              <w:rPr>
                <w:rFonts w:ascii="Arial Narrow" w:eastAsia="Times New Roman" w:hAnsi="Arial Narrow"/>
                <w:noProof/>
                <w:sz w:val="20"/>
                <w:szCs w:val="20"/>
                <w:u w:val="single"/>
              </w:rPr>
            </w:pPr>
          </w:p>
          <w:p>
            <w:pPr>
              <w:spacing w:after="0"/>
              <w:rPr>
                <w:rFonts w:ascii="Arial Narrow" w:eastAsia="Times New Roman" w:hAnsi="Arial Narrow"/>
                <w:noProof/>
                <w:sz w:val="20"/>
                <w:szCs w:val="20"/>
                <w:u w:val="single"/>
              </w:rPr>
            </w:pPr>
            <w:r>
              <w:rPr>
                <w:rFonts w:ascii="Arial Narrow" w:hAnsi="Arial Narrow"/>
                <w:noProof/>
                <w:sz w:val="20"/>
              </w:rPr>
              <w:t>не се прилага</w:t>
            </w:r>
          </w:p>
          <w:p>
            <w:pPr>
              <w:spacing w:before="60" w:after="0"/>
              <w:rPr>
                <w:rFonts w:ascii="Arial Narrow" w:eastAsia="Times New Roman" w:hAnsi="Arial Narrow"/>
                <w:noProof/>
                <w:sz w:val="18"/>
                <w:szCs w:val="18"/>
                <w:u w:val="single"/>
              </w:rPr>
            </w:pPr>
          </w:p>
        </w:tc>
      </w:tr>
      <w:tr>
        <w:trPr>
          <w:jc w:val="center"/>
        </w:trPr>
        <w:tc>
          <w:tcPr>
            <w:tcW w:w="12474" w:type="dxa"/>
            <w:tcBorders>
              <w:bottom w:val="single" w:sz="4" w:space="0" w:color="auto"/>
            </w:tcBorders>
          </w:tcPr>
          <w:p>
            <w:pPr>
              <w:spacing w:before="40" w:after="0"/>
              <w:rPr>
                <w:rFonts w:ascii="Arial Narrow" w:eastAsia="Times New Roman" w:hAnsi="Arial Narrow"/>
                <w:noProof/>
                <w:sz w:val="20"/>
                <w:szCs w:val="20"/>
              </w:rPr>
            </w:pPr>
            <w:r>
              <w:rPr>
                <w:rFonts w:ascii="Arial Narrow" w:eastAsia="Times New Roman" w:hAnsi="Arial Narrow"/>
                <w:b/>
                <w:noProof/>
                <w:szCs w:val="24"/>
              </w:rPr>
              <w:sym w:font="Wingdings" w:char="F09F"/>
            </w:r>
            <w:r>
              <w:rPr>
                <w:rFonts w:ascii="Arial Narrow" w:hAnsi="Arial Narrow"/>
                <w:b/>
                <w:noProof/>
              </w:rPr>
              <w:t xml:space="preserve"> </w:t>
            </w:r>
            <w:r>
              <w:rPr>
                <w:rFonts w:ascii="Arial Narrow" w:hAnsi="Arial Narrow"/>
                <w:noProof/>
              </w:rPr>
              <w:t>за външен персонал</w:t>
            </w:r>
          </w:p>
          <w:p>
            <w:pPr>
              <w:spacing w:after="0"/>
              <w:rPr>
                <w:rFonts w:ascii="Arial Narrow" w:eastAsia="Times New Roman" w:hAnsi="Arial Narrow"/>
                <w:noProof/>
                <w:sz w:val="20"/>
                <w:szCs w:val="20"/>
                <w:u w:val="single"/>
              </w:rPr>
            </w:pPr>
          </w:p>
          <w:p>
            <w:pPr>
              <w:spacing w:after="0"/>
              <w:rPr>
                <w:rFonts w:ascii="Arial Narrow" w:eastAsia="Times New Roman" w:hAnsi="Arial Narrow"/>
                <w:noProof/>
                <w:sz w:val="20"/>
                <w:szCs w:val="20"/>
                <w:u w:val="single"/>
              </w:rPr>
            </w:pPr>
            <w:r>
              <w:rPr>
                <w:rFonts w:ascii="Arial Narrow" w:hAnsi="Arial Narrow"/>
                <w:noProof/>
                <w:sz w:val="20"/>
              </w:rPr>
              <w:t>не се прилага</w:t>
            </w:r>
          </w:p>
          <w:p>
            <w:pPr>
              <w:spacing w:before="60" w:after="0"/>
              <w:rPr>
                <w:rFonts w:ascii="Arial Narrow" w:eastAsia="Times New Roman" w:hAnsi="Arial Narrow"/>
                <w:noProof/>
                <w:sz w:val="18"/>
                <w:szCs w:val="18"/>
                <w:u w:val="single"/>
              </w:rPr>
            </w:pPr>
          </w:p>
        </w:tc>
      </w:tr>
    </w:tbl>
    <w:p>
      <w:pPr>
        <w:spacing w:before="60"/>
        <w:ind w:left="-360" w:firstLine="900"/>
        <w:rPr>
          <w:rFonts w:eastAsia="Times New Roman"/>
          <w:noProof/>
          <w:sz w:val="20"/>
          <w:szCs w:val="20"/>
        </w:rPr>
      </w:pPr>
    </w:p>
    <w:p>
      <w:pPr>
        <w:keepNext/>
        <w:spacing w:before="240" w:after="0"/>
        <w:rPr>
          <w:rFonts w:eastAsia="Times New Roman"/>
          <w:noProof/>
          <w:sz w:val="28"/>
          <w:szCs w:val="28"/>
          <w:u w:val="single"/>
        </w:rPr>
      </w:pPr>
      <w:r>
        <w:rPr>
          <w:noProof/>
          <w:sz w:val="28"/>
          <w:u w:val="single"/>
        </w:rPr>
        <w:t>Други разходи с административен характер</w:t>
      </w:r>
    </w:p>
    <w:p>
      <w:pPr>
        <w:spacing w:before="60"/>
        <w:jc w:val="center"/>
        <w:rPr>
          <w:rFonts w:eastAsia="Times New Roman"/>
          <w:i/>
          <w:noProof/>
          <w:sz w:val="20"/>
          <w:szCs w:val="20"/>
        </w:rPr>
      </w:pPr>
      <w:r>
        <w:rPr>
          <w:i/>
          <w:noProof/>
          <w:sz w:val="20"/>
        </w:rPr>
        <w:t>Да се опише подробно методът на изчисление, използван за всеки бюджетен ред,</w:t>
      </w:r>
    </w:p>
    <w:p>
      <w:pPr>
        <w:spacing w:after="60"/>
        <w:jc w:val="center"/>
        <w:rPr>
          <w:rFonts w:eastAsia="Times New Roman"/>
          <w:i/>
          <w:noProof/>
          <w:sz w:val="20"/>
          <w:szCs w:val="20"/>
        </w:rPr>
      </w:pPr>
      <w:r>
        <w:rPr>
          <w:i/>
          <w:noProof/>
          <w:sz w:val="20"/>
        </w:rPr>
        <w:t>като се наблегне на заложените хипотези (напр. брой заседания годишно, средни разходи и др.)</w:t>
      </w:r>
    </w:p>
    <w:tbl>
      <w:tblPr>
        <w:tblW w:w="0" w:type="auto"/>
        <w:jc w:val="center"/>
        <w:tblInd w:w="-434" w:type="dxa"/>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1E0" w:firstRow="1" w:lastRow="1" w:firstColumn="1" w:lastColumn="1" w:noHBand="0" w:noVBand="0"/>
      </w:tblPr>
      <w:tblGrid>
        <w:gridCol w:w="9537"/>
      </w:tblGrid>
      <w:tr>
        <w:trPr>
          <w:jc w:val="center"/>
        </w:trPr>
        <w:tc>
          <w:tcPr>
            <w:tcW w:w="9537" w:type="dxa"/>
            <w:tcBorders>
              <w:top w:val="single" w:sz="4" w:space="0" w:color="auto"/>
            </w:tcBorders>
          </w:tcPr>
          <w:p>
            <w:pPr>
              <w:spacing w:before="60" w:after="60"/>
              <w:rPr>
                <w:rFonts w:ascii="Arial Narrow" w:eastAsia="Times New Roman" w:hAnsi="Arial Narrow"/>
                <w:b/>
                <w:noProof/>
                <w:szCs w:val="24"/>
              </w:rPr>
            </w:pPr>
            <w:r>
              <w:rPr>
                <w:rFonts w:ascii="Arial Narrow" w:hAnsi="Arial Narrow"/>
                <w:b/>
                <w:noProof/>
              </w:rPr>
              <w:t>ФУНКЦИЯ 5</w:t>
            </w:r>
            <w:r>
              <w:rPr>
                <w:noProof/>
              </w:rPr>
              <w:t xml:space="preserve"> </w:t>
            </w:r>
            <w:r>
              <w:rPr>
                <w:rFonts w:ascii="Arial Narrow" w:hAnsi="Arial Narrow"/>
                <w:noProof/>
              </w:rPr>
              <w:t>от многогодишната финансова рамка</w:t>
            </w:r>
          </w:p>
        </w:tc>
      </w:tr>
      <w:tr>
        <w:trPr>
          <w:jc w:val="center"/>
        </w:trPr>
        <w:tc>
          <w:tcPr>
            <w:tcW w:w="9537" w:type="dxa"/>
            <w:tcBorders>
              <w:bottom w:val="single" w:sz="4" w:space="0" w:color="auto"/>
            </w:tcBorders>
          </w:tcPr>
          <w:p>
            <w:pPr>
              <w:spacing w:after="0"/>
              <w:rPr>
                <w:rFonts w:ascii="Arial Narrow" w:eastAsia="Times New Roman" w:hAnsi="Arial Narrow"/>
                <w:noProof/>
                <w:sz w:val="20"/>
                <w:szCs w:val="20"/>
              </w:rPr>
            </w:pPr>
          </w:p>
          <w:p>
            <w:pPr>
              <w:spacing w:after="0"/>
              <w:rPr>
                <w:rFonts w:ascii="Arial Narrow" w:eastAsia="Times New Roman" w:hAnsi="Arial Narrow"/>
                <w:noProof/>
                <w:sz w:val="20"/>
                <w:szCs w:val="20"/>
              </w:rPr>
            </w:pPr>
            <w:r>
              <w:rPr>
                <w:rFonts w:ascii="Arial Narrow" w:hAnsi="Arial Narrow"/>
                <w:noProof/>
                <w:sz w:val="20"/>
              </w:rPr>
              <w:t>не се прилага</w:t>
            </w:r>
          </w:p>
          <w:p>
            <w:pPr>
              <w:spacing w:before="60" w:after="0"/>
              <w:rPr>
                <w:rFonts w:ascii="Arial Narrow" w:eastAsia="Times New Roman" w:hAnsi="Arial Narrow"/>
                <w:noProof/>
                <w:sz w:val="18"/>
                <w:szCs w:val="18"/>
                <w:u w:val="single"/>
              </w:rPr>
            </w:pPr>
          </w:p>
        </w:tc>
      </w:tr>
    </w:tbl>
    <w:p>
      <w:pPr>
        <w:rPr>
          <w:rFonts w:ascii="Arial Narrow" w:eastAsia="Times New Roman" w:hAnsi="Arial Narrow"/>
          <w:noProof/>
          <w:szCs w:val="24"/>
        </w:rPr>
      </w:pPr>
    </w:p>
    <w:tbl>
      <w:tblPr>
        <w:tblW w:w="9584" w:type="dxa"/>
        <w:jc w:val="center"/>
        <w:tblInd w:w="251" w:type="dxa"/>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1E0" w:firstRow="1" w:lastRow="1" w:firstColumn="1" w:lastColumn="1" w:noHBand="0" w:noVBand="0"/>
      </w:tblPr>
      <w:tblGrid>
        <w:gridCol w:w="9584"/>
      </w:tblGrid>
      <w:tr>
        <w:trPr>
          <w:jc w:val="center"/>
        </w:trPr>
        <w:tc>
          <w:tcPr>
            <w:tcW w:w="9584" w:type="dxa"/>
            <w:tcBorders>
              <w:top w:val="single" w:sz="4" w:space="0" w:color="auto"/>
            </w:tcBorders>
          </w:tcPr>
          <w:p>
            <w:pPr>
              <w:spacing w:before="60" w:after="60"/>
              <w:rPr>
                <w:rFonts w:ascii="Arial Narrow" w:eastAsia="Times New Roman" w:hAnsi="Arial Narrow"/>
                <w:b/>
                <w:noProof/>
                <w:szCs w:val="24"/>
              </w:rPr>
            </w:pPr>
            <w:r>
              <w:rPr>
                <w:rFonts w:ascii="Arial Narrow" w:hAnsi="Arial Narrow"/>
                <w:b/>
                <w:noProof/>
              </w:rPr>
              <w:t>Извън ФУНКЦИЯ 5</w:t>
            </w:r>
            <w:r>
              <w:rPr>
                <w:noProof/>
              </w:rPr>
              <w:t xml:space="preserve"> </w:t>
            </w:r>
            <w:r>
              <w:rPr>
                <w:rFonts w:ascii="Arial Narrow" w:hAnsi="Arial Narrow"/>
                <w:noProof/>
              </w:rPr>
              <w:t>от многогодишната финансова рамка</w:t>
            </w:r>
          </w:p>
        </w:tc>
      </w:tr>
      <w:tr>
        <w:trPr>
          <w:jc w:val="center"/>
        </w:trPr>
        <w:tc>
          <w:tcPr>
            <w:tcW w:w="9584" w:type="dxa"/>
            <w:tcBorders>
              <w:bottom w:val="single" w:sz="4" w:space="0" w:color="auto"/>
            </w:tcBorders>
          </w:tcPr>
          <w:p>
            <w:pPr>
              <w:spacing w:after="0"/>
              <w:rPr>
                <w:rFonts w:ascii="Arial Narrow" w:eastAsia="Times New Roman" w:hAnsi="Arial Narrow"/>
                <w:noProof/>
                <w:sz w:val="20"/>
                <w:szCs w:val="20"/>
              </w:rPr>
            </w:pPr>
          </w:p>
          <w:p>
            <w:pPr>
              <w:spacing w:after="0"/>
              <w:rPr>
                <w:rFonts w:ascii="Arial Narrow" w:eastAsia="Times New Roman" w:hAnsi="Arial Narrow"/>
                <w:noProof/>
                <w:sz w:val="20"/>
                <w:szCs w:val="20"/>
              </w:rPr>
            </w:pPr>
            <w:r>
              <w:rPr>
                <w:rFonts w:ascii="Arial Narrow" w:hAnsi="Arial Narrow"/>
                <w:noProof/>
                <w:sz w:val="20"/>
              </w:rPr>
              <w:t>не се прилага</w:t>
            </w:r>
          </w:p>
          <w:p>
            <w:pPr>
              <w:spacing w:before="60" w:after="0"/>
              <w:rPr>
                <w:rFonts w:ascii="Arial Narrow" w:eastAsia="Times New Roman" w:hAnsi="Arial Narrow"/>
                <w:noProof/>
                <w:sz w:val="18"/>
                <w:szCs w:val="18"/>
                <w:u w:val="single"/>
              </w:rPr>
            </w:pPr>
          </w:p>
        </w:tc>
      </w:tr>
    </w:tbl>
    <w:p>
      <w:pPr>
        <w:rPr>
          <w:noProof/>
        </w:rPr>
      </w:pPr>
    </w:p>
    <w:sectPr>
      <w:headerReference w:type="default" r:id="rId26"/>
      <w:footerReference w:type="default" r:id="rId27"/>
      <w:headerReference w:type="first" r:id="rId28"/>
      <w:footerReference w:type="first" r:id="rId29"/>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BG</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BG</w:t>
    </w:r>
    <w:r>
      <w:rPr>
        <w:rFonts w:ascii="Arial" w:hAnsi="Arial" w:cs="Arial"/>
        <w:b/>
        <w:sz w:val="48"/>
      </w:rPr>
      <w:tab/>
    </w:r>
    <w:r>
      <w:fldChar w:fldCharType="begin"/>
    </w:r>
    <w:r>
      <w:instrText xml:space="preserve"> PAGE  \* MERGEFORMAT </w:instrText>
    </w:r>
    <w:r>
      <w:fldChar w:fldCharType="separate"/>
    </w:r>
    <w:r>
      <w:rPr>
        <w:noProof/>
      </w:rPr>
      <w:t>3</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BG</w:t>
    </w:r>
    <w:r>
      <w:rPr>
        <w:rFonts w:ascii="Arial" w:hAnsi="Arial" w:cs="Arial"/>
        <w:b/>
        <w:sz w:val="48"/>
      </w:rPr>
      <w:tab/>
    </w:r>
    <w:r>
      <w:fldChar w:fldCharType="begin"/>
    </w:r>
    <w:r>
      <w:instrText xml:space="preserve"> PAGE  \* MERGEFORMAT </w:instrText>
    </w:r>
    <w:r>
      <w:fldChar w:fldCharType="separate"/>
    </w:r>
    <w:r>
      <w:rPr>
        <w:noProof/>
      </w:rPr>
      <w:t>15</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BG</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BG</w:t>
    </w:r>
    <w:r>
      <w:rPr>
        <w:rFonts w:ascii="Arial" w:hAnsi="Arial" w:cs="Arial"/>
        <w:b/>
        <w:sz w:val="48"/>
      </w:rPr>
      <w:tab/>
    </w:r>
    <w:r>
      <w:fldChar w:fldCharType="begin"/>
    </w:r>
    <w:r>
      <w:instrText xml:space="preserve"> PAGE  \* MERGEFORMAT </w:instrText>
    </w:r>
    <w:r>
      <w:fldChar w:fldCharType="separate"/>
    </w:r>
    <w:r>
      <w:rPr>
        <w:noProof/>
      </w:rPr>
      <w:t>21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BG</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BG</w:t>
    </w:r>
    <w:r>
      <w:rPr>
        <w:rFonts w:ascii="Arial" w:hAnsi="Arial" w:cs="Arial"/>
        <w:b/>
        <w:sz w:val="48"/>
      </w:rPr>
      <w:tab/>
    </w:r>
    <w:r>
      <w:fldChar w:fldCharType="begin"/>
    </w:r>
    <w:r>
      <w:instrText xml:space="preserve"> PAGE  \* MERGEFORMAT </w:instrText>
    </w:r>
    <w:r>
      <w:fldChar w:fldCharType="separate"/>
    </w:r>
    <w:r>
      <w:rPr>
        <w:noProof/>
      </w:rPr>
      <w:t>21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BG</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BG</w:t>
    </w:r>
    <w:r>
      <w:rPr>
        <w:rFonts w:ascii="Arial" w:hAnsi="Arial" w:cs="Arial"/>
        <w:b/>
        <w:sz w:val="48"/>
      </w:rPr>
      <w:tab/>
    </w:r>
    <w:r>
      <w:fldChar w:fldCharType="begin"/>
    </w:r>
    <w:r>
      <w:instrText xml:space="preserve"> PAGE  \* MERGEFORMAT </w:instrText>
    </w:r>
    <w:r>
      <w:fldChar w:fldCharType="separate"/>
    </w:r>
    <w:r>
      <w:rPr>
        <w:noProof/>
      </w:rPr>
      <w:t>21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BG</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като взе предвид протоколите от заседанието на Научния и технически комитет, което се проведе на 13—15 юни 2016 г.</w:t>
      </w:r>
    </w:p>
  </w:footnote>
  <w:footnote w:id="2">
    <w:p>
      <w:pPr>
        <w:pStyle w:val="FootnoteText"/>
      </w:pPr>
      <w:r>
        <w:rPr>
          <w:rStyle w:val="FootnoteReference"/>
        </w:rPr>
        <w:footnoteRef/>
      </w:r>
      <w:r>
        <w:tab/>
        <w:t>ОВ L 321, 20.11.2012 г., стр. 59.</w:t>
      </w:r>
    </w:p>
  </w:footnote>
  <w:footnote w:id="3">
    <w:p>
      <w:pPr>
        <w:pStyle w:val="FootnoteText"/>
      </w:pPr>
      <w:r>
        <w:rPr>
          <w:rStyle w:val="FootnoteReference"/>
        </w:rPr>
        <w:footnoteRef/>
      </w:r>
      <w:r>
        <w:tab/>
        <w:t>ОВ L 298, 26.10.2012 г., стр. 1.</w:t>
      </w:r>
    </w:p>
  </w:footnote>
  <w:footnote w:id="4">
    <w:p>
      <w:pPr>
        <w:pStyle w:val="FootnoteText"/>
      </w:pPr>
      <w:r>
        <w:rPr>
          <w:rStyle w:val="FootnoteReference"/>
        </w:rPr>
        <w:footnoteRef/>
      </w:r>
      <w:r>
        <w:tab/>
        <w:t>OВ L 312, 23.12.1995, стр. 1.</w:t>
      </w:r>
    </w:p>
  </w:footnote>
  <w:footnote w:id="5">
    <w:p>
      <w:pPr>
        <w:pStyle w:val="FootnoteText"/>
      </w:pPr>
      <w:r>
        <w:rPr>
          <w:rStyle w:val="FootnoteReference"/>
        </w:rPr>
        <w:footnoteRef/>
      </w:r>
      <w:r>
        <w:tab/>
        <w:t>OВ L 292, 15.11.1996, стр. 2.</w:t>
      </w:r>
    </w:p>
  </w:footnote>
  <w:footnote w:id="6">
    <w:p>
      <w:pPr>
        <w:pStyle w:val="FootnoteText"/>
        <w:rPr>
          <w:lang w:val="pl-PL"/>
        </w:rPr>
      </w:pPr>
      <w:r>
        <w:rPr>
          <w:rStyle w:val="FootnoteReference"/>
        </w:rPr>
        <w:footnoteRef/>
      </w:r>
      <w:r>
        <w:tab/>
        <w:t>OВ L 136, 31.5.1999 г., стр.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096A39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0CE4110"/>
    <w:lvl w:ilvl="0">
      <w:start w:val="1"/>
      <w:numFmt w:val="decimal"/>
      <w:pStyle w:val="ListNumber3"/>
      <w:lvlText w:val="%1."/>
      <w:lvlJc w:val="left"/>
      <w:pPr>
        <w:tabs>
          <w:tab w:val="num" w:pos="926"/>
        </w:tabs>
        <w:ind w:left="926" w:hanging="360"/>
      </w:pPr>
    </w:lvl>
  </w:abstractNum>
  <w:abstractNum w:abstractNumId="2">
    <w:nsid w:val="FFFFFF7F"/>
    <w:multiLevelType w:val="singleLevel"/>
    <w:tmpl w:val="C8DEAA86"/>
    <w:lvl w:ilvl="0">
      <w:start w:val="1"/>
      <w:numFmt w:val="decimal"/>
      <w:pStyle w:val="ListNumber2"/>
      <w:lvlText w:val="%1."/>
      <w:lvlJc w:val="left"/>
      <w:pPr>
        <w:tabs>
          <w:tab w:val="num" w:pos="643"/>
        </w:tabs>
        <w:ind w:left="643" w:hanging="360"/>
      </w:pPr>
    </w:lvl>
  </w:abstractNum>
  <w:abstractNum w:abstractNumId="3">
    <w:nsid w:val="FFFFFF81"/>
    <w:multiLevelType w:val="singleLevel"/>
    <w:tmpl w:val="EDF6BA1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FDDED99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388A6B68"/>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EF7034D6"/>
    <w:lvl w:ilvl="0">
      <w:start w:val="1"/>
      <w:numFmt w:val="decimal"/>
      <w:pStyle w:val="ListNumber"/>
      <w:lvlText w:val="%1."/>
      <w:lvlJc w:val="left"/>
      <w:pPr>
        <w:tabs>
          <w:tab w:val="num" w:pos="360"/>
        </w:tabs>
        <w:ind w:left="360" w:hanging="360"/>
      </w:pPr>
    </w:lvl>
  </w:abstractNum>
  <w:abstractNum w:abstractNumId="7">
    <w:nsid w:val="FFFFFF89"/>
    <w:multiLevelType w:val="singleLevel"/>
    <w:tmpl w:val="49EA12E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0315490"/>
    <w:multiLevelType w:val="singleLevel"/>
    <w:tmpl w:val="1F86C700"/>
    <w:lvl w:ilvl="0">
      <w:start w:val="1"/>
      <w:numFmt w:val="bullet"/>
      <w:lvlRestart w:val="0"/>
      <w:pStyle w:val="ListDash"/>
      <w:lvlText w:val="–"/>
      <w:lvlJc w:val="left"/>
      <w:pPr>
        <w:tabs>
          <w:tab w:val="num" w:pos="283"/>
        </w:tabs>
        <w:ind w:left="283" w:hanging="283"/>
      </w:pPr>
      <w:rPr>
        <w:rFonts w:ascii="Times New Roman" w:hAnsi="Times New Roman"/>
      </w:rPr>
    </w:lvl>
  </w:abstractNum>
  <w:abstractNum w:abstractNumId="1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96D67A1"/>
    <w:multiLevelType w:val="singleLevel"/>
    <w:tmpl w:val="9AC8831A"/>
    <w:lvl w:ilvl="0">
      <w:start w:val="1"/>
      <w:numFmt w:val="bullet"/>
      <w:lvlRestart w:val="0"/>
      <w:pStyle w:val="ListDash2"/>
      <w:lvlText w:val="–"/>
      <w:lvlJc w:val="left"/>
      <w:pPr>
        <w:tabs>
          <w:tab w:val="num" w:pos="1134"/>
        </w:tabs>
        <w:ind w:left="1134" w:hanging="283"/>
      </w:pPr>
      <w:rPr>
        <w:rFonts w:ascii="Times New Roman" w:hAnsi="Times New Roman"/>
      </w:rPr>
    </w:lvl>
  </w:abstractNum>
  <w:abstractNum w:abstractNumId="18">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nsid w:val="62A8042C"/>
    <w:multiLevelType w:val="singleLevel"/>
    <w:tmpl w:val="CCF20C06"/>
    <w:lvl w:ilvl="0">
      <w:start w:val="1"/>
      <w:numFmt w:val="bullet"/>
      <w:lvlRestart w:val="0"/>
      <w:pStyle w:val="ListDash1"/>
      <w:lvlText w:val="–"/>
      <w:lvlJc w:val="left"/>
      <w:pPr>
        <w:tabs>
          <w:tab w:val="num" w:pos="1134"/>
        </w:tabs>
        <w:ind w:left="1134" w:hanging="283"/>
      </w:pPr>
      <w:rPr>
        <w:rFonts w:ascii="Times New Roman" w:hAnsi="Times New Roman"/>
      </w:rPr>
    </w:lvl>
  </w:abstractNum>
  <w:abstractNum w:abstractNumId="22">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4">
    <w:nsid w:val="6A6901C1"/>
    <w:multiLevelType w:val="singleLevel"/>
    <w:tmpl w:val="208841AE"/>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25">
    <w:nsid w:val="78A241BD"/>
    <w:multiLevelType w:val="singleLevel"/>
    <w:tmpl w:val="53C4DF32"/>
    <w:lvl w:ilvl="0">
      <w:start w:val="1"/>
      <w:numFmt w:val="bullet"/>
      <w:lvlRestart w:val="0"/>
      <w:pStyle w:val="ListDash3"/>
      <w:lvlText w:val="–"/>
      <w:lvlJc w:val="left"/>
      <w:pPr>
        <w:tabs>
          <w:tab w:val="num" w:pos="1134"/>
        </w:tabs>
        <w:ind w:left="1134" w:hanging="283"/>
      </w:pPr>
      <w:rPr>
        <w:rFonts w:ascii="Times New Roman" w:hAnsi="Times New Roman"/>
      </w:rPr>
    </w:lvl>
  </w:abstractNum>
  <w:abstractNum w:abstractNumId="26">
    <w:nsid w:val="79C96D36"/>
    <w:multiLevelType w:val="multilevel"/>
    <w:tmpl w:val="BE983CE4"/>
    <w:lvl w:ilvl="0">
      <w:start w:val="1"/>
      <w:numFmt w:val="decimal"/>
      <w:lvlRestart w:val="0"/>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28">
    <w:nsid w:val="7D8820A0"/>
    <w:multiLevelType w:val="singleLevel"/>
    <w:tmpl w:val="54F6C7B4"/>
    <w:name w:val="List Dash 3"/>
    <w:lvl w:ilvl="0">
      <w:start w:val="1"/>
      <w:numFmt w:val="bullet"/>
      <w:lvlRestart w:val="0"/>
      <w:pStyle w:val="ListDash4"/>
      <w:lvlText w:val="–"/>
      <w:lvlJc w:val="left"/>
      <w:pPr>
        <w:tabs>
          <w:tab w:val="num" w:pos="1134"/>
        </w:tabs>
        <w:ind w:left="1134" w:hanging="283"/>
      </w:pPr>
      <w:rPr>
        <w:rFonts w:ascii="Times New Roman" w:hAnsi="Times New Roman"/>
      </w:rPr>
    </w:lvl>
  </w:abstractNum>
  <w:num w:numId="1">
    <w:abstractNumId w:val="27"/>
    <w:lvlOverride w:ilvl="0">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5"/>
  </w:num>
  <w:num w:numId="5">
    <w:abstractNumId w:val="4"/>
  </w:num>
  <w:num w:numId="6">
    <w:abstractNumId w:val="3"/>
  </w:num>
  <w:num w:numId="7">
    <w:abstractNumId w:val="6"/>
  </w:num>
  <w:num w:numId="8">
    <w:abstractNumId w:val="2"/>
  </w:num>
  <w:num w:numId="9">
    <w:abstractNumId w:val="1"/>
  </w:num>
  <w:num w:numId="10">
    <w:abstractNumId w:val="0"/>
  </w:num>
  <w:num w:numId="11">
    <w:abstractNumId w:val="26"/>
  </w:num>
  <w:num w:numId="12">
    <w:abstractNumId w:val="24"/>
  </w:num>
  <w:num w:numId="13">
    <w:abstractNumId w:val="12"/>
  </w:num>
  <w:num w:numId="14">
    <w:abstractNumId w:val="21"/>
  </w:num>
  <w:num w:numId="15">
    <w:abstractNumId w:val="17"/>
  </w:num>
  <w:num w:numId="16">
    <w:abstractNumId w:val="25"/>
  </w:num>
  <w:num w:numId="17">
    <w:abstractNumId w:val="28"/>
  </w:num>
  <w:num w:numId="18">
    <w:abstractNumId w:val="20"/>
  </w:num>
  <w:num w:numId="19">
    <w:abstractNumId w:val="13"/>
  </w:num>
  <w:num w:numId="20">
    <w:abstractNumId w:val="23"/>
  </w:num>
  <w:num w:numId="21">
    <w:abstractNumId w:val="11"/>
  </w:num>
  <w:num w:numId="22">
    <w:abstractNumId w:val="14"/>
  </w:num>
  <w:num w:numId="23">
    <w:abstractNumId w:val="9"/>
  </w:num>
  <w:num w:numId="24">
    <w:abstractNumId w:val="22"/>
  </w:num>
  <w:num w:numId="25">
    <w:abstractNumId w:val="8"/>
  </w:num>
  <w:num w:numId="26">
    <w:abstractNumId w:val="15"/>
  </w:num>
  <w:num w:numId="27">
    <w:abstractNumId w:val="18"/>
  </w:num>
  <w:num w:numId="28">
    <w:abstractNumId w:val="19"/>
  </w:num>
  <w:num w:numId="29">
    <w:abstractNumId w:val="10"/>
  </w:num>
  <w:num w:numId="30">
    <w:abstractNumId w:val="16"/>
  </w:num>
  <w:num w:numId="31">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7-02-22 11:04:00"/>
    <w:docVar w:name="DQCResult_Distribution" w:val="0;1"/>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117"/>
    <w:docVar w:name="DQCResult_ModifiedMarkers" w:val="0;0"/>
    <w:docVar w:name="DQCResult_ModifiedNumbering" w:val="0;0"/>
    <w:docVar w:name="DQCResult_Objects" w:val="0;0"/>
    <w:docVar w:name="DQCResult_Sections" w:val="0;1"/>
    <w:docVar w:name="DQCResult_StructureCheck" w:val="0;0"/>
    <w:docVar w:name="DQCResult_SuperfluousWhitespace" w:val="0;18"/>
    <w:docVar w:name="DQCResult_UnknownFonts" w:val="0;0"/>
    <w:docVar w:name="DQCResult_UnknownStyles" w:val="0;1"/>
    <w:docVar w:name="DQCStatus" w:val="Green"/>
    <w:docVar w:name="DQCVersion" w:val="3"/>
    <w:docVar w:name="DQCWithWarnings" w:val="0"/>
    <w:docVar w:name="LW_CONFIDENCE" w:val=" "/>
    <w:docVar w:name="LW_CONST_RESTREINT_UE" w:val="RESTREINT UE"/>
    <w:docVar w:name="LW_CORRIGENDUM" w:val="&lt;UNUSED&gt;"/>
    <w:docVar w:name="LW_COVERPAGE_GUID" w:val="4C07F0953F2644CA8C5A2A5C5D2BAF70"/>
    <w:docVar w:name="LW_CROSSREFERENCE" w:val="&lt;UNUSED&gt;"/>
    <w:docVar w:name="LW_DocType" w:val="COM"/>
    <w:docVar w:name="LW_EMISSION" w:val="23.2.2017"/>
    <w:docVar w:name="LW_EMISSION_ISODATE" w:val="2017-02-23"/>
    <w:docVar w:name="LW_EMISSION_LOCATION" w:val="BRX"/>
    <w:docVar w:name="LW_EMISSION_PREFIX" w:val="Брюксел, "/>
    <w:docVar w:name="LW_EMISSION_SUFFIX" w:val=" \u1075?."/>
    <w:docVar w:name="LW_ID_DOCMODEL" w:val="SJ-019"/>
    <w:docVar w:name="LW_ID_DOCSIGNATURE" w:val="SJ-019"/>
    <w:docVar w:name="LW_ID_DOCSTRUCTURE" w:val="COM/PL/ORG"/>
    <w:docVar w:name="LW_ID_DOCTYPE" w:val="SJ-019"/>
    <w:docVar w:name="LW_ID_STATUT" w:val="SJ-019"/>
    <w:docVar w:name="LW_INTERETEEE.CP" w:val="&lt;UNUSED&gt;"/>
    <w:docVar w:name="LW_LANGUE" w:val="BG"/>
    <w:docVar w:name="LW_MARKING" w:val="&lt;UNUSED&gt;"/>
    <w:docVar w:name="LW_NOM.INST" w:val="\u1045?\u1042?\u1056?\u1054?\u1055?\u1045?\u1049?\u1057?\u1050?\u1040? \u1050?\u1054?\u1052?\u1048?\u1057?\u1048?\u1071?"/>
    <w:docVar w:name="LW_NOM.INST_JOINTDOC" w:val="&lt;EMPTY&gt;"/>
    <w:docVar w:name="LW_PART_NBR" w:val="1"/>
    <w:docVar w:name="LW_PART_NBR_TOTAL" w:val="1"/>
    <w:docVar w:name="LW_REF.II.NEW.CP" w:val="NLE"/>
    <w:docVar w:name="LW_REF.II.NEW.CP_NUMBER" w:val="0036"/>
    <w:docVar w:name="LW_REF.II.NEW.CP_YEAR" w:val="2017"/>
    <w:docVar w:name="LW_REF.INST.NEW" w:val="COM"/>
    <w:docVar w:name="LW_REF.INST.NEW_ADOPTED" w:val="final"/>
    <w:docVar w:name="LW_REF.INST.NEW_TEXT" w:val="(2017) 83"/>
    <w:docVar w:name="LW_REF.INTERNE" w:val="&lt;UNUSED&gt;"/>
    <w:docVar w:name="LW_SOUS.TITRE.OBJ.CP" w:val="&lt;UNUSED&gt;"/>
    <w:docVar w:name="LW_STATUT.CP" w:val="\u1055?\u1088?\u1077?\u1076?\u1083?\u1086?\u1078?\u1077?\u1085?\u1080?\u1077? \u1079?\u1072?"/>
    <w:docVar w:name="LW_SUPERTITRE" w:val="&lt;UNUSED&gt;"/>
    <w:docVar w:name="LW_TITRE.OBJ.CP" w:val="\u1079?\u1072? \u1087?\u1088?\u1080?\u1077?\u1084?\u1072?\u1085?\u1077?\u1090?\u1086? \u1085?\u1072? \u1076?\u1086?\u1087?\u1098?\u1083?\u1085?\u1080?\u1090?\u1077?\u1083?\u1085?\u1072?\u1090?\u1072? \u1080?\u1079?\u1089?\u1083?\u1077?\u1076?\u1086?\u1074?\u1072?\u1090?\u1077?\u1083?\u1089?\u1082?\u1072? \u1087?\u1088?\u1086?\u1075?\u1088?\u1072?\u1084?\u1072? \u1079?\u1072? \u1056?\u1077?\u1072?\u1082?\u1090?\u1086?\u1088?\u1072? \u1089? \u1074?\u1080?\u1089?\u1086?\u1082?\u1072? \u1087?\u1083?\u1098?\u1090?\u1085?\u1086?\u1089?\u1090? \u1085?\u1072? \u1085?\u1077?\u1091?\u1090?\u1088?\u1086?\u1085?\u1085?\u1080?\u1103? \u1087?\u1086?\u1090?\u1086?\u1082? \u1079?\u1072? 2016\u8212?2019 \u1075?\u1086?\u1076?\u1080?\u1085?\u1072?, \u1079?\u1072? \u1080?\u1079?\u1087?\u1098?\u1083?\u1085?\u1077?\u1085?\u1080?\u1077? \u1086?\u1090? \u1057?\u1098?\u1074?\u1084?\u1077?\u1089?\u1090?\u1085?\u1080?\u1103? \u1080?\u1079?\u1089?\u1083?\u1077?\u1076?\u1086?\u1074?\u1072?\u1090?\u1077?\u1083?\u1089?\u1082?\u1080? \u1094?\u1077?\u1085?\u1090?\u1098?\u1088? \u1079?\u1072? \u1045?\u1074?\u1088?\u1086?\u1087?\u1077?\u1081?\u1089?\u1082?\u1072?\u1090?\u1072? \u1086?\u1073?\u1097?\u1085?\u1086?\u1089?\u1090? \u1079?\u1072? \u1072?\u1090?\u1086?\u1084?\u1085?\u1072? \u1077?\u1085?\u1077?\u1088?\u1075?\u1080?\u1103?"/>
    <w:docVar w:name="LW_TYPE.DOC.CP" w:val="\u1056?\u1045?\u1064?\u1045?\u1053?\u1048?\u1045? \u1053?\u1040? \u1057?\u1066?\u1042?\u1045?\u1058?\u1040?"/>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bg-BG" w:bidi="bg-BG"/>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2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4"/>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4"/>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semiHidden/>
    <w:rPr>
      <w:rFonts w:ascii="Tahoma" w:hAnsi="Tahoma" w:cs="Tahoma"/>
      <w:sz w:val="16"/>
      <w:szCs w:val="16"/>
      <w:lang w:val="bg-BG"/>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rPr>
      <w:rFonts w:ascii="Times New Roman" w:hAnsi="Times New Roman" w:cs="Times New Roman"/>
      <w:sz w:val="20"/>
      <w:szCs w:val="20"/>
      <w:lang w:val="bg-BG"/>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Times New Roman" w:hAnsi="Times New Roman" w:cs="Times New Roman"/>
      <w:b/>
      <w:bCs/>
      <w:sz w:val="20"/>
      <w:szCs w:val="20"/>
      <w:lang w:val="bg-BG"/>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nhideWhenUsed/>
    <w:pPr>
      <w:numPr>
        <w:numId w:val="3"/>
      </w:numPr>
      <w:contextualSpacing/>
    </w:pPr>
  </w:style>
  <w:style w:type="paragraph" w:styleId="ListBullet2">
    <w:name w:val="List Bullet 2"/>
    <w:basedOn w:val="Normal"/>
    <w:unhideWhenUsed/>
    <w:pPr>
      <w:numPr>
        <w:numId w:val="4"/>
      </w:numPr>
      <w:contextualSpacing/>
    </w:pPr>
  </w:style>
  <w:style w:type="paragraph" w:styleId="ListBullet3">
    <w:name w:val="List Bullet 3"/>
    <w:basedOn w:val="Normal"/>
    <w:unhideWhenUsed/>
    <w:pPr>
      <w:numPr>
        <w:numId w:val="5"/>
      </w:numPr>
      <w:contextualSpacing/>
    </w:pPr>
  </w:style>
  <w:style w:type="paragraph" w:styleId="ListBullet4">
    <w:name w:val="List Bullet 4"/>
    <w:basedOn w:val="Normal"/>
    <w:unhideWhenUsed/>
    <w:pPr>
      <w:numPr>
        <w:numId w:val="6"/>
      </w:numPr>
      <w:contextualSpacing/>
    </w:pPr>
  </w:style>
  <w:style w:type="paragraph" w:styleId="ListNumber">
    <w:name w:val="List Number"/>
    <w:basedOn w:val="Normal"/>
    <w:unhideWhenUsed/>
    <w:pPr>
      <w:numPr>
        <w:numId w:val="7"/>
      </w:numPr>
      <w:contextualSpacing/>
    </w:pPr>
  </w:style>
  <w:style w:type="paragraph" w:styleId="ListNumber2">
    <w:name w:val="List Number 2"/>
    <w:basedOn w:val="Normal"/>
    <w:unhideWhenUsed/>
    <w:pPr>
      <w:numPr>
        <w:numId w:val="8"/>
      </w:numPr>
      <w:contextualSpacing/>
    </w:pPr>
  </w:style>
  <w:style w:type="paragraph" w:styleId="ListNumber3">
    <w:name w:val="List Number 3"/>
    <w:basedOn w:val="Normal"/>
    <w:unhideWhenUsed/>
    <w:pPr>
      <w:numPr>
        <w:numId w:val="9"/>
      </w:numPr>
      <w:contextualSpacing/>
    </w:pPr>
  </w:style>
  <w:style w:type="paragraph" w:styleId="ListNumber4">
    <w:name w:val="List Number 4"/>
    <w:basedOn w:val="Normal"/>
    <w:unhideWhenUsed/>
    <w:pPr>
      <w:numPr>
        <w:numId w:val="10"/>
      </w:numPr>
      <w:contextualSpacing/>
    </w:pPr>
  </w:style>
  <w:style w:type="character" w:styleId="Hyperlink">
    <w:name w:val="Hyperlink"/>
    <w:basedOn w:val="DefaultParagraphFont"/>
    <w:unhideWhenUsed/>
    <w:rPr>
      <w:color w:val="0000FF" w:themeColor="hyperlink"/>
      <w:u w:val="singl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ListNumberLevel2">
    <w:name w:val="List Number (Level 2)"/>
    <w:basedOn w:val="Normal"/>
    <w:pPr>
      <w:tabs>
        <w:tab w:val="num" w:pos="1417"/>
      </w:tabs>
      <w:ind w:left="1417" w:hanging="708"/>
    </w:pPr>
    <w:rPr>
      <w:rFonts w:eastAsia="Times New Roman"/>
      <w:szCs w:val="24"/>
    </w:rPr>
  </w:style>
  <w:style w:type="paragraph" w:customStyle="1" w:styleId="ListNumberLevel3">
    <w:name w:val="List Number (Level 3)"/>
    <w:basedOn w:val="Normal"/>
    <w:pPr>
      <w:tabs>
        <w:tab w:val="num" w:pos="2126"/>
      </w:tabs>
      <w:ind w:left="2126" w:hanging="709"/>
    </w:pPr>
    <w:rPr>
      <w:rFonts w:eastAsia="Times New Roman"/>
      <w:szCs w:val="24"/>
    </w:rPr>
  </w:style>
  <w:style w:type="paragraph" w:customStyle="1" w:styleId="ListNumberLevel4">
    <w:name w:val="List Number (Level 4)"/>
    <w:basedOn w:val="Normal"/>
    <w:pPr>
      <w:tabs>
        <w:tab w:val="num" w:pos="2835"/>
      </w:tabs>
      <w:ind w:left="2835" w:hanging="709"/>
    </w:pPr>
    <w:rPr>
      <w:rFonts w:eastAsia="Times New Roman"/>
      <w:szCs w:val="24"/>
    </w:rPr>
  </w:style>
  <w:style w:type="numbering" w:customStyle="1" w:styleId="NoList1">
    <w:name w:val="No List1"/>
    <w:next w:val="NoList"/>
    <w:uiPriority w:val="99"/>
    <w:semiHidden/>
    <w:unhideWhenUsed/>
  </w:style>
  <w:style w:type="paragraph" w:customStyle="1" w:styleId="Prliminairetitre">
    <w:name w:val="Préliminaire titre"/>
    <w:basedOn w:val="Normal"/>
    <w:next w:val="Normal"/>
    <w:pPr>
      <w:spacing w:before="360" w:after="360"/>
      <w:jc w:val="center"/>
    </w:pPr>
    <w:rPr>
      <w:rFonts w:eastAsia="Times New Roman"/>
      <w:b/>
      <w:szCs w:val="24"/>
    </w:rPr>
  </w:style>
  <w:style w:type="table" w:styleId="TableGrid">
    <w:name w:val="Table Grid"/>
    <w:basedOn w:val="TableNormal"/>
    <w:pPr>
      <w:spacing w:before="120" w:after="12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Number1">
    <w:name w:val="List Number 1"/>
    <w:basedOn w:val="Text1"/>
    <w:pPr>
      <w:numPr>
        <w:numId w:val="11"/>
      </w:numPr>
    </w:pPr>
    <w:rPr>
      <w:rFonts w:eastAsia="Times New Roman"/>
      <w:szCs w:val="24"/>
    </w:rPr>
  </w:style>
  <w:style w:type="paragraph" w:customStyle="1" w:styleId="ListNumber1Level2">
    <w:name w:val="List Number 1 (Level 2)"/>
    <w:basedOn w:val="Text1"/>
    <w:pPr>
      <w:numPr>
        <w:ilvl w:val="1"/>
        <w:numId w:val="11"/>
      </w:numPr>
    </w:pPr>
    <w:rPr>
      <w:rFonts w:eastAsia="Times New Roman"/>
      <w:szCs w:val="24"/>
    </w:rPr>
  </w:style>
  <w:style w:type="paragraph" w:customStyle="1" w:styleId="ListNumber2Level2">
    <w:name w:val="List Number 2 (Level 2)"/>
    <w:basedOn w:val="Text2"/>
    <w:pPr>
      <w:tabs>
        <w:tab w:val="num" w:pos="2268"/>
      </w:tabs>
      <w:ind w:left="2268" w:hanging="708"/>
    </w:pPr>
    <w:rPr>
      <w:rFonts w:eastAsia="Times New Roman"/>
      <w:szCs w:val="24"/>
    </w:rPr>
  </w:style>
  <w:style w:type="paragraph" w:customStyle="1" w:styleId="ListNumber3Level2">
    <w:name w:val="List Number 3 (Level 2)"/>
    <w:basedOn w:val="Text3"/>
    <w:pPr>
      <w:tabs>
        <w:tab w:val="num" w:pos="2268"/>
      </w:tabs>
      <w:ind w:left="2268" w:hanging="708"/>
    </w:pPr>
    <w:rPr>
      <w:rFonts w:eastAsia="Times New Roman"/>
      <w:szCs w:val="24"/>
    </w:rPr>
  </w:style>
  <w:style w:type="paragraph" w:customStyle="1" w:styleId="ListNumber4Level2">
    <w:name w:val="List Number 4 (Level 2)"/>
    <w:basedOn w:val="Text4"/>
    <w:pPr>
      <w:tabs>
        <w:tab w:val="num" w:pos="2268"/>
      </w:tabs>
      <w:ind w:left="2268" w:hanging="708"/>
    </w:pPr>
    <w:rPr>
      <w:rFonts w:eastAsia="Times New Roman"/>
      <w:szCs w:val="24"/>
    </w:rPr>
  </w:style>
  <w:style w:type="paragraph" w:customStyle="1" w:styleId="ListNumber1Level3">
    <w:name w:val="List Number 1 (Level 3)"/>
    <w:basedOn w:val="Text1"/>
    <w:pPr>
      <w:numPr>
        <w:ilvl w:val="2"/>
        <w:numId w:val="11"/>
      </w:numPr>
    </w:pPr>
    <w:rPr>
      <w:rFonts w:eastAsia="Times New Roman"/>
      <w:szCs w:val="24"/>
    </w:rPr>
  </w:style>
  <w:style w:type="paragraph" w:customStyle="1" w:styleId="ListNumber2Level3">
    <w:name w:val="List Number 2 (Level 3)"/>
    <w:basedOn w:val="Text2"/>
    <w:pPr>
      <w:tabs>
        <w:tab w:val="num" w:pos="2977"/>
      </w:tabs>
      <w:ind w:left="2977" w:hanging="709"/>
    </w:pPr>
    <w:rPr>
      <w:rFonts w:eastAsia="Times New Roman"/>
      <w:szCs w:val="24"/>
    </w:rPr>
  </w:style>
  <w:style w:type="paragraph" w:customStyle="1" w:styleId="ListNumber3Level3">
    <w:name w:val="List Number 3 (Level 3)"/>
    <w:basedOn w:val="Text3"/>
    <w:pPr>
      <w:tabs>
        <w:tab w:val="num" w:pos="2977"/>
      </w:tabs>
      <w:ind w:left="2977" w:hanging="709"/>
    </w:pPr>
    <w:rPr>
      <w:rFonts w:eastAsia="Times New Roman"/>
      <w:szCs w:val="24"/>
    </w:rPr>
  </w:style>
  <w:style w:type="paragraph" w:customStyle="1" w:styleId="ListNumber4Level3">
    <w:name w:val="List Number 4 (Level 3)"/>
    <w:basedOn w:val="Text4"/>
    <w:pPr>
      <w:tabs>
        <w:tab w:val="num" w:pos="2977"/>
      </w:tabs>
      <w:ind w:left="2977" w:hanging="709"/>
    </w:pPr>
    <w:rPr>
      <w:rFonts w:eastAsia="Times New Roman"/>
      <w:szCs w:val="24"/>
    </w:rPr>
  </w:style>
  <w:style w:type="paragraph" w:customStyle="1" w:styleId="ListNumber1Level4">
    <w:name w:val="List Number 1 (Level 4)"/>
    <w:basedOn w:val="Text1"/>
    <w:pPr>
      <w:numPr>
        <w:ilvl w:val="3"/>
        <w:numId w:val="11"/>
      </w:numPr>
    </w:pPr>
    <w:rPr>
      <w:rFonts w:eastAsia="Times New Roman"/>
      <w:szCs w:val="24"/>
    </w:rPr>
  </w:style>
  <w:style w:type="paragraph" w:customStyle="1" w:styleId="ListNumber2Level4">
    <w:name w:val="List Number 2 (Level 4)"/>
    <w:basedOn w:val="Text2"/>
    <w:pPr>
      <w:tabs>
        <w:tab w:val="num" w:pos="3686"/>
      </w:tabs>
      <w:ind w:left="3686" w:hanging="709"/>
    </w:pPr>
    <w:rPr>
      <w:rFonts w:eastAsia="Times New Roman"/>
      <w:szCs w:val="24"/>
    </w:rPr>
  </w:style>
  <w:style w:type="paragraph" w:customStyle="1" w:styleId="ListNumber3Level4">
    <w:name w:val="List Number 3 (Level 4)"/>
    <w:basedOn w:val="Text3"/>
    <w:pPr>
      <w:tabs>
        <w:tab w:val="num" w:pos="3686"/>
      </w:tabs>
      <w:ind w:left="3686" w:hanging="709"/>
    </w:pPr>
    <w:rPr>
      <w:rFonts w:eastAsia="Times New Roman"/>
      <w:szCs w:val="24"/>
    </w:rPr>
  </w:style>
  <w:style w:type="paragraph" w:customStyle="1" w:styleId="ListNumber4Level4">
    <w:name w:val="List Number 4 (Level 4)"/>
    <w:basedOn w:val="Text4"/>
    <w:pPr>
      <w:tabs>
        <w:tab w:val="num" w:pos="3686"/>
      </w:tabs>
      <w:ind w:left="3686" w:hanging="709"/>
    </w:pPr>
    <w:rPr>
      <w:rFonts w:eastAsia="Times New Roman"/>
      <w:szCs w:val="24"/>
    </w:rPr>
  </w:style>
  <w:style w:type="paragraph" w:customStyle="1" w:styleId="ListBullet1">
    <w:name w:val="List Bullet 1"/>
    <w:basedOn w:val="Normal"/>
    <w:pPr>
      <w:numPr>
        <w:numId w:val="12"/>
      </w:numPr>
    </w:pPr>
    <w:rPr>
      <w:rFonts w:eastAsia="Times New Roman"/>
      <w:szCs w:val="24"/>
    </w:rPr>
  </w:style>
  <w:style w:type="paragraph" w:customStyle="1" w:styleId="ListDash">
    <w:name w:val="List Dash"/>
    <w:basedOn w:val="Normal"/>
    <w:pPr>
      <w:numPr>
        <w:numId w:val="13"/>
      </w:numPr>
    </w:pPr>
    <w:rPr>
      <w:rFonts w:eastAsia="Times New Roman"/>
      <w:szCs w:val="24"/>
    </w:rPr>
  </w:style>
  <w:style w:type="paragraph" w:customStyle="1" w:styleId="ListDash1">
    <w:name w:val="List Dash 1"/>
    <w:basedOn w:val="Normal"/>
    <w:pPr>
      <w:numPr>
        <w:numId w:val="14"/>
      </w:numPr>
    </w:pPr>
    <w:rPr>
      <w:rFonts w:eastAsia="Times New Roman"/>
      <w:szCs w:val="24"/>
    </w:rPr>
  </w:style>
  <w:style w:type="paragraph" w:customStyle="1" w:styleId="ListDash2">
    <w:name w:val="List Dash 2"/>
    <w:basedOn w:val="Normal"/>
    <w:pPr>
      <w:numPr>
        <w:numId w:val="15"/>
      </w:numPr>
    </w:pPr>
    <w:rPr>
      <w:rFonts w:eastAsia="Times New Roman"/>
      <w:szCs w:val="24"/>
    </w:rPr>
  </w:style>
  <w:style w:type="paragraph" w:customStyle="1" w:styleId="ListDash3">
    <w:name w:val="List Dash 3"/>
    <w:basedOn w:val="Normal"/>
    <w:pPr>
      <w:numPr>
        <w:numId w:val="16"/>
      </w:numPr>
    </w:pPr>
    <w:rPr>
      <w:rFonts w:eastAsia="Times New Roman"/>
      <w:szCs w:val="24"/>
    </w:rPr>
  </w:style>
  <w:style w:type="paragraph" w:customStyle="1" w:styleId="ListDash4">
    <w:name w:val="List Dash 4"/>
    <w:basedOn w:val="Normal"/>
    <w:pPr>
      <w:numPr>
        <w:numId w:val="17"/>
      </w:numPr>
    </w:pPr>
    <w:rPr>
      <w:rFonts w:eastAsia="Times New Roman"/>
      <w:szCs w:val="24"/>
    </w:rPr>
  </w:style>
  <w:style w:type="paragraph" w:customStyle="1" w:styleId="Fichefinancirestandardtitre">
    <w:name w:val="Fiche financière (standard) titre"/>
    <w:basedOn w:val="Normal"/>
    <w:next w:val="Normal"/>
    <w:pPr>
      <w:jc w:val="center"/>
    </w:pPr>
    <w:rPr>
      <w:rFonts w:eastAsia="Times New Roman"/>
      <w:b/>
      <w:szCs w:val="24"/>
      <w:u w:val="single"/>
    </w:rPr>
  </w:style>
  <w:style w:type="character" w:styleId="PageNumber">
    <w:name w:val="page number"/>
    <w:basedOn w:val="DefaultParagraphFont"/>
    <w:rPr>
      <w:rFonts w:cs="Times New Roman"/>
      <w:shd w:val="clear" w:color="auto" w:fill="auto"/>
    </w:rPr>
  </w:style>
  <w:style w:type="paragraph" w:styleId="DocumentMap">
    <w:name w:val="Document Map"/>
    <w:basedOn w:val="Normal"/>
    <w:link w:val="DocumentMapChar"/>
    <w:semiHidden/>
    <w:pPr>
      <w:shd w:val="clear" w:color="auto" w:fill="000080"/>
    </w:pPr>
    <w:rPr>
      <w:rFonts w:ascii="Tahoma" w:eastAsia="Times New Roman" w:hAnsi="Tahoma" w:cs="Tahoma"/>
      <w:sz w:val="20"/>
      <w:szCs w:val="20"/>
    </w:rPr>
  </w:style>
  <w:style w:type="character" w:customStyle="1" w:styleId="DocumentMapChar">
    <w:name w:val="Document Map Char"/>
    <w:basedOn w:val="DefaultParagraphFont"/>
    <w:link w:val="DocumentMap"/>
    <w:semiHidden/>
    <w:rPr>
      <w:rFonts w:ascii="Tahoma" w:eastAsia="Times New Roman" w:hAnsi="Tahoma" w:cs="Tahoma"/>
      <w:sz w:val="20"/>
      <w:szCs w:val="20"/>
      <w:shd w:val="clear" w:color="auto" w:fill="000080"/>
      <w:lang w:val="bg-BG"/>
    </w:rPr>
  </w:style>
  <w:style w:type="paragraph" w:styleId="ListParagraph">
    <w:name w:val="List Paragraph"/>
    <w:basedOn w:val="Normal"/>
    <w:uiPriority w:val="34"/>
    <w:qFormat/>
    <w:pPr>
      <w:ind w:left="720"/>
      <w:contextualSpacing/>
    </w:pPr>
  </w:style>
  <w:style w:type="numbering" w:customStyle="1" w:styleId="NoList11">
    <w:name w:val="No List11"/>
    <w:next w:val="NoList"/>
    <w:semiHidden/>
    <w:unhideWhenUsed/>
  </w:style>
  <w:style w:type="paragraph" w:customStyle="1" w:styleId="Default">
    <w:name w:val="Default"/>
    <w:pPr>
      <w:autoSpaceDE w:val="0"/>
      <w:autoSpaceDN w:val="0"/>
      <w:adjustRightInd w:val="0"/>
      <w:spacing w:after="0" w:line="240" w:lineRule="auto"/>
    </w:pPr>
    <w:rPr>
      <w:rFonts w:ascii="EUAlbertina" w:hAnsi="EUAlbertina" w:cs="EUAlbertina"/>
      <w:color w:val="000000"/>
      <w:sz w:val="24"/>
      <w:szCs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8"/>
      </w:numPr>
    </w:pPr>
  </w:style>
  <w:style w:type="paragraph" w:customStyle="1" w:styleId="Tiret1">
    <w:name w:val="Tiret 1"/>
    <w:basedOn w:val="Point1"/>
    <w:pPr>
      <w:numPr>
        <w:numId w:val="19"/>
      </w:numPr>
    </w:pPr>
  </w:style>
  <w:style w:type="paragraph" w:customStyle="1" w:styleId="Tiret2">
    <w:name w:val="Tiret 2"/>
    <w:basedOn w:val="Point2"/>
    <w:pPr>
      <w:numPr>
        <w:numId w:val="20"/>
      </w:numPr>
    </w:pPr>
  </w:style>
  <w:style w:type="paragraph" w:customStyle="1" w:styleId="Tiret3">
    <w:name w:val="Tiret 3"/>
    <w:basedOn w:val="Point3"/>
    <w:pPr>
      <w:numPr>
        <w:numId w:val="21"/>
      </w:numPr>
    </w:pPr>
  </w:style>
  <w:style w:type="paragraph" w:customStyle="1" w:styleId="Tiret4">
    <w:name w:val="Tiret 4"/>
    <w:basedOn w:val="Point4"/>
    <w:pPr>
      <w:numPr>
        <w:numId w:val="22"/>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3"/>
      </w:numPr>
    </w:pPr>
  </w:style>
  <w:style w:type="paragraph" w:customStyle="1" w:styleId="NumPar2">
    <w:name w:val="NumPar 2"/>
    <w:basedOn w:val="Normal"/>
    <w:next w:val="Text1"/>
    <w:pPr>
      <w:numPr>
        <w:ilvl w:val="1"/>
        <w:numId w:val="23"/>
      </w:numPr>
    </w:pPr>
  </w:style>
  <w:style w:type="paragraph" w:customStyle="1" w:styleId="NumPar3">
    <w:name w:val="NumPar 3"/>
    <w:basedOn w:val="Normal"/>
    <w:next w:val="Text1"/>
    <w:pPr>
      <w:numPr>
        <w:ilvl w:val="2"/>
        <w:numId w:val="23"/>
      </w:numPr>
    </w:pPr>
  </w:style>
  <w:style w:type="paragraph" w:customStyle="1" w:styleId="NumPar4">
    <w:name w:val="NumPar 4"/>
    <w:basedOn w:val="Normal"/>
    <w:next w:val="Text1"/>
    <w:pPr>
      <w:numPr>
        <w:ilvl w:val="3"/>
        <w:numId w:val="23"/>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5"/>
      </w:numPr>
    </w:pPr>
  </w:style>
  <w:style w:type="paragraph" w:customStyle="1" w:styleId="Point1number">
    <w:name w:val="Point 1 (number)"/>
    <w:basedOn w:val="Normal"/>
    <w:pPr>
      <w:numPr>
        <w:ilvl w:val="2"/>
        <w:numId w:val="25"/>
      </w:numPr>
    </w:pPr>
  </w:style>
  <w:style w:type="paragraph" w:customStyle="1" w:styleId="Point2number">
    <w:name w:val="Point 2 (number)"/>
    <w:basedOn w:val="Normal"/>
    <w:pPr>
      <w:numPr>
        <w:ilvl w:val="4"/>
        <w:numId w:val="25"/>
      </w:numPr>
    </w:pPr>
  </w:style>
  <w:style w:type="paragraph" w:customStyle="1" w:styleId="Point3number">
    <w:name w:val="Point 3 (number)"/>
    <w:basedOn w:val="Normal"/>
    <w:pPr>
      <w:numPr>
        <w:ilvl w:val="6"/>
        <w:numId w:val="25"/>
      </w:numPr>
    </w:pPr>
  </w:style>
  <w:style w:type="paragraph" w:customStyle="1" w:styleId="Point0letter">
    <w:name w:val="Point 0 (letter)"/>
    <w:basedOn w:val="Normal"/>
    <w:pPr>
      <w:numPr>
        <w:ilvl w:val="1"/>
        <w:numId w:val="25"/>
      </w:numPr>
    </w:pPr>
  </w:style>
  <w:style w:type="paragraph" w:customStyle="1" w:styleId="Point1letter">
    <w:name w:val="Point 1 (letter)"/>
    <w:basedOn w:val="Normal"/>
    <w:pPr>
      <w:numPr>
        <w:ilvl w:val="3"/>
        <w:numId w:val="25"/>
      </w:numPr>
    </w:pPr>
  </w:style>
  <w:style w:type="paragraph" w:customStyle="1" w:styleId="Point2letter">
    <w:name w:val="Point 2 (letter)"/>
    <w:basedOn w:val="Normal"/>
    <w:pPr>
      <w:numPr>
        <w:ilvl w:val="5"/>
        <w:numId w:val="25"/>
      </w:numPr>
    </w:pPr>
  </w:style>
  <w:style w:type="paragraph" w:customStyle="1" w:styleId="Point3letter">
    <w:name w:val="Point 3 (letter)"/>
    <w:basedOn w:val="Normal"/>
    <w:pPr>
      <w:numPr>
        <w:ilvl w:val="7"/>
        <w:numId w:val="25"/>
      </w:numPr>
    </w:pPr>
  </w:style>
  <w:style w:type="paragraph" w:customStyle="1" w:styleId="Point4letter">
    <w:name w:val="Point 4 (letter)"/>
    <w:basedOn w:val="Normal"/>
    <w:pPr>
      <w:numPr>
        <w:ilvl w:val="8"/>
        <w:numId w:val="25"/>
      </w:numPr>
    </w:pPr>
  </w:style>
  <w:style w:type="paragraph" w:customStyle="1" w:styleId="Bullet0">
    <w:name w:val="Bullet 0"/>
    <w:basedOn w:val="Normal"/>
    <w:pPr>
      <w:numPr>
        <w:numId w:val="26"/>
      </w:numPr>
    </w:pPr>
  </w:style>
  <w:style w:type="paragraph" w:customStyle="1" w:styleId="Bullet1">
    <w:name w:val="Bullet 1"/>
    <w:basedOn w:val="Normal"/>
    <w:pPr>
      <w:numPr>
        <w:numId w:val="27"/>
      </w:numPr>
    </w:pPr>
  </w:style>
  <w:style w:type="paragraph" w:customStyle="1" w:styleId="Bullet2">
    <w:name w:val="Bullet 2"/>
    <w:basedOn w:val="Normal"/>
    <w:pPr>
      <w:numPr>
        <w:numId w:val="28"/>
      </w:numPr>
    </w:pPr>
  </w:style>
  <w:style w:type="paragraph" w:customStyle="1" w:styleId="Bullet3">
    <w:name w:val="Bullet 3"/>
    <w:basedOn w:val="Normal"/>
    <w:pPr>
      <w:numPr>
        <w:numId w:val="29"/>
      </w:numPr>
    </w:pPr>
  </w:style>
  <w:style w:type="paragraph" w:customStyle="1" w:styleId="Bullet4">
    <w:name w:val="Bullet 4"/>
    <w:basedOn w:val="Normal"/>
    <w:pPr>
      <w:numPr>
        <w:numId w:val="30"/>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1"/>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bg-BG" w:bidi="bg-BG"/>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2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4"/>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4"/>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semiHidden/>
    <w:rPr>
      <w:rFonts w:ascii="Tahoma" w:hAnsi="Tahoma" w:cs="Tahoma"/>
      <w:sz w:val="16"/>
      <w:szCs w:val="16"/>
      <w:lang w:val="bg-BG"/>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rPr>
      <w:rFonts w:ascii="Times New Roman" w:hAnsi="Times New Roman" w:cs="Times New Roman"/>
      <w:sz w:val="20"/>
      <w:szCs w:val="20"/>
      <w:lang w:val="bg-BG"/>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Times New Roman" w:hAnsi="Times New Roman" w:cs="Times New Roman"/>
      <w:b/>
      <w:bCs/>
      <w:sz w:val="20"/>
      <w:szCs w:val="20"/>
      <w:lang w:val="bg-BG"/>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nhideWhenUsed/>
    <w:pPr>
      <w:numPr>
        <w:numId w:val="3"/>
      </w:numPr>
      <w:contextualSpacing/>
    </w:pPr>
  </w:style>
  <w:style w:type="paragraph" w:styleId="ListBullet2">
    <w:name w:val="List Bullet 2"/>
    <w:basedOn w:val="Normal"/>
    <w:unhideWhenUsed/>
    <w:pPr>
      <w:numPr>
        <w:numId w:val="4"/>
      </w:numPr>
      <w:contextualSpacing/>
    </w:pPr>
  </w:style>
  <w:style w:type="paragraph" w:styleId="ListBullet3">
    <w:name w:val="List Bullet 3"/>
    <w:basedOn w:val="Normal"/>
    <w:unhideWhenUsed/>
    <w:pPr>
      <w:numPr>
        <w:numId w:val="5"/>
      </w:numPr>
      <w:contextualSpacing/>
    </w:pPr>
  </w:style>
  <w:style w:type="paragraph" w:styleId="ListBullet4">
    <w:name w:val="List Bullet 4"/>
    <w:basedOn w:val="Normal"/>
    <w:unhideWhenUsed/>
    <w:pPr>
      <w:numPr>
        <w:numId w:val="6"/>
      </w:numPr>
      <w:contextualSpacing/>
    </w:pPr>
  </w:style>
  <w:style w:type="paragraph" w:styleId="ListNumber">
    <w:name w:val="List Number"/>
    <w:basedOn w:val="Normal"/>
    <w:unhideWhenUsed/>
    <w:pPr>
      <w:numPr>
        <w:numId w:val="7"/>
      </w:numPr>
      <w:contextualSpacing/>
    </w:pPr>
  </w:style>
  <w:style w:type="paragraph" w:styleId="ListNumber2">
    <w:name w:val="List Number 2"/>
    <w:basedOn w:val="Normal"/>
    <w:unhideWhenUsed/>
    <w:pPr>
      <w:numPr>
        <w:numId w:val="8"/>
      </w:numPr>
      <w:contextualSpacing/>
    </w:pPr>
  </w:style>
  <w:style w:type="paragraph" w:styleId="ListNumber3">
    <w:name w:val="List Number 3"/>
    <w:basedOn w:val="Normal"/>
    <w:unhideWhenUsed/>
    <w:pPr>
      <w:numPr>
        <w:numId w:val="9"/>
      </w:numPr>
      <w:contextualSpacing/>
    </w:pPr>
  </w:style>
  <w:style w:type="paragraph" w:styleId="ListNumber4">
    <w:name w:val="List Number 4"/>
    <w:basedOn w:val="Normal"/>
    <w:unhideWhenUsed/>
    <w:pPr>
      <w:numPr>
        <w:numId w:val="10"/>
      </w:numPr>
      <w:contextualSpacing/>
    </w:pPr>
  </w:style>
  <w:style w:type="character" w:styleId="Hyperlink">
    <w:name w:val="Hyperlink"/>
    <w:basedOn w:val="DefaultParagraphFont"/>
    <w:unhideWhenUsed/>
    <w:rPr>
      <w:color w:val="0000FF" w:themeColor="hyperlink"/>
      <w:u w:val="singl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ListNumberLevel2">
    <w:name w:val="List Number (Level 2)"/>
    <w:basedOn w:val="Normal"/>
    <w:pPr>
      <w:tabs>
        <w:tab w:val="num" w:pos="1417"/>
      </w:tabs>
      <w:ind w:left="1417" w:hanging="708"/>
    </w:pPr>
    <w:rPr>
      <w:rFonts w:eastAsia="Times New Roman"/>
      <w:szCs w:val="24"/>
    </w:rPr>
  </w:style>
  <w:style w:type="paragraph" w:customStyle="1" w:styleId="ListNumberLevel3">
    <w:name w:val="List Number (Level 3)"/>
    <w:basedOn w:val="Normal"/>
    <w:pPr>
      <w:tabs>
        <w:tab w:val="num" w:pos="2126"/>
      </w:tabs>
      <w:ind w:left="2126" w:hanging="709"/>
    </w:pPr>
    <w:rPr>
      <w:rFonts w:eastAsia="Times New Roman"/>
      <w:szCs w:val="24"/>
    </w:rPr>
  </w:style>
  <w:style w:type="paragraph" w:customStyle="1" w:styleId="ListNumberLevel4">
    <w:name w:val="List Number (Level 4)"/>
    <w:basedOn w:val="Normal"/>
    <w:pPr>
      <w:tabs>
        <w:tab w:val="num" w:pos="2835"/>
      </w:tabs>
      <w:ind w:left="2835" w:hanging="709"/>
    </w:pPr>
    <w:rPr>
      <w:rFonts w:eastAsia="Times New Roman"/>
      <w:szCs w:val="24"/>
    </w:rPr>
  </w:style>
  <w:style w:type="numbering" w:customStyle="1" w:styleId="NoList1">
    <w:name w:val="No List1"/>
    <w:next w:val="NoList"/>
    <w:uiPriority w:val="99"/>
    <w:semiHidden/>
    <w:unhideWhenUsed/>
  </w:style>
  <w:style w:type="paragraph" w:customStyle="1" w:styleId="Prliminairetitre">
    <w:name w:val="Préliminaire titre"/>
    <w:basedOn w:val="Normal"/>
    <w:next w:val="Normal"/>
    <w:pPr>
      <w:spacing w:before="360" w:after="360"/>
      <w:jc w:val="center"/>
    </w:pPr>
    <w:rPr>
      <w:rFonts w:eastAsia="Times New Roman"/>
      <w:b/>
      <w:szCs w:val="24"/>
    </w:rPr>
  </w:style>
  <w:style w:type="table" w:styleId="TableGrid">
    <w:name w:val="Table Grid"/>
    <w:basedOn w:val="TableNormal"/>
    <w:pPr>
      <w:spacing w:before="120" w:after="12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Number1">
    <w:name w:val="List Number 1"/>
    <w:basedOn w:val="Text1"/>
    <w:pPr>
      <w:numPr>
        <w:numId w:val="11"/>
      </w:numPr>
    </w:pPr>
    <w:rPr>
      <w:rFonts w:eastAsia="Times New Roman"/>
      <w:szCs w:val="24"/>
    </w:rPr>
  </w:style>
  <w:style w:type="paragraph" w:customStyle="1" w:styleId="ListNumber1Level2">
    <w:name w:val="List Number 1 (Level 2)"/>
    <w:basedOn w:val="Text1"/>
    <w:pPr>
      <w:numPr>
        <w:ilvl w:val="1"/>
        <w:numId w:val="11"/>
      </w:numPr>
    </w:pPr>
    <w:rPr>
      <w:rFonts w:eastAsia="Times New Roman"/>
      <w:szCs w:val="24"/>
    </w:rPr>
  </w:style>
  <w:style w:type="paragraph" w:customStyle="1" w:styleId="ListNumber2Level2">
    <w:name w:val="List Number 2 (Level 2)"/>
    <w:basedOn w:val="Text2"/>
    <w:pPr>
      <w:tabs>
        <w:tab w:val="num" w:pos="2268"/>
      </w:tabs>
      <w:ind w:left="2268" w:hanging="708"/>
    </w:pPr>
    <w:rPr>
      <w:rFonts w:eastAsia="Times New Roman"/>
      <w:szCs w:val="24"/>
    </w:rPr>
  </w:style>
  <w:style w:type="paragraph" w:customStyle="1" w:styleId="ListNumber3Level2">
    <w:name w:val="List Number 3 (Level 2)"/>
    <w:basedOn w:val="Text3"/>
    <w:pPr>
      <w:tabs>
        <w:tab w:val="num" w:pos="2268"/>
      </w:tabs>
      <w:ind w:left="2268" w:hanging="708"/>
    </w:pPr>
    <w:rPr>
      <w:rFonts w:eastAsia="Times New Roman"/>
      <w:szCs w:val="24"/>
    </w:rPr>
  </w:style>
  <w:style w:type="paragraph" w:customStyle="1" w:styleId="ListNumber4Level2">
    <w:name w:val="List Number 4 (Level 2)"/>
    <w:basedOn w:val="Text4"/>
    <w:pPr>
      <w:tabs>
        <w:tab w:val="num" w:pos="2268"/>
      </w:tabs>
      <w:ind w:left="2268" w:hanging="708"/>
    </w:pPr>
    <w:rPr>
      <w:rFonts w:eastAsia="Times New Roman"/>
      <w:szCs w:val="24"/>
    </w:rPr>
  </w:style>
  <w:style w:type="paragraph" w:customStyle="1" w:styleId="ListNumber1Level3">
    <w:name w:val="List Number 1 (Level 3)"/>
    <w:basedOn w:val="Text1"/>
    <w:pPr>
      <w:numPr>
        <w:ilvl w:val="2"/>
        <w:numId w:val="11"/>
      </w:numPr>
    </w:pPr>
    <w:rPr>
      <w:rFonts w:eastAsia="Times New Roman"/>
      <w:szCs w:val="24"/>
    </w:rPr>
  </w:style>
  <w:style w:type="paragraph" w:customStyle="1" w:styleId="ListNumber2Level3">
    <w:name w:val="List Number 2 (Level 3)"/>
    <w:basedOn w:val="Text2"/>
    <w:pPr>
      <w:tabs>
        <w:tab w:val="num" w:pos="2977"/>
      </w:tabs>
      <w:ind w:left="2977" w:hanging="709"/>
    </w:pPr>
    <w:rPr>
      <w:rFonts w:eastAsia="Times New Roman"/>
      <w:szCs w:val="24"/>
    </w:rPr>
  </w:style>
  <w:style w:type="paragraph" w:customStyle="1" w:styleId="ListNumber3Level3">
    <w:name w:val="List Number 3 (Level 3)"/>
    <w:basedOn w:val="Text3"/>
    <w:pPr>
      <w:tabs>
        <w:tab w:val="num" w:pos="2977"/>
      </w:tabs>
      <w:ind w:left="2977" w:hanging="709"/>
    </w:pPr>
    <w:rPr>
      <w:rFonts w:eastAsia="Times New Roman"/>
      <w:szCs w:val="24"/>
    </w:rPr>
  </w:style>
  <w:style w:type="paragraph" w:customStyle="1" w:styleId="ListNumber4Level3">
    <w:name w:val="List Number 4 (Level 3)"/>
    <w:basedOn w:val="Text4"/>
    <w:pPr>
      <w:tabs>
        <w:tab w:val="num" w:pos="2977"/>
      </w:tabs>
      <w:ind w:left="2977" w:hanging="709"/>
    </w:pPr>
    <w:rPr>
      <w:rFonts w:eastAsia="Times New Roman"/>
      <w:szCs w:val="24"/>
    </w:rPr>
  </w:style>
  <w:style w:type="paragraph" w:customStyle="1" w:styleId="ListNumber1Level4">
    <w:name w:val="List Number 1 (Level 4)"/>
    <w:basedOn w:val="Text1"/>
    <w:pPr>
      <w:numPr>
        <w:ilvl w:val="3"/>
        <w:numId w:val="11"/>
      </w:numPr>
    </w:pPr>
    <w:rPr>
      <w:rFonts w:eastAsia="Times New Roman"/>
      <w:szCs w:val="24"/>
    </w:rPr>
  </w:style>
  <w:style w:type="paragraph" w:customStyle="1" w:styleId="ListNumber2Level4">
    <w:name w:val="List Number 2 (Level 4)"/>
    <w:basedOn w:val="Text2"/>
    <w:pPr>
      <w:tabs>
        <w:tab w:val="num" w:pos="3686"/>
      </w:tabs>
      <w:ind w:left="3686" w:hanging="709"/>
    </w:pPr>
    <w:rPr>
      <w:rFonts w:eastAsia="Times New Roman"/>
      <w:szCs w:val="24"/>
    </w:rPr>
  </w:style>
  <w:style w:type="paragraph" w:customStyle="1" w:styleId="ListNumber3Level4">
    <w:name w:val="List Number 3 (Level 4)"/>
    <w:basedOn w:val="Text3"/>
    <w:pPr>
      <w:tabs>
        <w:tab w:val="num" w:pos="3686"/>
      </w:tabs>
      <w:ind w:left="3686" w:hanging="709"/>
    </w:pPr>
    <w:rPr>
      <w:rFonts w:eastAsia="Times New Roman"/>
      <w:szCs w:val="24"/>
    </w:rPr>
  </w:style>
  <w:style w:type="paragraph" w:customStyle="1" w:styleId="ListNumber4Level4">
    <w:name w:val="List Number 4 (Level 4)"/>
    <w:basedOn w:val="Text4"/>
    <w:pPr>
      <w:tabs>
        <w:tab w:val="num" w:pos="3686"/>
      </w:tabs>
      <w:ind w:left="3686" w:hanging="709"/>
    </w:pPr>
    <w:rPr>
      <w:rFonts w:eastAsia="Times New Roman"/>
      <w:szCs w:val="24"/>
    </w:rPr>
  </w:style>
  <w:style w:type="paragraph" w:customStyle="1" w:styleId="ListBullet1">
    <w:name w:val="List Bullet 1"/>
    <w:basedOn w:val="Normal"/>
    <w:pPr>
      <w:numPr>
        <w:numId w:val="12"/>
      </w:numPr>
    </w:pPr>
    <w:rPr>
      <w:rFonts w:eastAsia="Times New Roman"/>
      <w:szCs w:val="24"/>
    </w:rPr>
  </w:style>
  <w:style w:type="paragraph" w:customStyle="1" w:styleId="ListDash">
    <w:name w:val="List Dash"/>
    <w:basedOn w:val="Normal"/>
    <w:pPr>
      <w:numPr>
        <w:numId w:val="13"/>
      </w:numPr>
    </w:pPr>
    <w:rPr>
      <w:rFonts w:eastAsia="Times New Roman"/>
      <w:szCs w:val="24"/>
    </w:rPr>
  </w:style>
  <w:style w:type="paragraph" w:customStyle="1" w:styleId="ListDash1">
    <w:name w:val="List Dash 1"/>
    <w:basedOn w:val="Normal"/>
    <w:pPr>
      <w:numPr>
        <w:numId w:val="14"/>
      </w:numPr>
    </w:pPr>
    <w:rPr>
      <w:rFonts w:eastAsia="Times New Roman"/>
      <w:szCs w:val="24"/>
    </w:rPr>
  </w:style>
  <w:style w:type="paragraph" w:customStyle="1" w:styleId="ListDash2">
    <w:name w:val="List Dash 2"/>
    <w:basedOn w:val="Normal"/>
    <w:pPr>
      <w:numPr>
        <w:numId w:val="15"/>
      </w:numPr>
    </w:pPr>
    <w:rPr>
      <w:rFonts w:eastAsia="Times New Roman"/>
      <w:szCs w:val="24"/>
    </w:rPr>
  </w:style>
  <w:style w:type="paragraph" w:customStyle="1" w:styleId="ListDash3">
    <w:name w:val="List Dash 3"/>
    <w:basedOn w:val="Normal"/>
    <w:pPr>
      <w:numPr>
        <w:numId w:val="16"/>
      </w:numPr>
    </w:pPr>
    <w:rPr>
      <w:rFonts w:eastAsia="Times New Roman"/>
      <w:szCs w:val="24"/>
    </w:rPr>
  </w:style>
  <w:style w:type="paragraph" w:customStyle="1" w:styleId="ListDash4">
    <w:name w:val="List Dash 4"/>
    <w:basedOn w:val="Normal"/>
    <w:pPr>
      <w:numPr>
        <w:numId w:val="17"/>
      </w:numPr>
    </w:pPr>
    <w:rPr>
      <w:rFonts w:eastAsia="Times New Roman"/>
      <w:szCs w:val="24"/>
    </w:rPr>
  </w:style>
  <w:style w:type="paragraph" w:customStyle="1" w:styleId="Fichefinancirestandardtitre">
    <w:name w:val="Fiche financière (standard) titre"/>
    <w:basedOn w:val="Normal"/>
    <w:next w:val="Normal"/>
    <w:pPr>
      <w:jc w:val="center"/>
    </w:pPr>
    <w:rPr>
      <w:rFonts w:eastAsia="Times New Roman"/>
      <w:b/>
      <w:szCs w:val="24"/>
      <w:u w:val="single"/>
    </w:rPr>
  </w:style>
  <w:style w:type="character" w:styleId="PageNumber">
    <w:name w:val="page number"/>
    <w:basedOn w:val="DefaultParagraphFont"/>
    <w:rPr>
      <w:rFonts w:cs="Times New Roman"/>
      <w:shd w:val="clear" w:color="auto" w:fill="auto"/>
    </w:rPr>
  </w:style>
  <w:style w:type="paragraph" w:styleId="DocumentMap">
    <w:name w:val="Document Map"/>
    <w:basedOn w:val="Normal"/>
    <w:link w:val="DocumentMapChar"/>
    <w:semiHidden/>
    <w:pPr>
      <w:shd w:val="clear" w:color="auto" w:fill="000080"/>
    </w:pPr>
    <w:rPr>
      <w:rFonts w:ascii="Tahoma" w:eastAsia="Times New Roman" w:hAnsi="Tahoma" w:cs="Tahoma"/>
      <w:sz w:val="20"/>
      <w:szCs w:val="20"/>
    </w:rPr>
  </w:style>
  <w:style w:type="character" w:customStyle="1" w:styleId="DocumentMapChar">
    <w:name w:val="Document Map Char"/>
    <w:basedOn w:val="DefaultParagraphFont"/>
    <w:link w:val="DocumentMap"/>
    <w:semiHidden/>
    <w:rPr>
      <w:rFonts w:ascii="Tahoma" w:eastAsia="Times New Roman" w:hAnsi="Tahoma" w:cs="Tahoma"/>
      <w:sz w:val="20"/>
      <w:szCs w:val="20"/>
      <w:shd w:val="clear" w:color="auto" w:fill="000080"/>
      <w:lang w:val="bg-BG"/>
    </w:rPr>
  </w:style>
  <w:style w:type="paragraph" w:styleId="ListParagraph">
    <w:name w:val="List Paragraph"/>
    <w:basedOn w:val="Normal"/>
    <w:uiPriority w:val="34"/>
    <w:qFormat/>
    <w:pPr>
      <w:ind w:left="720"/>
      <w:contextualSpacing/>
    </w:pPr>
  </w:style>
  <w:style w:type="numbering" w:customStyle="1" w:styleId="NoList11">
    <w:name w:val="No List11"/>
    <w:next w:val="NoList"/>
    <w:semiHidden/>
    <w:unhideWhenUsed/>
  </w:style>
  <w:style w:type="paragraph" w:customStyle="1" w:styleId="Default">
    <w:name w:val="Default"/>
    <w:pPr>
      <w:autoSpaceDE w:val="0"/>
      <w:autoSpaceDN w:val="0"/>
      <w:adjustRightInd w:val="0"/>
      <w:spacing w:after="0" w:line="240" w:lineRule="auto"/>
    </w:pPr>
    <w:rPr>
      <w:rFonts w:ascii="EUAlbertina" w:hAnsi="EUAlbertina" w:cs="EUAlbertina"/>
      <w:color w:val="000000"/>
      <w:sz w:val="24"/>
      <w:szCs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8"/>
      </w:numPr>
    </w:pPr>
  </w:style>
  <w:style w:type="paragraph" w:customStyle="1" w:styleId="Tiret1">
    <w:name w:val="Tiret 1"/>
    <w:basedOn w:val="Point1"/>
    <w:pPr>
      <w:numPr>
        <w:numId w:val="19"/>
      </w:numPr>
    </w:pPr>
  </w:style>
  <w:style w:type="paragraph" w:customStyle="1" w:styleId="Tiret2">
    <w:name w:val="Tiret 2"/>
    <w:basedOn w:val="Point2"/>
    <w:pPr>
      <w:numPr>
        <w:numId w:val="20"/>
      </w:numPr>
    </w:pPr>
  </w:style>
  <w:style w:type="paragraph" w:customStyle="1" w:styleId="Tiret3">
    <w:name w:val="Tiret 3"/>
    <w:basedOn w:val="Point3"/>
    <w:pPr>
      <w:numPr>
        <w:numId w:val="21"/>
      </w:numPr>
    </w:pPr>
  </w:style>
  <w:style w:type="paragraph" w:customStyle="1" w:styleId="Tiret4">
    <w:name w:val="Tiret 4"/>
    <w:basedOn w:val="Point4"/>
    <w:pPr>
      <w:numPr>
        <w:numId w:val="22"/>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3"/>
      </w:numPr>
    </w:pPr>
  </w:style>
  <w:style w:type="paragraph" w:customStyle="1" w:styleId="NumPar2">
    <w:name w:val="NumPar 2"/>
    <w:basedOn w:val="Normal"/>
    <w:next w:val="Text1"/>
    <w:pPr>
      <w:numPr>
        <w:ilvl w:val="1"/>
        <w:numId w:val="23"/>
      </w:numPr>
    </w:pPr>
  </w:style>
  <w:style w:type="paragraph" w:customStyle="1" w:styleId="NumPar3">
    <w:name w:val="NumPar 3"/>
    <w:basedOn w:val="Normal"/>
    <w:next w:val="Text1"/>
    <w:pPr>
      <w:numPr>
        <w:ilvl w:val="2"/>
        <w:numId w:val="23"/>
      </w:numPr>
    </w:pPr>
  </w:style>
  <w:style w:type="paragraph" w:customStyle="1" w:styleId="NumPar4">
    <w:name w:val="NumPar 4"/>
    <w:basedOn w:val="Normal"/>
    <w:next w:val="Text1"/>
    <w:pPr>
      <w:numPr>
        <w:ilvl w:val="3"/>
        <w:numId w:val="23"/>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5"/>
      </w:numPr>
    </w:pPr>
  </w:style>
  <w:style w:type="paragraph" w:customStyle="1" w:styleId="Point1number">
    <w:name w:val="Point 1 (number)"/>
    <w:basedOn w:val="Normal"/>
    <w:pPr>
      <w:numPr>
        <w:ilvl w:val="2"/>
        <w:numId w:val="25"/>
      </w:numPr>
    </w:pPr>
  </w:style>
  <w:style w:type="paragraph" w:customStyle="1" w:styleId="Point2number">
    <w:name w:val="Point 2 (number)"/>
    <w:basedOn w:val="Normal"/>
    <w:pPr>
      <w:numPr>
        <w:ilvl w:val="4"/>
        <w:numId w:val="25"/>
      </w:numPr>
    </w:pPr>
  </w:style>
  <w:style w:type="paragraph" w:customStyle="1" w:styleId="Point3number">
    <w:name w:val="Point 3 (number)"/>
    <w:basedOn w:val="Normal"/>
    <w:pPr>
      <w:numPr>
        <w:ilvl w:val="6"/>
        <w:numId w:val="25"/>
      </w:numPr>
    </w:pPr>
  </w:style>
  <w:style w:type="paragraph" w:customStyle="1" w:styleId="Point0letter">
    <w:name w:val="Point 0 (letter)"/>
    <w:basedOn w:val="Normal"/>
    <w:pPr>
      <w:numPr>
        <w:ilvl w:val="1"/>
        <w:numId w:val="25"/>
      </w:numPr>
    </w:pPr>
  </w:style>
  <w:style w:type="paragraph" w:customStyle="1" w:styleId="Point1letter">
    <w:name w:val="Point 1 (letter)"/>
    <w:basedOn w:val="Normal"/>
    <w:pPr>
      <w:numPr>
        <w:ilvl w:val="3"/>
        <w:numId w:val="25"/>
      </w:numPr>
    </w:pPr>
  </w:style>
  <w:style w:type="paragraph" w:customStyle="1" w:styleId="Point2letter">
    <w:name w:val="Point 2 (letter)"/>
    <w:basedOn w:val="Normal"/>
    <w:pPr>
      <w:numPr>
        <w:ilvl w:val="5"/>
        <w:numId w:val="25"/>
      </w:numPr>
    </w:pPr>
  </w:style>
  <w:style w:type="paragraph" w:customStyle="1" w:styleId="Point3letter">
    <w:name w:val="Point 3 (letter)"/>
    <w:basedOn w:val="Normal"/>
    <w:pPr>
      <w:numPr>
        <w:ilvl w:val="7"/>
        <w:numId w:val="25"/>
      </w:numPr>
    </w:pPr>
  </w:style>
  <w:style w:type="paragraph" w:customStyle="1" w:styleId="Point4letter">
    <w:name w:val="Point 4 (letter)"/>
    <w:basedOn w:val="Normal"/>
    <w:pPr>
      <w:numPr>
        <w:ilvl w:val="8"/>
        <w:numId w:val="25"/>
      </w:numPr>
    </w:pPr>
  </w:style>
  <w:style w:type="paragraph" w:customStyle="1" w:styleId="Bullet0">
    <w:name w:val="Bullet 0"/>
    <w:basedOn w:val="Normal"/>
    <w:pPr>
      <w:numPr>
        <w:numId w:val="26"/>
      </w:numPr>
    </w:pPr>
  </w:style>
  <w:style w:type="paragraph" w:customStyle="1" w:styleId="Bullet1">
    <w:name w:val="Bullet 1"/>
    <w:basedOn w:val="Normal"/>
    <w:pPr>
      <w:numPr>
        <w:numId w:val="27"/>
      </w:numPr>
    </w:pPr>
  </w:style>
  <w:style w:type="paragraph" w:customStyle="1" w:styleId="Bullet2">
    <w:name w:val="Bullet 2"/>
    <w:basedOn w:val="Normal"/>
    <w:pPr>
      <w:numPr>
        <w:numId w:val="28"/>
      </w:numPr>
    </w:pPr>
  </w:style>
  <w:style w:type="paragraph" w:customStyle="1" w:styleId="Bullet3">
    <w:name w:val="Bullet 3"/>
    <w:basedOn w:val="Normal"/>
    <w:pPr>
      <w:numPr>
        <w:numId w:val="29"/>
      </w:numPr>
    </w:pPr>
  </w:style>
  <w:style w:type="paragraph" w:customStyle="1" w:styleId="Bullet4">
    <w:name w:val="Bullet 4"/>
    <w:basedOn w:val="Normal"/>
    <w:pPr>
      <w:numPr>
        <w:numId w:val="30"/>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1"/>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6.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hyperlink" Target="http://www.cc.cec/budg/pre/legalbasis/pre-040-020_preparation_en.html"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header" Target="header8.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F89CE-E054-4B47-8755-4FA147231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TotalTime>
  <Pages>35</Pages>
  <Words>5630</Words>
  <Characters>33449</Characters>
  <Application>Microsoft Office Word</Application>
  <DocSecurity>0</DocSecurity>
  <Lines>1967</Lines>
  <Paragraphs>849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cp:lastPrinted>2016-06-29T14:55:00Z</cp:lastPrinted>
  <dcterms:created xsi:type="dcterms:W3CDTF">2017-01-24T14:29:00Z</dcterms:created>
  <dcterms:modified xsi:type="dcterms:W3CDTF">2017-02-22T10:04:00Z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5.8.3, Build 20140113</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SJ-019</vt:lpwstr>
  </property>
  <property fmtid="{D5CDD505-2E9C-101B-9397-08002B2CF9AE}" pid="10" name="DQCStatus">
    <vt:lpwstr>Green (DQC version 03)</vt:lpwstr>
  </property>
  <property name="OP_sanitized" fmtid="{D5CDD505-2E9C-101B-9397-08002B2CF9AE}" pid="11">
    <vt:lpwstr>True</vt:lpwstr>
  </property>
</Properties>
</file>