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46D5D" w:rsidRPr="002C177F" w:rsidRDefault="00F92D8C" w:rsidP="00F92D8C">
      <w:pPr>
        <w:pStyle w:val="Pagedecouverture"/>
        <w:rPr>
          <w:noProof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31" type="#_x0000_t75" alt="E6E2CCC3-350D-44D0-B87C-DCB15AAAC574" style="width:455.25pt;height:383.25pt">
            <v:imagedata r:id="rId11" o:title=""/>
          </v:shape>
        </w:pict>
      </w:r>
    </w:p>
    <w:p w:rsidR="00945E1A" w:rsidRPr="002C177F" w:rsidRDefault="00945E1A" w:rsidP="00E95A83">
      <w:pPr>
        <w:rPr>
          <w:noProof/>
        </w:rPr>
        <w:sectPr w:rsidR="00945E1A" w:rsidRPr="002C177F" w:rsidSect="00F92D8C">
          <w:footerReference w:type="even" r:id="rId12"/>
          <w:footerReference w:type="default" r:id="rId13"/>
          <w:pgSz w:w="11907" w:h="16839"/>
          <w:pgMar w:top="1134" w:right="1417" w:bottom="1134" w:left="1417" w:header="709" w:footer="709" w:gutter="0"/>
          <w:pgNumType w:start="0"/>
          <w:cols w:space="720"/>
          <w:docGrid w:linePitch="360"/>
        </w:sectPr>
      </w:pPr>
    </w:p>
    <w:p w:rsidR="00C064F5" w:rsidRPr="002C177F" w:rsidRDefault="00C064F5" w:rsidP="00945E1A">
      <w:pPr>
        <w:pStyle w:val="Exposdesmotifstitre"/>
        <w:ind w:left="360"/>
        <w:rPr>
          <w:noProof/>
          <w:sz w:val="2"/>
          <w:szCs w:val="2"/>
        </w:rPr>
      </w:pPr>
      <w:bookmarkStart w:id="0" w:name="_GoBack"/>
      <w:bookmarkEnd w:id="0"/>
    </w:p>
    <w:p w:rsidR="00C064F5" w:rsidRPr="002C177F" w:rsidRDefault="00C064F5" w:rsidP="00C064F5">
      <w:pPr>
        <w:rPr>
          <w:noProof/>
          <w:sz w:val="2"/>
          <w:szCs w:val="2"/>
        </w:rPr>
      </w:pPr>
    </w:p>
    <w:p w:rsidR="00A04C54" w:rsidRPr="002C177F" w:rsidRDefault="002C177F" w:rsidP="002C177F">
      <w:pPr>
        <w:pStyle w:val="Rfrenceinterinstitutionnelle"/>
        <w:rPr>
          <w:noProof/>
        </w:rPr>
      </w:pPr>
      <w:r>
        <w:rPr>
          <w:noProof/>
        </w:rPr>
        <w:t>2024/0303 (NLE)</w:t>
      </w:r>
    </w:p>
    <w:p w:rsidR="00446D5D" w:rsidRPr="002C177F" w:rsidRDefault="002C177F" w:rsidP="002C177F">
      <w:pPr>
        <w:pStyle w:val="Statut"/>
        <w:rPr>
          <w:noProof/>
        </w:rPr>
      </w:pPr>
      <w:r w:rsidRPr="002C177F">
        <w:rPr>
          <w:noProof/>
        </w:rPr>
        <w:t>Návrh</w:t>
      </w:r>
    </w:p>
    <w:p w:rsidR="00446D5D" w:rsidRPr="002C177F" w:rsidRDefault="002C177F" w:rsidP="002C177F">
      <w:pPr>
        <w:pStyle w:val="Typedudocument"/>
        <w:rPr>
          <w:noProof/>
        </w:rPr>
      </w:pPr>
      <w:r w:rsidRPr="002C177F">
        <w:rPr>
          <w:noProof/>
        </w:rPr>
        <w:t>PROVÁDĚCÍ ROZHODNUTÍ RADY,</w:t>
      </w:r>
    </w:p>
    <w:p w:rsidR="00446D5D" w:rsidRPr="002C177F" w:rsidRDefault="002C177F" w:rsidP="002C177F">
      <w:pPr>
        <w:pStyle w:val="Titreobjet"/>
        <w:rPr>
          <w:noProof/>
        </w:rPr>
      </w:pPr>
      <w:r w:rsidRPr="002C177F">
        <w:rPr>
          <w:noProof/>
        </w:rPr>
        <w:t>kterým se stanoví uspokojivé splnění podmínek pro vyplacení druhé splátky nevratné finanční podpory a úvěrové podpory podle Plánu pro Ukrajinu v rámci Nástroje pro Ukrajinu</w:t>
      </w:r>
      <w:r w:rsidRPr="002C177F">
        <w:rPr>
          <w:noProof/>
        </w:rPr>
        <w:br/>
      </w:r>
    </w:p>
    <w:p w:rsidR="00446D5D" w:rsidRPr="002C177F" w:rsidRDefault="00446D5D" w:rsidP="00446D5D">
      <w:pPr>
        <w:pStyle w:val="Institutionquiagit"/>
        <w:rPr>
          <w:noProof/>
        </w:rPr>
      </w:pPr>
      <w:bookmarkStart w:id="1" w:name="_Hlk172115450"/>
      <w:r w:rsidRPr="002C177F">
        <w:rPr>
          <w:noProof/>
        </w:rPr>
        <w:t>RADA EVROPSKÉ UNIE,</w:t>
      </w:r>
    </w:p>
    <w:p w:rsidR="00446D5D" w:rsidRPr="002C177F" w:rsidRDefault="00446D5D" w:rsidP="00446D5D">
      <w:pPr>
        <w:rPr>
          <w:noProof/>
        </w:rPr>
      </w:pPr>
      <w:bookmarkStart w:id="2" w:name="_Hlk172115434"/>
      <w:bookmarkStart w:id="3" w:name="_Hlk172115421"/>
      <w:r w:rsidRPr="002C177F">
        <w:rPr>
          <w:noProof/>
        </w:rPr>
        <w:t xml:space="preserve">s ohledem na Smlouvu o fungování Evropské unie, </w:t>
      </w:r>
    </w:p>
    <w:p w:rsidR="00446D5D" w:rsidRPr="002C177F" w:rsidRDefault="00446D5D" w:rsidP="00446D5D">
      <w:pPr>
        <w:rPr>
          <w:noProof/>
        </w:rPr>
      </w:pPr>
      <w:bookmarkStart w:id="4" w:name="_Hlk172111742"/>
      <w:r w:rsidRPr="002C177F">
        <w:rPr>
          <w:noProof/>
        </w:rPr>
        <w:t>s ohledem na nařízení Evropského parlamentu a Rady (EU) 2024/792 ze dne 29. února 2024 o zřízení Nástroje pro Ukrajinu</w:t>
      </w:r>
      <w:r w:rsidRPr="002C177F">
        <w:rPr>
          <w:rStyle w:val="FootnoteReference"/>
          <w:noProof/>
        </w:rPr>
        <w:footnoteReference w:id="2"/>
      </w:r>
      <w:r w:rsidRPr="002C177F">
        <w:rPr>
          <w:noProof/>
        </w:rPr>
        <w:t>, a zejména na čl. 26 odst. 4 uvedeného nařízení,</w:t>
      </w:r>
    </w:p>
    <w:bookmarkEnd w:id="4"/>
    <w:p w:rsidR="00446D5D" w:rsidRPr="002C177F" w:rsidRDefault="00446D5D" w:rsidP="55ADF842">
      <w:pPr>
        <w:rPr>
          <w:noProof/>
        </w:rPr>
      </w:pPr>
      <w:r w:rsidRPr="002C177F">
        <w:rPr>
          <w:noProof/>
        </w:rPr>
        <w:t>s ohledem na návrh Evropské komise,</w:t>
      </w:r>
    </w:p>
    <w:bookmarkEnd w:id="2"/>
    <w:p w:rsidR="00446D5D" w:rsidRPr="002C177F" w:rsidRDefault="00446D5D" w:rsidP="00446D5D">
      <w:pPr>
        <w:rPr>
          <w:noProof/>
        </w:rPr>
      </w:pPr>
      <w:r w:rsidRPr="002C177F">
        <w:rPr>
          <w:noProof/>
        </w:rPr>
        <w:t>vzhledem k těmto důvodům:</w:t>
      </w:r>
    </w:p>
    <w:p w:rsidR="00900062" w:rsidRPr="002C177F" w:rsidRDefault="00006EC3" w:rsidP="00006EC3">
      <w:pPr>
        <w:pStyle w:val="ManualConsidrant"/>
        <w:rPr>
          <w:noProof/>
        </w:rPr>
      </w:pPr>
      <w:bookmarkStart w:id="5" w:name="_Hlk172111757"/>
      <w:bookmarkEnd w:id="3"/>
      <w:r w:rsidRPr="00006EC3">
        <w:rPr>
          <w:noProof/>
        </w:rPr>
        <w:t>(1)</w:t>
      </w:r>
      <w:r w:rsidRPr="00006EC3">
        <w:rPr>
          <w:noProof/>
        </w:rPr>
        <w:tab/>
      </w:r>
      <w:r w:rsidR="00446D5D" w:rsidRPr="002C177F">
        <w:rPr>
          <w:noProof/>
        </w:rPr>
        <w:t xml:space="preserve">Pilíř I Nástroje pro Ukrajinu (dále jen „nástroj“) poskytuje Ukrajině finanční podporu ve výši až 38 270 000 000 EUR na období 2024–2027 ve formě nevratné podpory a úvěrů. Financování v rámci pilíře I je přidělováno především na základě Plánu pro Ukrajinu (dále jen „plán“). Plán stanoví reformní a investiční program Ukrajiny a kvalitativní a kvantitativní kroky, které jsou spojeny s financováním v rámci pilíře I nástroje. </w:t>
      </w:r>
    </w:p>
    <w:p w:rsidR="00900062" w:rsidRPr="002C177F" w:rsidRDefault="00006EC3" w:rsidP="00006EC3">
      <w:pPr>
        <w:pStyle w:val="ManualConsidrant"/>
        <w:rPr>
          <w:noProof/>
        </w:rPr>
      </w:pPr>
      <w:r w:rsidRPr="00006EC3">
        <w:rPr>
          <w:noProof/>
        </w:rPr>
        <w:t>(2)</w:t>
      </w:r>
      <w:r w:rsidRPr="00006EC3">
        <w:rPr>
          <w:noProof/>
        </w:rPr>
        <w:tab/>
      </w:r>
      <w:r w:rsidR="6DAF66E4" w:rsidRPr="002C177F">
        <w:rPr>
          <w:noProof/>
        </w:rPr>
        <w:t>Na základě článku 19 nařízení (EU) 2024/792 přijala Rada prováděcí rozhodnutí (EU) 2024/1447</w:t>
      </w:r>
      <w:r w:rsidR="00653EBE" w:rsidRPr="002C177F">
        <w:rPr>
          <w:rStyle w:val="FootnoteReference"/>
          <w:noProof/>
        </w:rPr>
        <w:footnoteReference w:id="3"/>
      </w:r>
      <w:r w:rsidR="6DAF66E4" w:rsidRPr="002C177F">
        <w:rPr>
          <w:noProof/>
        </w:rPr>
        <w:t xml:space="preserve"> o schválení posouzení plánu. Harmonogram monitorování a provádění plánu, včetně kvalitativních a kvantitativních kroků, které jsou spojeny s financováním v rámci pilíře I nástroje, je stanoven v příloze prováděcího rozhodnutí (EU) 2024/1447.</w:t>
      </w:r>
    </w:p>
    <w:p w:rsidR="00900062" w:rsidRPr="002C177F" w:rsidRDefault="00006EC3" w:rsidP="00006EC3">
      <w:pPr>
        <w:pStyle w:val="ManualConsidrant"/>
        <w:rPr>
          <w:noProof/>
        </w:rPr>
      </w:pPr>
      <w:r w:rsidRPr="00006EC3">
        <w:rPr>
          <w:noProof/>
        </w:rPr>
        <w:t>(3)</w:t>
      </w:r>
      <w:r w:rsidRPr="00006EC3">
        <w:rPr>
          <w:noProof/>
        </w:rPr>
        <w:tab/>
      </w:r>
      <w:r w:rsidR="00446D5D" w:rsidRPr="002C177F">
        <w:rPr>
          <w:noProof/>
        </w:rPr>
        <w:t xml:space="preserve">Celková částka finančních zdrojů uvolněných na plán podle prováděcího rozhodnutí Rady (EU) 2024/1447 činí 32 270 000 000 EUR, z </w:t>
      </w:r>
      <w:bookmarkStart w:id="6" w:name="_Hlk181809472"/>
      <w:r w:rsidR="00446D5D" w:rsidRPr="002C177F">
        <w:rPr>
          <w:noProof/>
        </w:rPr>
        <w:t>toho 5 270 000 000 EUR</w:t>
      </w:r>
      <w:bookmarkEnd w:id="6"/>
      <w:r w:rsidR="00446D5D" w:rsidRPr="002C177F">
        <w:rPr>
          <w:noProof/>
        </w:rPr>
        <w:t xml:space="preserve"> ve formě nevratné finanční podpory a až 27 000 000 000 EUR ve formě úvěru. </w:t>
      </w:r>
    </w:p>
    <w:p w:rsidR="00900062" w:rsidRPr="002C177F" w:rsidRDefault="00006EC3" w:rsidP="00006EC3">
      <w:pPr>
        <w:pStyle w:val="ManualConsidrant"/>
        <w:rPr>
          <w:noProof/>
        </w:rPr>
      </w:pPr>
      <w:r w:rsidRPr="00006EC3">
        <w:rPr>
          <w:noProof/>
        </w:rPr>
        <w:t>(4)</w:t>
      </w:r>
      <w:r w:rsidRPr="00006EC3">
        <w:rPr>
          <w:noProof/>
        </w:rPr>
        <w:tab/>
      </w:r>
      <w:r w:rsidR="5F7B3744" w:rsidRPr="002C177F">
        <w:rPr>
          <w:noProof/>
        </w:rPr>
        <w:t>V souladu s články 24 a 25 nařízení (EU) 2024/792 bylo Ukrajině vyplaceno 6 000 000 000 EUR jako mimořádné překlenovací financování a 1 890 000 000 EUR ve formě předběžného financování, které představuje zálohovou platbu ve výši 7 % úvěrové podpory, kterou je Ukrajina způsobilá obdržet podle plánu.</w:t>
      </w:r>
    </w:p>
    <w:p w:rsidR="00900062" w:rsidRPr="002C177F" w:rsidRDefault="00006EC3" w:rsidP="00006EC3">
      <w:pPr>
        <w:pStyle w:val="ManualConsidrant"/>
        <w:rPr>
          <w:noProof/>
        </w:rPr>
      </w:pPr>
      <w:r w:rsidRPr="00006EC3">
        <w:rPr>
          <w:noProof/>
        </w:rPr>
        <w:t>(5)</w:t>
      </w:r>
      <w:r w:rsidRPr="00006EC3">
        <w:rPr>
          <w:noProof/>
        </w:rPr>
        <w:tab/>
      </w:r>
      <w:r w:rsidR="27BB8800" w:rsidRPr="002C177F">
        <w:rPr>
          <w:noProof/>
        </w:rPr>
        <w:t xml:space="preserve">V souladu s čl. 26 odst. 4 nařízení (EU) 2024/792 bylo Ukrajině v rámci první splátky vyplaceno 4 165 092 857 EUR, z toho 1 500 000 000 EUR ve formě nevratné finanční podpory a </w:t>
      </w:r>
      <w:r w:rsidR="27BB8800" w:rsidRPr="002C177F">
        <w:rPr>
          <w:noProof/>
          <w:color w:val="000000" w:themeColor="text1"/>
        </w:rPr>
        <w:t>2 665 092 857 EUR ve formě úvěrů. V souladu s ustanoveními smlouvy o úvěru uzavřené mezi Unií a Ukrajinou podle článku 22 nařízení (EU) 2024/792 byla</w:t>
      </w:r>
      <w:r w:rsidR="27BB8800" w:rsidRPr="002C177F">
        <w:rPr>
          <w:noProof/>
        </w:rPr>
        <w:t xml:space="preserve"> z </w:t>
      </w:r>
      <w:r w:rsidR="27BB8800" w:rsidRPr="002C177F">
        <w:rPr>
          <w:noProof/>
          <w:color w:val="000000" w:themeColor="text1"/>
        </w:rPr>
        <w:t>první</w:t>
      </w:r>
      <w:r w:rsidR="27BB8800" w:rsidRPr="002C177F">
        <w:rPr>
          <w:noProof/>
        </w:rPr>
        <w:t xml:space="preserve"> </w:t>
      </w:r>
      <w:r w:rsidR="27BB8800" w:rsidRPr="002C177F">
        <w:rPr>
          <w:noProof/>
          <w:color w:val="000000" w:themeColor="text1"/>
        </w:rPr>
        <w:t>splátky použita částka ve výši 200 598 387 EUR na zúčtování předběžného financování úvěru.</w:t>
      </w:r>
    </w:p>
    <w:p w:rsidR="00900062" w:rsidRPr="002C177F" w:rsidRDefault="00006EC3" w:rsidP="00006EC3">
      <w:pPr>
        <w:pStyle w:val="ManualConsidrant"/>
        <w:rPr>
          <w:noProof/>
        </w:rPr>
      </w:pPr>
      <w:r w:rsidRPr="00006EC3">
        <w:rPr>
          <w:noProof/>
        </w:rPr>
        <w:t>(6)</w:t>
      </w:r>
      <w:r w:rsidRPr="00006EC3">
        <w:rPr>
          <w:noProof/>
        </w:rPr>
        <w:tab/>
      </w:r>
      <w:r w:rsidR="00446D5D" w:rsidRPr="002C177F">
        <w:rPr>
          <w:noProof/>
        </w:rPr>
        <w:t xml:space="preserve">V souladu s čl. 26 odst. 2 nařízení (EU) 2024/792 předložila Ukrajina dne 10. října 2024 žádost o platbu druhé splátky nevratné finanční podpory a úvěrové podpory ve výši 4 248 847 926 EUR, jak je stanoveno v příloze prováděcího rozhodnutí Rady (EU) 2024/1447, a poskytla důkazy, že uspokojivě splnila osm z devíti kroků. Další důkazy týkající se uspokojivého splnění zbývajícího kroku byly předloženy dne 31. října 2024. K žádosti byly přiloženy dokumenty požadované podle článku 12 rámcové dohody, článku 5 dohody o financování a článku 6 smlouvy o úvěru uzavřených mezi Unií a Ukrajinou podle článků 9, 10 a 22 nařízení (EU) 2024/792. </w:t>
      </w:r>
    </w:p>
    <w:p w:rsidR="00900062" w:rsidRPr="002C177F" w:rsidRDefault="00006EC3" w:rsidP="00006EC3">
      <w:pPr>
        <w:pStyle w:val="ManualConsidrant"/>
        <w:rPr>
          <w:noProof/>
        </w:rPr>
      </w:pPr>
      <w:r w:rsidRPr="00006EC3">
        <w:rPr>
          <w:noProof/>
        </w:rPr>
        <w:t>(7)</w:t>
      </w:r>
      <w:r w:rsidRPr="00006EC3">
        <w:rPr>
          <w:noProof/>
        </w:rPr>
        <w:tab/>
      </w:r>
      <w:r w:rsidR="13303290" w:rsidRPr="002C177F">
        <w:rPr>
          <w:noProof/>
        </w:rPr>
        <w:t xml:space="preserve">Ukrajina spolu s žádostí o platbu prokázala uspokojivé splnění devíti kroků, které bylo třeba v souladu s prováděcím rozhodnutím (EU) 2024/1447 provést do třetího čtvrtletí roku 2024. Devět uspokojivě splněných kroků se týká různých reforem stanovených v plánu v rámci kapitol o boji proti korupci a praní peněz, lidském kapitálu, podnikatelském prostředí, decentralizaci a regionální politice, energetickém sektoru a o ekologické transformaci a ochraně životního prostředí. Specializovanému protikorupčnímu státnímu zastupitelství byla dána možnost zvýšit počet svých zaměstnanců. Byl přijat akční plán pro provádění strategie pro vymáhání majetku z trestné činnosti na období 2023–2025, strategie demografického rozvoje na období do roku 2040, akční plán deregulace a usnesení o změně státní strategie regionálního rozvoje na období 2021–2027. Kromě toho byl vypracován koncepční dokument vymezující oblast působnosti odchylek od pravidel posuzování vlivů na životní prostředí a strategického posuzování vlivů na životní prostředí. Také vstoupily v platnost zákony o trestním zákoníku a trestním řádu a o průmyslovém znečištění a sekundární právní předpisy k nařízení o integritě a transparentnosti velkoobchodního trhu s energií. </w:t>
      </w:r>
    </w:p>
    <w:p w:rsidR="00900062" w:rsidRPr="002C177F" w:rsidRDefault="00006EC3" w:rsidP="00006EC3">
      <w:pPr>
        <w:pStyle w:val="ManualConsidrant"/>
        <w:rPr>
          <w:noProof/>
        </w:rPr>
      </w:pPr>
      <w:r w:rsidRPr="00006EC3">
        <w:rPr>
          <w:noProof/>
        </w:rPr>
        <w:t>(8)</w:t>
      </w:r>
      <w:r w:rsidRPr="00006EC3">
        <w:rPr>
          <w:noProof/>
        </w:rPr>
        <w:tab/>
      </w:r>
      <w:r w:rsidR="00446D5D" w:rsidRPr="002C177F">
        <w:rPr>
          <w:noProof/>
        </w:rPr>
        <w:t xml:space="preserve">V souladu s čl. 26 odst. 4 nařízení (EU) 2024/792 Komise podrobně posoudila žádost o platbu předloženou Ukrajinou a kladně posoudila uspokojivé splnění devíti kvalitativních a kvantitativních kroků pro druhou splátku, jak je uvedeno v příloze tohoto rozhodnutí. Toto kladné posouzení se provádí v souvislosti s prováděním plánu. Další sbližování s </w:t>
      </w:r>
      <w:r w:rsidR="00446D5D" w:rsidRPr="002C177F">
        <w:rPr>
          <w:i/>
          <w:iCs/>
          <w:noProof/>
        </w:rPr>
        <w:t>acquis</w:t>
      </w:r>
      <w:r w:rsidR="00446D5D" w:rsidRPr="002C177F">
        <w:rPr>
          <w:noProof/>
        </w:rPr>
        <w:t xml:space="preserve"> EU bude usnadněno prostřednictvím procesu přistoupení k EU.</w:t>
      </w:r>
    </w:p>
    <w:p w:rsidR="00900062" w:rsidRPr="002C177F" w:rsidRDefault="00006EC3" w:rsidP="00006EC3">
      <w:pPr>
        <w:pStyle w:val="ManualConsidrant"/>
        <w:rPr>
          <w:noProof/>
        </w:rPr>
      </w:pPr>
      <w:r w:rsidRPr="00006EC3">
        <w:rPr>
          <w:noProof/>
        </w:rPr>
        <w:t>(9)</w:t>
      </w:r>
      <w:r w:rsidRPr="00006EC3">
        <w:rPr>
          <w:noProof/>
        </w:rPr>
        <w:tab/>
      </w:r>
      <w:r w:rsidR="00446D5D" w:rsidRPr="002C177F">
        <w:rPr>
          <w:noProof/>
        </w:rPr>
        <w:t>Komise dospěla k závěru, že Ukrajina nadále splňuje základní podmínku pro podporu Unie stanovenou v článku 5 nařízení (EU) 2024/792. Ukrajina zejména nadále prosazuje a respektuje účinné demokratické mechanismy, včetně parlamentního systému založeného na pluralitě politických stran a právního státu, a zaručuje dodržování lidských práv, včetně práv příslušníků menšin.</w:t>
      </w:r>
    </w:p>
    <w:p w:rsidR="00900062" w:rsidRPr="002C177F" w:rsidRDefault="00006EC3" w:rsidP="00006EC3">
      <w:pPr>
        <w:pStyle w:val="ManualConsidrant"/>
        <w:rPr>
          <w:noProof/>
        </w:rPr>
      </w:pPr>
      <w:r w:rsidRPr="00006EC3">
        <w:rPr>
          <w:noProof/>
        </w:rPr>
        <w:t>(10)</w:t>
      </w:r>
      <w:r w:rsidRPr="00006EC3">
        <w:rPr>
          <w:noProof/>
        </w:rPr>
        <w:tab/>
      </w:r>
      <w:r w:rsidR="00446D5D" w:rsidRPr="002C177F">
        <w:rPr>
          <w:noProof/>
        </w:rPr>
        <w:t xml:space="preserve">Toto rozhodnutí by proto mělo stanovit, že příslušné podmínky pro vyplacení druhé splátky podle plánu byly uspokojivě splněny. </w:t>
      </w:r>
    </w:p>
    <w:p w:rsidR="00446D5D" w:rsidRPr="002C177F" w:rsidRDefault="00006EC3" w:rsidP="00006EC3">
      <w:pPr>
        <w:pStyle w:val="ManualConsidrant"/>
        <w:rPr>
          <w:noProof/>
        </w:rPr>
      </w:pPr>
      <w:r w:rsidRPr="00006EC3">
        <w:rPr>
          <w:noProof/>
        </w:rPr>
        <w:t>(11)</w:t>
      </w:r>
      <w:r w:rsidRPr="00006EC3">
        <w:rPr>
          <w:noProof/>
        </w:rPr>
        <w:tab/>
      </w:r>
      <w:r w:rsidR="00446D5D" w:rsidRPr="002C177F">
        <w:rPr>
          <w:noProof/>
        </w:rPr>
        <w:t xml:space="preserve">Vzhledem k obtížné fiskální situaci, jíž Ukrajina čelí, je nanejvýš důležité vyplatit finanční prostředky co nejdříve. S ohledem na naléhavost situace a v zájmu urychlení procesu by toto rozhodnutí mělo vstoupit v platnost dnem vyhlášení v </w:t>
      </w:r>
      <w:r w:rsidR="00446D5D" w:rsidRPr="002C177F">
        <w:rPr>
          <w:i/>
          <w:iCs/>
          <w:noProof/>
        </w:rPr>
        <w:t>Úředním věstníku Evropské unie</w:t>
      </w:r>
      <w:r w:rsidR="00446D5D" w:rsidRPr="002C177F">
        <w:rPr>
          <w:noProof/>
        </w:rPr>
        <w:t xml:space="preserve"> a mělo by se použít ode dne přijetí, </w:t>
      </w:r>
    </w:p>
    <w:bookmarkEnd w:id="5"/>
    <w:p w:rsidR="00446D5D" w:rsidRPr="002C177F" w:rsidRDefault="00446D5D" w:rsidP="00446D5D">
      <w:pPr>
        <w:pStyle w:val="Formuledadoption"/>
        <w:rPr>
          <w:noProof/>
        </w:rPr>
      </w:pPr>
      <w:r w:rsidRPr="002C177F">
        <w:rPr>
          <w:noProof/>
        </w:rPr>
        <w:t xml:space="preserve">PŘIJALA TOTO ROZHODNUTÍ: </w:t>
      </w:r>
    </w:p>
    <w:p w:rsidR="00446D5D" w:rsidRPr="002C177F" w:rsidRDefault="00446D5D" w:rsidP="00446D5D">
      <w:pPr>
        <w:pStyle w:val="Titrearticle"/>
        <w:rPr>
          <w:noProof/>
        </w:rPr>
      </w:pPr>
      <w:r w:rsidRPr="002C177F">
        <w:rPr>
          <w:noProof/>
        </w:rPr>
        <w:t>Článek 1</w:t>
      </w:r>
    </w:p>
    <w:p w:rsidR="00446D5D" w:rsidRPr="002C177F" w:rsidRDefault="00446D5D" w:rsidP="00446D5D">
      <w:pPr>
        <w:rPr>
          <w:noProof/>
        </w:rPr>
      </w:pPr>
      <w:bookmarkStart w:id="7" w:name="_Hlk172111778"/>
      <w:r w:rsidRPr="002C177F">
        <w:rPr>
          <w:noProof/>
        </w:rPr>
        <w:t>V souladu s posouzením provedeným Komisí podle článku 26 nařízení (EU) 2024/792, obsaženým v příloze tohoto rozhodnutí, se stanoví, že byly uspokojivě splněny příslušné podmínky pro vyplacení druhé splátky ve výši 4 248 847 926 EUR, jak je stanoveno v příloze prováděcího rozhodnutí (EU) 2024/1447.</w:t>
      </w:r>
    </w:p>
    <w:bookmarkEnd w:id="7"/>
    <w:p w:rsidR="00446D5D" w:rsidRPr="002C177F" w:rsidRDefault="00446D5D" w:rsidP="00446D5D">
      <w:pPr>
        <w:rPr>
          <w:noProof/>
        </w:rPr>
      </w:pPr>
    </w:p>
    <w:p w:rsidR="00446D5D" w:rsidRPr="002C177F" w:rsidRDefault="00446D5D" w:rsidP="00446D5D">
      <w:pPr>
        <w:pStyle w:val="Titrearticle"/>
        <w:rPr>
          <w:noProof/>
        </w:rPr>
      </w:pPr>
      <w:r w:rsidRPr="002C177F">
        <w:rPr>
          <w:noProof/>
        </w:rPr>
        <w:t>Článek 2</w:t>
      </w:r>
    </w:p>
    <w:p w:rsidR="00446D5D" w:rsidRPr="002C177F" w:rsidRDefault="00446D5D" w:rsidP="00446D5D">
      <w:pPr>
        <w:keepNext/>
        <w:keepLines/>
        <w:rPr>
          <w:noProof/>
        </w:rPr>
      </w:pPr>
      <w:r w:rsidRPr="002C177F">
        <w:rPr>
          <w:noProof/>
        </w:rPr>
        <w:t xml:space="preserve">Toto rozhodnutí vstupuje v platnost dnem vyhlášení v </w:t>
      </w:r>
      <w:r w:rsidRPr="002C177F">
        <w:rPr>
          <w:i/>
          <w:noProof/>
        </w:rPr>
        <w:t>Úředním věstníku Evropské unie</w:t>
      </w:r>
      <w:r w:rsidRPr="002C177F">
        <w:rPr>
          <w:noProof/>
        </w:rPr>
        <w:t>.</w:t>
      </w:r>
    </w:p>
    <w:p w:rsidR="00446D5D" w:rsidRPr="002C177F" w:rsidRDefault="00446D5D" w:rsidP="00446D5D">
      <w:pPr>
        <w:rPr>
          <w:noProof/>
        </w:rPr>
      </w:pPr>
      <w:bookmarkStart w:id="8" w:name="_Hlk172111802"/>
      <w:r w:rsidRPr="002C177F">
        <w:rPr>
          <w:noProof/>
        </w:rPr>
        <w:t xml:space="preserve">Použije se ode dne přijetí. </w:t>
      </w:r>
    </w:p>
    <w:bookmarkEnd w:id="8"/>
    <w:p w:rsidR="00446D5D" w:rsidRPr="002C177F" w:rsidRDefault="00446D5D" w:rsidP="00446D5D">
      <w:pPr>
        <w:keepNext/>
        <w:keepLines/>
        <w:rPr>
          <w:noProof/>
        </w:rPr>
      </w:pPr>
    </w:p>
    <w:p w:rsidR="00446D5D" w:rsidRPr="002C177F" w:rsidRDefault="002C177F" w:rsidP="00193028">
      <w:pPr>
        <w:pStyle w:val="Fait"/>
        <w:rPr>
          <w:noProof/>
        </w:rPr>
      </w:pPr>
      <w:r>
        <w:rPr>
          <w:noProof/>
        </w:rPr>
        <w:t>V Bruselu dne</w:t>
      </w:r>
    </w:p>
    <w:p w:rsidR="00446D5D" w:rsidRPr="002C177F" w:rsidRDefault="00446D5D" w:rsidP="00193028">
      <w:pPr>
        <w:pStyle w:val="Institutionquisigne"/>
        <w:rPr>
          <w:noProof/>
        </w:rPr>
      </w:pPr>
      <w:r w:rsidRPr="002C177F">
        <w:rPr>
          <w:noProof/>
        </w:rPr>
        <w:tab/>
        <w:t>Za Radu</w:t>
      </w:r>
    </w:p>
    <w:p w:rsidR="00446D5D" w:rsidRPr="002C177F" w:rsidRDefault="00446D5D" w:rsidP="00446D5D">
      <w:pPr>
        <w:pStyle w:val="Personnequisigne"/>
        <w:rPr>
          <w:noProof/>
        </w:rPr>
      </w:pPr>
      <w:r w:rsidRPr="002C177F">
        <w:rPr>
          <w:noProof/>
        </w:rPr>
        <w:tab/>
        <w:t>předseda/předsedkyně</w:t>
      </w:r>
      <w:bookmarkEnd w:id="1"/>
    </w:p>
    <w:sectPr w:rsidR="00446D5D" w:rsidRPr="002C177F" w:rsidSect="00F92D8C">
      <w:headerReference w:type="even" r:id="rId14"/>
      <w:footerReference w:type="even" r:id="rId15"/>
      <w:footerReference w:type="default" r:id="rId16"/>
      <w:headerReference w:type="first" r:id="rId17"/>
      <w:footerReference w:type="first" r:id="rId18"/>
      <w:pgSz w:w="11907" w:h="16839"/>
      <w:pgMar w:top="1134" w:right="1417" w:bottom="1134" w:left="141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47B7D" w:rsidRDefault="00047B7D" w:rsidP="00446D5D">
      <w:pPr>
        <w:spacing w:before="0" w:after="0"/>
      </w:pPr>
      <w:r>
        <w:separator/>
      </w:r>
    </w:p>
  </w:endnote>
  <w:endnote w:type="continuationSeparator" w:id="0">
    <w:p w:rsidR="00047B7D" w:rsidRDefault="00047B7D" w:rsidP="00446D5D">
      <w:pPr>
        <w:spacing w:before="0" w:after="0"/>
      </w:pPr>
      <w:r>
        <w:continuationSeparator/>
      </w:r>
    </w:p>
  </w:endnote>
  <w:endnote w:type="continuationNotice" w:id="1">
    <w:p w:rsidR="00047B7D" w:rsidRDefault="00047B7D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8C" w:rsidRPr="00F92D8C" w:rsidRDefault="00F92D8C" w:rsidP="00F92D8C">
    <w:pPr>
      <w:pStyle w:val="Footer"/>
      <w:rPr>
        <w:rFonts w:ascii="Arial" w:hAnsi="Arial" w:cs="Arial"/>
        <w:b/>
        <w:sz w:val="48"/>
      </w:rPr>
    </w:pPr>
    <w:r w:rsidRPr="00F92D8C">
      <w:rPr>
        <w:rFonts w:ascii="Arial" w:hAnsi="Arial" w:cs="Arial"/>
        <w:b/>
        <w:sz w:val="48"/>
      </w:rPr>
      <w:t>CS</w:t>
    </w:r>
    <w:r w:rsidRPr="00F92D8C">
      <w:rPr>
        <w:rFonts w:ascii="Arial" w:hAnsi="Arial" w:cs="Arial"/>
        <w:b/>
        <w:sz w:val="48"/>
      </w:rPr>
      <w:tab/>
    </w:r>
    <w:r w:rsidRPr="00F92D8C">
      <w:rPr>
        <w:rFonts w:ascii="Arial" w:hAnsi="Arial" w:cs="Arial"/>
        <w:b/>
        <w:sz w:val="48"/>
      </w:rPr>
      <w:tab/>
    </w:r>
    <w:r w:rsidRPr="00F92D8C">
      <w:tab/>
    </w:r>
    <w:r w:rsidRPr="00F92D8C">
      <w:rPr>
        <w:rFonts w:ascii="Arial" w:hAnsi="Arial" w:cs="Arial"/>
        <w:b/>
        <w:sz w:val="48"/>
      </w:rPr>
      <w:t>CS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8C" w:rsidRPr="00F92D8C" w:rsidRDefault="00F92D8C" w:rsidP="00F92D8C">
    <w:pPr>
      <w:pStyle w:val="Footer"/>
      <w:rPr>
        <w:rFonts w:ascii="Arial" w:hAnsi="Arial" w:cs="Arial"/>
        <w:b/>
        <w:sz w:val="48"/>
      </w:rPr>
    </w:pPr>
    <w:r w:rsidRPr="00F92D8C">
      <w:rPr>
        <w:rFonts w:ascii="Arial" w:hAnsi="Arial" w:cs="Arial"/>
        <w:b/>
        <w:sz w:val="48"/>
      </w:rPr>
      <w:t>CS</w:t>
    </w:r>
    <w:r w:rsidRPr="00F92D8C">
      <w:rPr>
        <w:rFonts w:ascii="Arial" w:hAnsi="Arial" w:cs="Arial"/>
        <w:b/>
        <w:sz w:val="48"/>
      </w:rPr>
      <w:tab/>
    </w:r>
    <w:r w:rsidRPr="00F92D8C">
      <w:rPr>
        <w:rFonts w:ascii="Arial" w:hAnsi="Arial" w:cs="Arial"/>
        <w:b/>
        <w:sz w:val="48"/>
      </w:rPr>
      <w:tab/>
    </w:r>
    <w:r w:rsidRPr="00F92D8C">
      <w:tab/>
    </w:r>
    <w:r w:rsidRPr="00F92D8C">
      <w:rPr>
        <w:rFonts w:ascii="Arial" w:hAnsi="Arial" w:cs="Arial"/>
        <w:b/>
        <w:sz w:val="48"/>
      </w:rPr>
      <w:t>CS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8C" w:rsidRDefault="00F92D8C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8C" w:rsidRPr="00F92D8C" w:rsidRDefault="00F92D8C" w:rsidP="00F92D8C">
    <w:pPr>
      <w:pStyle w:val="Footer"/>
      <w:rPr>
        <w:rFonts w:ascii="Arial" w:hAnsi="Arial" w:cs="Arial"/>
        <w:b/>
        <w:sz w:val="48"/>
      </w:rPr>
    </w:pPr>
    <w:r w:rsidRPr="00F92D8C">
      <w:rPr>
        <w:rFonts w:ascii="Arial" w:hAnsi="Arial" w:cs="Arial"/>
        <w:b/>
        <w:sz w:val="48"/>
      </w:rPr>
      <w:t>CS</w:t>
    </w:r>
    <w:r w:rsidRPr="00F92D8C">
      <w:rPr>
        <w:rFonts w:ascii="Arial" w:hAnsi="Arial" w:cs="Arial"/>
        <w:b/>
        <w:sz w:val="48"/>
      </w:rPr>
      <w:tab/>
    </w:r>
    <w:r>
      <w:fldChar w:fldCharType="begin"/>
    </w:r>
    <w:r>
      <w:instrText xml:space="preserve"> PAGE  \* MERGEFORMAT </w:instrText>
    </w:r>
    <w:r>
      <w:fldChar w:fldCharType="separate"/>
    </w:r>
    <w:r w:rsidR="00193028">
      <w:rPr>
        <w:noProof/>
      </w:rPr>
      <w:t>3</w:t>
    </w:r>
    <w:r>
      <w:fldChar w:fldCharType="end"/>
    </w:r>
    <w:r>
      <w:tab/>
    </w:r>
    <w:r w:rsidRPr="00F92D8C">
      <w:tab/>
    </w:r>
    <w:r w:rsidRPr="00F92D8C">
      <w:rPr>
        <w:rFonts w:ascii="Arial" w:hAnsi="Arial" w:cs="Arial"/>
        <w:b/>
        <w:sz w:val="48"/>
      </w:rPr>
      <w:t>CS</w:t>
    </w: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8C" w:rsidRDefault="00F92D8C" w:rsidP="00F92D8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47B7D" w:rsidRDefault="00047B7D" w:rsidP="00446D5D">
      <w:pPr>
        <w:spacing w:before="0" w:after="0"/>
      </w:pPr>
      <w:r>
        <w:separator/>
      </w:r>
    </w:p>
  </w:footnote>
  <w:footnote w:type="continuationSeparator" w:id="0">
    <w:p w:rsidR="00047B7D" w:rsidRDefault="00047B7D" w:rsidP="00446D5D">
      <w:pPr>
        <w:spacing w:before="0" w:after="0"/>
      </w:pPr>
      <w:r>
        <w:continuationSeparator/>
      </w:r>
    </w:p>
  </w:footnote>
  <w:footnote w:type="continuationNotice" w:id="1">
    <w:p w:rsidR="00047B7D" w:rsidRDefault="00047B7D">
      <w:pPr>
        <w:spacing w:before="0" w:after="0"/>
      </w:pPr>
    </w:p>
  </w:footnote>
  <w:footnote w:id="2">
    <w:p w:rsidR="00446D5D" w:rsidRPr="00C72BE5" w:rsidRDefault="00446D5D" w:rsidP="00446D5D">
      <w:pPr>
        <w:pStyle w:val="FootnoteText"/>
      </w:pPr>
      <w:r>
        <w:rPr>
          <w:rStyle w:val="FootnoteReference"/>
        </w:rPr>
        <w:footnoteRef/>
      </w:r>
      <w:r>
        <w:tab/>
        <w:t xml:space="preserve">Úř. věst. L 2024/792, 29.2.2024, ELI: </w:t>
      </w:r>
      <w:hyperlink r:id="rId1" w:history="1">
        <w:r>
          <w:rPr>
            <w:rStyle w:val="Hyperlink"/>
          </w:rPr>
          <w:t>http://data.europa.eu/eli/reg/2024/792/oj</w:t>
        </w:r>
      </w:hyperlink>
      <w:r>
        <w:t xml:space="preserve">. </w:t>
      </w:r>
    </w:p>
  </w:footnote>
  <w:footnote w:id="3">
    <w:p w:rsidR="55ADF842" w:rsidRDefault="55ADF842" w:rsidP="001D7F92">
      <w:pPr>
        <w:pStyle w:val="FootnoteText"/>
        <w:rPr>
          <w:rFonts w:eastAsia="Times New Roman"/>
          <w:color w:val="000000" w:themeColor="text1"/>
          <w:sz w:val="19"/>
          <w:szCs w:val="19"/>
        </w:rPr>
      </w:pPr>
      <w:r>
        <w:rPr>
          <w:rStyle w:val="FootnoteReference"/>
        </w:rPr>
        <w:footnoteRef/>
      </w:r>
      <w:r>
        <w:tab/>
        <w:t>Prováděcí rozhodnutí Rady (EU) 2024/1447 ze dne 14. května 2024 o schválení posouzení Plánu pro Ukrajinu (Úř. věst. L, 2024/1447, 24.5.2024, ELI:</w:t>
      </w:r>
      <w:r>
        <w:rPr>
          <w:color w:val="000000" w:themeColor="text1"/>
          <w:u w:val="single"/>
        </w:rPr>
        <w:t xml:space="preserve"> </w:t>
      </w:r>
      <w:hyperlink r:id="rId2" w:history="1">
        <w:r>
          <w:rPr>
            <w:rStyle w:val="Hyperlink"/>
            <w:sz w:val="19"/>
          </w:rPr>
          <w:t>http://data.europa.eu/eli/dec_impl/2024/1447/oj</w:t>
        </w:r>
      </w:hyperlink>
      <w:r>
        <w:rPr>
          <w:color w:val="000000" w:themeColor="text1"/>
          <w:sz w:val="19"/>
        </w:rPr>
        <w:t>).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8C" w:rsidRDefault="00F92D8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92D8C" w:rsidRDefault="00F92D8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1"/>
    <w:multiLevelType w:val="singleLevel"/>
    <w:tmpl w:val="54A6FF1C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1" w15:restartNumberingAfterBreak="0">
    <w:nsid w:val="FFFFFF82"/>
    <w:multiLevelType w:val="singleLevel"/>
    <w:tmpl w:val="2F00674E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 w15:restartNumberingAfterBreak="0">
    <w:nsid w:val="FFFFFF83"/>
    <w:multiLevelType w:val="singleLevel"/>
    <w:tmpl w:val="3A0ADE4E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 w15:restartNumberingAfterBreak="0">
    <w:nsid w:val="FFFFFF89"/>
    <w:multiLevelType w:val="singleLevel"/>
    <w:tmpl w:val="F9C6C148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4" w15:restartNumberingAfterBreak="0">
    <w:nsid w:val="1B3C78B8"/>
    <w:multiLevelType w:val="multilevel"/>
    <w:tmpl w:val="2ED4F4D0"/>
    <w:name w:val="Point"/>
    <w:lvl w:ilvl="0">
      <w:start w:val="1"/>
      <w:numFmt w:val="decimal"/>
      <w:lvlRestart w:val="0"/>
      <w:pStyle w:val="Point0number"/>
      <w:lvlText w:val="(%1)"/>
      <w:lvlJc w:val="left"/>
      <w:pPr>
        <w:tabs>
          <w:tab w:val="num" w:pos="850"/>
        </w:tabs>
        <w:ind w:left="850" w:hanging="850"/>
      </w:pPr>
    </w:lvl>
    <w:lvl w:ilvl="1">
      <w:start w:val="1"/>
      <w:numFmt w:val="lowerLetter"/>
      <w:pStyle w:val="Point0letter"/>
      <w:lvlText w:val="(%2)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Point1number"/>
      <w:lvlText w:val="(%3)"/>
      <w:lvlJc w:val="left"/>
      <w:pPr>
        <w:tabs>
          <w:tab w:val="num" w:pos="1417"/>
        </w:tabs>
        <w:ind w:left="1417" w:hanging="567"/>
      </w:pPr>
    </w:lvl>
    <w:lvl w:ilvl="3">
      <w:start w:val="1"/>
      <w:numFmt w:val="lowerLetter"/>
      <w:pStyle w:val="Point1letter"/>
      <w:lvlText w:val="(%4)"/>
      <w:lvlJc w:val="left"/>
      <w:pPr>
        <w:tabs>
          <w:tab w:val="num" w:pos="1417"/>
        </w:tabs>
        <w:ind w:left="1417" w:hanging="567"/>
      </w:pPr>
    </w:lvl>
    <w:lvl w:ilvl="4">
      <w:start w:val="1"/>
      <w:numFmt w:val="decimal"/>
      <w:pStyle w:val="Point2number"/>
      <w:lvlText w:val="(%5)"/>
      <w:lvlJc w:val="left"/>
      <w:pPr>
        <w:tabs>
          <w:tab w:val="num" w:pos="1984"/>
        </w:tabs>
        <w:ind w:left="1984" w:hanging="567"/>
      </w:pPr>
    </w:lvl>
    <w:lvl w:ilvl="5">
      <w:start w:val="1"/>
      <w:numFmt w:val="lowerLetter"/>
      <w:pStyle w:val="Point2letter"/>
      <w:lvlText w:val="(%6)"/>
      <w:lvlJc w:val="left"/>
      <w:pPr>
        <w:tabs>
          <w:tab w:val="num" w:pos="1984"/>
        </w:tabs>
        <w:ind w:left="1984" w:hanging="567"/>
      </w:pPr>
    </w:lvl>
    <w:lvl w:ilvl="6">
      <w:start w:val="1"/>
      <w:numFmt w:val="decimal"/>
      <w:pStyle w:val="Point3number"/>
      <w:lvlText w:val="(%7)"/>
      <w:lvlJc w:val="left"/>
      <w:pPr>
        <w:tabs>
          <w:tab w:val="num" w:pos="2551"/>
        </w:tabs>
        <w:ind w:left="2551" w:hanging="567"/>
      </w:pPr>
    </w:lvl>
    <w:lvl w:ilvl="7">
      <w:start w:val="1"/>
      <w:numFmt w:val="lowerLetter"/>
      <w:pStyle w:val="Point3letter"/>
      <w:lvlText w:val="(%8)"/>
      <w:lvlJc w:val="left"/>
      <w:pPr>
        <w:tabs>
          <w:tab w:val="num" w:pos="2551"/>
        </w:tabs>
        <w:ind w:left="2551" w:hanging="567"/>
      </w:pPr>
    </w:lvl>
    <w:lvl w:ilvl="8">
      <w:start w:val="1"/>
      <w:numFmt w:val="lowerLetter"/>
      <w:pStyle w:val="Point4letter"/>
      <w:lvlText w:val="(%9)"/>
      <w:lvlJc w:val="left"/>
      <w:pPr>
        <w:tabs>
          <w:tab w:val="num" w:pos="3118"/>
        </w:tabs>
        <w:ind w:left="3118" w:hanging="567"/>
      </w:pPr>
    </w:lvl>
  </w:abstractNum>
  <w:abstractNum w:abstractNumId="5" w15:restartNumberingAfterBreak="0">
    <w:nsid w:val="22E44180"/>
    <w:multiLevelType w:val="multilevel"/>
    <w:tmpl w:val="DFC88CEC"/>
    <w:name w:val="NumPar"/>
    <w:lvl w:ilvl="0">
      <w:start w:val="1"/>
      <w:numFmt w:val="decimal"/>
      <w:lvlRestart w:val="0"/>
      <w:pStyle w:val="NumPar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NumPar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NumPar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NumPar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NumPar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NumPar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NumPar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6" w15:restartNumberingAfterBreak="0">
    <w:nsid w:val="2CB72C6E"/>
    <w:multiLevelType w:val="singleLevel"/>
    <w:tmpl w:val="10ACD464"/>
    <w:name w:val="Bullet 3"/>
    <w:lvl w:ilvl="0">
      <w:start w:val="1"/>
      <w:numFmt w:val="bullet"/>
      <w:lvlRestart w:val="0"/>
      <w:pStyle w:val="Bullet3"/>
      <w:lvlText w:val=""/>
      <w:lvlJc w:val="left"/>
      <w:pPr>
        <w:tabs>
          <w:tab w:val="num" w:pos="2551"/>
        </w:tabs>
        <w:ind w:left="2551" w:hanging="567"/>
      </w:pPr>
      <w:rPr>
        <w:rFonts w:ascii="Symbol" w:hAnsi="Symbol" w:hint="default"/>
      </w:rPr>
    </w:lvl>
  </w:abstractNum>
  <w:abstractNum w:abstractNumId="7" w15:restartNumberingAfterBreak="0">
    <w:nsid w:val="2CE9221F"/>
    <w:multiLevelType w:val="singleLevel"/>
    <w:tmpl w:val="9B4AFB48"/>
    <w:name w:val="Tiret 3"/>
    <w:lvl w:ilvl="0">
      <w:start w:val="1"/>
      <w:numFmt w:val="bullet"/>
      <w:lvlRestart w:val="0"/>
      <w:pStyle w:val="Tiret3"/>
      <w:lvlText w:val="–"/>
      <w:lvlJc w:val="left"/>
      <w:pPr>
        <w:tabs>
          <w:tab w:val="num" w:pos="2551"/>
        </w:tabs>
        <w:ind w:left="2551" w:hanging="567"/>
      </w:pPr>
    </w:lvl>
  </w:abstractNum>
  <w:abstractNum w:abstractNumId="8" w15:restartNumberingAfterBreak="0">
    <w:nsid w:val="42713452"/>
    <w:multiLevelType w:val="singleLevel"/>
    <w:tmpl w:val="3B8CC7EA"/>
    <w:name w:val="Tiret 1"/>
    <w:lvl w:ilvl="0">
      <w:start w:val="1"/>
      <w:numFmt w:val="bullet"/>
      <w:lvlRestart w:val="0"/>
      <w:pStyle w:val="Tiret1"/>
      <w:lvlText w:val="–"/>
      <w:lvlJc w:val="left"/>
      <w:pPr>
        <w:tabs>
          <w:tab w:val="num" w:pos="1417"/>
        </w:tabs>
        <w:ind w:left="1417" w:hanging="567"/>
      </w:pPr>
    </w:lvl>
  </w:abstractNum>
  <w:abstractNum w:abstractNumId="9" w15:restartNumberingAfterBreak="0">
    <w:nsid w:val="42FC0772"/>
    <w:multiLevelType w:val="singleLevel"/>
    <w:tmpl w:val="4128FCF8"/>
    <w:name w:val="Tiret 4"/>
    <w:lvl w:ilvl="0">
      <w:start w:val="1"/>
      <w:numFmt w:val="bullet"/>
      <w:lvlRestart w:val="0"/>
      <w:pStyle w:val="Tiret4"/>
      <w:lvlText w:val="–"/>
      <w:lvlJc w:val="left"/>
      <w:pPr>
        <w:tabs>
          <w:tab w:val="num" w:pos="3118"/>
        </w:tabs>
        <w:ind w:left="3118" w:hanging="567"/>
      </w:pPr>
    </w:lvl>
  </w:abstractNum>
  <w:abstractNum w:abstractNumId="10" w15:restartNumberingAfterBreak="0">
    <w:nsid w:val="42FC077D"/>
    <w:multiLevelType w:val="singleLevel"/>
    <w:tmpl w:val="4128FD03"/>
    <w:name w:val="Tiret 5"/>
    <w:lvl w:ilvl="0">
      <w:start w:val="1"/>
      <w:numFmt w:val="bullet"/>
      <w:lvlRestart w:val="0"/>
      <w:pStyle w:val="Tiret5"/>
      <w:lvlText w:val="–"/>
      <w:lvlJc w:val="left"/>
      <w:pPr>
        <w:tabs>
          <w:tab w:val="num" w:pos="3685"/>
        </w:tabs>
        <w:ind w:left="3685" w:hanging="567"/>
      </w:pPr>
    </w:lvl>
  </w:abstractNum>
  <w:abstractNum w:abstractNumId="11" w15:restartNumberingAfterBreak="0">
    <w:nsid w:val="4552127F"/>
    <w:multiLevelType w:val="singleLevel"/>
    <w:tmpl w:val="057A5296"/>
    <w:name w:val="Bullet 0"/>
    <w:lvl w:ilvl="0">
      <w:start w:val="1"/>
      <w:numFmt w:val="bullet"/>
      <w:lvlRestart w:val="0"/>
      <w:pStyle w:val="Bullet0"/>
      <w:lvlText w:val=""/>
      <w:lvlJc w:val="left"/>
      <w:pPr>
        <w:tabs>
          <w:tab w:val="num" w:pos="850"/>
        </w:tabs>
        <w:ind w:left="850" w:hanging="850"/>
      </w:pPr>
      <w:rPr>
        <w:rFonts w:ascii="Symbol" w:hAnsi="Symbol" w:hint="default"/>
      </w:rPr>
    </w:lvl>
  </w:abstractNum>
  <w:abstractNum w:abstractNumId="12" w15:restartNumberingAfterBreak="0">
    <w:nsid w:val="556E1D63"/>
    <w:multiLevelType w:val="singleLevel"/>
    <w:tmpl w:val="493AAFF0"/>
    <w:name w:val="Bullet 4"/>
    <w:lvl w:ilvl="0">
      <w:start w:val="1"/>
      <w:numFmt w:val="bullet"/>
      <w:lvlRestart w:val="0"/>
      <w:pStyle w:val="Bullet4"/>
      <w:lvlText w:val=""/>
      <w:lvlJc w:val="left"/>
      <w:pPr>
        <w:tabs>
          <w:tab w:val="num" w:pos="3118"/>
        </w:tabs>
        <w:ind w:left="3118" w:hanging="567"/>
      </w:pPr>
      <w:rPr>
        <w:rFonts w:ascii="Symbol" w:hAnsi="Symbol" w:hint="default"/>
      </w:rPr>
    </w:lvl>
  </w:abstractNum>
  <w:abstractNum w:abstractNumId="13" w15:restartNumberingAfterBreak="0">
    <w:nsid w:val="5B395AAA"/>
    <w:multiLevelType w:val="singleLevel"/>
    <w:tmpl w:val="96D02E8A"/>
    <w:name w:val="Bullet 1"/>
    <w:lvl w:ilvl="0">
      <w:start w:val="1"/>
      <w:numFmt w:val="bullet"/>
      <w:lvlRestart w:val="0"/>
      <w:pStyle w:val="Bullet1"/>
      <w:lvlText w:val=""/>
      <w:lvlJc w:val="left"/>
      <w:pPr>
        <w:tabs>
          <w:tab w:val="num" w:pos="1417"/>
        </w:tabs>
        <w:ind w:left="1417" w:hanging="567"/>
      </w:pPr>
      <w:rPr>
        <w:rFonts w:ascii="Symbol" w:hAnsi="Symbol" w:hint="default"/>
      </w:rPr>
    </w:lvl>
  </w:abstractNum>
  <w:abstractNum w:abstractNumId="14" w15:restartNumberingAfterBreak="0">
    <w:nsid w:val="5C056EE5"/>
    <w:multiLevelType w:val="singleLevel"/>
    <w:tmpl w:val="3378D27C"/>
    <w:name w:val="Bullet 2"/>
    <w:lvl w:ilvl="0">
      <w:start w:val="1"/>
      <w:numFmt w:val="bullet"/>
      <w:lvlRestart w:val="0"/>
      <w:pStyle w:val="Bullet2"/>
      <w:lvlText w:val=""/>
      <w:lvlJc w:val="left"/>
      <w:pPr>
        <w:tabs>
          <w:tab w:val="num" w:pos="1984"/>
        </w:tabs>
        <w:ind w:left="1984" w:hanging="567"/>
      </w:pPr>
      <w:rPr>
        <w:rFonts w:ascii="Symbol" w:hAnsi="Symbol" w:hint="default"/>
      </w:rPr>
    </w:lvl>
  </w:abstractNum>
  <w:abstractNum w:abstractNumId="15" w15:restartNumberingAfterBreak="0">
    <w:nsid w:val="5CA31A15"/>
    <w:multiLevelType w:val="singleLevel"/>
    <w:tmpl w:val="CB981644"/>
    <w:name w:val="Tiret 0"/>
    <w:lvl w:ilvl="0">
      <w:start w:val="1"/>
      <w:numFmt w:val="bullet"/>
      <w:lvlRestart w:val="0"/>
      <w:pStyle w:val="Tiret0"/>
      <w:lvlText w:val="–"/>
      <w:lvlJc w:val="left"/>
      <w:pPr>
        <w:tabs>
          <w:tab w:val="num" w:pos="850"/>
        </w:tabs>
        <w:ind w:left="850" w:hanging="850"/>
      </w:pPr>
    </w:lvl>
  </w:abstractNum>
  <w:abstractNum w:abstractNumId="16" w15:restartNumberingAfterBreak="0">
    <w:nsid w:val="64A12FA4"/>
    <w:multiLevelType w:val="multilevel"/>
    <w:tmpl w:val="428ECF3E"/>
    <w:name w:val="Heading"/>
    <w:lvl w:ilvl="0">
      <w:start w:val="1"/>
      <w:numFmt w:val="decimal"/>
      <w:lvlRestart w:val="0"/>
      <w:pStyle w:val="Heading1"/>
      <w:lvlText w:val="%1."/>
      <w:lvlJc w:val="left"/>
      <w:pPr>
        <w:tabs>
          <w:tab w:val="num" w:pos="850"/>
        </w:tabs>
        <w:ind w:left="850" w:hanging="850"/>
      </w:pPr>
    </w:lvl>
    <w:lvl w:ilvl="1">
      <w:start w:val="1"/>
      <w:numFmt w:val="decimal"/>
      <w:pStyle w:val="Heading2"/>
      <w:lvlText w:val="%1.%2."/>
      <w:lvlJc w:val="left"/>
      <w:pPr>
        <w:tabs>
          <w:tab w:val="num" w:pos="850"/>
        </w:tabs>
        <w:ind w:left="850" w:hanging="850"/>
      </w:pPr>
    </w:lvl>
    <w:lvl w:ilvl="2">
      <w:start w:val="1"/>
      <w:numFmt w:val="decimal"/>
      <w:pStyle w:val="Heading3"/>
      <w:lvlText w:val="%1.%2.%3."/>
      <w:lvlJc w:val="left"/>
      <w:pPr>
        <w:tabs>
          <w:tab w:val="num" w:pos="850"/>
        </w:tabs>
        <w:ind w:left="850" w:hanging="850"/>
      </w:pPr>
    </w:lvl>
    <w:lvl w:ilvl="3">
      <w:start w:val="1"/>
      <w:numFmt w:val="decimal"/>
      <w:pStyle w:val="Heading4"/>
      <w:lvlText w:val="%1.%2.%3.%4."/>
      <w:lvlJc w:val="left"/>
      <w:pPr>
        <w:tabs>
          <w:tab w:val="num" w:pos="850"/>
        </w:tabs>
        <w:ind w:left="850" w:hanging="850"/>
      </w:pPr>
    </w:lvl>
    <w:lvl w:ilvl="4">
      <w:start w:val="1"/>
      <w:numFmt w:val="decimal"/>
      <w:pStyle w:val="Heading5"/>
      <w:lvlText w:val="%1.%2.%3.%4.%5."/>
      <w:lvlJc w:val="left"/>
      <w:pPr>
        <w:tabs>
          <w:tab w:val="num" w:pos="1417"/>
        </w:tabs>
        <w:ind w:left="1417" w:hanging="1417"/>
      </w:pPr>
    </w:lvl>
    <w:lvl w:ilvl="5">
      <w:start w:val="1"/>
      <w:numFmt w:val="decimal"/>
      <w:pStyle w:val="Heading6"/>
      <w:lvlText w:val="%1.%2.%3.%4.%5.%6."/>
      <w:lvlJc w:val="left"/>
      <w:pPr>
        <w:tabs>
          <w:tab w:val="num" w:pos="1417"/>
        </w:tabs>
        <w:ind w:left="1417" w:hanging="1417"/>
      </w:pPr>
    </w:lvl>
    <w:lvl w:ilvl="6">
      <w:start w:val="1"/>
      <w:numFmt w:val="decimal"/>
      <w:pStyle w:val="Heading7"/>
      <w:lvlText w:val="%1.%2.%3.%4.%5.%6.%7."/>
      <w:lvlJc w:val="left"/>
      <w:pPr>
        <w:tabs>
          <w:tab w:val="num" w:pos="1417"/>
        </w:tabs>
        <w:ind w:left="1417" w:hanging="1417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7" w15:restartNumberingAfterBreak="0">
    <w:nsid w:val="67B856F6"/>
    <w:multiLevelType w:val="singleLevel"/>
    <w:tmpl w:val="0AB28E9C"/>
    <w:name w:val="Tiret 2"/>
    <w:lvl w:ilvl="0">
      <w:start w:val="1"/>
      <w:numFmt w:val="bullet"/>
      <w:lvlRestart w:val="0"/>
      <w:pStyle w:val="Tiret2"/>
      <w:lvlText w:val="–"/>
      <w:lvlJc w:val="left"/>
      <w:pPr>
        <w:tabs>
          <w:tab w:val="num" w:pos="1984"/>
        </w:tabs>
        <w:ind w:left="1984" w:hanging="567"/>
      </w:pPr>
    </w:lvl>
  </w:abstractNum>
  <w:abstractNum w:abstractNumId="18" w15:restartNumberingAfterBreak="0">
    <w:nsid w:val="7CBE4812"/>
    <w:multiLevelType w:val="singleLevel"/>
    <w:tmpl w:val="23C821E4"/>
    <w:name w:val="Considérant"/>
    <w:lvl w:ilvl="0">
      <w:start w:val="1"/>
      <w:numFmt w:val="decimal"/>
      <w:lvlRestart w:val="0"/>
      <w:pStyle w:val="Considrant"/>
      <w:lvlText w:val="(%1)"/>
      <w:lvlJc w:val="left"/>
      <w:pPr>
        <w:tabs>
          <w:tab w:val="num" w:pos="709"/>
        </w:tabs>
        <w:ind w:left="709" w:hanging="709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  <w:num w:numId="5">
    <w:abstractNumId w:val="18"/>
    <w:lvlOverride w:ilvl="0">
      <w:startOverride w:val="1"/>
    </w:lvlOverride>
  </w:num>
  <w:num w:numId="6">
    <w:abstractNumId w:val="15"/>
  </w:num>
  <w:num w:numId="7">
    <w:abstractNumId w:val="8"/>
  </w:num>
  <w:num w:numId="8">
    <w:abstractNumId w:val="17"/>
  </w:num>
  <w:num w:numId="9">
    <w:abstractNumId w:val="7"/>
  </w:num>
  <w:num w:numId="10">
    <w:abstractNumId w:val="9"/>
  </w:num>
  <w:num w:numId="11">
    <w:abstractNumId w:val="10"/>
  </w:num>
  <w:num w:numId="12">
    <w:abstractNumId w:val="5"/>
  </w:num>
  <w:num w:numId="13">
    <w:abstractNumId w:val="16"/>
  </w:num>
  <w:num w:numId="14">
    <w:abstractNumId w:val="4"/>
  </w:num>
  <w:num w:numId="15">
    <w:abstractNumId w:val="11"/>
  </w:num>
  <w:num w:numId="16">
    <w:abstractNumId w:val="13"/>
  </w:num>
  <w:num w:numId="17">
    <w:abstractNumId w:val="14"/>
  </w:num>
  <w:num w:numId="18">
    <w:abstractNumId w:val="6"/>
  </w:num>
  <w:num w:numId="19">
    <w:abstractNumId w:val="12"/>
  </w:num>
  <w:num w:numId="20">
    <w:abstractNumId w:val="18"/>
  </w:num>
  <w:num w:numId="21">
    <w:abstractNumId w:val="15"/>
  </w:num>
  <w:num w:numId="22">
    <w:abstractNumId w:val="8"/>
  </w:num>
  <w:num w:numId="23">
    <w:abstractNumId w:val="17"/>
  </w:num>
  <w:num w:numId="24">
    <w:abstractNumId w:val="7"/>
  </w:num>
  <w:num w:numId="25">
    <w:abstractNumId w:val="9"/>
  </w:num>
  <w:num w:numId="26">
    <w:abstractNumId w:val="10"/>
  </w:num>
  <w:num w:numId="27">
    <w:abstractNumId w:val="5"/>
  </w:num>
  <w:num w:numId="28">
    <w:abstractNumId w:val="16"/>
  </w:num>
  <w:num w:numId="29">
    <w:abstractNumId w:val="4"/>
  </w:num>
  <w:num w:numId="30">
    <w:abstractNumId w:val="11"/>
  </w:num>
  <w:num w:numId="31">
    <w:abstractNumId w:val="13"/>
  </w:num>
  <w:num w:numId="32">
    <w:abstractNumId w:val="14"/>
  </w:num>
  <w:num w:numId="33">
    <w:abstractNumId w:val="6"/>
  </w:num>
  <w:num w:numId="34">
    <w:abstractNumId w:val="12"/>
  </w:num>
  <w:num w:numId="35">
    <w:abstractNumId w:val="18"/>
  </w:num>
  <w:num w:numId="36">
    <w:abstractNumId w:val="15"/>
  </w:num>
  <w:num w:numId="37">
    <w:abstractNumId w:val="8"/>
  </w:num>
  <w:num w:numId="38">
    <w:abstractNumId w:val="17"/>
  </w:num>
  <w:num w:numId="39">
    <w:abstractNumId w:val="7"/>
  </w:num>
  <w:num w:numId="40">
    <w:abstractNumId w:val="9"/>
  </w:num>
  <w:num w:numId="41">
    <w:abstractNumId w:val="10"/>
  </w:num>
  <w:num w:numId="42">
    <w:abstractNumId w:val="5"/>
  </w:num>
  <w:num w:numId="43">
    <w:abstractNumId w:val="16"/>
  </w:num>
  <w:num w:numId="44">
    <w:abstractNumId w:val="4"/>
  </w:num>
  <w:num w:numId="45">
    <w:abstractNumId w:val="11"/>
  </w:num>
  <w:num w:numId="46">
    <w:abstractNumId w:val="13"/>
  </w:num>
  <w:num w:numId="47">
    <w:abstractNumId w:val="14"/>
  </w:num>
  <w:num w:numId="48">
    <w:abstractNumId w:val="6"/>
  </w:num>
  <w:num w:numId="49">
    <w:abstractNumId w:val="12"/>
  </w:num>
  <w:num w:numId="50">
    <w:abstractNumId w:val="18"/>
  </w:num>
  <w:numIdMacAtCleanup w:val="2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hideSpellingErrors/>
  <w:hideGrammaticalErrors/>
  <w:attachedTemplate r:id="rId1"/>
  <w:revisionView w:markup="0"/>
  <w:defaultTabStop w:val="720"/>
  <w:hyphenationZone w:val="425"/>
  <w:characterSpacingControl w:val="doNotCompress"/>
  <w:hdrShapeDefaults>
    <o:shapedefaults v:ext="edit" spidmax="2051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R_RefLast" w:val="0"/>
    <w:docVar w:name="DQCDateTime" w:val="2024-11-27 18:04:59"/>
    <w:docVar w:name="DQCResult_Distribution" w:val="0;0"/>
    <w:docVar w:name="DQCResult_DocumentContent" w:val="0;0"/>
    <w:docVar w:name="DQCResult_DocumentSize" w:val="0;0"/>
    <w:docVar w:name="DQCResult_InvalidFootnotes" w:val="0;0"/>
    <w:docVar w:name="DQCResult_ModifiedMarkers" w:val="0;0"/>
    <w:docVar w:name="DQCResult_ModifiedNumbering" w:val="0;0"/>
    <w:docVar w:name="DQCResult_Objects" w:val="0;0"/>
    <w:docVar w:name="DQCResult_StructureCheck" w:val="0;0"/>
    <w:docVar w:name="DQCStatus" w:val="Green"/>
    <w:docVar w:name="DQCVersion" w:val="3"/>
    <w:docVar w:name="DQCWithWarnings" w:val="0"/>
    <w:docVar w:name="LW_CORRIGENDUM" w:val="&lt;UNUSED&gt;"/>
    <w:docVar w:name="LW_COVERPAGE_EXISTS" w:val="True"/>
    <w:docVar w:name="LW_COVERPAGE_GUID" w:val="E6E2CCC3-350D-44D0-B87C-DCB15AAAC574"/>
    <w:docVar w:name="LW_COVERPAGE_TYPE" w:val="1"/>
    <w:docVar w:name="LW_CROSSREFERENCE" w:val="&lt;UNUSED&gt;"/>
    <w:docVar w:name="LW_DocType" w:val="COM"/>
    <w:docVar w:name="LW_EMISSION" w:val="14.11.2024"/>
    <w:docVar w:name="LW_EMISSION_ISODATE" w:val="2024-11-14"/>
    <w:docVar w:name="LW_EMISSION_LOCATION" w:val="BRX"/>
    <w:docVar w:name="LW_EMISSION_PREFIX" w:val="V Bruselu dne "/>
    <w:docVar w:name="LW_EMISSION_SUFFIX" w:val=" "/>
    <w:docVar w:name="LW_ID_DOCMODEL" w:val="SJ-021"/>
    <w:docVar w:name="LW_ID_DOCSIGNATURE" w:val="SJ-021"/>
    <w:docVar w:name="LW_ID_DOCSTRUCTURE" w:val="COM/PL/ORG"/>
    <w:docVar w:name="LW_ID_DOCTYPE" w:val="SJ-021"/>
    <w:docVar w:name="LW_ID_STATUT" w:val="SJ-021"/>
    <w:docVar w:name="LW_INSERT_EXP.MOTIFS.NEW" w:val="1"/>
    <w:docVar w:name="LW_INTERETEEE.CP" w:val="&lt;UNUSED&gt;"/>
    <w:docVar w:name="LW_LANGUE" w:val="CS"/>
    <w:docVar w:name="LW_LEVEL_OF_SENSITIVITY" w:val="Standard treatment"/>
    <w:docVar w:name="LW_NOM.INST" w:val="EVROPSKÁ KOMISE"/>
    <w:docVar w:name="LW_NOM.INST_JOINTDOC" w:val="&lt;EMPTY&gt;"/>
    <w:docVar w:name="LW_PART_NBR" w:val="1"/>
    <w:docVar w:name="LW_PART_NBR_TOTAL" w:val="1"/>
    <w:docVar w:name="LW_REF.II.NEW.CP" w:val="NLE"/>
    <w:docVar w:name="LW_REF.II.NEW.CP_NUMBER" w:val="0303"/>
    <w:docVar w:name="LW_REF.II.NEW.CP_YEAR" w:val="2024"/>
    <w:docVar w:name="LW_REF.INST.NEW" w:val="COM"/>
    <w:docVar w:name="LW_REF.INST.NEW_ADOPTED" w:val="final"/>
    <w:docVar w:name="LW_REF.INST.NEW_TEXT" w:val="(2024) 544"/>
    <w:docVar w:name="LW_REF.INTERNE" w:val="&lt;UNUSED&gt;"/>
    <w:docVar w:name="LW_SENSITIVITY" w:val="&lt;?xml version=&quot;1.0&quot; encoding=&quot;utf-8&quot;?&gt;_x000d__x000a_&lt;SensitivityLevel xmlns:xsd=&quot;http://www.w3.org/2001/XMLSchema&quot; xmlns:xsi=&quot;http://www.w3.org/2001/XMLSchema-instance&quot; id=&quot;standard&quot;&gt;_x000d__x000a_  &lt;nicename EN=&quot;Standard treatment&quot; FR=&quot;Traitement standard&quot; /&gt;_x000d__x000a_  &lt;documentProperty&gt;Standard treatment&lt;/documentProperty&gt;_x000d__x000a_  &lt;markingConfig isAvailable=&quot;false&quot; isMandatory=&quot;false&quot; sensitiveMarkingMandatory=&quot;false&quot; specialMarkingMandatory=&quot;true&quot; isOptionDisplayInHeaderAvailable=&quot;true&quot; sensitiveMarkingListSee=&quot;SensitiveMarkings&quot; specialMarkingListSee=&quot;SpecialMarkings&quot; sensitiveFootnoteTextSee=&quot;sensitiveFootnote&quot; specialFootnoteTextSee=&quot;specialFootnote&quot; /&gt;_x000d__x000a_  &lt;chosenMainMarking xsi:nil=&quot;true&quot; /&gt;_x000d__x000a_  &lt;dateMarking xsi:nil=&quot;true&quot; /&gt;_x000d__x000a_  &lt;releasableToConfig isAvailable=&quot;false&quot; institutionListSee=&quot;DefaultInstitutions&quot; /&gt;_x000d__x000a_  &lt;chosenReleasableTo xsi:nil=&quot;true&quot; /&gt;_x000d__x000a_  &lt;detached xsi:nil=&quot;true&quot; /&gt;_x000d__x000a_  &lt;declassify xsi:nil=&quot;true&quot; /&gt;_x000d__x000a_  &lt;headerTexts xsi:nil=&quot;true&quot; /&gt;_x000d__x000a_  &lt;footerTexts xsi:nil=&quot;true&quot; /&gt;_x000d__x000a_  &lt;isRestricted&gt;false&lt;/isRestricted&gt;_x000d__x000a_&lt;/SensitivityLevel&gt;"/>
    <w:docVar w:name="LW_STATUT.CP" w:val="Návrh"/>
    <w:docVar w:name="LW_SUPERTITRE" w:val="&lt;UNUSED&gt;"/>
    <w:docVar w:name="LW_TITRE.OBJ.CP" w:val="kterým se stanoví uspokojivé spln\u283?ní podmínek pro vyplacení druhé splátky nevratné finan\u269?ní podpory a úv\u283?rové podpory podle Plánu pro Ukrajinu v rámci Nástroje pro Ukrajinu_x000b_"/>
    <w:docVar w:name="LW_TYPE.DOC.CP" w:val="PROVÁD\u282?CÍ ROZHODNUTÍ RADY,"/>
    <w:docVar w:name="LwApiVersions" w:val="LW4CoDe 1.24.5.0; LW 9.0, Build 20240221"/>
  </w:docVars>
  <w:rsids>
    <w:rsidRoot w:val="00446D5D"/>
    <w:rsid w:val="00006EC3"/>
    <w:rsid w:val="0000782C"/>
    <w:rsid w:val="00042C15"/>
    <w:rsid w:val="00047B7D"/>
    <w:rsid w:val="0006593E"/>
    <w:rsid w:val="00085F2F"/>
    <w:rsid w:val="000864C0"/>
    <w:rsid w:val="000971DE"/>
    <w:rsid w:val="000B49AE"/>
    <w:rsid w:val="000B4B84"/>
    <w:rsid w:val="000B54AB"/>
    <w:rsid w:val="000C1D84"/>
    <w:rsid w:val="000D6931"/>
    <w:rsid w:val="000E106D"/>
    <w:rsid w:val="000F733C"/>
    <w:rsid w:val="001065F5"/>
    <w:rsid w:val="00123769"/>
    <w:rsid w:val="001238EF"/>
    <w:rsid w:val="0012573F"/>
    <w:rsid w:val="0015333E"/>
    <w:rsid w:val="00185992"/>
    <w:rsid w:val="00193028"/>
    <w:rsid w:val="00197613"/>
    <w:rsid w:val="001B12D8"/>
    <w:rsid w:val="001D7F92"/>
    <w:rsid w:val="001E1699"/>
    <w:rsid w:val="001F446C"/>
    <w:rsid w:val="002149A4"/>
    <w:rsid w:val="00221A84"/>
    <w:rsid w:val="002243C8"/>
    <w:rsid w:val="0022494F"/>
    <w:rsid w:val="00225ACA"/>
    <w:rsid w:val="00230525"/>
    <w:rsid w:val="00233C1F"/>
    <w:rsid w:val="00233DC7"/>
    <w:rsid w:val="00247779"/>
    <w:rsid w:val="0025553A"/>
    <w:rsid w:val="00267E45"/>
    <w:rsid w:val="00285BEE"/>
    <w:rsid w:val="0029533F"/>
    <w:rsid w:val="002A7BEE"/>
    <w:rsid w:val="002B2C20"/>
    <w:rsid w:val="002B30AF"/>
    <w:rsid w:val="002C177F"/>
    <w:rsid w:val="002C6CCE"/>
    <w:rsid w:val="002D4A4D"/>
    <w:rsid w:val="0031354B"/>
    <w:rsid w:val="00316FD8"/>
    <w:rsid w:val="0033344A"/>
    <w:rsid w:val="00340B14"/>
    <w:rsid w:val="003605E3"/>
    <w:rsid w:val="003A6D4E"/>
    <w:rsid w:val="003B663E"/>
    <w:rsid w:val="003F792A"/>
    <w:rsid w:val="00407A49"/>
    <w:rsid w:val="00414ADA"/>
    <w:rsid w:val="00415B98"/>
    <w:rsid w:val="00417102"/>
    <w:rsid w:val="00421CAD"/>
    <w:rsid w:val="0042648E"/>
    <w:rsid w:val="00446D5D"/>
    <w:rsid w:val="00451586"/>
    <w:rsid w:val="0046037B"/>
    <w:rsid w:val="004612F5"/>
    <w:rsid w:val="004936D2"/>
    <w:rsid w:val="004A3199"/>
    <w:rsid w:val="004D5CAD"/>
    <w:rsid w:val="004E4109"/>
    <w:rsid w:val="004F11CE"/>
    <w:rsid w:val="004F65C8"/>
    <w:rsid w:val="00501FF3"/>
    <w:rsid w:val="0050700D"/>
    <w:rsid w:val="00515B0D"/>
    <w:rsid w:val="00517262"/>
    <w:rsid w:val="00524287"/>
    <w:rsid w:val="005311F2"/>
    <w:rsid w:val="00535653"/>
    <w:rsid w:val="00561CAF"/>
    <w:rsid w:val="00566FA8"/>
    <w:rsid w:val="005673EC"/>
    <w:rsid w:val="0058D03F"/>
    <w:rsid w:val="005B1EB6"/>
    <w:rsid w:val="005B5F89"/>
    <w:rsid w:val="005C6B25"/>
    <w:rsid w:val="005D1F3A"/>
    <w:rsid w:val="0062259A"/>
    <w:rsid w:val="00625E5F"/>
    <w:rsid w:val="00630ECE"/>
    <w:rsid w:val="00641FBD"/>
    <w:rsid w:val="006505AA"/>
    <w:rsid w:val="00653EBE"/>
    <w:rsid w:val="0065493B"/>
    <w:rsid w:val="00662ABC"/>
    <w:rsid w:val="00671813"/>
    <w:rsid w:val="00672184"/>
    <w:rsid w:val="0069106B"/>
    <w:rsid w:val="00696A91"/>
    <w:rsid w:val="006B1FDA"/>
    <w:rsid w:val="006B71C4"/>
    <w:rsid w:val="006B7239"/>
    <w:rsid w:val="006C2E47"/>
    <w:rsid w:val="00722006"/>
    <w:rsid w:val="00740287"/>
    <w:rsid w:val="00747DF5"/>
    <w:rsid w:val="0076009E"/>
    <w:rsid w:val="00771416"/>
    <w:rsid w:val="00773331"/>
    <w:rsid w:val="00783A53"/>
    <w:rsid w:val="00786EB6"/>
    <w:rsid w:val="00792C37"/>
    <w:rsid w:val="007932EF"/>
    <w:rsid w:val="007B1C4D"/>
    <w:rsid w:val="007D22EB"/>
    <w:rsid w:val="007E05B0"/>
    <w:rsid w:val="00811671"/>
    <w:rsid w:val="00812E54"/>
    <w:rsid w:val="00818C39"/>
    <w:rsid w:val="00834496"/>
    <w:rsid w:val="00844CAF"/>
    <w:rsid w:val="008472C1"/>
    <w:rsid w:val="00872C70"/>
    <w:rsid w:val="00874D22"/>
    <w:rsid w:val="00886646"/>
    <w:rsid w:val="008866C9"/>
    <w:rsid w:val="0088AE84"/>
    <w:rsid w:val="00896E6D"/>
    <w:rsid w:val="008A2914"/>
    <w:rsid w:val="008B465E"/>
    <w:rsid w:val="008C5296"/>
    <w:rsid w:val="008D4188"/>
    <w:rsid w:val="008E4D8E"/>
    <w:rsid w:val="008E50F2"/>
    <w:rsid w:val="008E56EA"/>
    <w:rsid w:val="008E7D51"/>
    <w:rsid w:val="00900062"/>
    <w:rsid w:val="009251B9"/>
    <w:rsid w:val="00945E1A"/>
    <w:rsid w:val="00956CBB"/>
    <w:rsid w:val="0095709D"/>
    <w:rsid w:val="00960CD3"/>
    <w:rsid w:val="0096315A"/>
    <w:rsid w:val="00964FD5"/>
    <w:rsid w:val="00971F86"/>
    <w:rsid w:val="009776E3"/>
    <w:rsid w:val="00985D11"/>
    <w:rsid w:val="009A22FC"/>
    <w:rsid w:val="009E7FCC"/>
    <w:rsid w:val="009F6926"/>
    <w:rsid w:val="009F6ED6"/>
    <w:rsid w:val="00A04C54"/>
    <w:rsid w:val="00A10156"/>
    <w:rsid w:val="00A20B82"/>
    <w:rsid w:val="00A230FB"/>
    <w:rsid w:val="00A43895"/>
    <w:rsid w:val="00A56B33"/>
    <w:rsid w:val="00A93F79"/>
    <w:rsid w:val="00AC032F"/>
    <w:rsid w:val="00AC6F86"/>
    <w:rsid w:val="00AD131E"/>
    <w:rsid w:val="00AE21BF"/>
    <w:rsid w:val="00B14A63"/>
    <w:rsid w:val="00B14F18"/>
    <w:rsid w:val="00B26C06"/>
    <w:rsid w:val="00B34542"/>
    <w:rsid w:val="00B41621"/>
    <w:rsid w:val="00B77ED8"/>
    <w:rsid w:val="00B956F2"/>
    <w:rsid w:val="00B96C28"/>
    <w:rsid w:val="00BA0395"/>
    <w:rsid w:val="00BB7F58"/>
    <w:rsid w:val="00BC0AB5"/>
    <w:rsid w:val="00BC3C84"/>
    <w:rsid w:val="00BC68DE"/>
    <w:rsid w:val="00BC7D23"/>
    <w:rsid w:val="00BD2260"/>
    <w:rsid w:val="00BF750F"/>
    <w:rsid w:val="00C064F5"/>
    <w:rsid w:val="00C12301"/>
    <w:rsid w:val="00C17F87"/>
    <w:rsid w:val="00C27B1D"/>
    <w:rsid w:val="00C3551D"/>
    <w:rsid w:val="00C52048"/>
    <w:rsid w:val="00C6202E"/>
    <w:rsid w:val="00C66A47"/>
    <w:rsid w:val="00C73801"/>
    <w:rsid w:val="00C754CE"/>
    <w:rsid w:val="00C8311E"/>
    <w:rsid w:val="00C8655D"/>
    <w:rsid w:val="00C962E7"/>
    <w:rsid w:val="00C974BA"/>
    <w:rsid w:val="00CA14FD"/>
    <w:rsid w:val="00CB1623"/>
    <w:rsid w:val="00CB4643"/>
    <w:rsid w:val="00CC742A"/>
    <w:rsid w:val="00CD0E6E"/>
    <w:rsid w:val="00CD7F86"/>
    <w:rsid w:val="00CE0C3D"/>
    <w:rsid w:val="00CF0723"/>
    <w:rsid w:val="00CF25A6"/>
    <w:rsid w:val="00D02DDA"/>
    <w:rsid w:val="00D04E75"/>
    <w:rsid w:val="00D20381"/>
    <w:rsid w:val="00D320AF"/>
    <w:rsid w:val="00D40D01"/>
    <w:rsid w:val="00D5530B"/>
    <w:rsid w:val="00D61C2E"/>
    <w:rsid w:val="00D909FE"/>
    <w:rsid w:val="00DB48B9"/>
    <w:rsid w:val="00DC28BF"/>
    <w:rsid w:val="00DC6879"/>
    <w:rsid w:val="00DD44AB"/>
    <w:rsid w:val="00DD5D1F"/>
    <w:rsid w:val="00DE04D9"/>
    <w:rsid w:val="00DE0A78"/>
    <w:rsid w:val="00E00B5C"/>
    <w:rsid w:val="00E30783"/>
    <w:rsid w:val="00E61CEE"/>
    <w:rsid w:val="00E66459"/>
    <w:rsid w:val="00E679DE"/>
    <w:rsid w:val="00E7038A"/>
    <w:rsid w:val="00E71029"/>
    <w:rsid w:val="00E76D05"/>
    <w:rsid w:val="00E87219"/>
    <w:rsid w:val="00E94935"/>
    <w:rsid w:val="00E95A83"/>
    <w:rsid w:val="00EB5E32"/>
    <w:rsid w:val="00EC2175"/>
    <w:rsid w:val="00EC66A6"/>
    <w:rsid w:val="00EC7E0D"/>
    <w:rsid w:val="00EE789B"/>
    <w:rsid w:val="00EF2622"/>
    <w:rsid w:val="00EF4713"/>
    <w:rsid w:val="00F06D3F"/>
    <w:rsid w:val="00F13BCB"/>
    <w:rsid w:val="00F156B7"/>
    <w:rsid w:val="00F207E1"/>
    <w:rsid w:val="00F41D34"/>
    <w:rsid w:val="00F5280B"/>
    <w:rsid w:val="00F7673E"/>
    <w:rsid w:val="00F76B06"/>
    <w:rsid w:val="00F86160"/>
    <w:rsid w:val="00F92D8C"/>
    <w:rsid w:val="00F969BE"/>
    <w:rsid w:val="00FA3E8C"/>
    <w:rsid w:val="00FC36B7"/>
    <w:rsid w:val="00FC38F8"/>
    <w:rsid w:val="00FD6CB4"/>
    <w:rsid w:val="026B7CCD"/>
    <w:rsid w:val="026D4184"/>
    <w:rsid w:val="042703CF"/>
    <w:rsid w:val="04A0E94E"/>
    <w:rsid w:val="04A321E8"/>
    <w:rsid w:val="04D89DDF"/>
    <w:rsid w:val="04E58D35"/>
    <w:rsid w:val="051EDC45"/>
    <w:rsid w:val="054F3AD5"/>
    <w:rsid w:val="0596040B"/>
    <w:rsid w:val="069E218A"/>
    <w:rsid w:val="06DC13B0"/>
    <w:rsid w:val="070FC1F9"/>
    <w:rsid w:val="073657D7"/>
    <w:rsid w:val="07879692"/>
    <w:rsid w:val="0871D127"/>
    <w:rsid w:val="08927AD9"/>
    <w:rsid w:val="09F341B7"/>
    <w:rsid w:val="0A0028B9"/>
    <w:rsid w:val="0B1AE20E"/>
    <w:rsid w:val="0B24903B"/>
    <w:rsid w:val="0C943B39"/>
    <w:rsid w:val="0CC9A4F2"/>
    <w:rsid w:val="0CF0E2D1"/>
    <w:rsid w:val="0E893749"/>
    <w:rsid w:val="0EFB2C1A"/>
    <w:rsid w:val="0F476C8B"/>
    <w:rsid w:val="0F6B141A"/>
    <w:rsid w:val="130004C2"/>
    <w:rsid w:val="1317F2A9"/>
    <w:rsid w:val="13303290"/>
    <w:rsid w:val="141176F4"/>
    <w:rsid w:val="1434D6BD"/>
    <w:rsid w:val="14C8DF9A"/>
    <w:rsid w:val="15050999"/>
    <w:rsid w:val="15482435"/>
    <w:rsid w:val="157ACC6A"/>
    <w:rsid w:val="16131E2A"/>
    <w:rsid w:val="16D23FF9"/>
    <w:rsid w:val="16E64717"/>
    <w:rsid w:val="1728FA9B"/>
    <w:rsid w:val="173425F1"/>
    <w:rsid w:val="175548B9"/>
    <w:rsid w:val="17960538"/>
    <w:rsid w:val="18580BF1"/>
    <w:rsid w:val="18CDA770"/>
    <w:rsid w:val="193E443C"/>
    <w:rsid w:val="19A5EA17"/>
    <w:rsid w:val="19ECBB86"/>
    <w:rsid w:val="1B0A2988"/>
    <w:rsid w:val="1B471B1C"/>
    <w:rsid w:val="1B6FAC6D"/>
    <w:rsid w:val="1BF0DCD0"/>
    <w:rsid w:val="1C23D277"/>
    <w:rsid w:val="1C5C6CFD"/>
    <w:rsid w:val="1CD3B19D"/>
    <w:rsid w:val="1CE398AD"/>
    <w:rsid w:val="1D40E48F"/>
    <w:rsid w:val="1DDB9D07"/>
    <w:rsid w:val="1DF28B9E"/>
    <w:rsid w:val="1E510B7E"/>
    <w:rsid w:val="1E99DD82"/>
    <w:rsid w:val="1EE5D16E"/>
    <w:rsid w:val="1F6232A5"/>
    <w:rsid w:val="1FC841E7"/>
    <w:rsid w:val="2010A09B"/>
    <w:rsid w:val="20A45A9A"/>
    <w:rsid w:val="20FA29B3"/>
    <w:rsid w:val="228C77F7"/>
    <w:rsid w:val="22B4E027"/>
    <w:rsid w:val="230B8042"/>
    <w:rsid w:val="232E538C"/>
    <w:rsid w:val="233ECC3D"/>
    <w:rsid w:val="23B0B757"/>
    <w:rsid w:val="243B19CD"/>
    <w:rsid w:val="24CCE9EF"/>
    <w:rsid w:val="2590D678"/>
    <w:rsid w:val="26114B19"/>
    <w:rsid w:val="27668F31"/>
    <w:rsid w:val="27B6D8A7"/>
    <w:rsid w:val="27BB8800"/>
    <w:rsid w:val="28399160"/>
    <w:rsid w:val="28ADB12C"/>
    <w:rsid w:val="28EF2020"/>
    <w:rsid w:val="2A47E4A6"/>
    <w:rsid w:val="2A4E99E2"/>
    <w:rsid w:val="2B114F01"/>
    <w:rsid w:val="2B7EC2E8"/>
    <w:rsid w:val="2BCEF40F"/>
    <w:rsid w:val="2CD7CDB6"/>
    <w:rsid w:val="2D426FA6"/>
    <w:rsid w:val="2D50163B"/>
    <w:rsid w:val="2D909687"/>
    <w:rsid w:val="2EA188AA"/>
    <w:rsid w:val="2F19E3D1"/>
    <w:rsid w:val="2F3316DD"/>
    <w:rsid w:val="2F529224"/>
    <w:rsid w:val="2FF0B603"/>
    <w:rsid w:val="3005876D"/>
    <w:rsid w:val="309B45E4"/>
    <w:rsid w:val="3106314B"/>
    <w:rsid w:val="31897E99"/>
    <w:rsid w:val="31AC3411"/>
    <w:rsid w:val="3251CE9B"/>
    <w:rsid w:val="32DFEE98"/>
    <w:rsid w:val="3303D89B"/>
    <w:rsid w:val="332AD833"/>
    <w:rsid w:val="33631C2E"/>
    <w:rsid w:val="3697F48F"/>
    <w:rsid w:val="36B8FE6B"/>
    <w:rsid w:val="37544EF8"/>
    <w:rsid w:val="37873451"/>
    <w:rsid w:val="37DAD846"/>
    <w:rsid w:val="37F11D84"/>
    <w:rsid w:val="381BB2A8"/>
    <w:rsid w:val="3842A4A2"/>
    <w:rsid w:val="38890076"/>
    <w:rsid w:val="3893EFBC"/>
    <w:rsid w:val="38BC9CC6"/>
    <w:rsid w:val="38E0CD7A"/>
    <w:rsid w:val="38EE2C7B"/>
    <w:rsid w:val="38F53CF7"/>
    <w:rsid w:val="39A7F7F9"/>
    <w:rsid w:val="3A33D496"/>
    <w:rsid w:val="3D41BCCF"/>
    <w:rsid w:val="3DF22F48"/>
    <w:rsid w:val="3E596D9F"/>
    <w:rsid w:val="3E9B7881"/>
    <w:rsid w:val="3F0A14C5"/>
    <w:rsid w:val="3F90810D"/>
    <w:rsid w:val="3FC92187"/>
    <w:rsid w:val="4007D866"/>
    <w:rsid w:val="4018027E"/>
    <w:rsid w:val="4055C4CE"/>
    <w:rsid w:val="40D8101F"/>
    <w:rsid w:val="41010CAE"/>
    <w:rsid w:val="426AF8C4"/>
    <w:rsid w:val="428BC90A"/>
    <w:rsid w:val="42EAF21B"/>
    <w:rsid w:val="42FEACFD"/>
    <w:rsid w:val="43A30C0F"/>
    <w:rsid w:val="43AB3567"/>
    <w:rsid w:val="43D1AD9D"/>
    <w:rsid w:val="43EC3928"/>
    <w:rsid w:val="45DF3A6A"/>
    <w:rsid w:val="4615A9C7"/>
    <w:rsid w:val="46EC44AA"/>
    <w:rsid w:val="47A12A3B"/>
    <w:rsid w:val="490BE7DC"/>
    <w:rsid w:val="49780627"/>
    <w:rsid w:val="49EAA477"/>
    <w:rsid w:val="4A7241BE"/>
    <w:rsid w:val="4A85E182"/>
    <w:rsid w:val="4AC8CC81"/>
    <w:rsid w:val="4B5FB7CE"/>
    <w:rsid w:val="4BD6BF21"/>
    <w:rsid w:val="4BE53003"/>
    <w:rsid w:val="4C7754F9"/>
    <w:rsid w:val="4CDE5A61"/>
    <w:rsid w:val="4DBAD394"/>
    <w:rsid w:val="4DFB0CFC"/>
    <w:rsid w:val="4EA50700"/>
    <w:rsid w:val="50076170"/>
    <w:rsid w:val="501F8385"/>
    <w:rsid w:val="50C5DC6A"/>
    <w:rsid w:val="5105B947"/>
    <w:rsid w:val="51686FC1"/>
    <w:rsid w:val="52438077"/>
    <w:rsid w:val="524FADF8"/>
    <w:rsid w:val="52D2CCB4"/>
    <w:rsid w:val="535BD78D"/>
    <w:rsid w:val="53CCB437"/>
    <w:rsid w:val="53D854E0"/>
    <w:rsid w:val="53F7C2EF"/>
    <w:rsid w:val="54676F2F"/>
    <w:rsid w:val="54B403AC"/>
    <w:rsid w:val="54E52960"/>
    <w:rsid w:val="55ADF842"/>
    <w:rsid w:val="5624F7ED"/>
    <w:rsid w:val="567ABCE9"/>
    <w:rsid w:val="56EFDF1D"/>
    <w:rsid w:val="570FE2FD"/>
    <w:rsid w:val="584F5EB8"/>
    <w:rsid w:val="5A216B67"/>
    <w:rsid w:val="5A36F02B"/>
    <w:rsid w:val="5AF44C1E"/>
    <w:rsid w:val="5C703172"/>
    <w:rsid w:val="5EE1A372"/>
    <w:rsid w:val="5F32E550"/>
    <w:rsid w:val="5F7B3744"/>
    <w:rsid w:val="5F9336D4"/>
    <w:rsid w:val="5F9CC2E8"/>
    <w:rsid w:val="5FCCB232"/>
    <w:rsid w:val="5FDA0D42"/>
    <w:rsid w:val="6126F71E"/>
    <w:rsid w:val="61663BBE"/>
    <w:rsid w:val="62333F05"/>
    <w:rsid w:val="62953680"/>
    <w:rsid w:val="62B20ED3"/>
    <w:rsid w:val="632FEE7B"/>
    <w:rsid w:val="638CB839"/>
    <w:rsid w:val="64212B11"/>
    <w:rsid w:val="64552DC3"/>
    <w:rsid w:val="64C9C7DB"/>
    <w:rsid w:val="64E0F0C7"/>
    <w:rsid w:val="652E407D"/>
    <w:rsid w:val="655081B1"/>
    <w:rsid w:val="655CFF0D"/>
    <w:rsid w:val="65894C58"/>
    <w:rsid w:val="66742450"/>
    <w:rsid w:val="6796F4DE"/>
    <w:rsid w:val="67EFAD0F"/>
    <w:rsid w:val="6840CA36"/>
    <w:rsid w:val="6877D831"/>
    <w:rsid w:val="68E5CA57"/>
    <w:rsid w:val="6A62B209"/>
    <w:rsid w:val="6C37E441"/>
    <w:rsid w:val="6C93BBAA"/>
    <w:rsid w:val="6CCA0043"/>
    <w:rsid w:val="6DAF66E4"/>
    <w:rsid w:val="6DF35B7F"/>
    <w:rsid w:val="6E027285"/>
    <w:rsid w:val="6E958D38"/>
    <w:rsid w:val="6EA65C63"/>
    <w:rsid w:val="6F670431"/>
    <w:rsid w:val="6F9BBAC4"/>
    <w:rsid w:val="6FFC8EF9"/>
    <w:rsid w:val="705D2628"/>
    <w:rsid w:val="749263C6"/>
    <w:rsid w:val="7667D9B7"/>
    <w:rsid w:val="76B687EC"/>
    <w:rsid w:val="77C28868"/>
    <w:rsid w:val="78FD1074"/>
    <w:rsid w:val="792A3D5F"/>
    <w:rsid w:val="79C41C87"/>
    <w:rsid w:val="7A36AB00"/>
    <w:rsid w:val="7A64305F"/>
    <w:rsid w:val="7A6B0F2B"/>
    <w:rsid w:val="7C1562BD"/>
    <w:rsid w:val="7E0E35F5"/>
    <w:rsid w:val="7E93F686"/>
    <w:rsid w:val="7EDC3B77"/>
    <w:rsid w:val="7F93B8DD"/>
    <w:rsid w:val="7FF77D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2"/>
    </o:shapelayout>
  </w:shapeDefaults>
  <w:decimalSymbol w:val=","/>
  <w:listSeparator w:val=";"/>
  <w15:docId w15:val="{D6224AFE-954D-40D0-B7D1-BF09A8EA1E8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before="120" w:after="120" w:line="240" w:lineRule="auto"/>
      <w:jc w:val="both"/>
    </w:pPr>
    <w:rPr>
      <w:rFonts w:ascii="Times New Roman" w:hAnsi="Times New Roman" w:cs="Times New Roman"/>
      <w:sz w:val="24"/>
      <w:lang w:val="cs-CZ"/>
    </w:rPr>
  </w:style>
  <w:style w:type="paragraph" w:styleId="Heading1">
    <w:name w:val="heading 1"/>
    <w:basedOn w:val="Normal"/>
    <w:next w:val="Text1"/>
    <w:link w:val="Heading1Char"/>
    <w:uiPriority w:val="9"/>
    <w:qFormat/>
    <w:pPr>
      <w:keepNext/>
      <w:numPr>
        <w:numId w:val="43"/>
      </w:numPr>
      <w:spacing w:before="360"/>
      <w:outlineLvl w:val="0"/>
    </w:pPr>
    <w:rPr>
      <w:rFonts w:eastAsiaTheme="majorEastAsia"/>
      <w:b/>
      <w:bCs/>
      <w:smallCaps/>
      <w:szCs w:val="28"/>
    </w:rPr>
  </w:style>
  <w:style w:type="paragraph" w:styleId="Heading2">
    <w:name w:val="heading 2"/>
    <w:basedOn w:val="Normal"/>
    <w:next w:val="Text1"/>
    <w:link w:val="Heading2Char"/>
    <w:uiPriority w:val="9"/>
    <w:semiHidden/>
    <w:unhideWhenUsed/>
    <w:qFormat/>
    <w:pPr>
      <w:keepNext/>
      <w:numPr>
        <w:ilvl w:val="1"/>
        <w:numId w:val="43"/>
      </w:numPr>
      <w:outlineLvl w:val="1"/>
    </w:pPr>
    <w:rPr>
      <w:rFonts w:eastAsiaTheme="majorEastAsia"/>
      <w:b/>
      <w:bCs/>
      <w:szCs w:val="26"/>
    </w:rPr>
  </w:style>
  <w:style w:type="paragraph" w:styleId="Heading3">
    <w:name w:val="heading 3"/>
    <w:basedOn w:val="Normal"/>
    <w:next w:val="Text1"/>
    <w:link w:val="Heading3Char"/>
    <w:uiPriority w:val="9"/>
    <w:semiHidden/>
    <w:unhideWhenUsed/>
    <w:qFormat/>
    <w:pPr>
      <w:keepNext/>
      <w:numPr>
        <w:ilvl w:val="2"/>
        <w:numId w:val="43"/>
      </w:numPr>
      <w:outlineLvl w:val="2"/>
    </w:pPr>
    <w:rPr>
      <w:rFonts w:eastAsiaTheme="majorEastAsia"/>
      <w:bCs/>
      <w:i/>
    </w:rPr>
  </w:style>
  <w:style w:type="paragraph" w:styleId="Heading4">
    <w:name w:val="heading 4"/>
    <w:basedOn w:val="Normal"/>
    <w:next w:val="Text1"/>
    <w:link w:val="Heading4Char"/>
    <w:uiPriority w:val="9"/>
    <w:semiHidden/>
    <w:unhideWhenUsed/>
    <w:qFormat/>
    <w:pPr>
      <w:keepNext/>
      <w:numPr>
        <w:ilvl w:val="3"/>
        <w:numId w:val="43"/>
      </w:numPr>
      <w:outlineLvl w:val="3"/>
    </w:pPr>
    <w:rPr>
      <w:rFonts w:eastAsiaTheme="majorEastAsia"/>
      <w:bCs/>
      <w:iCs/>
    </w:rPr>
  </w:style>
  <w:style w:type="paragraph" w:styleId="Heading5">
    <w:name w:val="heading 5"/>
    <w:basedOn w:val="Normal"/>
    <w:next w:val="Text2"/>
    <w:link w:val="Heading5Char"/>
    <w:uiPriority w:val="9"/>
    <w:semiHidden/>
    <w:unhideWhenUsed/>
    <w:qFormat/>
    <w:pPr>
      <w:keepNext/>
      <w:numPr>
        <w:ilvl w:val="4"/>
        <w:numId w:val="43"/>
      </w:numPr>
      <w:outlineLvl w:val="4"/>
    </w:pPr>
    <w:rPr>
      <w:rFonts w:eastAsiaTheme="majorEastAsia"/>
    </w:rPr>
  </w:style>
  <w:style w:type="paragraph" w:styleId="Heading6">
    <w:name w:val="heading 6"/>
    <w:basedOn w:val="Normal"/>
    <w:next w:val="Text2"/>
    <w:link w:val="Heading6Char"/>
    <w:uiPriority w:val="9"/>
    <w:semiHidden/>
    <w:unhideWhenUsed/>
    <w:qFormat/>
    <w:pPr>
      <w:keepNext/>
      <w:numPr>
        <w:ilvl w:val="5"/>
        <w:numId w:val="43"/>
      </w:numPr>
      <w:outlineLvl w:val="5"/>
    </w:pPr>
    <w:rPr>
      <w:rFonts w:eastAsiaTheme="majorEastAsia"/>
      <w:iCs/>
    </w:rPr>
  </w:style>
  <w:style w:type="paragraph" w:styleId="Heading7">
    <w:name w:val="heading 7"/>
    <w:basedOn w:val="Normal"/>
    <w:next w:val="Text2"/>
    <w:link w:val="Heading7Char"/>
    <w:uiPriority w:val="9"/>
    <w:semiHidden/>
    <w:unhideWhenUsed/>
    <w:qFormat/>
    <w:pPr>
      <w:keepNext/>
      <w:numPr>
        <w:ilvl w:val="6"/>
        <w:numId w:val="43"/>
      </w:numPr>
      <w:outlineLvl w:val="6"/>
    </w:pPr>
    <w:rPr>
      <w:rFonts w:eastAsiaTheme="majorEastAsia"/>
      <w:iCs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446D5D"/>
    <w:rPr>
      <w:color w:val="0000FF" w:themeColor="hyperlink"/>
      <w:u w:val="single"/>
    </w:rPr>
  </w:style>
  <w:style w:type="character" w:customStyle="1" w:styleId="cf01">
    <w:name w:val="cf01"/>
    <w:basedOn w:val="DefaultParagraphFont"/>
    <w:rsid w:val="00446D5D"/>
    <w:rPr>
      <w:rFonts w:ascii="Segoe UI" w:hAnsi="Segoe UI" w:cs="Segoe UI" w:hint="default"/>
      <w:color w:val="333333"/>
      <w:sz w:val="18"/>
      <w:szCs w:val="18"/>
      <w:shd w:val="clear" w:color="auto" w:fill="FFFFFF"/>
    </w:rPr>
  </w:style>
  <w:style w:type="paragraph" w:styleId="ListBullet">
    <w:name w:val="List Bullet"/>
    <w:basedOn w:val="Normal"/>
    <w:uiPriority w:val="99"/>
    <w:semiHidden/>
    <w:unhideWhenUsed/>
    <w:rsid w:val="00CB1623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semiHidden/>
    <w:unhideWhenUsed/>
    <w:rsid w:val="00CB1623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semiHidden/>
    <w:unhideWhenUsed/>
    <w:rsid w:val="00CB1623"/>
    <w:pPr>
      <w:numPr>
        <w:numId w:val="3"/>
      </w:numPr>
      <w:contextualSpacing/>
    </w:pPr>
  </w:style>
  <w:style w:type="paragraph" w:styleId="ListBullet4">
    <w:name w:val="List Bullet 4"/>
    <w:basedOn w:val="Normal"/>
    <w:uiPriority w:val="99"/>
    <w:semiHidden/>
    <w:unhideWhenUsed/>
    <w:rsid w:val="00CB1623"/>
    <w:pPr>
      <w:numPr>
        <w:numId w:val="4"/>
      </w:numPr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0B49A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0B49AE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0B49AE"/>
    <w:rPr>
      <w:rFonts w:ascii="Times New Roman" w:hAnsi="Times New Roman" w:cs="Times New Roman"/>
      <w:sz w:val="20"/>
      <w:szCs w:val="20"/>
      <w:lang w:val="cs-CZ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B49A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B49AE"/>
    <w:rPr>
      <w:rFonts w:ascii="Times New Roman" w:hAnsi="Times New Roman" w:cs="Times New Roman"/>
      <w:b/>
      <w:bCs/>
      <w:sz w:val="20"/>
      <w:szCs w:val="20"/>
      <w:lang w:val="cs-CZ"/>
    </w:rPr>
  </w:style>
  <w:style w:type="paragraph" w:styleId="Revision">
    <w:name w:val="Revision"/>
    <w:hidden/>
    <w:uiPriority w:val="99"/>
    <w:semiHidden/>
    <w:rsid w:val="00AC6F86"/>
    <w:pPr>
      <w:spacing w:after="0" w:line="240" w:lineRule="auto"/>
    </w:pPr>
    <w:rPr>
      <w:rFonts w:ascii="Times New Roman" w:hAnsi="Times New Roman" w:cs="Times New Roman"/>
      <w:sz w:val="24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D02DDA"/>
    <w:rPr>
      <w:color w:val="605E5C"/>
      <w:shd w:val="clear" w:color="auto" w:fill="E1DFDD"/>
    </w:rPr>
  </w:style>
  <w:style w:type="character" w:customStyle="1" w:styleId="HeaderChar">
    <w:name w:val="Header Char"/>
    <w:basedOn w:val="DefaultParagraphFont"/>
    <w:link w:val="Header"/>
    <w:uiPriority w:val="99"/>
    <w:rsid w:val="00F92D8C"/>
    <w:rPr>
      <w:rFonts w:ascii="Times New Roman" w:hAnsi="Times New Roman" w:cs="Times New Roman"/>
      <w:sz w:val="24"/>
      <w:lang w:val="cs-CZ"/>
    </w:rPr>
  </w:style>
  <w:style w:type="character" w:customStyle="1" w:styleId="FooterChar">
    <w:name w:val="Footer Char"/>
    <w:basedOn w:val="DefaultParagraphFont"/>
    <w:link w:val="Footer"/>
    <w:uiPriority w:val="99"/>
    <w:rsid w:val="00F92D8C"/>
    <w:rPr>
      <w:rFonts w:ascii="Times New Roman" w:hAnsi="Times New Roman" w:cs="Times New Roman"/>
      <w:sz w:val="24"/>
      <w:lang w:val="cs-CZ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before="0" w:after="0"/>
      <w:ind w:left="720" w:hanging="72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Pr>
      <w:rFonts w:ascii="Times New Roman" w:hAnsi="Times New Roman" w:cs="Times New Roman"/>
      <w:sz w:val="20"/>
      <w:szCs w:val="20"/>
      <w:shd w:val="clear" w:color="auto" w:fill="auto"/>
      <w:lang w:val="en-GB"/>
    </w:rPr>
  </w:style>
  <w:style w:type="character" w:customStyle="1" w:styleId="Heading1Char">
    <w:name w:val="Heading 1 Char"/>
    <w:basedOn w:val="DefaultParagraphFont"/>
    <w:link w:val="Heading1"/>
    <w:uiPriority w:val="9"/>
    <w:rPr>
      <w:rFonts w:ascii="Times New Roman" w:eastAsiaTheme="majorEastAsia" w:hAnsi="Times New Roman" w:cs="Times New Roman"/>
      <w:b/>
      <w:bCs/>
      <w:smallCaps/>
      <w:sz w:val="24"/>
      <w:szCs w:val="28"/>
      <w:shd w:val="clear" w:color="auto" w:fill="auto"/>
      <w:lang w:val="en-GB"/>
    </w:rPr>
  </w:style>
  <w:style w:type="character" w:customStyle="1" w:styleId="Heading2Char">
    <w:name w:val="Heading 2 Char"/>
    <w:basedOn w:val="DefaultParagraphFont"/>
    <w:link w:val="Heading2"/>
    <w:uiPriority w:val="9"/>
    <w:semiHidden/>
    <w:rPr>
      <w:rFonts w:ascii="Times New Roman" w:eastAsiaTheme="majorEastAsia" w:hAnsi="Times New Roman" w:cs="Times New Roman"/>
      <w:b/>
      <w:bCs/>
      <w:sz w:val="24"/>
      <w:szCs w:val="26"/>
      <w:shd w:val="clear" w:color="auto" w:fill="auto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semiHidden/>
    <w:rPr>
      <w:rFonts w:ascii="Times New Roman" w:eastAsiaTheme="majorEastAsia" w:hAnsi="Times New Roman" w:cs="Times New Roman"/>
      <w:bCs/>
      <w:i/>
      <w:sz w:val="24"/>
      <w:shd w:val="clear" w:color="auto" w:fill="auto"/>
      <w:lang w:val="en-GB"/>
    </w:rPr>
  </w:style>
  <w:style w:type="character" w:customStyle="1" w:styleId="Heading4Char">
    <w:name w:val="Heading 4 Char"/>
    <w:basedOn w:val="DefaultParagraphFont"/>
    <w:link w:val="Heading4"/>
    <w:uiPriority w:val="9"/>
    <w:semiHidden/>
    <w:rPr>
      <w:rFonts w:ascii="Times New Roman" w:eastAsiaTheme="majorEastAsia" w:hAnsi="Times New Roman" w:cs="Times New Roman"/>
      <w:bCs/>
      <w:iCs/>
      <w:sz w:val="24"/>
      <w:shd w:val="clear" w:color="auto" w:fill="auto"/>
      <w:lang w:val="en-GB"/>
    </w:rPr>
  </w:style>
  <w:style w:type="character" w:customStyle="1" w:styleId="Heading5Char">
    <w:name w:val="Heading 5 Char"/>
    <w:basedOn w:val="DefaultParagraphFont"/>
    <w:link w:val="Heading5"/>
    <w:uiPriority w:val="9"/>
    <w:semiHidden/>
    <w:rPr>
      <w:rFonts w:ascii="Times New Roman" w:eastAsiaTheme="majorEastAsia" w:hAnsi="Times New Roman" w:cs="Times New Roman"/>
      <w:sz w:val="24"/>
      <w:shd w:val="clear" w:color="auto" w:fill="auto"/>
      <w:lang w:val="en-GB"/>
    </w:rPr>
  </w:style>
  <w:style w:type="character" w:customStyle="1" w:styleId="Heading6Char">
    <w:name w:val="Heading 6 Char"/>
    <w:basedOn w:val="DefaultParagraphFont"/>
    <w:link w:val="Heading6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character" w:customStyle="1" w:styleId="Heading7Char">
    <w:name w:val="Heading 7 Char"/>
    <w:basedOn w:val="DefaultParagraphFont"/>
    <w:link w:val="Heading7"/>
    <w:uiPriority w:val="9"/>
    <w:semiHidden/>
    <w:rPr>
      <w:rFonts w:ascii="Times New Roman" w:eastAsiaTheme="majorEastAsia" w:hAnsi="Times New Roman" w:cs="Times New Roman"/>
      <w:iCs/>
      <w:sz w:val="24"/>
      <w:shd w:val="clear" w:color="auto" w:fill="auto"/>
      <w:lang w:val="en-GB"/>
    </w:rPr>
  </w:style>
  <w:style w:type="paragraph" w:styleId="TOCHeading">
    <w:name w:val="TOC Heading"/>
    <w:basedOn w:val="Normal"/>
    <w:next w:val="Normal"/>
    <w:uiPriority w:val="39"/>
    <w:semiHidden/>
    <w:unhideWhenUsed/>
    <w:qFormat/>
    <w:pPr>
      <w:spacing w:after="240"/>
      <w:jc w:val="center"/>
    </w:pPr>
    <w:rPr>
      <w:b/>
      <w:sz w:val="28"/>
    </w:rPr>
  </w:style>
  <w:style w:type="paragraph" w:styleId="TOC1">
    <w:name w:val="toc 1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2">
    <w:name w:val="toc 2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3">
    <w:name w:val="toc 3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4">
    <w:name w:val="toc 4"/>
    <w:basedOn w:val="Normal"/>
    <w:next w:val="Normal"/>
    <w:uiPriority w:val="39"/>
    <w:semiHidden/>
    <w:unhideWhenUsed/>
    <w:pPr>
      <w:tabs>
        <w:tab w:val="right" w:leader="dot" w:pos="9071"/>
      </w:tabs>
      <w:spacing w:before="60"/>
      <w:ind w:left="850" w:hanging="850"/>
      <w:jc w:val="left"/>
    </w:pPr>
  </w:style>
  <w:style w:type="paragraph" w:styleId="TOC5">
    <w:name w:val="toc 5"/>
    <w:basedOn w:val="Normal"/>
    <w:next w:val="Normal"/>
    <w:uiPriority w:val="39"/>
    <w:semiHidden/>
    <w:unhideWhenUsed/>
    <w:pPr>
      <w:tabs>
        <w:tab w:val="right" w:leader="dot" w:pos="9071"/>
      </w:tabs>
      <w:spacing w:before="300"/>
      <w:jc w:val="left"/>
    </w:pPr>
  </w:style>
  <w:style w:type="paragraph" w:styleId="TOC6">
    <w:name w:val="toc 6"/>
    <w:basedOn w:val="Normal"/>
    <w:next w:val="Normal"/>
    <w:uiPriority w:val="39"/>
    <w:semiHidden/>
    <w:unhideWhenUsed/>
    <w:pPr>
      <w:tabs>
        <w:tab w:val="right" w:leader="dot" w:pos="9071"/>
      </w:tabs>
      <w:spacing w:before="240"/>
      <w:jc w:val="left"/>
    </w:pPr>
  </w:style>
  <w:style w:type="paragraph" w:styleId="TOC7">
    <w:name w:val="toc 7"/>
    <w:basedOn w:val="Normal"/>
    <w:next w:val="Normal"/>
    <w:uiPriority w:val="39"/>
    <w:semiHidden/>
    <w:unhideWhenUsed/>
    <w:pPr>
      <w:tabs>
        <w:tab w:val="right" w:leader="dot" w:pos="9071"/>
      </w:tabs>
      <w:spacing w:before="180"/>
      <w:jc w:val="left"/>
    </w:pPr>
  </w:style>
  <w:style w:type="paragraph" w:styleId="TOC8">
    <w:name w:val="toc 8"/>
    <w:basedOn w:val="Normal"/>
    <w:next w:val="Normal"/>
    <w:uiPriority w:val="39"/>
    <w:semiHidden/>
    <w:unhideWhenUsed/>
    <w:pPr>
      <w:tabs>
        <w:tab w:val="right" w:leader="dot" w:pos="9071"/>
      </w:tabs>
      <w:jc w:val="left"/>
    </w:pPr>
  </w:style>
  <w:style w:type="paragraph" w:styleId="TOC9">
    <w:name w:val="toc 9"/>
    <w:basedOn w:val="Normal"/>
    <w:next w:val="Normal"/>
    <w:uiPriority w:val="39"/>
    <w:semiHidden/>
    <w:unhideWhenUsed/>
    <w:pPr>
      <w:tabs>
        <w:tab w:val="right" w:leader="dot" w:pos="9071"/>
      </w:tabs>
      <w:ind w:left="1417" w:hanging="1417"/>
      <w:jc w:val="left"/>
    </w:pPr>
  </w:style>
  <w:style w:type="character" w:styleId="FootnoteReference">
    <w:name w:val="footnote reference"/>
    <w:basedOn w:val="DefaultParagraphFont"/>
    <w:uiPriority w:val="99"/>
    <w:semiHidden/>
    <w:unhideWhenUsed/>
    <w:rPr>
      <w:shd w:val="clear" w:color="auto" w:fill="auto"/>
      <w:vertAlign w:val="superscript"/>
    </w:rPr>
  </w:style>
  <w:style w:type="paragraph" w:customStyle="1" w:styleId="HeaderSensitivity">
    <w:name w:val="Header Sensitivity"/>
    <w:basedOn w:val="Normal"/>
    <w:rsid w:val="00F92D8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0"/>
      <w:ind w:left="113" w:right="113"/>
      <w:jc w:val="center"/>
    </w:pPr>
    <w:rPr>
      <w:b/>
      <w:sz w:val="32"/>
    </w:rPr>
  </w:style>
  <w:style w:type="paragraph" w:customStyle="1" w:styleId="HeaderSensitivityRight">
    <w:name w:val="Header Sensitivity Right"/>
    <w:basedOn w:val="Normal"/>
    <w:rsid w:val="00F92D8C"/>
    <w:pPr>
      <w:spacing w:before="0"/>
      <w:jc w:val="right"/>
    </w:pPr>
    <w:rPr>
      <w:sz w:val="28"/>
    </w:rPr>
  </w:style>
  <w:style w:type="paragraph" w:customStyle="1" w:styleId="FooterSensitivity">
    <w:name w:val="Footer Sensitivity"/>
    <w:basedOn w:val="Normal"/>
    <w:rsid w:val="00F92D8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spacing w:before="360" w:after="0"/>
      <w:ind w:left="113" w:right="113"/>
      <w:jc w:val="center"/>
    </w:pPr>
    <w:rPr>
      <w:b/>
      <w:sz w:val="32"/>
    </w:rPr>
  </w:style>
  <w:style w:type="paragraph" w:customStyle="1" w:styleId="Text1">
    <w:name w:val="Text 1"/>
    <w:basedOn w:val="Normal"/>
    <w:pPr>
      <w:ind w:left="850"/>
    </w:pPr>
  </w:style>
  <w:style w:type="paragraph" w:customStyle="1" w:styleId="Text2">
    <w:name w:val="Text 2"/>
    <w:basedOn w:val="Normal"/>
    <w:pPr>
      <w:ind w:left="1417"/>
    </w:pPr>
  </w:style>
  <w:style w:type="paragraph" w:customStyle="1" w:styleId="Text3">
    <w:name w:val="Text 3"/>
    <w:basedOn w:val="Normal"/>
    <w:pPr>
      <w:ind w:left="1984"/>
    </w:pPr>
  </w:style>
  <w:style w:type="paragraph" w:customStyle="1" w:styleId="Text4">
    <w:name w:val="Text 4"/>
    <w:basedOn w:val="Normal"/>
    <w:pPr>
      <w:ind w:left="2551"/>
    </w:pPr>
  </w:style>
  <w:style w:type="paragraph" w:customStyle="1" w:styleId="Text5">
    <w:name w:val="Text 5"/>
    <w:basedOn w:val="Normal"/>
    <w:pPr>
      <w:ind w:left="3118"/>
    </w:pPr>
  </w:style>
  <w:style w:type="paragraph" w:customStyle="1" w:styleId="Text6">
    <w:name w:val="Text 6"/>
    <w:basedOn w:val="Normal"/>
    <w:pPr>
      <w:ind w:left="3685"/>
    </w:pPr>
  </w:style>
  <w:style w:type="paragraph" w:customStyle="1" w:styleId="NormalCentered">
    <w:name w:val="Normal Centered"/>
    <w:basedOn w:val="Normal"/>
    <w:pPr>
      <w:jc w:val="center"/>
    </w:pPr>
  </w:style>
  <w:style w:type="paragraph" w:customStyle="1" w:styleId="NormalLeft">
    <w:name w:val="Normal Left"/>
    <w:basedOn w:val="Normal"/>
    <w:pPr>
      <w:jc w:val="left"/>
    </w:pPr>
  </w:style>
  <w:style w:type="paragraph" w:customStyle="1" w:styleId="NormalRight">
    <w:name w:val="Normal Right"/>
    <w:basedOn w:val="Normal"/>
    <w:pPr>
      <w:jc w:val="right"/>
    </w:pPr>
  </w:style>
  <w:style w:type="paragraph" w:customStyle="1" w:styleId="QuotedText">
    <w:name w:val="Quoted Text"/>
    <w:basedOn w:val="Normal"/>
    <w:pPr>
      <w:ind w:left="1417"/>
    </w:pPr>
  </w:style>
  <w:style w:type="paragraph" w:customStyle="1" w:styleId="Point0">
    <w:name w:val="Point 0"/>
    <w:basedOn w:val="Normal"/>
    <w:pPr>
      <w:ind w:left="850" w:hanging="850"/>
    </w:pPr>
  </w:style>
  <w:style w:type="paragraph" w:customStyle="1" w:styleId="Point1">
    <w:name w:val="Point 1"/>
    <w:basedOn w:val="Normal"/>
    <w:pPr>
      <w:ind w:left="1417" w:hanging="567"/>
    </w:pPr>
  </w:style>
  <w:style w:type="paragraph" w:customStyle="1" w:styleId="Point2">
    <w:name w:val="Point 2"/>
    <w:basedOn w:val="Normal"/>
    <w:pPr>
      <w:ind w:left="1984" w:hanging="567"/>
    </w:pPr>
  </w:style>
  <w:style w:type="paragraph" w:customStyle="1" w:styleId="Point3">
    <w:name w:val="Point 3"/>
    <w:basedOn w:val="Normal"/>
    <w:pPr>
      <w:ind w:left="2551" w:hanging="567"/>
    </w:pPr>
  </w:style>
  <w:style w:type="paragraph" w:customStyle="1" w:styleId="Point4">
    <w:name w:val="Point 4"/>
    <w:basedOn w:val="Normal"/>
    <w:pPr>
      <w:ind w:left="3118" w:hanging="567"/>
    </w:pPr>
  </w:style>
  <w:style w:type="paragraph" w:customStyle="1" w:styleId="Point5">
    <w:name w:val="Point 5"/>
    <w:basedOn w:val="Normal"/>
    <w:pPr>
      <w:ind w:left="3685" w:hanging="567"/>
    </w:pPr>
  </w:style>
  <w:style w:type="paragraph" w:customStyle="1" w:styleId="Tiret0">
    <w:name w:val="Tiret 0"/>
    <w:basedOn w:val="Point0"/>
    <w:pPr>
      <w:numPr>
        <w:numId w:val="36"/>
      </w:numPr>
    </w:pPr>
  </w:style>
  <w:style w:type="paragraph" w:customStyle="1" w:styleId="Tiret1">
    <w:name w:val="Tiret 1"/>
    <w:basedOn w:val="Point1"/>
    <w:pPr>
      <w:numPr>
        <w:numId w:val="37"/>
      </w:numPr>
    </w:pPr>
  </w:style>
  <w:style w:type="paragraph" w:customStyle="1" w:styleId="Tiret2">
    <w:name w:val="Tiret 2"/>
    <w:basedOn w:val="Point2"/>
    <w:pPr>
      <w:numPr>
        <w:numId w:val="38"/>
      </w:numPr>
    </w:pPr>
  </w:style>
  <w:style w:type="paragraph" w:customStyle="1" w:styleId="Tiret3">
    <w:name w:val="Tiret 3"/>
    <w:basedOn w:val="Point3"/>
    <w:pPr>
      <w:numPr>
        <w:numId w:val="39"/>
      </w:numPr>
    </w:pPr>
  </w:style>
  <w:style w:type="paragraph" w:customStyle="1" w:styleId="Tiret4">
    <w:name w:val="Tiret 4"/>
    <w:basedOn w:val="Point4"/>
    <w:pPr>
      <w:numPr>
        <w:numId w:val="40"/>
      </w:numPr>
    </w:pPr>
  </w:style>
  <w:style w:type="paragraph" w:customStyle="1" w:styleId="Tiret5">
    <w:name w:val="Tiret 5"/>
    <w:basedOn w:val="Point5"/>
    <w:pPr>
      <w:numPr>
        <w:numId w:val="41"/>
      </w:numPr>
    </w:pPr>
  </w:style>
  <w:style w:type="paragraph" w:customStyle="1" w:styleId="PointDouble0">
    <w:name w:val="PointDouble 0"/>
    <w:basedOn w:val="Normal"/>
    <w:pPr>
      <w:tabs>
        <w:tab w:val="left" w:pos="850"/>
      </w:tabs>
      <w:ind w:left="1417" w:hanging="1417"/>
    </w:pPr>
  </w:style>
  <w:style w:type="paragraph" w:customStyle="1" w:styleId="PointDouble1">
    <w:name w:val="PointDouble 1"/>
    <w:basedOn w:val="Normal"/>
    <w:pPr>
      <w:tabs>
        <w:tab w:val="left" w:pos="1417"/>
      </w:tabs>
      <w:ind w:left="1984" w:hanging="1134"/>
    </w:pPr>
  </w:style>
  <w:style w:type="paragraph" w:customStyle="1" w:styleId="PointDouble2">
    <w:name w:val="PointDouble 2"/>
    <w:basedOn w:val="Normal"/>
    <w:pPr>
      <w:tabs>
        <w:tab w:val="left" w:pos="1984"/>
      </w:tabs>
      <w:ind w:left="2551" w:hanging="1134"/>
    </w:pPr>
  </w:style>
  <w:style w:type="paragraph" w:customStyle="1" w:styleId="PointDouble3">
    <w:name w:val="PointDouble 3"/>
    <w:basedOn w:val="Normal"/>
    <w:pPr>
      <w:tabs>
        <w:tab w:val="left" w:pos="2551"/>
      </w:tabs>
      <w:ind w:left="3118" w:hanging="1134"/>
    </w:pPr>
  </w:style>
  <w:style w:type="paragraph" w:customStyle="1" w:styleId="PointDouble4">
    <w:name w:val="PointDouble 4"/>
    <w:basedOn w:val="Normal"/>
    <w:pPr>
      <w:tabs>
        <w:tab w:val="left" w:pos="3118"/>
      </w:tabs>
      <w:ind w:left="3685" w:hanging="1134"/>
    </w:pPr>
  </w:style>
  <w:style w:type="paragraph" w:customStyle="1" w:styleId="PointTriple0">
    <w:name w:val="PointTriple 0"/>
    <w:basedOn w:val="Normal"/>
    <w:pPr>
      <w:tabs>
        <w:tab w:val="left" w:pos="850"/>
        <w:tab w:val="left" w:pos="1417"/>
      </w:tabs>
      <w:ind w:left="1984" w:hanging="1984"/>
    </w:pPr>
  </w:style>
  <w:style w:type="paragraph" w:customStyle="1" w:styleId="PointTriple1">
    <w:name w:val="PointTriple 1"/>
    <w:basedOn w:val="Normal"/>
    <w:pPr>
      <w:tabs>
        <w:tab w:val="left" w:pos="1417"/>
        <w:tab w:val="left" w:pos="1984"/>
      </w:tabs>
      <w:ind w:left="2551" w:hanging="1701"/>
    </w:pPr>
  </w:style>
  <w:style w:type="paragraph" w:customStyle="1" w:styleId="PointTriple2">
    <w:name w:val="PointTriple 2"/>
    <w:basedOn w:val="Normal"/>
    <w:pPr>
      <w:tabs>
        <w:tab w:val="left" w:pos="1984"/>
        <w:tab w:val="left" w:pos="2551"/>
      </w:tabs>
      <w:ind w:left="3118" w:hanging="1701"/>
    </w:pPr>
  </w:style>
  <w:style w:type="paragraph" w:customStyle="1" w:styleId="PointTriple3">
    <w:name w:val="PointTriple 3"/>
    <w:basedOn w:val="Normal"/>
    <w:pPr>
      <w:tabs>
        <w:tab w:val="left" w:pos="2551"/>
        <w:tab w:val="left" w:pos="3118"/>
      </w:tabs>
      <w:ind w:left="3685" w:hanging="1701"/>
    </w:pPr>
  </w:style>
  <w:style w:type="paragraph" w:customStyle="1" w:styleId="PointTriple4">
    <w:name w:val="PointTriple 4"/>
    <w:basedOn w:val="Normal"/>
    <w:pPr>
      <w:tabs>
        <w:tab w:val="left" w:pos="3118"/>
        <w:tab w:val="left" w:pos="3685"/>
      </w:tabs>
      <w:ind w:left="4252" w:hanging="1701"/>
    </w:pPr>
  </w:style>
  <w:style w:type="paragraph" w:customStyle="1" w:styleId="NumPar1">
    <w:name w:val="NumPar 1"/>
    <w:basedOn w:val="Normal"/>
    <w:next w:val="Text1"/>
    <w:pPr>
      <w:numPr>
        <w:numId w:val="42"/>
      </w:numPr>
    </w:pPr>
  </w:style>
  <w:style w:type="paragraph" w:customStyle="1" w:styleId="NumPar2">
    <w:name w:val="NumPar 2"/>
    <w:basedOn w:val="Normal"/>
    <w:next w:val="Text1"/>
    <w:pPr>
      <w:numPr>
        <w:ilvl w:val="1"/>
        <w:numId w:val="42"/>
      </w:numPr>
    </w:pPr>
  </w:style>
  <w:style w:type="paragraph" w:customStyle="1" w:styleId="NumPar3">
    <w:name w:val="NumPar 3"/>
    <w:basedOn w:val="Normal"/>
    <w:next w:val="Text1"/>
    <w:pPr>
      <w:numPr>
        <w:ilvl w:val="2"/>
        <w:numId w:val="42"/>
      </w:numPr>
    </w:pPr>
  </w:style>
  <w:style w:type="paragraph" w:customStyle="1" w:styleId="NumPar4">
    <w:name w:val="NumPar 4"/>
    <w:basedOn w:val="Normal"/>
    <w:next w:val="Text1"/>
    <w:pPr>
      <w:numPr>
        <w:ilvl w:val="3"/>
        <w:numId w:val="42"/>
      </w:numPr>
    </w:pPr>
  </w:style>
  <w:style w:type="paragraph" w:customStyle="1" w:styleId="NumPar5">
    <w:name w:val="NumPar 5"/>
    <w:basedOn w:val="Normal"/>
    <w:next w:val="Text2"/>
    <w:pPr>
      <w:numPr>
        <w:ilvl w:val="4"/>
        <w:numId w:val="42"/>
      </w:numPr>
    </w:pPr>
  </w:style>
  <w:style w:type="paragraph" w:customStyle="1" w:styleId="NumPar6">
    <w:name w:val="NumPar 6"/>
    <w:basedOn w:val="Normal"/>
    <w:next w:val="Text2"/>
    <w:pPr>
      <w:numPr>
        <w:ilvl w:val="5"/>
        <w:numId w:val="42"/>
      </w:numPr>
    </w:pPr>
  </w:style>
  <w:style w:type="paragraph" w:customStyle="1" w:styleId="NumPar7">
    <w:name w:val="NumPar 7"/>
    <w:basedOn w:val="Normal"/>
    <w:next w:val="Text2"/>
    <w:pPr>
      <w:numPr>
        <w:ilvl w:val="6"/>
        <w:numId w:val="42"/>
      </w:numPr>
    </w:pPr>
  </w:style>
  <w:style w:type="paragraph" w:customStyle="1" w:styleId="ManualNumPar1">
    <w:name w:val="Manual NumPar 1"/>
    <w:basedOn w:val="Normal"/>
    <w:next w:val="Text1"/>
    <w:pPr>
      <w:ind w:left="850" w:hanging="850"/>
    </w:pPr>
  </w:style>
  <w:style w:type="paragraph" w:customStyle="1" w:styleId="ManualNumPar2">
    <w:name w:val="Manual NumPar 2"/>
    <w:basedOn w:val="Normal"/>
    <w:next w:val="Text1"/>
    <w:pPr>
      <w:ind w:left="850" w:hanging="850"/>
    </w:pPr>
  </w:style>
  <w:style w:type="paragraph" w:customStyle="1" w:styleId="ManualNumPar3">
    <w:name w:val="Manual NumPar 3"/>
    <w:basedOn w:val="Normal"/>
    <w:next w:val="Text1"/>
    <w:pPr>
      <w:ind w:left="850" w:hanging="850"/>
    </w:pPr>
  </w:style>
  <w:style w:type="paragraph" w:customStyle="1" w:styleId="ManualNumPar4">
    <w:name w:val="Manual NumPar 4"/>
    <w:basedOn w:val="Normal"/>
    <w:next w:val="Text1"/>
    <w:pPr>
      <w:ind w:left="850" w:hanging="850"/>
    </w:pPr>
  </w:style>
  <w:style w:type="paragraph" w:customStyle="1" w:styleId="ManualNumPar5">
    <w:name w:val="Manual NumPar 5"/>
    <w:basedOn w:val="Normal"/>
    <w:next w:val="Text2"/>
    <w:pPr>
      <w:ind w:left="1417" w:hanging="1417"/>
    </w:pPr>
  </w:style>
  <w:style w:type="paragraph" w:customStyle="1" w:styleId="ManualNumPar6">
    <w:name w:val="Manual NumPar 6"/>
    <w:basedOn w:val="Normal"/>
    <w:next w:val="Text2"/>
    <w:pPr>
      <w:ind w:left="1417" w:hanging="1417"/>
    </w:pPr>
  </w:style>
  <w:style w:type="paragraph" w:customStyle="1" w:styleId="ManualNumPar7">
    <w:name w:val="Manual NumPar 7"/>
    <w:basedOn w:val="Normal"/>
    <w:next w:val="Text2"/>
    <w:pPr>
      <w:ind w:left="1417" w:hanging="1417"/>
    </w:pPr>
  </w:style>
  <w:style w:type="paragraph" w:customStyle="1" w:styleId="QuotedNumPar">
    <w:name w:val="Quoted NumPar"/>
    <w:basedOn w:val="Normal"/>
    <w:pPr>
      <w:ind w:left="1417" w:hanging="567"/>
    </w:pPr>
  </w:style>
  <w:style w:type="paragraph" w:customStyle="1" w:styleId="ManualHeading1">
    <w:name w:val="Manual Heading 1"/>
    <w:basedOn w:val="Normal"/>
    <w:next w:val="Text1"/>
    <w:pPr>
      <w:keepNext/>
      <w:tabs>
        <w:tab w:val="left" w:pos="850"/>
      </w:tabs>
      <w:spacing w:before="360"/>
      <w:ind w:left="850" w:hanging="850"/>
      <w:outlineLvl w:val="0"/>
    </w:pPr>
    <w:rPr>
      <w:b/>
      <w:smallCaps/>
    </w:rPr>
  </w:style>
  <w:style w:type="paragraph" w:customStyle="1" w:styleId="ManualHeading2">
    <w:name w:val="Manual Heading 2"/>
    <w:basedOn w:val="Normal"/>
    <w:next w:val="Text1"/>
    <w:pPr>
      <w:keepNext/>
      <w:tabs>
        <w:tab w:val="left" w:pos="850"/>
      </w:tabs>
      <w:ind w:left="850" w:hanging="850"/>
      <w:outlineLvl w:val="1"/>
    </w:pPr>
    <w:rPr>
      <w:b/>
    </w:rPr>
  </w:style>
  <w:style w:type="paragraph" w:customStyle="1" w:styleId="ManualHeading3">
    <w:name w:val="Manual Heading 3"/>
    <w:basedOn w:val="Normal"/>
    <w:next w:val="Text1"/>
    <w:pPr>
      <w:keepNext/>
      <w:tabs>
        <w:tab w:val="left" w:pos="850"/>
      </w:tabs>
      <w:ind w:left="850" w:hanging="850"/>
      <w:outlineLvl w:val="2"/>
    </w:pPr>
    <w:rPr>
      <w:i/>
    </w:rPr>
  </w:style>
  <w:style w:type="paragraph" w:customStyle="1" w:styleId="ManualHeading4">
    <w:name w:val="Manual Heading 4"/>
    <w:basedOn w:val="Normal"/>
    <w:next w:val="Text1"/>
    <w:pPr>
      <w:keepNext/>
      <w:tabs>
        <w:tab w:val="left" w:pos="850"/>
      </w:tabs>
      <w:ind w:left="850" w:hanging="850"/>
      <w:outlineLvl w:val="3"/>
    </w:pPr>
  </w:style>
  <w:style w:type="paragraph" w:customStyle="1" w:styleId="ManualHeading5">
    <w:name w:val="Manual Heading 5"/>
    <w:basedOn w:val="Normal"/>
    <w:next w:val="Text2"/>
    <w:pPr>
      <w:keepNext/>
      <w:tabs>
        <w:tab w:val="left" w:pos="1417"/>
      </w:tabs>
      <w:ind w:left="1417" w:hanging="1417"/>
      <w:outlineLvl w:val="4"/>
    </w:pPr>
  </w:style>
  <w:style w:type="paragraph" w:customStyle="1" w:styleId="ManualHeading6">
    <w:name w:val="Manual Heading 6"/>
    <w:basedOn w:val="Normal"/>
    <w:next w:val="Text2"/>
    <w:pPr>
      <w:keepNext/>
      <w:tabs>
        <w:tab w:val="left" w:pos="1417"/>
      </w:tabs>
      <w:ind w:left="1417" w:hanging="1417"/>
      <w:outlineLvl w:val="5"/>
    </w:pPr>
  </w:style>
  <w:style w:type="paragraph" w:customStyle="1" w:styleId="ManualHeading7">
    <w:name w:val="Manual Heading 7"/>
    <w:basedOn w:val="Normal"/>
    <w:next w:val="Text2"/>
    <w:pPr>
      <w:keepNext/>
      <w:tabs>
        <w:tab w:val="left" w:pos="1417"/>
      </w:tabs>
      <w:ind w:left="1417" w:hanging="1417"/>
      <w:outlineLvl w:val="6"/>
    </w:pPr>
  </w:style>
  <w:style w:type="paragraph" w:customStyle="1" w:styleId="ChapterTitle">
    <w:name w:val="ChapterTitle"/>
    <w:basedOn w:val="Normal"/>
    <w:next w:val="Normal"/>
    <w:pPr>
      <w:keepNext/>
      <w:spacing w:after="360"/>
      <w:jc w:val="center"/>
    </w:pPr>
    <w:rPr>
      <w:b/>
      <w:sz w:val="32"/>
    </w:rPr>
  </w:style>
  <w:style w:type="paragraph" w:customStyle="1" w:styleId="PartTitle">
    <w:name w:val="PartTitle"/>
    <w:basedOn w:val="Normal"/>
    <w:next w:val="ChapterTitle"/>
    <w:pPr>
      <w:keepNext/>
      <w:pageBreakBefore/>
      <w:spacing w:after="360"/>
      <w:jc w:val="center"/>
    </w:pPr>
    <w:rPr>
      <w:b/>
      <w:sz w:val="36"/>
    </w:rPr>
  </w:style>
  <w:style w:type="paragraph" w:customStyle="1" w:styleId="SectionTitle">
    <w:name w:val="SectionTitle"/>
    <w:basedOn w:val="Normal"/>
    <w:next w:val="Heading1"/>
    <w:pPr>
      <w:keepNext/>
      <w:spacing w:after="360"/>
      <w:jc w:val="center"/>
    </w:pPr>
    <w:rPr>
      <w:b/>
      <w:smallCaps/>
      <w:sz w:val="28"/>
    </w:rPr>
  </w:style>
  <w:style w:type="paragraph" w:customStyle="1" w:styleId="TableTitle">
    <w:name w:val="Table Title"/>
    <w:basedOn w:val="Normal"/>
    <w:next w:val="Normal"/>
    <w:pPr>
      <w:jc w:val="center"/>
    </w:pPr>
    <w:rPr>
      <w:b/>
    </w:rPr>
  </w:style>
  <w:style w:type="character" w:customStyle="1" w:styleId="Marker">
    <w:name w:val="Marker"/>
    <w:basedOn w:val="DefaultParagraphFont"/>
    <w:rPr>
      <w:color w:val="0000FF"/>
      <w:shd w:val="clear" w:color="auto" w:fill="auto"/>
    </w:rPr>
  </w:style>
  <w:style w:type="character" w:customStyle="1" w:styleId="Marker1">
    <w:name w:val="Marker1"/>
    <w:basedOn w:val="DefaultParagraphFont"/>
    <w:rPr>
      <w:color w:val="008000"/>
      <w:shd w:val="clear" w:color="auto" w:fill="auto"/>
    </w:rPr>
  </w:style>
  <w:style w:type="character" w:customStyle="1" w:styleId="Marker2">
    <w:name w:val="Marker2"/>
    <w:basedOn w:val="DefaultParagraphFont"/>
    <w:rPr>
      <w:color w:val="FF0000"/>
      <w:shd w:val="clear" w:color="auto" w:fill="auto"/>
    </w:rPr>
  </w:style>
  <w:style w:type="paragraph" w:customStyle="1" w:styleId="Point0number">
    <w:name w:val="Point 0 (number)"/>
    <w:basedOn w:val="Normal"/>
    <w:pPr>
      <w:numPr>
        <w:numId w:val="44"/>
      </w:numPr>
    </w:pPr>
  </w:style>
  <w:style w:type="paragraph" w:customStyle="1" w:styleId="Point1number">
    <w:name w:val="Point 1 (number)"/>
    <w:basedOn w:val="Normal"/>
    <w:pPr>
      <w:numPr>
        <w:ilvl w:val="2"/>
        <w:numId w:val="44"/>
      </w:numPr>
    </w:pPr>
  </w:style>
  <w:style w:type="paragraph" w:customStyle="1" w:styleId="Point2number">
    <w:name w:val="Point 2 (number)"/>
    <w:basedOn w:val="Normal"/>
    <w:pPr>
      <w:numPr>
        <w:ilvl w:val="4"/>
        <w:numId w:val="44"/>
      </w:numPr>
    </w:pPr>
  </w:style>
  <w:style w:type="paragraph" w:customStyle="1" w:styleId="Point3number">
    <w:name w:val="Point 3 (number)"/>
    <w:basedOn w:val="Normal"/>
    <w:pPr>
      <w:numPr>
        <w:ilvl w:val="6"/>
        <w:numId w:val="44"/>
      </w:numPr>
    </w:pPr>
  </w:style>
  <w:style w:type="paragraph" w:customStyle="1" w:styleId="Point0letter">
    <w:name w:val="Point 0 (letter)"/>
    <w:basedOn w:val="Normal"/>
    <w:pPr>
      <w:numPr>
        <w:ilvl w:val="1"/>
        <w:numId w:val="44"/>
      </w:numPr>
    </w:pPr>
  </w:style>
  <w:style w:type="paragraph" w:customStyle="1" w:styleId="Point1letter">
    <w:name w:val="Point 1 (letter)"/>
    <w:basedOn w:val="Normal"/>
    <w:pPr>
      <w:numPr>
        <w:ilvl w:val="3"/>
        <w:numId w:val="44"/>
      </w:numPr>
    </w:pPr>
  </w:style>
  <w:style w:type="paragraph" w:customStyle="1" w:styleId="Point2letter">
    <w:name w:val="Point 2 (letter)"/>
    <w:basedOn w:val="Normal"/>
    <w:pPr>
      <w:numPr>
        <w:ilvl w:val="5"/>
        <w:numId w:val="44"/>
      </w:numPr>
    </w:pPr>
  </w:style>
  <w:style w:type="paragraph" w:customStyle="1" w:styleId="Point3letter">
    <w:name w:val="Point 3 (letter)"/>
    <w:basedOn w:val="Normal"/>
    <w:pPr>
      <w:numPr>
        <w:ilvl w:val="7"/>
        <w:numId w:val="44"/>
      </w:numPr>
    </w:pPr>
  </w:style>
  <w:style w:type="paragraph" w:customStyle="1" w:styleId="Point4letter">
    <w:name w:val="Point 4 (letter)"/>
    <w:basedOn w:val="Normal"/>
    <w:pPr>
      <w:numPr>
        <w:ilvl w:val="8"/>
        <w:numId w:val="44"/>
      </w:numPr>
    </w:pPr>
  </w:style>
  <w:style w:type="paragraph" w:customStyle="1" w:styleId="Bullet0">
    <w:name w:val="Bullet 0"/>
    <w:basedOn w:val="Normal"/>
    <w:pPr>
      <w:numPr>
        <w:numId w:val="45"/>
      </w:numPr>
    </w:pPr>
  </w:style>
  <w:style w:type="paragraph" w:customStyle="1" w:styleId="Bullet1">
    <w:name w:val="Bullet 1"/>
    <w:basedOn w:val="Normal"/>
    <w:pPr>
      <w:numPr>
        <w:numId w:val="46"/>
      </w:numPr>
    </w:pPr>
  </w:style>
  <w:style w:type="paragraph" w:customStyle="1" w:styleId="Bullet2">
    <w:name w:val="Bullet 2"/>
    <w:basedOn w:val="Normal"/>
    <w:pPr>
      <w:numPr>
        <w:numId w:val="47"/>
      </w:numPr>
    </w:pPr>
  </w:style>
  <w:style w:type="paragraph" w:customStyle="1" w:styleId="Bullet3">
    <w:name w:val="Bullet 3"/>
    <w:basedOn w:val="Normal"/>
    <w:pPr>
      <w:numPr>
        <w:numId w:val="48"/>
      </w:numPr>
    </w:pPr>
  </w:style>
  <w:style w:type="paragraph" w:customStyle="1" w:styleId="Bullet4">
    <w:name w:val="Bullet 4"/>
    <w:basedOn w:val="Normal"/>
    <w:pPr>
      <w:numPr>
        <w:numId w:val="49"/>
      </w:numPr>
    </w:pPr>
  </w:style>
  <w:style w:type="paragraph" w:customStyle="1" w:styleId="Langue">
    <w:name w:val="Langue"/>
    <w:basedOn w:val="Normal"/>
    <w:next w:val="Rfrenceinterne"/>
    <w:pPr>
      <w:framePr w:wrap="around" w:vAnchor="page" w:hAnchor="text" w:xAlign="center" w:y="14741"/>
      <w:spacing w:before="0" w:after="600"/>
      <w:jc w:val="center"/>
    </w:pPr>
    <w:rPr>
      <w:b/>
      <w:caps/>
    </w:rPr>
  </w:style>
  <w:style w:type="paragraph" w:customStyle="1" w:styleId="Nomdelinstitution">
    <w:name w:val="Nom de l'institution"/>
    <w:basedOn w:val="Normal"/>
    <w:next w:val="Emission"/>
    <w:pPr>
      <w:spacing w:before="0" w:after="0"/>
      <w:jc w:val="left"/>
    </w:pPr>
    <w:rPr>
      <w:rFonts w:ascii="Arial" w:hAnsi="Arial" w:cs="Arial"/>
    </w:rPr>
  </w:style>
  <w:style w:type="paragraph" w:customStyle="1" w:styleId="Emission">
    <w:name w:val="Emission"/>
    <w:basedOn w:val="Normal"/>
    <w:next w:val="Rfrenceinstitutionnelle"/>
    <w:pPr>
      <w:spacing w:before="0" w:after="0"/>
      <w:ind w:left="5103"/>
      <w:jc w:val="left"/>
    </w:pPr>
  </w:style>
  <w:style w:type="paragraph" w:customStyle="1" w:styleId="Rfrenceinstitutionnelle">
    <w:name w:val="Référence institutionnelle"/>
    <w:basedOn w:val="Normal"/>
    <w:next w:val="Confidentialit"/>
    <w:pPr>
      <w:spacing w:before="0" w:after="240"/>
      <w:ind w:left="5103"/>
      <w:jc w:val="left"/>
    </w:pPr>
  </w:style>
  <w:style w:type="paragraph" w:customStyle="1" w:styleId="Pagedecouverture">
    <w:name w:val="Page de couverture"/>
    <w:basedOn w:val="Normal"/>
    <w:next w:val="Normal"/>
    <w:pPr>
      <w:spacing w:before="0" w:after="0"/>
    </w:pPr>
  </w:style>
  <w:style w:type="paragraph" w:customStyle="1" w:styleId="Declassification">
    <w:name w:val="Declassification"/>
    <w:basedOn w:val="Normal"/>
    <w:next w:val="Normal"/>
    <w:pPr>
      <w:spacing w:before="0" w:after="0"/>
    </w:pPr>
  </w:style>
  <w:style w:type="paragraph" w:customStyle="1" w:styleId="Disclaimer">
    <w:name w:val="Disclaimer"/>
    <w:basedOn w:val="Normal"/>
    <w:pPr>
      <w:framePr w:w="8220" w:wrap="notBeside" w:hAnchor="margin" w:xAlign="center" w:y="10401"/>
      <w:pBdr>
        <w:top w:val="single" w:sz="6" w:space="4" w:color="auto"/>
        <w:left w:val="single" w:sz="6" w:space="7" w:color="auto"/>
        <w:bottom w:val="single" w:sz="6" w:space="4" w:color="auto"/>
        <w:right w:val="single" w:sz="6" w:space="7" w:color="auto"/>
      </w:pBdr>
      <w:shd w:val="clear" w:color="FFFFFF" w:fill="auto"/>
    </w:pPr>
  </w:style>
  <w:style w:type="paragraph" w:customStyle="1" w:styleId="SecurityMarking">
    <w:name w:val="SecurityMarking"/>
    <w:basedOn w:val="Normal"/>
    <w:pPr>
      <w:spacing w:before="0" w:after="0" w:line="276" w:lineRule="auto"/>
      <w:ind w:left="5103"/>
      <w:jc w:val="left"/>
    </w:pPr>
    <w:rPr>
      <w:sz w:val="28"/>
    </w:rPr>
  </w:style>
  <w:style w:type="paragraph" w:customStyle="1" w:styleId="DateMarking">
    <w:name w:val="DateMarking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ReleasableTo">
    <w:name w:val="ReleasableTo"/>
    <w:basedOn w:val="Normal"/>
    <w:pPr>
      <w:spacing w:before="0" w:after="0" w:line="276" w:lineRule="auto"/>
      <w:ind w:left="5103"/>
      <w:jc w:val="left"/>
    </w:pPr>
    <w:rPr>
      <w:i/>
      <w:sz w:val="28"/>
    </w:rPr>
  </w:style>
  <w:style w:type="paragraph" w:customStyle="1" w:styleId="Annexetitreexpos">
    <w:name w:val="Annexe titre (exposé)"/>
    <w:basedOn w:val="Normal"/>
    <w:next w:val="Normal"/>
    <w:pPr>
      <w:jc w:val="center"/>
    </w:pPr>
    <w:rPr>
      <w:b/>
      <w:u w:val="single"/>
    </w:rPr>
  </w:style>
  <w:style w:type="paragraph" w:customStyle="1" w:styleId="Annexetitre">
    <w:name w:val="Annexe titre"/>
    <w:basedOn w:val="Normal"/>
    <w:next w:val="Normal"/>
    <w:pPr>
      <w:jc w:val="center"/>
    </w:pPr>
    <w:rPr>
      <w:b/>
      <w:u w:val="single"/>
    </w:rPr>
  </w:style>
  <w:style w:type="paragraph" w:customStyle="1" w:styleId="Annexetitrefichefinancire">
    <w:name w:val="Annexe titre (fiche financière)"/>
    <w:basedOn w:val="Normal"/>
    <w:next w:val="Normal"/>
    <w:pPr>
      <w:jc w:val="center"/>
    </w:pPr>
    <w:rPr>
      <w:b/>
      <w:u w:val="single"/>
    </w:rPr>
  </w:style>
  <w:style w:type="paragraph" w:customStyle="1" w:styleId="Applicationdirecte">
    <w:name w:val="Application directe"/>
    <w:basedOn w:val="Normal"/>
    <w:next w:val="Fait"/>
    <w:pPr>
      <w:spacing w:before="480"/>
    </w:pPr>
  </w:style>
  <w:style w:type="paragraph" w:customStyle="1" w:styleId="Avertissementtitre">
    <w:name w:val="Avertissement titre"/>
    <w:basedOn w:val="Normal"/>
    <w:next w:val="Normal"/>
    <w:pPr>
      <w:keepNext/>
      <w:spacing w:before="480"/>
    </w:pPr>
    <w:rPr>
      <w:u w:val="single"/>
    </w:rPr>
  </w:style>
  <w:style w:type="paragraph" w:customStyle="1" w:styleId="Confidence">
    <w:name w:val="Confidence"/>
    <w:basedOn w:val="Normal"/>
    <w:next w:val="Normal"/>
    <w:pPr>
      <w:spacing w:before="360"/>
      <w:jc w:val="center"/>
    </w:pPr>
  </w:style>
  <w:style w:type="paragraph" w:customStyle="1" w:styleId="Confidentialit">
    <w:name w:val="Confidentialité"/>
    <w:basedOn w:val="Normal"/>
    <w:next w:val="TypedudocumentPagedecouverture"/>
    <w:pPr>
      <w:spacing w:before="240" w:after="240"/>
      <w:ind w:left="5103"/>
      <w:jc w:val="left"/>
    </w:pPr>
    <w:rPr>
      <w:i/>
      <w:sz w:val="32"/>
    </w:rPr>
  </w:style>
  <w:style w:type="paragraph" w:customStyle="1" w:styleId="Considrant">
    <w:name w:val="Considérant"/>
    <w:basedOn w:val="Normal"/>
    <w:pPr>
      <w:numPr>
        <w:numId w:val="50"/>
      </w:numPr>
    </w:pPr>
  </w:style>
  <w:style w:type="paragraph" w:customStyle="1" w:styleId="Corrigendum">
    <w:name w:val="Corrigendum"/>
    <w:basedOn w:val="Normal"/>
    <w:next w:val="Normal"/>
    <w:pPr>
      <w:spacing w:before="0" w:after="240"/>
      <w:jc w:val="left"/>
    </w:pPr>
  </w:style>
  <w:style w:type="paragraph" w:customStyle="1" w:styleId="Datedadoption">
    <w:name w:val="Date d'adoption"/>
    <w:basedOn w:val="Normal"/>
    <w:next w:val="Titreobjet"/>
    <w:pPr>
      <w:spacing w:before="360" w:after="0"/>
      <w:jc w:val="center"/>
    </w:pPr>
    <w:rPr>
      <w:b/>
    </w:rPr>
  </w:style>
  <w:style w:type="paragraph" w:customStyle="1" w:styleId="Exposdesmotifstitre">
    <w:name w:val="Exposé des motifs titre"/>
    <w:basedOn w:val="Normal"/>
    <w:next w:val="Normal"/>
    <w:pPr>
      <w:jc w:val="center"/>
    </w:pPr>
    <w:rPr>
      <w:b/>
      <w:u w:val="single"/>
    </w:rPr>
  </w:style>
  <w:style w:type="paragraph" w:customStyle="1" w:styleId="Fait">
    <w:name w:val="Fait à"/>
    <w:basedOn w:val="Normal"/>
    <w:next w:val="Institutionquisigne"/>
    <w:pPr>
      <w:keepNext/>
      <w:spacing w:after="0"/>
    </w:pPr>
  </w:style>
  <w:style w:type="paragraph" w:customStyle="1" w:styleId="Formuledadoption">
    <w:name w:val="Formule d'adoption"/>
    <w:basedOn w:val="Normal"/>
    <w:next w:val="Titrearticle"/>
    <w:pPr>
      <w:keepNext/>
    </w:pPr>
  </w:style>
  <w:style w:type="paragraph" w:customStyle="1" w:styleId="Institutionquiagit">
    <w:name w:val="Institution qui agit"/>
    <w:basedOn w:val="Normal"/>
    <w:next w:val="Normal"/>
    <w:pPr>
      <w:keepNext/>
      <w:spacing w:before="600"/>
    </w:pPr>
  </w:style>
  <w:style w:type="paragraph" w:customStyle="1" w:styleId="Institutionquisigne">
    <w:name w:val="Institution qui signe"/>
    <w:basedOn w:val="Normal"/>
    <w:next w:val="Personnequisigne"/>
    <w:pPr>
      <w:keepNext/>
      <w:tabs>
        <w:tab w:val="left" w:pos="4252"/>
      </w:tabs>
      <w:spacing w:before="720" w:after="0"/>
    </w:pPr>
    <w:rPr>
      <w:i/>
    </w:rPr>
  </w:style>
  <w:style w:type="paragraph" w:customStyle="1" w:styleId="ManualConsidrant">
    <w:name w:val="Manual Considérant"/>
    <w:basedOn w:val="Normal"/>
    <w:pPr>
      <w:ind w:left="709" w:hanging="709"/>
    </w:pPr>
  </w:style>
  <w:style w:type="paragraph" w:customStyle="1" w:styleId="Personnequisigne">
    <w:name w:val="Personne qui signe"/>
    <w:basedOn w:val="Normal"/>
    <w:next w:val="Institutionquisigne"/>
    <w:pPr>
      <w:tabs>
        <w:tab w:val="left" w:pos="4252"/>
      </w:tabs>
      <w:spacing w:before="0" w:after="0"/>
      <w:jc w:val="left"/>
    </w:pPr>
    <w:rPr>
      <w:i/>
    </w:rPr>
  </w:style>
  <w:style w:type="paragraph" w:customStyle="1" w:styleId="Rfrenceinterinstitutionnelle">
    <w:name w:val="Référence interinstitutionnelle"/>
    <w:basedOn w:val="Normal"/>
    <w:next w:val="Statut"/>
    <w:pPr>
      <w:spacing w:before="0" w:after="0"/>
      <w:ind w:left="5103"/>
      <w:jc w:val="left"/>
    </w:pPr>
  </w:style>
  <w:style w:type="paragraph" w:customStyle="1" w:styleId="Rfrenceinterne">
    <w:name w:val="Référence interne"/>
    <w:basedOn w:val="Normal"/>
    <w:next w:val="Rfrenceinterinstitutionnelle"/>
    <w:pPr>
      <w:spacing w:before="0" w:after="0"/>
      <w:ind w:left="5103"/>
      <w:jc w:val="left"/>
    </w:pPr>
  </w:style>
  <w:style w:type="paragraph" w:customStyle="1" w:styleId="Statut">
    <w:name w:val="Statut"/>
    <w:basedOn w:val="Normal"/>
    <w:next w:val="Typedudocument"/>
    <w:pPr>
      <w:spacing w:before="360" w:after="0"/>
      <w:jc w:val="center"/>
    </w:pPr>
  </w:style>
  <w:style w:type="paragraph" w:customStyle="1" w:styleId="Titrearticle">
    <w:name w:val="Titre article"/>
    <w:basedOn w:val="Normal"/>
    <w:next w:val="Normal"/>
    <w:pPr>
      <w:keepNext/>
      <w:spacing w:before="360"/>
      <w:jc w:val="center"/>
    </w:pPr>
    <w:rPr>
      <w:i/>
    </w:rPr>
  </w:style>
  <w:style w:type="paragraph" w:customStyle="1" w:styleId="Titreobjet">
    <w:name w:val="Titre objet"/>
    <w:basedOn w:val="Normal"/>
    <w:next w:val="IntrtEEE"/>
    <w:pPr>
      <w:spacing w:before="360" w:after="360"/>
      <w:jc w:val="center"/>
    </w:pPr>
    <w:rPr>
      <w:b/>
    </w:rPr>
  </w:style>
  <w:style w:type="paragraph" w:customStyle="1" w:styleId="Typedudocument">
    <w:name w:val="Type du document"/>
    <w:basedOn w:val="Normal"/>
    <w:next w:val="Titreobjet"/>
    <w:pPr>
      <w:spacing w:before="360" w:after="0"/>
      <w:jc w:val="center"/>
    </w:pPr>
    <w:rPr>
      <w:b/>
    </w:rPr>
  </w:style>
  <w:style w:type="character" w:customStyle="1" w:styleId="Added">
    <w:name w:val="Added"/>
    <w:basedOn w:val="DefaultParagraphFont"/>
    <w:rPr>
      <w:b/>
      <w:u w:val="single"/>
      <w:shd w:val="clear" w:color="auto" w:fill="auto"/>
    </w:rPr>
  </w:style>
  <w:style w:type="character" w:customStyle="1" w:styleId="Deleted">
    <w:name w:val="Deleted"/>
    <w:basedOn w:val="DefaultParagraphFont"/>
    <w:rPr>
      <w:strike/>
      <w:dstrike w:val="0"/>
      <w:shd w:val="clear" w:color="auto" w:fill="auto"/>
    </w:rPr>
  </w:style>
  <w:style w:type="paragraph" w:customStyle="1" w:styleId="Address">
    <w:name w:val="Address"/>
    <w:basedOn w:val="Normal"/>
    <w:next w:val="Normal"/>
    <w:pPr>
      <w:keepLines/>
      <w:spacing w:line="360" w:lineRule="auto"/>
      <w:ind w:left="3402"/>
      <w:jc w:val="left"/>
    </w:pPr>
  </w:style>
  <w:style w:type="paragraph" w:customStyle="1" w:styleId="Objetexterne">
    <w:name w:val="Objet externe"/>
    <w:basedOn w:val="Normal"/>
    <w:next w:val="Normal"/>
    <w:rPr>
      <w:i/>
      <w:caps/>
    </w:rPr>
  </w:style>
  <w:style w:type="paragraph" w:customStyle="1" w:styleId="Supertitre">
    <w:name w:val="Supertitre"/>
    <w:basedOn w:val="Normal"/>
    <w:next w:val="Normal"/>
    <w:pPr>
      <w:spacing w:before="0" w:after="600"/>
      <w:jc w:val="center"/>
    </w:pPr>
    <w:rPr>
      <w:b/>
    </w:rPr>
  </w:style>
  <w:style w:type="paragraph" w:customStyle="1" w:styleId="Languesfaisantfoi">
    <w:name w:val="Langues faisant foi"/>
    <w:basedOn w:val="Normal"/>
    <w:next w:val="Normal"/>
    <w:pPr>
      <w:spacing w:before="360" w:after="0"/>
      <w:jc w:val="center"/>
    </w:pPr>
  </w:style>
  <w:style w:type="paragraph" w:customStyle="1" w:styleId="Rfrencecroise">
    <w:name w:val="Référence croisée"/>
    <w:basedOn w:val="Normal"/>
    <w:pPr>
      <w:spacing w:before="0" w:after="0"/>
      <w:jc w:val="center"/>
    </w:pPr>
  </w:style>
  <w:style w:type="paragraph" w:customStyle="1" w:styleId="Fichefinanciretitre">
    <w:name w:val="Fiche financière titre"/>
    <w:basedOn w:val="Normal"/>
    <w:next w:val="Normal"/>
    <w:pPr>
      <w:jc w:val="center"/>
    </w:pPr>
    <w:rPr>
      <w:b/>
      <w:u w:val="single"/>
    </w:rPr>
  </w:style>
  <w:style w:type="paragraph" w:customStyle="1" w:styleId="DatedadoptionPagedecouverture">
    <w:name w:val="Date d'adoption (Page de couverture)"/>
    <w:basedOn w:val="Datedadoption"/>
    <w:next w:val="TitreobjetPagedecouverture"/>
  </w:style>
  <w:style w:type="paragraph" w:customStyle="1" w:styleId="RfrenceinterinstitutionnellePagedecouverture">
    <w:name w:val="Référence interinstitutionnelle (Page de couverture)"/>
    <w:basedOn w:val="Rfrenceinterinstitutionnelle"/>
    <w:next w:val="Confidentialit"/>
  </w:style>
  <w:style w:type="paragraph" w:customStyle="1" w:styleId="StatutPagedecouverture">
    <w:name w:val="Statut (Page de couverture)"/>
    <w:basedOn w:val="Statut"/>
    <w:next w:val="TypedudocumentPagedecouverture"/>
  </w:style>
  <w:style w:type="paragraph" w:customStyle="1" w:styleId="TitreobjetPagedecouverture">
    <w:name w:val="Titre objet (Page de couverture)"/>
    <w:basedOn w:val="Titreobjet"/>
    <w:next w:val="IntrtEEEPagedecouverture"/>
  </w:style>
  <w:style w:type="paragraph" w:customStyle="1" w:styleId="TypedudocumentPagedecouverture">
    <w:name w:val="Type du document (Page de couverture)"/>
    <w:basedOn w:val="Typedudocument"/>
    <w:next w:val="TitreobjetPagedecouverture"/>
  </w:style>
  <w:style w:type="paragraph" w:customStyle="1" w:styleId="Volume">
    <w:name w:val="Volume"/>
    <w:basedOn w:val="Normal"/>
    <w:next w:val="Confidentialit"/>
    <w:pPr>
      <w:spacing w:before="0" w:after="240"/>
      <w:ind w:left="5103"/>
      <w:jc w:val="left"/>
    </w:pPr>
  </w:style>
  <w:style w:type="paragraph" w:customStyle="1" w:styleId="IntrtEEE">
    <w:name w:val="Intérêt EEE"/>
    <w:basedOn w:val="Languesfaisantfoi"/>
    <w:next w:val="Normal"/>
    <w:pPr>
      <w:spacing w:after="240"/>
    </w:pPr>
  </w:style>
  <w:style w:type="paragraph" w:customStyle="1" w:styleId="Accompagnant">
    <w:name w:val="Accompagnant"/>
    <w:basedOn w:val="Normal"/>
    <w:next w:val="Typeacteprincipal"/>
    <w:pPr>
      <w:spacing w:before="0" w:after="240"/>
      <w:jc w:val="center"/>
    </w:pPr>
    <w:rPr>
      <w:b/>
      <w:i/>
    </w:rPr>
  </w:style>
  <w:style w:type="paragraph" w:customStyle="1" w:styleId="Typeacteprincipal">
    <w:name w:val="Type acte principal"/>
    <w:basedOn w:val="Normal"/>
    <w:next w:val="Objetacteprincipal"/>
    <w:pPr>
      <w:spacing w:before="0" w:after="240"/>
      <w:jc w:val="center"/>
    </w:pPr>
    <w:rPr>
      <w:b/>
    </w:rPr>
  </w:style>
  <w:style w:type="paragraph" w:customStyle="1" w:styleId="Objetacteprincipal">
    <w:name w:val="Objet acte principal"/>
    <w:basedOn w:val="Normal"/>
    <w:next w:val="Titrearticle"/>
    <w:pPr>
      <w:spacing w:before="0" w:after="360"/>
      <w:jc w:val="center"/>
    </w:pPr>
    <w:rPr>
      <w:b/>
    </w:rPr>
  </w:style>
  <w:style w:type="paragraph" w:customStyle="1" w:styleId="IntrtEEEPagedecouverture">
    <w:name w:val="Intérêt EEE (Page de couverture)"/>
    <w:basedOn w:val="IntrtEEE"/>
    <w:next w:val="Rfrencecroise"/>
  </w:style>
  <w:style w:type="paragraph" w:customStyle="1" w:styleId="AccompagnantPagedecouverture">
    <w:name w:val="Accompagnant (Page de couverture)"/>
    <w:basedOn w:val="Accompagnant"/>
    <w:next w:val="TypeacteprincipalPagedecouverture"/>
  </w:style>
  <w:style w:type="paragraph" w:customStyle="1" w:styleId="TypeacteprincipalPagedecouverture">
    <w:name w:val="Type acte principal (Page de couverture)"/>
    <w:basedOn w:val="Typeacteprincipal"/>
    <w:next w:val="ObjetacteprincipalPagedecouverture"/>
  </w:style>
  <w:style w:type="paragraph" w:customStyle="1" w:styleId="ObjetacteprincipalPagedecouverture">
    <w:name w:val="Objet acte principal (Page de couverture)"/>
    <w:basedOn w:val="Objetacteprincipal"/>
    <w:next w:val="Rfrencecroise"/>
  </w:style>
  <w:style w:type="paragraph" w:customStyle="1" w:styleId="LanguesfaisantfoiPagedecouverture">
    <w:name w:val="Langues faisant foi (Page de couverture)"/>
    <w:basedOn w:val="Normal"/>
    <w:next w:val="Normal"/>
    <w:pPr>
      <w:spacing w:before="360" w:after="0"/>
      <w:jc w:val="center"/>
    </w:pPr>
  </w:style>
  <w:style w:type="paragraph" w:styleId="Header">
    <w:name w:val="header"/>
    <w:basedOn w:val="Normal"/>
    <w:link w:val="HeaderChar"/>
    <w:uiPriority w:val="99"/>
    <w:unhideWhenUsed/>
    <w:rsid w:val="00F92D8C"/>
    <w:pPr>
      <w:tabs>
        <w:tab w:val="center" w:pos="4535"/>
        <w:tab w:val="right" w:pos="9071"/>
      </w:tabs>
      <w:spacing w:before="0"/>
    </w:pPr>
  </w:style>
  <w:style w:type="paragraph" w:customStyle="1" w:styleId="HeaderLandscape">
    <w:name w:val="HeaderLandscape"/>
    <w:basedOn w:val="Normal"/>
    <w:rsid w:val="00F92D8C"/>
    <w:pPr>
      <w:tabs>
        <w:tab w:val="center" w:pos="7285"/>
        <w:tab w:val="right" w:pos="14003"/>
      </w:tabs>
      <w:spacing w:before="0"/>
    </w:pPr>
  </w:style>
  <w:style w:type="paragraph" w:styleId="Footer">
    <w:name w:val="footer"/>
    <w:basedOn w:val="Normal"/>
    <w:link w:val="FooterChar"/>
    <w:uiPriority w:val="99"/>
    <w:unhideWhenUsed/>
    <w:rsid w:val="00F92D8C"/>
    <w:pPr>
      <w:tabs>
        <w:tab w:val="center" w:pos="4535"/>
        <w:tab w:val="right" w:pos="9071"/>
        <w:tab w:val="right" w:pos="9921"/>
      </w:tabs>
      <w:spacing w:before="360" w:after="0"/>
      <w:ind w:left="-850" w:right="-850"/>
      <w:jc w:val="left"/>
    </w:pPr>
  </w:style>
  <w:style w:type="paragraph" w:customStyle="1" w:styleId="FooterLandscape">
    <w:name w:val="FooterLandscape"/>
    <w:basedOn w:val="Normal"/>
    <w:rsid w:val="00F92D8C"/>
    <w:pPr>
      <w:tabs>
        <w:tab w:val="center" w:pos="7285"/>
        <w:tab w:val="center" w:pos="10913"/>
        <w:tab w:val="right" w:pos="15137"/>
      </w:tabs>
      <w:spacing w:before="360" w:after="0"/>
      <w:ind w:left="-567" w:right="-567"/>
      <w:jc w:val="left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0542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oter" Target="footer5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footer" Target="footer4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emf"/><Relationship Id="rId5" Type="http://schemas.openxmlformats.org/officeDocument/2006/relationships/numbering" Target="numbering.xml"/><Relationship Id="rId15" Type="http://schemas.openxmlformats.org/officeDocument/2006/relationships/footer" Target="footer3.xml"/><Relationship Id="rId10" Type="http://schemas.openxmlformats.org/officeDocument/2006/relationships/endnotes" Target="end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eader" Target="header1.xml"/></Relationships>
</file>

<file path=word/_rels/footnotes.xml.rels><?xml version='1.0' encoding='UTF-8' standalone='yes'?>
<Relationships xmlns="http://schemas.openxmlformats.org/package/2006/relationships"><Relationship Id="rId2" Type="http://schemas.openxmlformats.org/officeDocument/2006/relationships/hyperlink" Target="http://data.europa.eu/eli/dec_impl/2024/1447/oj" TargetMode="External"/><Relationship Id="rId1" Type="http://schemas.openxmlformats.org/officeDocument/2006/relationships/hyperlink" Target="http://data.europa.eu/eli/reg/2024/792/oj" TargetMode="External"/></Relationships>
</file>

<file path=word/_rels/settings.xml.rels><?xml version='1.0' encoding='UTF-8' standalone='yes'?>
<Relationships xmlns="http://schemas.openxmlformats.org/package/2006/relationships"><Relationship Id="rId1" Type="http://schemas.openxmlformats.org/officeDocument/2006/relationships/attachedTemplate" Target="file:///C:\Users\Public\Documents\Templates\COM.dot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f46a404f-b2a3-4040-9043-f235421f67a9">
      <Terms xmlns="http://schemas.microsoft.com/office/infopath/2007/PartnerControls">
        <TermInfo xmlns="http://schemas.microsoft.com/office/infopath/2007/PartnerControls">
          <TermName xmlns="http://schemas.microsoft.com/office/infopath/2007/PartnerControls"/>
          <TermId xmlns="http://schemas.microsoft.com/office/infopath/2007/PartnerControls"/>
        </TermInfo>
      </Terms>
    </lcf76f155ced4ddcb4097134ff3c332f>
    <TaxCatchAll xmlns="143df74d-9af4-4f98-9378-663f31c63d7c" xsi:nil="true"/>
  </documentManagement>
</p:properties>
</file>

<file path=customXml/item2.xml><?xml version="1.0" encoding="utf-8"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89A035B8C3EAA64A9CFE17FEB37C94B7" ma:contentTypeVersion="13" ma:contentTypeDescription="Create a new document." ma:contentTypeScope="" ma:versionID="ceede4f2c4a2aa62d8a5284ff8ef180b">
  <xsd:schema xmlns:xsd="http://www.w3.org/2001/XMLSchema" xmlns:xs="http://www.w3.org/2001/XMLSchema" xmlns:p="http://schemas.microsoft.com/office/2006/metadata/properties" xmlns:ns2="f46a404f-b2a3-4040-9043-f235421f67a9" xmlns:ns3="143df74d-9af4-4f98-9378-663f31c63d7c" targetNamespace="http://schemas.microsoft.com/office/2006/metadata/properties" ma:root="true" ma:fieldsID="ad8105a9dacf4297f334b553f0f52945" ns2:_="" ns3:_="">
    <xsd:import namespace="f46a404f-b2a3-4040-9043-f235421f67a9"/>
    <xsd:import namespace="143df74d-9af4-4f98-9378-663f31c63d7c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6a404f-b2a3-4040-9043-f235421f67a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22b2fad6-9d2c-441c-a321-3f5f1e9bd92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9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0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43df74d-9af4-4f98-9378-663f31c63d7c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f6eaa164-67b1-4009-9506-aa3f45407dd2}" ma:internalName="TaxCatchAll" ma:showField="CatchAllData" ma:web="143df74d-9af4-4f98-9378-663f31c63d7c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57E8230-EA63-49C6-BB9C-D2E2FBF3C148}">
  <ds:schemaRefs>
    <ds:schemaRef ds:uri="http://schemas.microsoft.com/office/2006/metadata/properties"/>
    <ds:schemaRef ds:uri="http://schemas.microsoft.com/office/infopath/2007/PartnerControls"/>
    <ds:schemaRef ds:uri="f46a404f-b2a3-4040-9043-f235421f67a9"/>
    <ds:schemaRef ds:uri="143df74d-9af4-4f98-9378-663f31c63d7c"/>
  </ds:schemaRefs>
</ds:datastoreItem>
</file>

<file path=customXml/itemProps2.xml><?xml version="1.0" encoding="utf-8"?>
<ds:datastoreItem xmlns:ds="http://schemas.openxmlformats.org/officeDocument/2006/customXml" ds:itemID="{31E6A81E-4273-4C1C-94EB-347DEC0EBD30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D7B6D40-07F2-4D52-BA30-66EF9A74783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6a404f-b2a3-4040-9043-f235421f67a9"/>
    <ds:schemaRef ds:uri="143df74d-9af4-4f98-9378-663f31c63d7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4978532C-9D85-4F9E-8DFE-78CCC0691C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COM.dotm</Template>
  <TotalTime>27</TotalTime>
  <Pages>4</Pages>
  <Words>878</Words>
  <Characters>5011</Characters>
  <Application>Microsoft Office Word</Application>
  <DocSecurity>0</DocSecurity>
  <Lines>41</Lines>
  <Paragraphs>11</Paragraphs>
  <ScaleCrop>false</ScaleCrop>
  <Manager/>
  <Company/>
  <LinksUpToDate>false</LinksUpToDate>
  <CharactersWithSpaces>5878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49</cp:revision>
  <dcterms:created xsi:type="dcterms:W3CDTF">2024-11-08T17:31:00Z</dcterms:created>
  <dcterms:modified xsi:type="dcterms:W3CDTF">2024-11-27T17:05:00Z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ategory">
    <vt:lpwstr>COM/PL/ORG</vt:lpwstr>
  </property>
  <property fmtid="{D5CDD505-2E9C-101B-9397-08002B2CF9AE}" pid="3" name="Version">
    <vt:lpwstr>8.0.25.0</vt:lpwstr>
  </property>
  <property fmtid="{D5CDD505-2E9C-101B-9397-08002B2CF9AE}" pid="4" name="Last edited using">
    <vt:lpwstr>LW 9.0, Build 20230317</vt:lpwstr>
  </property>
  <property fmtid="{D5CDD505-2E9C-101B-9397-08002B2CF9AE}" pid="5" name="Created using">
    <vt:lpwstr>LW 9.0, Build 20230317</vt:lpwstr>
  </property>
  <property fmtid="{D5CDD505-2E9C-101B-9397-08002B2CF9AE}" pid="6" name="Part">
    <vt:lpwstr>1</vt:lpwstr>
  </property>
  <property fmtid="{D5CDD505-2E9C-101B-9397-08002B2CF9AE}" pid="7" name="Total parts">
    <vt:lpwstr>1</vt:lpwstr>
  </property>
  <property fmtid="{D5CDD505-2E9C-101B-9397-08002B2CF9AE}" pid="8" name="Level of sensitivity">
    <vt:lpwstr>Standard treatment</vt:lpwstr>
  </property>
  <property fmtid="{D5CDD505-2E9C-101B-9397-08002B2CF9AE}" pid="9" name="LWTemplateID">
    <vt:lpwstr>SJ-021</vt:lpwstr>
  </property>
  <property fmtid="{D5CDD505-2E9C-101B-9397-08002B2CF9AE}" pid="10" name="MSIP_Label_6bd9ddd1-4d20-43f6-abfa-fc3c07406f94_Enabled">
    <vt:lpwstr>true</vt:lpwstr>
  </property>
  <property fmtid="{D5CDD505-2E9C-101B-9397-08002B2CF9AE}" pid="11" name="MSIP_Label_6bd9ddd1-4d20-43f6-abfa-fc3c07406f94_SetDate">
    <vt:lpwstr>2024-07-17T11:37:53Z</vt:lpwstr>
  </property>
  <property fmtid="{D5CDD505-2E9C-101B-9397-08002B2CF9AE}" pid="12" name="MSIP_Label_6bd9ddd1-4d20-43f6-abfa-fc3c07406f94_Method">
    <vt:lpwstr>Standard</vt:lpwstr>
  </property>
  <property fmtid="{D5CDD505-2E9C-101B-9397-08002B2CF9AE}" pid="13" name="MSIP_Label_6bd9ddd1-4d20-43f6-abfa-fc3c07406f94_Name">
    <vt:lpwstr>Commission Use</vt:lpwstr>
  </property>
  <property fmtid="{D5CDD505-2E9C-101B-9397-08002B2CF9AE}" pid="14" name="MSIP_Label_6bd9ddd1-4d20-43f6-abfa-fc3c07406f94_SiteId">
    <vt:lpwstr>b24c8b06-522c-46fe-9080-70926f8dddb1</vt:lpwstr>
  </property>
  <property fmtid="{D5CDD505-2E9C-101B-9397-08002B2CF9AE}" pid="15" name="MSIP_Label_6bd9ddd1-4d20-43f6-abfa-fc3c07406f94_ActionId">
    <vt:lpwstr>00b229e1-a42a-4753-93f8-f11c8b4585bb</vt:lpwstr>
  </property>
  <property fmtid="{D5CDD505-2E9C-101B-9397-08002B2CF9AE}" pid="16" name="MSIP_Label_6bd9ddd1-4d20-43f6-abfa-fc3c07406f94_ContentBits">
    <vt:lpwstr>0</vt:lpwstr>
  </property>
  <property fmtid="{D5CDD505-2E9C-101B-9397-08002B2CF9AE}" pid="17" name="ContentTypeId">
    <vt:lpwstr>0x01010089A035B8C3EAA64A9CFE17FEB37C94B7</vt:lpwstr>
  </property>
  <property fmtid="{D5CDD505-2E9C-101B-9397-08002B2CF9AE}" pid="18" name="MediaServiceImageTags">
    <vt:lpwstr/>
  </property>
  <property fmtid="{D5CDD505-2E9C-101B-9397-08002B2CF9AE}" pid="19" name="DQCStatus">
    <vt:lpwstr>Green (DQC version 03)</vt:lpwstr>
  </property>
  <property name="OP_sanitized" fmtid="{D5CDD505-2E9C-101B-9397-08002B2CF9AE}" pid="20">
    <vt:lpwstr>True</vt:lpwstr>
  </property>
</Properties>
</file>