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D5D" w:rsidRPr="00BD64E6" w:rsidRDefault="008015A8" w:rsidP="008015A8">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F3B04847-D254-4BF6-AFB6-F9DC9F128EA9" style="width:455.25pt;height:383.25pt">
            <v:imagedata r:id="rId11" o:title=""/>
          </v:shape>
        </w:pict>
      </w:r>
    </w:p>
    <w:p w:rsidR="00945E1A" w:rsidRPr="00BD64E6" w:rsidRDefault="00945E1A" w:rsidP="00E95A83">
      <w:pPr>
        <w:rPr>
          <w:noProof/>
        </w:rPr>
        <w:sectPr w:rsidR="00945E1A" w:rsidRPr="00BD64E6" w:rsidSect="008015A8">
          <w:footerReference w:type="even" r:id="rId12"/>
          <w:footerReference w:type="default" r:id="rId13"/>
          <w:pgSz w:w="11907" w:h="16839"/>
          <w:pgMar w:top="1134" w:right="1417" w:bottom="1134" w:left="1417" w:header="709" w:footer="709" w:gutter="0"/>
          <w:pgNumType w:start="0"/>
          <w:cols w:space="720"/>
          <w:docGrid w:linePitch="360"/>
        </w:sectPr>
      </w:pPr>
    </w:p>
    <w:p w:rsidR="00C064F5" w:rsidRPr="00BD64E6" w:rsidRDefault="00C064F5" w:rsidP="00945E1A">
      <w:pPr>
        <w:pStyle w:val="Exposdesmotifstitre"/>
        <w:ind w:left="360"/>
        <w:rPr>
          <w:noProof/>
          <w:sz w:val="2"/>
          <w:szCs w:val="2"/>
        </w:rPr>
      </w:pPr>
      <w:bookmarkStart w:id="0" w:name="_GoBack"/>
      <w:bookmarkEnd w:id="0"/>
    </w:p>
    <w:p w:rsidR="00C064F5" w:rsidRPr="00BD64E6" w:rsidRDefault="00C064F5" w:rsidP="00C064F5">
      <w:pPr>
        <w:rPr>
          <w:noProof/>
          <w:sz w:val="2"/>
          <w:szCs w:val="2"/>
        </w:rPr>
      </w:pPr>
    </w:p>
    <w:p w:rsidR="00A04C54" w:rsidRPr="00BD64E6" w:rsidRDefault="00FB4119" w:rsidP="00FB4119">
      <w:pPr>
        <w:pStyle w:val="Rfrenceinterinstitutionnelle"/>
        <w:rPr>
          <w:noProof/>
        </w:rPr>
      </w:pPr>
      <w:r>
        <w:rPr>
          <w:noProof/>
        </w:rPr>
        <w:t>2024/0303 (NLE)</w:t>
      </w:r>
    </w:p>
    <w:p w:rsidR="00446D5D" w:rsidRPr="00BD64E6" w:rsidRDefault="00FB4119" w:rsidP="00FB4119">
      <w:pPr>
        <w:pStyle w:val="Statut"/>
        <w:rPr>
          <w:noProof/>
        </w:rPr>
      </w:pPr>
      <w:r w:rsidRPr="00FB4119">
        <w:rPr>
          <w:noProof/>
        </w:rPr>
        <w:t>Forslag til</w:t>
      </w:r>
    </w:p>
    <w:p w:rsidR="00446D5D" w:rsidRPr="00BD64E6" w:rsidRDefault="00FB4119" w:rsidP="00FB4119">
      <w:pPr>
        <w:pStyle w:val="Typedudocument"/>
        <w:rPr>
          <w:noProof/>
        </w:rPr>
      </w:pPr>
      <w:r w:rsidRPr="00FB4119">
        <w:rPr>
          <w:noProof/>
        </w:rPr>
        <w:t>RÅDETS GENNEMFØRELSESAFGØRELSE</w:t>
      </w:r>
    </w:p>
    <w:p w:rsidR="00446D5D" w:rsidRPr="00BD64E6" w:rsidRDefault="00FB4119" w:rsidP="00FB4119">
      <w:pPr>
        <w:pStyle w:val="Titreobjet"/>
        <w:rPr>
          <w:noProof/>
        </w:rPr>
      </w:pPr>
      <w:r w:rsidRPr="00FB4119">
        <w:rPr>
          <w:noProof/>
        </w:rPr>
        <w:t xml:space="preserve">om konstatering af, at betingelserne for betaling af den anden rate af den ikketilbagebetalingspligtige finansielle støtte og af lånestøtten i henhold til planen for Ukraine under Ukrainefaciliteten er opfyldt på tilfredsstillende vis </w:t>
      </w:r>
      <w:r w:rsidRPr="00FB4119">
        <w:rPr>
          <w:noProof/>
        </w:rPr>
        <w:br/>
      </w:r>
    </w:p>
    <w:p w:rsidR="00446D5D" w:rsidRPr="00BD64E6" w:rsidRDefault="00446D5D" w:rsidP="00446D5D">
      <w:pPr>
        <w:pStyle w:val="Institutionquiagit"/>
        <w:rPr>
          <w:noProof/>
        </w:rPr>
      </w:pPr>
      <w:bookmarkStart w:id="1" w:name="_Hlk172115450"/>
      <w:r w:rsidRPr="00BD64E6">
        <w:rPr>
          <w:noProof/>
        </w:rPr>
        <w:t>RÅDET FOR DEN EUROPÆISKE UNION HAR</w:t>
      </w:r>
      <w:r w:rsidR="00BD64E6">
        <w:rPr>
          <w:noProof/>
        </w:rPr>
        <w:t xml:space="preserve"> </w:t>
      </w:r>
      <w:r w:rsidR="00BD64E6" w:rsidRPr="00BD64E6">
        <w:rPr>
          <w:noProof/>
        </w:rPr>
        <w:t>—</w:t>
      </w:r>
    </w:p>
    <w:p w:rsidR="00446D5D" w:rsidRPr="00BD64E6" w:rsidRDefault="00446D5D" w:rsidP="00446D5D">
      <w:pPr>
        <w:rPr>
          <w:noProof/>
        </w:rPr>
      </w:pPr>
      <w:bookmarkStart w:id="2" w:name="_Hlk172115434"/>
      <w:bookmarkStart w:id="3" w:name="_Hlk172115421"/>
      <w:r w:rsidRPr="00BD64E6">
        <w:rPr>
          <w:noProof/>
        </w:rPr>
        <w:t xml:space="preserve">under henvisning til traktaten om Den Europæiske Unions funktionsmåde, </w:t>
      </w:r>
    </w:p>
    <w:p w:rsidR="00446D5D" w:rsidRPr="00BD64E6" w:rsidRDefault="00446D5D" w:rsidP="00446D5D">
      <w:pPr>
        <w:rPr>
          <w:noProof/>
        </w:rPr>
      </w:pPr>
      <w:bookmarkStart w:id="4" w:name="_Hlk172111742"/>
      <w:r w:rsidRPr="00BD64E6">
        <w:rPr>
          <w:noProof/>
        </w:rPr>
        <w:t>under henvisning til Europa-Parlamentets og Rådets forordning (EU) 2024/792 af 29. februar 2024 om oprettelse af Ukrainefaciliteten</w:t>
      </w:r>
      <w:r w:rsidRPr="00BD64E6">
        <w:rPr>
          <w:rStyle w:val="FootnoteReference"/>
          <w:noProof/>
        </w:rPr>
        <w:footnoteReference w:id="2"/>
      </w:r>
      <w:r w:rsidRPr="00BD64E6">
        <w:rPr>
          <w:noProof/>
        </w:rPr>
        <w:t>, særlig artikel 26, stk. 4,</w:t>
      </w:r>
    </w:p>
    <w:bookmarkEnd w:id="4"/>
    <w:p w:rsidR="00446D5D" w:rsidRPr="00BD64E6" w:rsidRDefault="00446D5D" w:rsidP="55ADF842">
      <w:pPr>
        <w:rPr>
          <w:noProof/>
        </w:rPr>
      </w:pPr>
      <w:r w:rsidRPr="00BD64E6">
        <w:rPr>
          <w:noProof/>
        </w:rPr>
        <w:t>under henvisning til forslag fra Europa-Kommissionen,</w:t>
      </w:r>
    </w:p>
    <w:bookmarkEnd w:id="2"/>
    <w:p w:rsidR="00446D5D" w:rsidRPr="00BD64E6" w:rsidRDefault="00446D5D" w:rsidP="00446D5D">
      <w:pPr>
        <w:rPr>
          <w:noProof/>
        </w:rPr>
      </w:pPr>
      <w:r w:rsidRPr="00BD64E6">
        <w:rPr>
          <w:noProof/>
        </w:rPr>
        <w:t>ud fra følgende betragtninger:</w:t>
      </w:r>
    </w:p>
    <w:p w:rsidR="00900062" w:rsidRPr="00BD64E6" w:rsidRDefault="00216AE6" w:rsidP="00216AE6">
      <w:pPr>
        <w:pStyle w:val="ManualConsidrant"/>
        <w:rPr>
          <w:noProof/>
        </w:rPr>
      </w:pPr>
      <w:bookmarkStart w:id="5" w:name="_Hlk172111757"/>
      <w:bookmarkEnd w:id="3"/>
      <w:r w:rsidRPr="00216AE6">
        <w:rPr>
          <w:noProof/>
        </w:rPr>
        <w:t>(1)</w:t>
      </w:r>
      <w:r w:rsidRPr="00216AE6">
        <w:rPr>
          <w:noProof/>
        </w:rPr>
        <w:tab/>
      </w:r>
      <w:r w:rsidR="00446D5D" w:rsidRPr="00BD64E6">
        <w:rPr>
          <w:noProof/>
        </w:rPr>
        <w:t xml:space="preserve">Søjle I i Ukrainefaciliteten ("faciliteten") stiller finansiel støtte til rådighed for Ukraine på op til 38 270 000 000 EUR for perioden 2024-2027 i form af ikketilbagebetalingspligtig støtte og lån. Finansieringen under søjle I tildeles hovedsageligt på grundlag af planen for Ukraine ("planen"). Planen fastsætter reform- og investeringsdagsordenen for Ukraine og de kvalitative og kvantitative skridt, der er knyttet til finansieringen under facilitetens søjle I. </w:t>
      </w:r>
    </w:p>
    <w:p w:rsidR="00900062" w:rsidRPr="00BD64E6" w:rsidRDefault="00216AE6" w:rsidP="00216AE6">
      <w:pPr>
        <w:pStyle w:val="ManualConsidrant"/>
        <w:rPr>
          <w:noProof/>
        </w:rPr>
      </w:pPr>
      <w:r w:rsidRPr="00216AE6">
        <w:rPr>
          <w:noProof/>
        </w:rPr>
        <w:t>(2)</w:t>
      </w:r>
      <w:r w:rsidRPr="00216AE6">
        <w:rPr>
          <w:noProof/>
        </w:rPr>
        <w:tab/>
      </w:r>
      <w:r w:rsidR="6DAF66E4" w:rsidRPr="00BD64E6">
        <w:rPr>
          <w:noProof/>
        </w:rPr>
        <w:t>I henhold til artikel 19 i forordning (EU) 2024/792 vedtog Rådet gennemførelsesafgørelse (EU) 2024/1447</w:t>
      </w:r>
      <w:r w:rsidR="6DAF66E4" w:rsidRPr="00BD64E6">
        <w:rPr>
          <w:rStyle w:val="FootnoteReference"/>
          <w:noProof/>
        </w:rPr>
        <w:footnoteReference w:id="3"/>
      </w:r>
      <w:r w:rsidR="6DAF66E4" w:rsidRPr="00BD64E6">
        <w:rPr>
          <w:noProof/>
        </w:rPr>
        <w:t xml:space="preserve"> om godkendelse af vurderingen af planen. Tidsplanen for overvågning og gennemførelse af planen, herunder de kvalitative og kvantitative skridt, der er knyttet til finansieringen under facilitetens søjle I, er fastsat i bilaget til gennemførelsesafgørelse (EU) 2024/1447.</w:t>
      </w:r>
    </w:p>
    <w:p w:rsidR="00900062" w:rsidRPr="00BD64E6" w:rsidRDefault="00216AE6" w:rsidP="00216AE6">
      <w:pPr>
        <w:pStyle w:val="ManualConsidrant"/>
        <w:rPr>
          <w:noProof/>
        </w:rPr>
      </w:pPr>
      <w:r w:rsidRPr="00216AE6">
        <w:rPr>
          <w:noProof/>
        </w:rPr>
        <w:t>(3)</w:t>
      </w:r>
      <w:r w:rsidRPr="00216AE6">
        <w:rPr>
          <w:noProof/>
        </w:rPr>
        <w:tab/>
      </w:r>
      <w:r w:rsidR="00446D5D" w:rsidRPr="00BD64E6">
        <w:rPr>
          <w:noProof/>
        </w:rPr>
        <w:t xml:space="preserve">De samlede finansielle midler, der er stillet til rådighed for planen ved Rådets gennemførelsesafgørelse (EU) 2024/1447, beløber sig til 32 270 000 000 EUR, heraf </w:t>
      </w:r>
      <w:bookmarkStart w:id="6" w:name="_Hlk181809472"/>
      <w:r w:rsidR="00446D5D" w:rsidRPr="00BD64E6">
        <w:rPr>
          <w:noProof/>
        </w:rPr>
        <w:t>5 270 000 000 EUR</w:t>
      </w:r>
      <w:bookmarkEnd w:id="6"/>
      <w:r w:rsidR="00446D5D" w:rsidRPr="00BD64E6">
        <w:rPr>
          <w:noProof/>
        </w:rPr>
        <w:t xml:space="preserve"> i form af ikketilbagebetalingspligtig finansiel støtte og op til 27 000 000 000 EUR i form af et lån. </w:t>
      </w:r>
    </w:p>
    <w:p w:rsidR="00900062" w:rsidRPr="00BD64E6" w:rsidRDefault="00216AE6" w:rsidP="00216AE6">
      <w:pPr>
        <w:pStyle w:val="ManualConsidrant"/>
        <w:rPr>
          <w:noProof/>
        </w:rPr>
      </w:pPr>
      <w:r w:rsidRPr="00216AE6">
        <w:rPr>
          <w:noProof/>
        </w:rPr>
        <w:t>(4)</w:t>
      </w:r>
      <w:r w:rsidRPr="00216AE6">
        <w:rPr>
          <w:noProof/>
        </w:rPr>
        <w:tab/>
      </w:r>
      <w:r w:rsidR="5F7B3744" w:rsidRPr="00BD64E6">
        <w:rPr>
          <w:noProof/>
        </w:rPr>
        <w:t>I overensstemmelse med artikel 24 og 25 i forordning (EU) 2024/1447 er der udbetalt 6 000 000 000 EUR til Ukraine som ekstraordinær mellemfinansiering og 1 890 000 000 EUR i form af forfinansiering, der udgør en forskudsbetaling på 7 % af den lånestøtte, som Ukraine er berettiget til at modtage i henhold til planen.</w:t>
      </w:r>
    </w:p>
    <w:p w:rsidR="00900062" w:rsidRPr="00BD64E6" w:rsidRDefault="00216AE6" w:rsidP="00216AE6">
      <w:pPr>
        <w:pStyle w:val="ManualConsidrant"/>
        <w:rPr>
          <w:noProof/>
        </w:rPr>
      </w:pPr>
      <w:r w:rsidRPr="00216AE6">
        <w:rPr>
          <w:noProof/>
        </w:rPr>
        <w:t>(5)</w:t>
      </w:r>
      <w:r w:rsidRPr="00216AE6">
        <w:rPr>
          <w:noProof/>
        </w:rPr>
        <w:tab/>
      </w:r>
      <w:r w:rsidR="27BB8800" w:rsidRPr="00BD64E6">
        <w:rPr>
          <w:noProof/>
        </w:rPr>
        <w:t>I overensstemmelse med artikel 26, stk. 4, i forordning (EU) 2024/792 er der udbetalt 4 165 092 857 EUR til Ukraine i første rate, heraf 1 500 000 000 EUR i form af ikketilbagebetalingspligtig finansiel støtte og 2 665 092 857 EUR i form af lån.</w:t>
      </w:r>
      <w:r w:rsidR="27BB8800" w:rsidRPr="00BD64E6">
        <w:rPr>
          <w:noProof/>
          <w:color w:val="000000" w:themeColor="text1"/>
        </w:rPr>
        <w:t xml:space="preserve"> I overensstemmelse med bestemmelserne i den låneaftale, der er indgået mellem Unionen og Ukraine i henhold til artikel 22 i forordning (EU) 2024/792, blev et beløb på 200</w:t>
      </w:r>
      <w:r w:rsidR="27BB8800" w:rsidRPr="00BD64E6">
        <w:rPr>
          <w:noProof/>
        </w:rPr>
        <w:t> </w:t>
      </w:r>
      <w:r w:rsidR="27BB8800" w:rsidRPr="00BD64E6">
        <w:rPr>
          <w:noProof/>
          <w:color w:val="000000" w:themeColor="text1"/>
        </w:rPr>
        <w:t>598</w:t>
      </w:r>
      <w:r w:rsidR="27BB8800" w:rsidRPr="00BD64E6">
        <w:rPr>
          <w:noProof/>
        </w:rPr>
        <w:t> </w:t>
      </w:r>
      <w:r w:rsidR="27BB8800" w:rsidRPr="00BD64E6">
        <w:rPr>
          <w:noProof/>
          <w:color w:val="000000" w:themeColor="text1"/>
        </w:rPr>
        <w:t>387 EUR af den første rate anvendt til at afvikle forfinansieringen af lånet.</w:t>
      </w:r>
    </w:p>
    <w:p w:rsidR="00900062" w:rsidRPr="00BD64E6" w:rsidRDefault="00216AE6" w:rsidP="00216AE6">
      <w:pPr>
        <w:pStyle w:val="ManualConsidrant"/>
        <w:rPr>
          <w:noProof/>
        </w:rPr>
      </w:pPr>
      <w:r w:rsidRPr="00216AE6">
        <w:rPr>
          <w:noProof/>
        </w:rPr>
        <w:t>(6)</w:t>
      </w:r>
      <w:r w:rsidRPr="00216AE6">
        <w:rPr>
          <w:noProof/>
        </w:rPr>
        <w:tab/>
      </w:r>
      <w:r w:rsidR="00446D5D" w:rsidRPr="00BD64E6">
        <w:rPr>
          <w:noProof/>
        </w:rPr>
        <w:t xml:space="preserve">I overensstemmelse med artikel 26, stk. 2, i forordning (EU) 2024/792 indgav Ukraine den 10. oktober 2024 en anmodning om betaling af anden rate af den ikketilbagebetalingspligtige finansielle støtte og af lånestøtten på i alt 4 248 847 926 EUR, jf. bilaget til Rådets gennemførelsesafgørelse (EU) 2024/1447, og fremlagde dokumentation for, at otte ud af ni trin er gennemført på tilfredsstillende vis. Yderligere dokumentation vedrørende den tilfredsstillende opfyldelse af det resterende trin blev forelagt den 31. oktober 2024. Anmodningen var ledsaget af de dokumenter, der kræves i henhold til artikel 12 i rammeaftalen, artikel 5 i finansieringsaftalen og artikel 6 i låneaftalen mellem Unionen og Ukraine i henhold til artikel 9, 10 og 22 i forordning (EU) 2024/792. </w:t>
      </w:r>
    </w:p>
    <w:p w:rsidR="00900062" w:rsidRPr="00BD64E6" w:rsidRDefault="00216AE6" w:rsidP="00216AE6">
      <w:pPr>
        <w:pStyle w:val="ManualConsidrant"/>
        <w:rPr>
          <w:noProof/>
        </w:rPr>
      </w:pPr>
      <w:r w:rsidRPr="00216AE6">
        <w:rPr>
          <w:noProof/>
        </w:rPr>
        <w:t>(7)</w:t>
      </w:r>
      <w:r w:rsidRPr="00216AE6">
        <w:rPr>
          <w:noProof/>
        </w:rPr>
        <w:tab/>
      </w:r>
      <w:r w:rsidR="13303290" w:rsidRPr="00BD64E6">
        <w:rPr>
          <w:noProof/>
        </w:rPr>
        <w:t xml:space="preserve">Ukraine har sammen med sin betalingsanmodning givet en behørig begrundelse for opfyldelsen på tilfredsstillende vis af de ni skridt, der senest skal opfyldes i tredje kvartal 2024, i overensstemmelse med gennemførelsesafgørelse (EU) 2024/1447. De ni skridt, som er gennemført på tilfredsstillende vis, vedrører forskellige reformer, der er fastsat i planen under kapitlerne om bekæmpelse af korruption og hvidvask af penge, menneskelig kapital, erhvervsklimaet, decentralisering og regionalpolitik, energisektoren og den grønne omstilling samt miljøbeskyttelse. Den særlige anklagemyndighed for korruptionsbekæmpelse fik mulighed for at øge antallet af medarbejdere. Handlingsplanen for gennemførelsen af strategien for inddrivelse af aktiver for 2023-2025, strategien for demografisk udvikling for perioden frem til 2040, handlingsplanen for deregulering og resolutionerne om ændring af den statslige strategi for regionaludvikling for 2021-2027 blev vedtaget. Desuden blev konceptnoten om anvendelsesområdet for undtagelser fra reglerne om miljøkonsekvensvurdering og strategisk miljøvurdering udarbejdet. Endelig trådte lovene om straffeloven og strafferetsplejeloven og om industriforurening og den afledte ret om engrosenergimarkedets integritet og gennemsigtighed i kraft. </w:t>
      </w:r>
    </w:p>
    <w:p w:rsidR="00900062" w:rsidRPr="00BD64E6" w:rsidRDefault="00216AE6" w:rsidP="00216AE6">
      <w:pPr>
        <w:pStyle w:val="ManualConsidrant"/>
        <w:rPr>
          <w:noProof/>
        </w:rPr>
      </w:pPr>
      <w:r w:rsidRPr="00216AE6">
        <w:rPr>
          <w:noProof/>
        </w:rPr>
        <w:t>(8)</w:t>
      </w:r>
      <w:r w:rsidRPr="00216AE6">
        <w:rPr>
          <w:noProof/>
        </w:rPr>
        <w:tab/>
      </w:r>
      <w:r w:rsidR="00446D5D" w:rsidRPr="00BD64E6">
        <w:rPr>
          <w:noProof/>
        </w:rPr>
        <w:t xml:space="preserve">I overensstemmelse med artikel 26, stk. 4, i forordning (EU) 2024/792 foretog Kommissionen en vurdering af Ukraines betalingsanmodning og en positiv vurdering af den tilfredsstillende opfyldelse af de ni kvalitative og kvantitative skridt for den anden rate som anført i bilaget til denne afgørelse. Denne positive vurdering foretages i forbindelse med gennemførelsen af planen. Yderligere tilpasning til EU </w:t>
      </w:r>
      <w:r w:rsidR="00446D5D" w:rsidRPr="00BD64E6">
        <w:rPr>
          <w:i/>
          <w:noProof/>
        </w:rPr>
        <w:t xml:space="preserve">acquis </w:t>
      </w:r>
      <w:r w:rsidR="00446D5D" w:rsidRPr="00BD64E6">
        <w:rPr>
          <w:noProof/>
        </w:rPr>
        <w:t>vil ske gennem EU-tiltrædelsesprocessen.</w:t>
      </w:r>
    </w:p>
    <w:p w:rsidR="00900062" w:rsidRPr="00BD64E6" w:rsidRDefault="00216AE6" w:rsidP="00216AE6">
      <w:pPr>
        <w:pStyle w:val="ManualConsidrant"/>
        <w:rPr>
          <w:noProof/>
        </w:rPr>
      </w:pPr>
      <w:r w:rsidRPr="00216AE6">
        <w:rPr>
          <w:noProof/>
        </w:rPr>
        <w:t>(9)</w:t>
      </w:r>
      <w:r w:rsidRPr="00216AE6">
        <w:rPr>
          <w:noProof/>
        </w:rPr>
        <w:tab/>
      </w:r>
      <w:r w:rsidR="00446D5D" w:rsidRPr="00BD64E6">
        <w:rPr>
          <w:noProof/>
        </w:rPr>
        <w:t>Kommissionen vurderede, at Ukraine fortsat opfylder forudsætningen for EU-støtte, jf. artikel 5 i forordning (EU) 2024/792. Ukraine opretholder og respekterer navnlig fortsat effektive demokratiske mekanismer, herunder et parlamentarisk flerpartisystem og retsstatsprincippet, og sikrer respekt for menneskerettighederne, herunder rettighederne for personer, der tilhører mindretal.</w:t>
      </w:r>
    </w:p>
    <w:p w:rsidR="00900062" w:rsidRPr="00BD64E6" w:rsidRDefault="00216AE6" w:rsidP="00216AE6">
      <w:pPr>
        <w:pStyle w:val="ManualConsidrant"/>
        <w:rPr>
          <w:noProof/>
        </w:rPr>
      </w:pPr>
      <w:r w:rsidRPr="00216AE6">
        <w:rPr>
          <w:noProof/>
        </w:rPr>
        <w:t>(10)</w:t>
      </w:r>
      <w:r w:rsidRPr="00216AE6">
        <w:rPr>
          <w:noProof/>
        </w:rPr>
        <w:tab/>
      </w:r>
      <w:r w:rsidR="00446D5D" w:rsidRPr="00BD64E6">
        <w:rPr>
          <w:noProof/>
        </w:rPr>
        <w:t xml:space="preserve">Det bør derfor ved denne afgørelse fastslås, at de relevante betingelser for betaling af anden rate i henhold til planen er opfyldt på tilfredsstillende vis. </w:t>
      </w:r>
    </w:p>
    <w:p w:rsidR="00446D5D" w:rsidRPr="00BD64E6" w:rsidRDefault="00216AE6" w:rsidP="00216AE6">
      <w:pPr>
        <w:pStyle w:val="ManualConsidrant"/>
        <w:rPr>
          <w:noProof/>
        </w:rPr>
      </w:pPr>
      <w:r w:rsidRPr="00216AE6">
        <w:rPr>
          <w:noProof/>
        </w:rPr>
        <w:t>(11)</w:t>
      </w:r>
      <w:r w:rsidRPr="00216AE6">
        <w:rPr>
          <w:noProof/>
        </w:rPr>
        <w:tab/>
      </w:r>
      <w:r w:rsidR="00446D5D" w:rsidRPr="00BD64E6">
        <w:rPr>
          <w:noProof/>
        </w:rPr>
        <w:t xml:space="preserve">I betragtning af den vanskelige finanspolitiske situation, som Ukraine står i, er det yderst vigtigt at udbetale midlerne så hurtigt som muligt. I betragtning af situationens hastende karakter og for at fremskynde processen bør denne afgørelse træde i kraft på dagen for offentliggørelsen i </w:t>
      </w:r>
      <w:r w:rsidR="00446D5D" w:rsidRPr="00BD64E6">
        <w:rPr>
          <w:i/>
          <w:noProof/>
        </w:rPr>
        <w:t>Den Europæiske Unions Tidende</w:t>
      </w:r>
      <w:r w:rsidR="00446D5D" w:rsidRPr="00BD64E6">
        <w:rPr>
          <w:noProof/>
        </w:rPr>
        <w:t xml:space="preserve"> og finde anvendelse fra datoen for vedtagelsen — </w:t>
      </w:r>
    </w:p>
    <w:bookmarkEnd w:id="5"/>
    <w:p w:rsidR="00446D5D" w:rsidRPr="00BD64E6" w:rsidRDefault="00446D5D" w:rsidP="00446D5D">
      <w:pPr>
        <w:pStyle w:val="Formuledadoption"/>
        <w:rPr>
          <w:noProof/>
        </w:rPr>
      </w:pPr>
      <w:r w:rsidRPr="00BD64E6">
        <w:rPr>
          <w:noProof/>
        </w:rPr>
        <w:t xml:space="preserve">VEDTAGET DENNE AFGØRELSE: </w:t>
      </w:r>
    </w:p>
    <w:p w:rsidR="00446D5D" w:rsidRPr="00BD64E6" w:rsidRDefault="00446D5D" w:rsidP="00446D5D">
      <w:pPr>
        <w:pStyle w:val="Titrearticle"/>
        <w:rPr>
          <w:noProof/>
        </w:rPr>
      </w:pPr>
      <w:r w:rsidRPr="00BD64E6">
        <w:rPr>
          <w:noProof/>
        </w:rPr>
        <w:t>Artikel 1</w:t>
      </w:r>
    </w:p>
    <w:p w:rsidR="00446D5D" w:rsidRPr="00BD64E6" w:rsidRDefault="00446D5D" w:rsidP="00446D5D">
      <w:pPr>
        <w:rPr>
          <w:noProof/>
        </w:rPr>
      </w:pPr>
      <w:bookmarkStart w:id="7" w:name="_Hlk172111778"/>
      <w:r w:rsidRPr="00BD64E6">
        <w:rPr>
          <w:noProof/>
        </w:rPr>
        <w:t>Det fastslås herved, at de relevante betingelser for betaling af den anden rate på 4 248 847 926 EUR, jf. bilaget til gennemførelsesafgørelse (EU) 2024/1447, er opfyldt på tilfredsstillende vis i overensstemmelse med den vurdering, som Kommissionen har foretaget i henhold til artikel 26 i forordning (EU) 2024/792, og som er knyttet til nærværende afgørelse som bilag.</w:t>
      </w:r>
    </w:p>
    <w:bookmarkEnd w:id="7"/>
    <w:p w:rsidR="00446D5D" w:rsidRPr="00BD64E6" w:rsidRDefault="00446D5D" w:rsidP="00446D5D">
      <w:pPr>
        <w:rPr>
          <w:noProof/>
        </w:rPr>
      </w:pPr>
    </w:p>
    <w:p w:rsidR="00446D5D" w:rsidRPr="00BD64E6" w:rsidRDefault="00446D5D" w:rsidP="00446D5D">
      <w:pPr>
        <w:pStyle w:val="Titrearticle"/>
        <w:rPr>
          <w:noProof/>
        </w:rPr>
      </w:pPr>
      <w:r w:rsidRPr="00BD64E6">
        <w:rPr>
          <w:noProof/>
        </w:rPr>
        <w:t>Artikel 2</w:t>
      </w:r>
    </w:p>
    <w:p w:rsidR="00446D5D" w:rsidRPr="00BD64E6" w:rsidRDefault="00446D5D" w:rsidP="00446D5D">
      <w:pPr>
        <w:keepNext/>
        <w:keepLines/>
        <w:rPr>
          <w:noProof/>
        </w:rPr>
      </w:pPr>
      <w:r w:rsidRPr="00BD64E6">
        <w:rPr>
          <w:noProof/>
        </w:rPr>
        <w:t xml:space="preserve">Denne afgørelse træder i kraft på dagen for offentliggørelsen i </w:t>
      </w:r>
      <w:r w:rsidRPr="00BD64E6">
        <w:rPr>
          <w:i/>
          <w:noProof/>
        </w:rPr>
        <w:t>Den Europæiske Unions Tidende</w:t>
      </w:r>
      <w:r w:rsidRPr="00BD64E6">
        <w:rPr>
          <w:noProof/>
        </w:rPr>
        <w:t>.</w:t>
      </w:r>
    </w:p>
    <w:p w:rsidR="00446D5D" w:rsidRPr="00BD64E6" w:rsidRDefault="00446D5D" w:rsidP="00446D5D">
      <w:pPr>
        <w:rPr>
          <w:noProof/>
        </w:rPr>
      </w:pPr>
      <w:bookmarkStart w:id="8" w:name="_Hlk172111802"/>
      <w:r w:rsidRPr="00BD64E6">
        <w:rPr>
          <w:noProof/>
        </w:rPr>
        <w:t xml:space="preserve">Den finder anvendelse fra datoen for vedtagelsen. </w:t>
      </w:r>
    </w:p>
    <w:bookmarkEnd w:id="8"/>
    <w:p w:rsidR="00446D5D" w:rsidRPr="00BD64E6" w:rsidRDefault="00446D5D" w:rsidP="00446D5D">
      <w:pPr>
        <w:keepNext/>
        <w:keepLines/>
        <w:rPr>
          <w:noProof/>
        </w:rPr>
      </w:pPr>
    </w:p>
    <w:p w:rsidR="00446D5D" w:rsidRPr="00BD64E6" w:rsidRDefault="00FB4119" w:rsidP="009D61AD">
      <w:pPr>
        <w:pStyle w:val="Fait"/>
        <w:rPr>
          <w:noProof/>
        </w:rPr>
      </w:pPr>
      <w:r>
        <w:rPr>
          <w:noProof/>
        </w:rPr>
        <w:t>Udfærdiget i Bruxelles, den .</w:t>
      </w:r>
    </w:p>
    <w:p w:rsidR="00446D5D" w:rsidRPr="00BD64E6" w:rsidRDefault="00446D5D" w:rsidP="009D61AD">
      <w:pPr>
        <w:pStyle w:val="Institutionquisigne"/>
        <w:rPr>
          <w:noProof/>
        </w:rPr>
      </w:pPr>
      <w:r w:rsidRPr="00BD64E6">
        <w:rPr>
          <w:noProof/>
        </w:rPr>
        <w:tab/>
        <w:t>På Rådets vegne</w:t>
      </w:r>
    </w:p>
    <w:p w:rsidR="00446D5D" w:rsidRPr="00BD64E6" w:rsidRDefault="00446D5D" w:rsidP="00446D5D">
      <w:pPr>
        <w:pStyle w:val="Personnequisigne"/>
        <w:rPr>
          <w:noProof/>
        </w:rPr>
      </w:pPr>
      <w:r w:rsidRPr="00BD64E6">
        <w:rPr>
          <w:noProof/>
        </w:rPr>
        <w:tab/>
        <w:t>Formand</w:t>
      </w:r>
      <w:bookmarkEnd w:id="1"/>
    </w:p>
    <w:sectPr w:rsidR="00446D5D" w:rsidRPr="00BD64E6" w:rsidSect="008015A8">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B7D" w:rsidRDefault="00047B7D" w:rsidP="00446D5D">
      <w:pPr>
        <w:spacing w:before="0" w:after="0"/>
      </w:pPr>
      <w:r>
        <w:separator/>
      </w:r>
    </w:p>
  </w:endnote>
  <w:endnote w:type="continuationSeparator" w:id="0">
    <w:p w:rsidR="00047B7D" w:rsidRDefault="00047B7D" w:rsidP="00446D5D">
      <w:pPr>
        <w:spacing w:before="0" w:after="0"/>
      </w:pPr>
      <w:r>
        <w:continuationSeparator/>
      </w:r>
    </w:p>
  </w:endnote>
  <w:endnote w:type="continuationNotice" w:id="1">
    <w:p w:rsidR="00047B7D" w:rsidRDefault="00047B7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5A8" w:rsidRPr="008015A8" w:rsidRDefault="008015A8" w:rsidP="008015A8">
    <w:pPr>
      <w:pStyle w:val="Footer"/>
      <w:rPr>
        <w:rFonts w:ascii="Arial" w:hAnsi="Arial" w:cs="Arial"/>
        <w:b/>
        <w:sz w:val="48"/>
      </w:rPr>
    </w:pPr>
    <w:r w:rsidRPr="008015A8">
      <w:rPr>
        <w:rFonts w:ascii="Arial" w:hAnsi="Arial" w:cs="Arial"/>
        <w:b/>
        <w:sz w:val="48"/>
      </w:rPr>
      <w:t>DA</w:t>
    </w:r>
    <w:r w:rsidRPr="008015A8">
      <w:rPr>
        <w:rFonts w:ascii="Arial" w:hAnsi="Arial" w:cs="Arial"/>
        <w:b/>
        <w:sz w:val="48"/>
      </w:rPr>
      <w:tab/>
    </w:r>
    <w:r w:rsidRPr="008015A8">
      <w:rPr>
        <w:rFonts w:ascii="Arial" w:hAnsi="Arial" w:cs="Arial"/>
        <w:b/>
        <w:sz w:val="48"/>
      </w:rPr>
      <w:tab/>
    </w:r>
    <w:r w:rsidRPr="008015A8">
      <w:tab/>
    </w:r>
    <w:r w:rsidRPr="008015A8">
      <w:rPr>
        <w:rFonts w:ascii="Arial" w:hAnsi="Arial" w:cs="Arial"/>
        <w:b/>
        <w:sz w:val="48"/>
      </w:rPr>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5A8" w:rsidRPr="008015A8" w:rsidRDefault="008015A8" w:rsidP="008015A8">
    <w:pPr>
      <w:pStyle w:val="Footer"/>
      <w:rPr>
        <w:rFonts w:ascii="Arial" w:hAnsi="Arial" w:cs="Arial"/>
        <w:b/>
        <w:sz w:val="48"/>
      </w:rPr>
    </w:pPr>
    <w:r w:rsidRPr="008015A8">
      <w:rPr>
        <w:rFonts w:ascii="Arial" w:hAnsi="Arial" w:cs="Arial"/>
        <w:b/>
        <w:sz w:val="48"/>
      </w:rPr>
      <w:t>DA</w:t>
    </w:r>
    <w:r w:rsidRPr="008015A8">
      <w:rPr>
        <w:rFonts w:ascii="Arial" w:hAnsi="Arial" w:cs="Arial"/>
        <w:b/>
        <w:sz w:val="48"/>
      </w:rPr>
      <w:tab/>
    </w:r>
    <w:r w:rsidRPr="008015A8">
      <w:rPr>
        <w:rFonts w:ascii="Arial" w:hAnsi="Arial" w:cs="Arial"/>
        <w:b/>
        <w:sz w:val="48"/>
      </w:rPr>
      <w:tab/>
    </w:r>
    <w:r w:rsidRPr="008015A8">
      <w:tab/>
    </w:r>
    <w:r w:rsidRPr="008015A8">
      <w:rPr>
        <w:rFonts w:ascii="Arial" w:hAnsi="Arial" w:cs="Arial"/>
        <w:b/>
        <w:sz w:val="48"/>
      </w:rPr>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5A8" w:rsidRDefault="008015A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5A8" w:rsidRPr="008015A8" w:rsidRDefault="008015A8" w:rsidP="008015A8">
    <w:pPr>
      <w:pStyle w:val="Footer"/>
      <w:rPr>
        <w:rFonts w:ascii="Arial" w:hAnsi="Arial" w:cs="Arial"/>
        <w:b/>
        <w:sz w:val="48"/>
      </w:rPr>
    </w:pPr>
    <w:r w:rsidRPr="008015A8">
      <w:rPr>
        <w:rFonts w:ascii="Arial" w:hAnsi="Arial" w:cs="Arial"/>
        <w:b/>
        <w:sz w:val="48"/>
      </w:rPr>
      <w:t>DA</w:t>
    </w:r>
    <w:r w:rsidRPr="008015A8">
      <w:rPr>
        <w:rFonts w:ascii="Arial" w:hAnsi="Arial" w:cs="Arial"/>
        <w:b/>
        <w:sz w:val="48"/>
      </w:rPr>
      <w:tab/>
    </w:r>
    <w:r>
      <w:fldChar w:fldCharType="begin"/>
    </w:r>
    <w:r>
      <w:instrText xml:space="preserve"> PAGE  \* MERGEFORMAT </w:instrText>
    </w:r>
    <w:r>
      <w:fldChar w:fldCharType="separate"/>
    </w:r>
    <w:r w:rsidR="009D61AD">
      <w:rPr>
        <w:noProof/>
      </w:rPr>
      <w:t>3</w:t>
    </w:r>
    <w:r>
      <w:fldChar w:fldCharType="end"/>
    </w:r>
    <w:r>
      <w:tab/>
    </w:r>
    <w:r w:rsidRPr="008015A8">
      <w:tab/>
    </w:r>
    <w:r w:rsidRPr="008015A8">
      <w:rPr>
        <w:rFonts w:ascii="Arial" w:hAnsi="Arial" w:cs="Arial"/>
        <w:b/>
        <w:sz w:val="48"/>
      </w:rPr>
      <w:t>DA</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5A8" w:rsidRDefault="008015A8" w:rsidP="00801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B7D" w:rsidRDefault="00047B7D" w:rsidP="00446D5D">
      <w:pPr>
        <w:spacing w:before="0" w:after="0"/>
      </w:pPr>
      <w:r>
        <w:separator/>
      </w:r>
    </w:p>
  </w:footnote>
  <w:footnote w:type="continuationSeparator" w:id="0">
    <w:p w:rsidR="00047B7D" w:rsidRDefault="00047B7D" w:rsidP="00446D5D">
      <w:pPr>
        <w:spacing w:before="0" w:after="0"/>
      </w:pPr>
      <w:r>
        <w:continuationSeparator/>
      </w:r>
    </w:p>
  </w:footnote>
  <w:footnote w:type="continuationNotice" w:id="1">
    <w:p w:rsidR="00047B7D" w:rsidRDefault="00047B7D">
      <w:pPr>
        <w:spacing w:before="0" w:after="0"/>
      </w:pPr>
    </w:p>
  </w:footnote>
  <w:footnote w:id="2">
    <w:p w:rsidR="00446D5D" w:rsidRPr="00BD64E6" w:rsidRDefault="00446D5D" w:rsidP="00446D5D">
      <w:pPr>
        <w:pStyle w:val="FootnoteText"/>
        <w:rPr>
          <w:lang w:val="fr-BE"/>
        </w:rPr>
      </w:pPr>
      <w:r w:rsidRPr="00A03414">
        <w:rPr>
          <w:rStyle w:val="FootnoteReference"/>
        </w:rPr>
        <w:footnoteRef/>
      </w:r>
      <w:r w:rsidR="00A03414">
        <w:rPr>
          <w:lang w:val="fr-BE"/>
        </w:rPr>
        <w:tab/>
      </w:r>
      <w:r w:rsidRPr="00BD64E6">
        <w:rPr>
          <w:lang w:val="fr-BE"/>
        </w:rPr>
        <w:t xml:space="preserve">EUT L, 2024/792, 29.2.2024, ELI: </w:t>
      </w:r>
      <w:hyperlink r:id="rId1" w:history="1">
        <w:r w:rsidRPr="00BD64E6">
          <w:rPr>
            <w:rStyle w:val="Hyperlink"/>
            <w:lang w:val="fr-BE"/>
          </w:rPr>
          <w:t>http://data.europa.eu/eli/reg/2024/792/oj</w:t>
        </w:r>
      </w:hyperlink>
      <w:r w:rsidRPr="00BD64E6">
        <w:rPr>
          <w:lang w:val="fr-BE"/>
        </w:rPr>
        <w:t xml:space="preserve">. </w:t>
      </w:r>
    </w:p>
  </w:footnote>
  <w:footnote w:id="3">
    <w:p w:rsidR="55ADF842" w:rsidRPr="00BD64E6" w:rsidRDefault="55ADF842" w:rsidP="001D7F92">
      <w:pPr>
        <w:pStyle w:val="FootnoteText"/>
        <w:rPr>
          <w:rFonts w:eastAsia="Times New Roman"/>
          <w:color w:val="000000" w:themeColor="text1"/>
          <w:sz w:val="19"/>
          <w:szCs w:val="19"/>
        </w:rPr>
      </w:pPr>
      <w:r>
        <w:rPr>
          <w:rStyle w:val="FootnoteReference"/>
        </w:rPr>
        <w:footnoteRef/>
      </w:r>
      <w:r w:rsidRPr="00BD64E6">
        <w:tab/>
        <w:t>Rådets gennemførelsesafgørelse (EU) 2024/1447 af 14. maj 2024 om godkendelse af vurderingen af planen for Ukraine (EUT L, 2024/1447, 24.5.2024, ELI:</w:t>
      </w:r>
      <w:r w:rsidRPr="00BD64E6">
        <w:rPr>
          <w:color w:val="000000" w:themeColor="text1"/>
          <w:u w:val="single"/>
        </w:rPr>
        <w:t xml:space="preserve"> </w:t>
      </w:r>
      <w:hyperlink r:id="rId2" w:history="1">
        <w:r w:rsidRPr="00BD64E6">
          <w:rPr>
            <w:rStyle w:val="Hyperlink"/>
            <w:sz w:val="19"/>
          </w:rPr>
          <w:t>http://data.europa.eu/eli/dec_impl/2024/1447/oj</w:t>
        </w:r>
      </w:hyperlink>
      <w:r w:rsidR="00BD64E6">
        <w:rPr>
          <w:rStyle w:val="Hyperlink"/>
          <w:sz w:val="19"/>
          <w:u w:val="no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5A8" w:rsidRDefault="008015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5A8" w:rsidRDefault="00801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54A6FF1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2F00674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A0ADE4E"/>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F9C6C148"/>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4-11-27 18:04:51"/>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F3B04847-D254-4BF6-AFB6-F9DC9F128EA9"/>
    <w:docVar w:name="LW_COVERPAGE_TYPE" w:val="1"/>
    <w:docVar w:name="LW_CROSSREFERENCE" w:val="&lt;UNUSED&gt;"/>
    <w:docVar w:name="LW_DocType" w:val="COM"/>
    <w:docVar w:name="LW_EMISSION" w:val="14.11.2024"/>
    <w:docVar w:name="LW_EMISSION_ISODATE" w:val="2024-11-14"/>
    <w:docVar w:name="LW_EMISSION_LOCATION" w:val="BRX"/>
    <w:docVar w:name="LW_EMISSION_PREFIX" w:val="Bruxelles, den "/>
    <w:docVar w:name="LW_EMISSION_SUFFIX" w:val=" "/>
    <w:docVar w:name="LW_ID_DOCMODEL" w:val="SJ-021"/>
    <w:docVar w:name="LW_ID_DOCSIGNATURE" w:val="SJ-021"/>
    <w:docVar w:name="LW_ID_DOCSTRUCTURE" w:val="COM/PL/ORG"/>
    <w:docVar w:name="LW_ID_DOCTYPE" w:val="SJ-021"/>
    <w:docVar w:name="LW_ID_STATUT" w:val="SJ-021"/>
    <w:docVar w:name="LW_INSERT_EXP.MOTIFS.NEW" w:val="1"/>
    <w:docVar w:name="LW_INTERETEEE.CP" w:val="&lt;UNUSED&gt;"/>
    <w:docVar w:name="LW_LANGUE" w:val="DA"/>
    <w:docVar w:name="LW_LEVEL_OF_SENSITIVITY" w:val="Standard treatment"/>
    <w:docVar w:name="LW_NOM.INST" w:val="EUROPA-KOMMISSIONEN"/>
    <w:docVar w:name="LW_NOM.INST_JOINTDOC" w:val="&lt;EMPTY&gt;"/>
    <w:docVar w:name="LW_PART_NBR" w:val="1"/>
    <w:docVar w:name="LW_PART_NBR_TOTAL" w:val="1"/>
    <w:docVar w:name="LW_REF.II.NEW.CP" w:val="NLE"/>
    <w:docVar w:name="LW_REF.II.NEW.CP_NUMBER" w:val="0303"/>
    <w:docVar w:name="LW_REF.II.NEW.CP_YEAR" w:val="2024"/>
    <w:docVar w:name="LW_REF.INST.NEW" w:val="COM"/>
    <w:docVar w:name="LW_REF.INST.NEW_ADOPTED" w:val="final"/>
    <w:docVar w:name="LW_REF.INST.NEW_TEXT" w:val="(2024) 54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Forslag til"/>
    <w:docVar w:name="LW_SUPERTITRE" w:val="&lt;UNUSED&gt;"/>
    <w:docVar w:name="LW_TITRE.OBJ.CP" w:val="om konstatering af, at betingelserne for betaling af den anden rate af den ikketilbagebetalingspligtige finansielle støtte og af lånestøtten i henhold til planen for Ukraine under Ukrainefaciliteten er opfyldt på tilfredsstillende vis _x000b_"/>
    <w:docVar w:name="LW_TYPE.DOC.CP" w:val="RÅDETS GENNEMFØRELSESAFGØRELSE"/>
    <w:docVar w:name="LwApiVersions" w:val="LW4CoDe 1.24.5.0; LW 9.0, Build 20240221"/>
  </w:docVars>
  <w:rsids>
    <w:rsidRoot w:val="00446D5D"/>
    <w:rsid w:val="0000782C"/>
    <w:rsid w:val="00042C15"/>
    <w:rsid w:val="00047B7D"/>
    <w:rsid w:val="0006593E"/>
    <w:rsid w:val="00085F2F"/>
    <w:rsid w:val="000864C0"/>
    <w:rsid w:val="000971DE"/>
    <w:rsid w:val="000B49AE"/>
    <w:rsid w:val="000B4B84"/>
    <w:rsid w:val="000B54AB"/>
    <w:rsid w:val="000C1D84"/>
    <w:rsid w:val="000D6931"/>
    <w:rsid w:val="000E106D"/>
    <w:rsid w:val="000F733C"/>
    <w:rsid w:val="001065F5"/>
    <w:rsid w:val="00123769"/>
    <w:rsid w:val="001238EF"/>
    <w:rsid w:val="0012573F"/>
    <w:rsid w:val="0015333E"/>
    <w:rsid w:val="00185992"/>
    <w:rsid w:val="00197613"/>
    <w:rsid w:val="001B12D8"/>
    <w:rsid w:val="001D7F92"/>
    <w:rsid w:val="001E1699"/>
    <w:rsid w:val="001F446C"/>
    <w:rsid w:val="00212B20"/>
    <w:rsid w:val="002149A4"/>
    <w:rsid w:val="00216AE6"/>
    <w:rsid w:val="00221A84"/>
    <w:rsid w:val="002243C8"/>
    <w:rsid w:val="0022494F"/>
    <w:rsid w:val="00230525"/>
    <w:rsid w:val="00233C1F"/>
    <w:rsid w:val="00233DC7"/>
    <w:rsid w:val="00247779"/>
    <w:rsid w:val="0025553A"/>
    <w:rsid w:val="00267E45"/>
    <w:rsid w:val="00285BEE"/>
    <w:rsid w:val="0029533F"/>
    <w:rsid w:val="002A7BEE"/>
    <w:rsid w:val="002B2C20"/>
    <w:rsid w:val="002B30AF"/>
    <w:rsid w:val="002C6CCE"/>
    <w:rsid w:val="002D4A4D"/>
    <w:rsid w:val="0031354B"/>
    <w:rsid w:val="0033344A"/>
    <w:rsid w:val="00340B14"/>
    <w:rsid w:val="003605E3"/>
    <w:rsid w:val="00367EF8"/>
    <w:rsid w:val="003A6D4E"/>
    <w:rsid w:val="003B663E"/>
    <w:rsid w:val="003F792A"/>
    <w:rsid w:val="00407A49"/>
    <w:rsid w:val="00414ADA"/>
    <w:rsid w:val="00415B98"/>
    <w:rsid w:val="00417102"/>
    <w:rsid w:val="00421CAD"/>
    <w:rsid w:val="0042648E"/>
    <w:rsid w:val="00432258"/>
    <w:rsid w:val="00446D5D"/>
    <w:rsid w:val="00451586"/>
    <w:rsid w:val="0046037B"/>
    <w:rsid w:val="004612F5"/>
    <w:rsid w:val="004936D2"/>
    <w:rsid w:val="004A3199"/>
    <w:rsid w:val="004D5CAD"/>
    <w:rsid w:val="004E4109"/>
    <w:rsid w:val="004F11CE"/>
    <w:rsid w:val="004F65C8"/>
    <w:rsid w:val="00501FF3"/>
    <w:rsid w:val="0050700D"/>
    <w:rsid w:val="00515B0D"/>
    <w:rsid w:val="00517262"/>
    <w:rsid w:val="00524287"/>
    <w:rsid w:val="005311F2"/>
    <w:rsid w:val="00561CAF"/>
    <w:rsid w:val="00566FA8"/>
    <w:rsid w:val="005673EC"/>
    <w:rsid w:val="0058D03F"/>
    <w:rsid w:val="005A2B41"/>
    <w:rsid w:val="005A5A8E"/>
    <w:rsid w:val="005B1EB6"/>
    <w:rsid w:val="005B5F89"/>
    <w:rsid w:val="005C6B25"/>
    <w:rsid w:val="005D1F3A"/>
    <w:rsid w:val="0062259A"/>
    <w:rsid w:val="00625E5F"/>
    <w:rsid w:val="00630ECE"/>
    <w:rsid w:val="00641FBD"/>
    <w:rsid w:val="006505AA"/>
    <w:rsid w:val="00653EBE"/>
    <w:rsid w:val="0065493B"/>
    <w:rsid w:val="00662ABC"/>
    <w:rsid w:val="00672184"/>
    <w:rsid w:val="0069106B"/>
    <w:rsid w:val="00696A91"/>
    <w:rsid w:val="006B1FDA"/>
    <w:rsid w:val="006B71C4"/>
    <w:rsid w:val="006B7239"/>
    <w:rsid w:val="006C2E47"/>
    <w:rsid w:val="00722006"/>
    <w:rsid w:val="00740287"/>
    <w:rsid w:val="00747DF5"/>
    <w:rsid w:val="0076009E"/>
    <w:rsid w:val="00771416"/>
    <w:rsid w:val="00773331"/>
    <w:rsid w:val="00783A53"/>
    <w:rsid w:val="00786EB6"/>
    <w:rsid w:val="00792C37"/>
    <w:rsid w:val="007932EF"/>
    <w:rsid w:val="007B1C4D"/>
    <w:rsid w:val="007E05B0"/>
    <w:rsid w:val="008015A8"/>
    <w:rsid w:val="00811671"/>
    <w:rsid w:val="00812E54"/>
    <w:rsid w:val="00818C39"/>
    <w:rsid w:val="00834496"/>
    <w:rsid w:val="00844CAF"/>
    <w:rsid w:val="008472C1"/>
    <w:rsid w:val="00874D22"/>
    <w:rsid w:val="00886646"/>
    <w:rsid w:val="008866C9"/>
    <w:rsid w:val="0088AE84"/>
    <w:rsid w:val="00896E6D"/>
    <w:rsid w:val="008A2914"/>
    <w:rsid w:val="008B465E"/>
    <w:rsid w:val="008C5296"/>
    <w:rsid w:val="008D4188"/>
    <w:rsid w:val="008E4D8E"/>
    <w:rsid w:val="008E50F2"/>
    <w:rsid w:val="008E56EA"/>
    <w:rsid w:val="008E7D51"/>
    <w:rsid w:val="00900062"/>
    <w:rsid w:val="009251B9"/>
    <w:rsid w:val="00945E1A"/>
    <w:rsid w:val="00956CBB"/>
    <w:rsid w:val="0095709D"/>
    <w:rsid w:val="0096315A"/>
    <w:rsid w:val="00964FD5"/>
    <w:rsid w:val="00971F86"/>
    <w:rsid w:val="009776E3"/>
    <w:rsid w:val="00985D11"/>
    <w:rsid w:val="00991F1E"/>
    <w:rsid w:val="009A22FC"/>
    <w:rsid w:val="009D61AD"/>
    <w:rsid w:val="009E383A"/>
    <w:rsid w:val="009E7FCC"/>
    <w:rsid w:val="009F6926"/>
    <w:rsid w:val="009F6ED6"/>
    <w:rsid w:val="00A03414"/>
    <w:rsid w:val="00A04C54"/>
    <w:rsid w:val="00A10156"/>
    <w:rsid w:val="00A20B82"/>
    <w:rsid w:val="00A230FB"/>
    <w:rsid w:val="00A43895"/>
    <w:rsid w:val="00A93F79"/>
    <w:rsid w:val="00AC032F"/>
    <w:rsid w:val="00AC6F86"/>
    <w:rsid w:val="00AD131E"/>
    <w:rsid w:val="00AE21BF"/>
    <w:rsid w:val="00B14A63"/>
    <w:rsid w:val="00B14F18"/>
    <w:rsid w:val="00B26C06"/>
    <w:rsid w:val="00B34542"/>
    <w:rsid w:val="00B41621"/>
    <w:rsid w:val="00B77ED8"/>
    <w:rsid w:val="00B956F2"/>
    <w:rsid w:val="00B96C28"/>
    <w:rsid w:val="00BA0395"/>
    <w:rsid w:val="00BB7F58"/>
    <w:rsid w:val="00BC0AB5"/>
    <w:rsid w:val="00BC3C84"/>
    <w:rsid w:val="00BC68DE"/>
    <w:rsid w:val="00BC7D23"/>
    <w:rsid w:val="00BD2260"/>
    <w:rsid w:val="00BD64E6"/>
    <w:rsid w:val="00BF750F"/>
    <w:rsid w:val="00C064F5"/>
    <w:rsid w:val="00C12301"/>
    <w:rsid w:val="00C17F87"/>
    <w:rsid w:val="00C27B1D"/>
    <w:rsid w:val="00C3551D"/>
    <w:rsid w:val="00C52048"/>
    <w:rsid w:val="00C6202E"/>
    <w:rsid w:val="00C66A47"/>
    <w:rsid w:val="00C73801"/>
    <w:rsid w:val="00C754CE"/>
    <w:rsid w:val="00C8311E"/>
    <w:rsid w:val="00C8655D"/>
    <w:rsid w:val="00C9298A"/>
    <w:rsid w:val="00C962E7"/>
    <w:rsid w:val="00C96AB0"/>
    <w:rsid w:val="00C974BA"/>
    <w:rsid w:val="00CA14FD"/>
    <w:rsid w:val="00CB1623"/>
    <w:rsid w:val="00CB4643"/>
    <w:rsid w:val="00CC4619"/>
    <w:rsid w:val="00CC742A"/>
    <w:rsid w:val="00CD0E6E"/>
    <w:rsid w:val="00CD7F86"/>
    <w:rsid w:val="00CE0C3D"/>
    <w:rsid w:val="00CF0723"/>
    <w:rsid w:val="00CF25A6"/>
    <w:rsid w:val="00D02DDA"/>
    <w:rsid w:val="00D04E75"/>
    <w:rsid w:val="00D20381"/>
    <w:rsid w:val="00D320AF"/>
    <w:rsid w:val="00D40D01"/>
    <w:rsid w:val="00D5530B"/>
    <w:rsid w:val="00D61C2E"/>
    <w:rsid w:val="00D909FE"/>
    <w:rsid w:val="00DB48B9"/>
    <w:rsid w:val="00DC28BF"/>
    <w:rsid w:val="00DC6879"/>
    <w:rsid w:val="00DD44AB"/>
    <w:rsid w:val="00DD5D1F"/>
    <w:rsid w:val="00DE04D9"/>
    <w:rsid w:val="00DE0A78"/>
    <w:rsid w:val="00E00B5C"/>
    <w:rsid w:val="00E30783"/>
    <w:rsid w:val="00E61CEE"/>
    <w:rsid w:val="00E66459"/>
    <w:rsid w:val="00E7038A"/>
    <w:rsid w:val="00E71029"/>
    <w:rsid w:val="00E76D05"/>
    <w:rsid w:val="00E87219"/>
    <w:rsid w:val="00E94935"/>
    <w:rsid w:val="00E95A83"/>
    <w:rsid w:val="00EB5E32"/>
    <w:rsid w:val="00EC2175"/>
    <w:rsid w:val="00EC66A6"/>
    <w:rsid w:val="00EC7E0D"/>
    <w:rsid w:val="00EE789B"/>
    <w:rsid w:val="00EF2622"/>
    <w:rsid w:val="00EF4713"/>
    <w:rsid w:val="00F06D3F"/>
    <w:rsid w:val="00F13BCB"/>
    <w:rsid w:val="00F207E1"/>
    <w:rsid w:val="00F41D34"/>
    <w:rsid w:val="00F5280B"/>
    <w:rsid w:val="00F7673E"/>
    <w:rsid w:val="00F76B06"/>
    <w:rsid w:val="00F86160"/>
    <w:rsid w:val="00F969BE"/>
    <w:rsid w:val="00FA3E8C"/>
    <w:rsid w:val="00FA774A"/>
    <w:rsid w:val="00FB4119"/>
    <w:rsid w:val="00FC36B7"/>
    <w:rsid w:val="00FC38F8"/>
    <w:rsid w:val="00FD6CB4"/>
    <w:rsid w:val="00FF4713"/>
    <w:rsid w:val="026B7CCD"/>
    <w:rsid w:val="026D4184"/>
    <w:rsid w:val="042703CF"/>
    <w:rsid w:val="04A0E94E"/>
    <w:rsid w:val="04A321E8"/>
    <w:rsid w:val="04D89DDF"/>
    <w:rsid w:val="04E58D35"/>
    <w:rsid w:val="051EDC45"/>
    <w:rsid w:val="054F3AD5"/>
    <w:rsid w:val="0596040B"/>
    <w:rsid w:val="069E218A"/>
    <w:rsid w:val="06DC13B0"/>
    <w:rsid w:val="070FC1F9"/>
    <w:rsid w:val="073657D7"/>
    <w:rsid w:val="07879692"/>
    <w:rsid w:val="0871D127"/>
    <w:rsid w:val="08927AD9"/>
    <w:rsid w:val="09F341B7"/>
    <w:rsid w:val="0A0028B9"/>
    <w:rsid w:val="0B1AE20E"/>
    <w:rsid w:val="0B24903B"/>
    <w:rsid w:val="0C943B39"/>
    <w:rsid w:val="0CC9A4F2"/>
    <w:rsid w:val="0CF0E2D1"/>
    <w:rsid w:val="0E893749"/>
    <w:rsid w:val="0EFB2C1A"/>
    <w:rsid w:val="0F476C8B"/>
    <w:rsid w:val="0F6B141A"/>
    <w:rsid w:val="130004C2"/>
    <w:rsid w:val="1317F2A9"/>
    <w:rsid w:val="13303290"/>
    <w:rsid w:val="141176F4"/>
    <w:rsid w:val="1434D6BD"/>
    <w:rsid w:val="14C8DF9A"/>
    <w:rsid w:val="15050999"/>
    <w:rsid w:val="15482435"/>
    <w:rsid w:val="157ACC6A"/>
    <w:rsid w:val="16131E2A"/>
    <w:rsid w:val="16D23FF9"/>
    <w:rsid w:val="16E64717"/>
    <w:rsid w:val="1728FA9B"/>
    <w:rsid w:val="173425F1"/>
    <w:rsid w:val="175548B9"/>
    <w:rsid w:val="17960538"/>
    <w:rsid w:val="18580BF1"/>
    <w:rsid w:val="18CDA770"/>
    <w:rsid w:val="193E443C"/>
    <w:rsid w:val="19A5EA17"/>
    <w:rsid w:val="19ECBB86"/>
    <w:rsid w:val="1B0A2988"/>
    <w:rsid w:val="1B471B1C"/>
    <w:rsid w:val="1B6FAC6D"/>
    <w:rsid w:val="1BF0DCD0"/>
    <w:rsid w:val="1C23D277"/>
    <w:rsid w:val="1C5C6CFD"/>
    <w:rsid w:val="1CD3B19D"/>
    <w:rsid w:val="1CE398AD"/>
    <w:rsid w:val="1D40E48F"/>
    <w:rsid w:val="1DDB9D07"/>
    <w:rsid w:val="1DF28B9E"/>
    <w:rsid w:val="1E510B7E"/>
    <w:rsid w:val="1E99DD82"/>
    <w:rsid w:val="1EE5D16E"/>
    <w:rsid w:val="1F6232A5"/>
    <w:rsid w:val="1FC841E7"/>
    <w:rsid w:val="2010A09B"/>
    <w:rsid w:val="20A45A9A"/>
    <w:rsid w:val="20FA29B3"/>
    <w:rsid w:val="228C77F7"/>
    <w:rsid w:val="22B4E027"/>
    <w:rsid w:val="230B8042"/>
    <w:rsid w:val="232E538C"/>
    <w:rsid w:val="233ECC3D"/>
    <w:rsid w:val="23B0B757"/>
    <w:rsid w:val="243B19CD"/>
    <w:rsid w:val="24CCE9EF"/>
    <w:rsid w:val="2590D678"/>
    <w:rsid w:val="26114B19"/>
    <w:rsid w:val="27668F31"/>
    <w:rsid w:val="27B6D8A7"/>
    <w:rsid w:val="27BB8800"/>
    <w:rsid w:val="28399160"/>
    <w:rsid w:val="28ADB12C"/>
    <w:rsid w:val="28EF2020"/>
    <w:rsid w:val="2A47E4A6"/>
    <w:rsid w:val="2A4E99E2"/>
    <w:rsid w:val="2B114F01"/>
    <w:rsid w:val="2B7EC2E8"/>
    <w:rsid w:val="2BCEF40F"/>
    <w:rsid w:val="2CD7CDB6"/>
    <w:rsid w:val="2D426FA6"/>
    <w:rsid w:val="2D50163B"/>
    <w:rsid w:val="2D909687"/>
    <w:rsid w:val="2EA188AA"/>
    <w:rsid w:val="2F19E3D1"/>
    <w:rsid w:val="2F3316DD"/>
    <w:rsid w:val="2F529224"/>
    <w:rsid w:val="2FF0B603"/>
    <w:rsid w:val="3005876D"/>
    <w:rsid w:val="309B45E4"/>
    <w:rsid w:val="3106314B"/>
    <w:rsid w:val="31897E99"/>
    <w:rsid w:val="31AC3411"/>
    <w:rsid w:val="3251CE9B"/>
    <w:rsid w:val="32DFEE98"/>
    <w:rsid w:val="3303D89B"/>
    <w:rsid w:val="332AD833"/>
    <w:rsid w:val="33631C2E"/>
    <w:rsid w:val="3697F48F"/>
    <w:rsid w:val="36B8FE6B"/>
    <w:rsid w:val="37544EF8"/>
    <w:rsid w:val="37873451"/>
    <w:rsid w:val="37DAD846"/>
    <w:rsid w:val="37F11D84"/>
    <w:rsid w:val="381BB2A8"/>
    <w:rsid w:val="3842A4A2"/>
    <w:rsid w:val="38890076"/>
    <w:rsid w:val="3893EFBC"/>
    <w:rsid w:val="38BC9CC6"/>
    <w:rsid w:val="38E0CD7A"/>
    <w:rsid w:val="38EE2C7B"/>
    <w:rsid w:val="38F53CF7"/>
    <w:rsid w:val="39A7F7F9"/>
    <w:rsid w:val="3A33D496"/>
    <w:rsid w:val="3D41BCCF"/>
    <w:rsid w:val="3DF22F48"/>
    <w:rsid w:val="3E596D9F"/>
    <w:rsid w:val="3E9B7881"/>
    <w:rsid w:val="3F0A14C5"/>
    <w:rsid w:val="3F90810D"/>
    <w:rsid w:val="3FC92187"/>
    <w:rsid w:val="4007D866"/>
    <w:rsid w:val="4018027E"/>
    <w:rsid w:val="4055C4CE"/>
    <w:rsid w:val="40D8101F"/>
    <w:rsid w:val="41010CAE"/>
    <w:rsid w:val="426AF8C4"/>
    <w:rsid w:val="428BC90A"/>
    <w:rsid w:val="42EAF21B"/>
    <w:rsid w:val="42FEACFD"/>
    <w:rsid w:val="43A30C0F"/>
    <w:rsid w:val="43AB3567"/>
    <w:rsid w:val="43D1AD9D"/>
    <w:rsid w:val="43EC3928"/>
    <w:rsid w:val="45DF3A6A"/>
    <w:rsid w:val="4615A9C7"/>
    <w:rsid w:val="46EC44AA"/>
    <w:rsid w:val="47A12A3B"/>
    <w:rsid w:val="490BE7DC"/>
    <w:rsid w:val="49780627"/>
    <w:rsid w:val="49EAA477"/>
    <w:rsid w:val="4A7241BE"/>
    <w:rsid w:val="4A85E182"/>
    <w:rsid w:val="4AC8CC81"/>
    <w:rsid w:val="4B5FB7CE"/>
    <w:rsid w:val="4BD6BF21"/>
    <w:rsid w:val="4BE53003"/>
    <w:rsid w:val="4C7754F9"/>
    <w:rsid w:val="4CDE5A61"/>
    <w:rsid w:val="4DBAD394"/>
    <w:rsid w:val="4DFB0CFC"/>
    <w:rsid w:val="4EA50700"/>
    <w:rsid w:val="50076170"/>
    <w:rsid w:val="501F8385"/>
    <w:rsid w:val="50C5DC6A"/>
    <w:rsid w:val="5105B947"/>
    <w:rsid w:val="51686FC1"/>
    <w:rsid w:val="52438077"/>
    <w:rsid w:val="524FADF8"/>
    <w:rsid w:val="52D2CCB4"/>
    <w:rsid w:val="535BD78D"/>
    <w:rsid w:val="53CCB437"/>
    <w:rsid w:val="53D854E0"/>
    <w:rsid w:val="53F7C2EF"/>
    <w:rsid w:val="54676F2F"/>
    <w:rsid w:val="54B403AC"/>
    <w:rsid w:val="54E52960"/>
    <w:rsid w:val="55ADF842"/>
    <w:rsid w:val="5624F7ED"/>
    <w:rsid w:val="567ABCE9"/>
    <w:rsid w:val="56EFDF1D"/>
    <w:rsid w:val="570FE2FD"/>
    <w:rsid w:val="584F5EB8"/>
    <w:rsid w:val="5A216B67"/>
    <w:rsid w:val="5A36F02B"/>
    <w:rsid w:val="5AF44C1E"/>
    <w:rsid w:val="5C703172"/>
    <w:rsid w:val="5EE1A372"/>
    <w:rsid w:val="5F32E550"/>
    <w:rsid w:val="5F7B3744"/>
    <w:rsid w:val="5F9336D4"/>
    <w:rsid w:val="5F9CC2E8"/>
    <w:rsid w:val="5FCCB232"/>
    <w:rsid w:val="5FDA0D42"/>
    <w:rsid w:val="6126F71E"/>
    <w:rsid w:val="61663BBE"/>
    <w:rsid w:val="62333F05"/>
    <w:rsid w:val="62953680"/>
    <w:rsid w:val="62B20ED3"/>
    <w:rsid w:val="632FEE7B"/>
    <w:rsid w:val="638CB839"/>
    <w:rsid w:val="64212B11"/>
    <w:rsid w:val="64552DC3"/>
    <w:rsid w:val="64C9C7DB"/>
    <w:rsid w:val="64E0F0C7"/>
    <w:rsid w:val="652E407D"/>
    <w:rsid w:val="655081B1"/>
    <w:rsid w:val="655CFF0D"/>
    <w:rsid w:val="65894C58"/>
    <w:rsid w:val="66742450"/>
    <w:rsid w:val="6796F4DE"/>
    <w:rsid w:val="67EFAD0F"/>
    <w:rsid w:val="6840CA36"/>
    <w:rsid w:val="6877D831"/>
    <w:rsid w:val="68E5CA57"/>
    <w:rsid w:val="6A62B209"/>
    <w:rsid w:val="6C37E441"/>
    <w:rsid w:val="6C93BBAA"/>
    <w:rsid w:val="6CCA0043"/>
    <w:rsid w:val="6DAF66E4"/>
    <w:rsid w:val="6DF35B7F"/>
    <w:rsid w:val="6E027285"/>
    <w:rsid w:val="6E958D38"/>
    <w:rsid w:val="6EA65C63"/>
    <w:rsid w:val="6F670431"/>
    <w:rsid w:val="6F9BBAC4"/>
    <w:rsid w:val="6FFC8EF9"/>
    <w:rsid w:val="705D2628"/>
    <w:rsid w:val="749263C6"/>
    <w:rsid w:val="7667D9B7"/>
    <w:rsid w:val="76B687EC"/>
    <w:rsid w:val="77C28868"/>
    <w:rsid w:val="78FD1074"/>
    <w:rsid w:val="792A3D5F"/>
    <w:rsid w:val="79C41C87"/>
    <w:rsid w:val="7A36AB00"/>
    <w:rsid w:val="7A64305F"/>
    <w:rsid w:val="7A6B0F2B"/>
    <w:rsid w:val="7C1562BD"/>
    <w:rsid w:val="7E0E35F5"/>
    <w:rsid w:val="7E93F686"/>
    <w:rsid w:val="7EDC3B77"/>
    <w:rsid w:val="7F93B8DD"/>
    <w:rsid w:val="7FF77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D6224AFE-954D-40D0-B7D1-BF09A8EA1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da-DK"/>
    </w:rPr>
  </w:style>
  <w:style w:type="paragraph" w:styleId="Heading1">
    <w:name w:val="heading 1"/>
    <w:basedOn w:val="Normal"/>
    <w:next w:val="Text1"/>
    <w:link w:val="Heading1Char"/>
    <w:uiPriority w:val="9"/>
    <w:qFormat/>
    <w:pPr>
      <w:keepNext/>
      <w:numPr>
        <w:numId w:val="1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6D5D"/>
    <w:rPr>
      <w:color w:val="0000FF" w:themeColor="hyperlink"/>
      <w:u w:val="single"/>
    </w:rPr>
  </w:style>
  <w:style w:type="character" w:customStyle="1" w:styleId="cf01">
    <w:name w:val="cf01"/>
    <w:basedOn w:val="DefaultParagraphFont"/>
    <w:rsid w:val="00446D5D"/>
    <w:rPr>
      <w:rFonts w:ascii="Segoe UI" w:hAnsi="Segoe UI" w:cs="Segoe UI" w:hint="default"/>
      <w:color w:val="333333"/>
      <w:sz w:val="18"/>
      <w:szCs w:val="18"/>
      <w:shd w:val="clear" w:color="auto" w:fill="FFFFFF"/>
    </w:rPr>
  </w:style>
  <w:style w:type="paragraph" w:styleId="ListBullet">
    <w:name w:val="List Bullet"/>
    <w:basedOn w:val="Normal"/>
    <w:uiPriority w:val="99"/>
    <w:semiHidden/>
    <w:unhideWhenUsed/>
    <w:rsid w:val="00CB1623"/>
    <w:pPr>
      <w:numPr>
        <w:numId w:val="1"/>
      </w:numPr>
      <w:contextualSpacing/>
    </w:pPr>
  </w:style>
  <w:style w:type="paragraph" w:styleId="ListBullet2">
    <w:name w:val="List Bullet 2"/>
    <w:basedOn w:val="Normal"/>
    <w:uiPriority w:val="99"/>
    <w:semiHidden/>
    <w:unhideWhenUsed/>
    <w:rsid w:val="00CB1623"/>
    <w:pPr>
      <w:numPr>
        <w:numId w:val="2"/>
      </w:numPr>
      <w:contextualSpacing/>
    </w:pPr>
  </w:style>
  <w:style w:type="paragraph" w:styleId="ListBullet3">
    <w:name w:val="List Bullet 3"/>
    <w:basedOn w:val="Normal"/>
    <w:uiPriority w:val="99"/>
    <w:semiHidden/>
    <w:unhideWhenUsed/>
    <w:rsid w:val="00CB1623"/>
    <w:pPr>
      <w:numPr>
        <w:numId w:val="3"/>
      </w:numPr>
      <w:contextualSpacing/>
    </w:pPr>
  </w:style>
  <w:style w:type="paragraph" w:styleId="ListBullet4">
    <w:name w:val="List Bullet 4"/>
    <w:basedOn w:val="Normal"/>
    <w:uiPriority w:val="99"/>
    <w:semiHidden/>
    <w:unhideWhenUsed/>
    <w:rsid w:val="00CB1623"/>
    <w:pPr>
      <w:numPr>
        <w:numId w:val="4"/>
      </w:numPr>
      <w:contextualSpacing/>
    </w:pPr>
  </w:style>
  <w:style w:type="character" w:styleId="CommentReference">
    <w:name w:val="annotation reference"/>
    <w:basedOn w:val="DefaultParagraphFont"/>
    <w:uiPriority w:val="99"/>
    <w:semiHidden/>
    <w:unhideWhenUsed/>
    <w:rsid w:val="000B49AE"/>
    <w:rPr>
      <w:sz w:val="16"/>
      <w:szCs w:val="16"/>
    </w:rPr>
  </w:style>
  <w:style w:type="paragraph" w:styleId="CommentText">
    <w:name w:val="annotation text"/>
    <w:basedOn w:val="Normal"/>
    <w:link w:val="CommentTextChar"/>
    <w:uiPriority w:val="99"/>
    <w:unhideWhenUsed/>
    <w:rsid w:val="000B49AE"/>
    <w:rPr>
      <w:sz w:val="20"/>
      <w:szCs w:val="20"/>
    </w:rPr>
  </w:style>
  <w:style w:type="character" w:customStyle="1" w:styleId="CommentTextChar">
    <w:name w:val="Comment Text Char"/>
    <w:basedOn w:val="DefaultParagraphFont"/>
    <w:link w:val="CommentText"/>
    <w:uiPriority w:val="99"/>
    <w:rsid w:val="000B49AE"/>
    <w:rPr>
      <w:rFonts w:ascii="Times New Roman" w:hAnsi="Times New Roman" w:cs="Times New Roman"/>
      <w:sz w:val="20"/>
      <w:szCs w:val="20"/>
      <w:lang w:val="da-DK"/>
    </w:rPr>
  </w:style>
  <w:style w:type="paragraph" w:styleId="CommentSubject">
    <w:name w:val="annotation subject"/>
    <w:basedOn w:val="CommentText"/>
    <w:next w:val="CommentText"/>
    <w:link w:val="CommentSubjectChar"/>
    <w:uiPriority w:val="99"/>
    <w:semiHidden/>
    <w:unhideWhenUsed/>
    <w:rsid w:val="000B49AE"/>
    <w:rPr>
      <w:b/>
      <w:bCs/>
    </w:rPr>
  </w:style>
  <w:style w:type="character" w:customStyle="1" w:styleId="CommentSubjectChar">
    <w:name w:val="Comment Subject Char"/>
    <w:basedOn w:val="CommentTextChar"/>
    <w:link w:val="CommentSubject"/>
    <w:uiPriority w:val="99"/>
    <w:semiHidden/>
    <w:rsid w:val="000B49AE"/>
    <w:rPr>
      <w:rFonts w:ascii="Times New Roman" w:hAnsi="Times New Roman" w:cs="Times New Roman"/>
      <w:b/>
      <w:bCs/>
      <w:sz w:val="20"/>
      <w:szCs w:val="20"/>
      <w:lang w:val="da-DK"/>
    </w:rPr>
  </w:style>
  <w:style w:type="paragraph" w:styleId="Revision">
    <w:name w:val="Revision"/>
    <w:hidden/>
    <w:uiPriority w:val="99"/>
    <w:semiHidden/>
    <w:rsid w:val="00AC6F86"/>
    <w:pPr>
      <w:spacing w:after="0" w:line="240" w:lineRule="auto"/>
    </w:pPr>
    <w:rPr>
      <w:rFonts w:ascii="Times New Roman" w:hAnsi="Times New Roman" w:cs="Times New Roman"/>
      <w:sz w:val="24"/>
    </w:rPr>
  </w:style>
  <w:style w:type="character" w:customStyle="1" w:styleId="UnresolvedMention">
    <w:name w:val="Unresolved Mention"/>
    <w:basedOn w:val="DefaultParagraphFont"/>
    <w:uiPriority w:val="99"/>
    <w:semiHidden/>
    <w:unhideWhenUsed/>
    <w:rsid w:val="00D02DDA"/>
    <w:rPr>
      <w:color w:val="605E5C"/>
      <w:shd w:val="clear" w:color="auto" w:fill="E1DFDD"/>
    </w:rPr>
  </w:style>
  <w:style w:type="character" w:customStyle="1" w:styleId="HeaderChar">
    <w:name w:val="Header Char"/>
    <w:basedOn w:val="DefaultParagraphFont"/>
    <w:link w:val="Header"/>
    <w:uiPriority w:val="99"/>
    <w:rsid w:val="008015A8"/>
    <w:rPr>
      <w:rFonts w:ascii="Times New Roman" w:hAnsi="Times New Roman" w:cs="Times New Roman"/>
      <w:sz w:val="24"/>
      <w:lang w:val="da-DK"/>
    </w:rPr>
  </w:style>
  <w:style w:type="character" w:customStyle="1" w:styleId="FooterChar">
    <w:name w:val="Footer Char"/>
    <w:basedOn w:val="DefaultParagraphFont"/>
    <w:link w:val="Footer"/>
    <w:uiPriority w:val="99"/>
    <w:rsid w:val="008015A8"/>
    <w:rPr>
      <w:rFonts w:ascii="Times New Roman" w:hAnsi="Times New Roman" w:cs="Times New Roman"/>
      <w:sz w:val="24"/>
      <w:lang w:val="da-DK"/>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da-DK"/>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da-DK"/>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da-DK"/>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da-DK"/>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da-DK"/>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da-DK"/>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da-DK"/>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8015A8"/>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8015A8"/>
    <w:pPr>
      <w:spacing w:before="0"/>
      <w:jc w:val="right"/>
    </w:pPr>
    <w:rPr>
      <w:sz w:val="28"/>
    </w:rPr>
  </w:style>
  <w:style w:type="paragraph" w:customStyle="1" w:styleId="FooterSensitivity">
    <w:name w:val="Footer Sensitivity"/>
    <w:basedOn w:val="Normal"/>
    <w:rsid w:val="008015A8"/>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6"/>
      </w:numPr>
    </w:pPr>
  </w:style>
  <w:style w:type="paragraph" w:customStyle="1" w:styleId="Tiret1">
    <w:name w:val="Tiret 1"/>
    <w:basedOn w:val="Point1"/>
    <w:pPr>
      <w:numPr>
        <w:numId w:val="7"/>
      </w:numPr>
    </w:pPr>
  </w:style>
  <w:style w:type="paragraph" w:customStyle="1" w:styleId="Tiret2">
    <w:name w:val="Tiret 2"/>
    <w:basedOn w:val="Point2"/>
    <w:pPr>
      <w:numPr>
        <w:numId w:val="8"/>
      </w:numPr>
    </w:pPr>
  </w:style>
  <w:style w:type="paragraph" w:customStyle="1" w:styleId="Tiret3">
    <w:name w:val="Tiret 3"/>
    <w:basedOn w:val="Point3"/>
    <w:pPr>
      <w:numPr>
        <w:numId w:val="9"/>
      </w:numPr>
    </w:pPr>
  </w:style>
  <w:style w:type="paragraph" w:customStyle="1" w:styleId="Tiret4">
    <w:name w:val="Tiret 4"/>
    <w:basedOn w:val="Point4"/>
    <w:pPr>
      <w:numPr>
        <w:numId w:val="10"/>
      </w:numPr>
    </w:pPr>
  </w:style>
  <w:style w:type="paragraph" w:customStyle="1" w:styleId="Tiret5">
    <w:name w:val="Tiret 5"/>
    <w:basedOn w:val="Point5"/>
    <w:pPr>
      <w:numPr>
        <w:numId w:val="1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2"/>
      </w:numPr>
    </w:pPr>
  </w:style>
  <w:style w:type="paragraph" w:customStyle="1" w:styleId="NumPar2">
    <w:name w:val="NumPar 2"/>
    <w:basedOn w:val="Normal"/>
    <w:next w:val="Text1"/>
    <w:pPr>
      <w:numPr>
        <w:ilvl w:val="1"/>
        <w:numId w:val="12"/>
      </w:numPr>
    </w:pPr>
  </w:style>
  <w:style w:type="paragraph" w:customStyle="1" w:styleId="NumPar3">
    <w:name w:val="NumPar 3"/>
    <w:basedOn w:val="Normal"/>
    <w:next w:val="Text1"/>
    <w:pPr>
      <w:numPr>
        <w:ilvl w:val="2"/>
        <w:numId w:val="12"/>
      </w:numPr>
    </w:pPr>
  </w:style>
  <w:style w:type="paragraph" w:customStyle="1" w:styleId="NumPar4">
    <w:name w:val="NumPar 4"/>
    <w:basedOn w:val="Normal"/>
    <w:next w:val="Text1"/>
    <w:pPr>
      <w:numPr>
        <w:ilvl w:val="3"/>
        <w:numId w:val="12"/>
      </w:numPr>
    </w:pPr>
  </w:style>
  <w:style w:type="paragraph" w:customStyle="1" w:styleId="NumPar5">
    <w:name w:val="NumPar 5"/>
    <w:basedOn w:val="Normal"/>
    <w:next w:val="Text2"/>
    <w:pPr>
      <w:numPr>
        <w:ilvl w:val="4"/>
        <w:numId w:val="12"/>
      </w:numPr>
    </w:pPr>
  </w:style>
  <w:style w:type="paragraph" w:customStyle="1" w:styleId="NumPar6">
    <w:name w:val="NumPar 6"/>
    <w:basedOn w:val="Normal"/>
    <w:next w:val="Text2"/>
    <w:pPr>
      <w:numPr>
        <w:ilvl w:val="5"/>
        <w:numId w:val="12"/>
      </w:numPr>
    </w:pPr>
  </w:style>
  <w:style w:type="paragraph" w:customStyle="1" w:styleId="NumPar7">
    <w:name w:val="NumPar 7"/>
    <w:basedOn w:val="Normal"/>
    <w:next w:val="Text2"/>
    <w:pPr>
      <w:numPr>
        <w:ilvl w:val="6"/>
        <w:numId w:val="1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4"/>
      </w:numPr>
    </w:pPr>
  </w:style>
  <w:style w:type="paragraph" w:customStyle="1" w:styleId="Point1number">
    <w:name w:val="Point 1 (number)"/>
    <w:basedOn w:val="Normal"/>
    <w:pPr>
      <w:numPr>
        <w:ilvl w:val="2"/>
        <w:numId w:val="14"/>
      </w:numPr>
    </w:pPr>
  </w:style>
  <w:style w:type="paragraph" w:customStyle="1" w:styleId="Point2number">
    <w:name w:val="Point 2 (number)"/>
    <w:basedOn w:val="Normal"/>
    <w:pPr>
      <w:numPr>
        <w:ilvl w:val="4"/>
        <w:numId w:val="14"/>
      </w:numPr>
    </w:pPr>
  </w:style>
  <w:style w:type="paragraph" w:customStyle="1" w:styleId="Point3number">
    <w:name w:val="Point 3 (number)"/>
    <w:basedOn w:val="Normal"/>
    <w:pPr>
      <w:numPr>
        <w:ilvl w:val="6"/>
        <w:numId w:val="14"/>
      </w:numPr>
    </w:pPr>
  </w:style>
  <w:style w:type="paragraph" w:customStyle="1" w:styleId="Point0letter">
    <w:name w:val="Point 0 (letter)"/>
    <w:basedOn w:val="Normal"/>
    <w:pPr>
      <w:numPr>
        <w:ilvl w:val="1"/>
        <w:numId w:val="14"/>
      </w:numPr>
    </w:pPr>
  </w:style>
  <w:style w:type="paragraph" w:customStyle="1" w:styleId="Point1letter">
    <w:name w:val="Point 1 (letter)"/>
    <w:basedOn w:val="Normal"/>
    <w:pPr>
      <w:numPr>
        <w:ilvl w:val="3"/>
        <w:numId w:val="14"/>
      </w:numPr>
    </w:pPr>
  </w:style>
  <w:style w:type="paragraph" w:customStyle="1" w:styleId="Point2letter">
    <w:name w:val="Point 2 (letter)"/>
    <w:basedOn w:val="Normal"/>
    <w:pPr>
      <w:numPr>
        <w:ilvl w:val="5"/>
        <w:numId w:val="14"/>
      </w:numPr>
    </w:pPr>
  </w:style>
  <w:style w:type="paragraph" w:customStyle="1" w:styleId="Point3letter">
    <w:name w:val="Point 3 (letter)"/>
    <w:basedOn w:val="Normal"/>
    <w:pPr>
      <w:numPr>
        <w:ilvl w:val="7"/>
        <w:numId w:val="14"/>
      </w:numPr>
    </w:pPr>
  </w:style>
  <w:style w:type="paragraph" w:customStyle="1" w:styleId="Point4letter">
    <w:name w:val="Point 4 (letter)"/>
    <w:basedOn w:val="Normal"/>
    <w:pPr>
      <w:numPr>
        <w:ilvl w:val="8"/>
        <w:numId w:val="14"/>
      </w:numPr>
    </w:pPr>
  </w:style>
  <w:style w:type="paragraph" w:customStyle="1" w:styleId="Bullet0">
    <w:name w:val="Bullet 0"/>
    <w:basedOn w:val="Normal"/>
    <w:pPr>
      <w:numPr>
        <w:numId w:val="15"/>
      </w:numPr>
    </w:pPr>
  </w:style>
  <w:style w:type="paragraph" w:customStyle="1" w:styleId="Bullet1">
    <w:name w:val="Bullet 1"/>
    <w:basedOn w:val="Normal"/>
    <w:pPr>
      <w:numPr>
        <w:numId w:val="16"/>
      </w:numPr>
    </w:pPr>
  </w:style>
  <w:style w:type="paragraph" w:customStyle="1" w:styleId="Bullet2">
    <w:name w:val="Bullet 2"/>
    <w:basedOn w:val="Normal"/>
    <w:pPr>
      <w:numPr>
        <w:numId w:val="17"/>
      </w:numPr>
    </w:pPr>
  </w:style>
  <w:style w:type="paragraph" w:customStyle="1" w:styleId="Bullet3">
    <w:name w:val="Bullet 3"/>
    <w:basedOn w:val="Normal"/>
    <w:pPr>
      <w:numPr>
        <w:numId w:val="18"/>
      </w:numPr>
    </w:pPr>
  </w:style>
  <w:style w:type="paragraph" w:customStyle="1" w:styleId="Bullet4">
    <w:name w:val="Bullet 4"/>
    <w:basedOn w:val="Normal"/>
    <w:pPr>
      <w:numPr>
        <w:numId w:val="1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8015A8"/>
    <w:pPr>
      <w:tabs>
        <w:tab w:val="center" w:pos="4535"/>
        <w:tab w:val="right" w:pos="9071"/>
      </w:tabs>
      <w:spacing w:before="0"/>
    </w:pPr>
  </w:style>
  <w:style w:type="paragraph" w:customStyle="1" w:styleId="HeaderLandscape">
    <w:name w:val="HeaderLandscape"/>
    <w:basedOn w:val="Normal"/>
    <w:rsid w:val="008015A8"/>
    <w:pPr>
      <w:tabs>
        <w:tab w:val="center" w:pos="7285"/>
        <w:tab w:val="right" w:pos="14003"/>
      </w:tabs>
      <w:spacing w:before="0"/>
    </w:pPr>
  </w:style>
  <w:style w:type="paragraph" w:styleId="Footer">
    <w:name w:val="footer"/>
    <w:basedOn w:val="Normal"/>
    <w:link w:val="FooterChar"/>
    <w:uiPriority w:val="99"/>
    <w:unhideWhenUsed/>
    <w:rsid w:val="008015A8"/>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8015A8"/>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dec_impl/2024/1447/oj" TargetMode="External"/><Relationship Id="rId1" Type="http://schemas.openxmlformats.org/officeDocument/2006/relationships/hyperlink" Target="http://data.europa.eu/eli/reg/2024/792/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A035B8C3EAA64A9CFE17FEB37C94B7" ma:contentTypeVersion="13" ma:contentTypeDescription="Create a new document." ma:contentTypeScope="" ma:versionID="ceede4f2c4a2aa62d8a5284ff8ef180b">
  <xsd:schema xmlns:xsd="http://www.w3.org/2001/XMLSchema" xmlns:xs="http://www.w3.org/2001/XMLSchema" xmlns:p="http://schemas.microsoft.com/office/2006/metadata/properties" xmlns:ns2="f46a404f-b2a3-4040-9043-f235421f67a9" xmlns:ns3="143df74d-9af4-4f98-9378-663f31c63d7c" targetNamespace="http://schemas.microsoft.com/office/2006/metadata/properties" ma:root="true" ma:fieldsID="ad8105a9dacf4297f334b553f0f52945" ns2:_="" ns3:_="">
    <xsd:import namespace="f46a404f-b2a3-4040-9043-f235421f67a9"/>
    <xsd:import namespace="143df74d-9af4-4f98-9378-663f31c63d7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a404f-b2a3-4040-9043-f235421f6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df74d-9af4-4f98-9378-663f31c63d7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eaa164-67b1-4009-9506-aa3f45407dd2}" ma:internalName="TaxCatchAll" ma:showField="CatchAllData" ma:web="143df74d-9af4-4f98-9378-663f31c63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6a404f-b2a3-4040-9043-f235421f67a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143df74d-9af4-4f98-9378-663f31c63d7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6A81E-4273-4C1C-94EB-347DEC0EBD30}">
  <ds:schemaRefs>
    <ds:schemaRef ds:uri="http://schemas.microsoft.com/sharepoint/v3/contenttype/forms"/>
  </ds:schemaRefs>
</ds:datastoreItem>
</file>

<file path=customXml/itemProps2.xml><?xml version="1.0" encoding="utf-8"?>
<ds:datastoreItem xmlns:ds="http://schemas.openxmlformats.org/officeDocument/2006/customXml" ds:itemID="{FD7B6D40-07F2-4D52-BA30-66EF9A747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a404f-b2a3-4040-9043-f235421f67a9"/>
    <ds:schemaRef ds:uri="143df74d-9af4-4f98-9378-663f31c6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7E8230-EA63-49C6-BB9C-D2E2FBF3C148}">
  <ds:schemaRefs>
    <ds:schemaRef ds:uri="http://schemas.microsoft.com/office/2006/metadata/properties"/>
    <ds:schemaRef ds:uri="http://schemas.microsoft.com/office/infopath/2007/PartnerControls"/>
    <ds:schemaRef ds:uri="f46a404f-b2a3-4040-9043-f235421f67a9"/>
    <ds:schemaRef ds:uri="143df74d-9af4-4f98-9378-663f31c63d7c"/>
  </ds:schemaRefs>
</ds:datastoreItem>
</file>

<file path=customXml/itemProps4.xml><?xml version="1.0" encoding="utf-8"?>
<ds:datastoreItem xmlns:ds="http://schemas.openxmlformats.org/officeDocument/2006/customXml" ds:itemID="{D5DEFB39-ABA1-48BD-B35D-F394C8B06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30</TotalTime>
  <Pages>4</Pages>
  <Words>998</Words>
  <Characters>5694</Characters>
  <Application>Microsoft Office Word</Application>
  <DocSecurity>0</DocSecurity>
  <Lines>47</Lines>
  <Paragraphs>13</Paragraphs>
  <ScaleCrop>false</ScaleCrop>
  <Manager/>
  <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54</cp:revision>
  <dcterms:created xsi:type="dcterms:W3CDTF">2024-11-08T17:31:00Z</dcterms:created>
  <dcterms:modified xsi:type="dcterms:W3CDTF">2024-11-27T17:04:00Z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Created using">
    <vt:lpwstr>LW 9.0, Build 20230317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SJ-021</vt:lpwstr>
  </property>
  <property fmtid="{D5CDD505-2E9C-101B-9397-08002B2CF9AE}" pid="10" name="MSIP_Label_6bd9ddd1-4d20-43f6-abfa-fc3c07406f94_Enabled">
    <vt:lpwstr>true</vt:lpwstr>
  </property>
  <property fmtid="{D5CDD505-2E9C-101B-9397-08002B2CF9AE}" pid="11" name="MSIP_Label_6bd9ddd1-4d20-43f6-abfa-fc3c07406f94_SetDate">
    <vt:lpwstr>2024-07-17T11:37:53Z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00b229e1-a42a-4753-93f8-f11c8b4585bb</vt:lpwstr>
  </property>
  <property fmtid="{D5CDD505-2E9C-101B-9397-08002B2CF9AE}" pid="16" name="MSIP_Label_6bd9ddd1-4d20-43f6-abfa-fc3c07406f94_ContentBits">
    <vt:lpwstr>0</vt:lpwstr>
  </property>
  <property fmtid="{D5CDD505-2E9C-101B-9397-08002B2CF9AE}" pid="17" name="ContentTypeId">
    <vt:lpwstr>0x01010089A035B8C3EAA64A9CFE17FEB37C94B7</vt:lpwstr>
  </property>
  <property fmtid="{D5CDD505-2E9C-101B-9397-08002B2CF9AE}" pid="18" name="MediaServiceImageTags">
    <vt:lpwstr/>
  </property>
  <property fmtid="{D5CDD505-2E9C-101B-9397-08002B2CF9AE}" pid="19" name="DQCStatus">
    <vt:lpwstr>Green (DQC version 03)</vt:lpwstr>
  </property>
  <property name="OP_sanitized" fmtid="{D5CDD505-2E9C-101B-9397-08002B2CF9AE}" pid="20">
    <vt:lpwstr>True</vt:lpwstr>
  </property>
</Properties>
</file>