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6D5D" w:rsidRPr="00CD1FDF" w:rsidRDefault="00CD6A53" w:rsidP="00CD6A53">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110C2EA9-3845-46B1-AD14-0A1593F668E6" style="width:455.25pt;height:383.25pt">
            <v:imagedata r:id="rId11" o:title=""/>
          </v:shape>
        </w:pict>
      </w:r>
    </w:p>
    <w:p w:rsidR="00945E1A" w:rsidRPr="00CD1FDF" w:rsidRDefault="00945E1A" w:rsidP="00E95A83">
      <w:pPr>
        <w:rPr>
          <w:noProof/>
        </w:rPr>
        <w:sectPr w:rsidR="00945E1A" w:rsidRPr="00CD1FDF" w:rsidSect="00CD6A53">
          <w:footerReference w:type="even" r:id="rId12"/>
          <w:footerReference w:type="default" r:id="rId13"/>
          <w:pgSz w:w="11907" w:h="16839"/>
          <w:pgMar w:top="1134" w:right="1417" w:bottom="1134" w:left="1417" w:header="709" w:footer="709" w:gutter="0"/>
          <w:pgNumType w:start="0"/>
          <w:cols w:space="720"/>
          <w:docGrid w:linePitch="360"/>
        </w:sectPr>
      </w:pPr>
    </w:p>
    <w:p w:rsidR="00C064F5" w:rsidRPr="00CD1FDF" w:rsidRDefault="00C064F5" w:rsidP="00945E1A">
      <w:pPr>
        <w:pStyle w:val="Exposdesmotifstitre"/>
        <w:ind w:left="360"/>
        <w:rPr>
          <w:noProof/>
          <w:sz w:val="2"/>
          <w:szCs w:val="2"/>
        </w:rPr>
      </w:pPr>
      <w:bookmarkStart w:id="0" w:name="_GoBack"/>
      <w:bookmarkEnd w:id="0"/>
    </w:p>
    <w:p w:rsidR="00C064F5" w:rsidRPr="00CD1FDF" w:rsidRDefault="00C064F5" w:rsidP="00C064F5">
      <w:pPr>
        <w:rPr>
          <w:noProof/>
          <w:sz w:val="2"/>
          <w:szCs w:val="2"/>
        </w:rPr>
      </w:pPr>
    </w:p>
    <w:p w:rsidR="00A04C54" w:rsidRPr="00CD1FDF" w:rsidRDefault="00CD1FDF" w:rsidP="00CD1FDF">
      <w:pPr>
        <w:pStyle w:val="Rfrenceinterinstitutionnelle"/>
        <w:rPr>
          <w:noProof/>
        </w:rPr>
      </w:pPr>
      <w:r>
        <w:rPr>
          <w:noProof/>
        </w:rPr>
        <w:t>2024/0303 (NLE)</w:t>
      </w:r>
    </w:p>
    <w:p w:rsidR="00446D5D" w:rsidRPr="00CD1FDF" w:rsidRDefault="00CD1FDF" w:rsidP="00CD1FDF">
      <w:pPr>
        <w:pStyle w:val="Statut"/>
        <w:rPr>
          <w:noProof/>
        </w:rPr>
      </w:pPr>
      <w:r w:rsidRPr="00CD1FDF">
        <w:rPr>
          <w:noProof/>
        </w:rPr>
        <w:t>Propunere de</w:t>
      </w:r>
    </w:p>
    <w:p w:rsidR="00446D5D" w:rsidRPr="00CD1FDF" w:rsidRDefault="00CD1FDF" w:rsidP="00CD1FDF">
      <w:pPr>
        <w:pStyle w:val="Typedudocument"/>
        <w:rPr>
          <w:noProof/>
        </w:rPr>
      </w:pPr>
      <w:r w:rsidRPr="00CD1FDF">
        <w:rPr>
          <w:noProof/>
        </w:rPr>
        <w:t>DECIZIE DE PUNERE ÎN APLICARE A CONSILIULUI</w:t>
      </w:r>
    </w:p>
    <w:p w:rsidR="00446D5D" w:rsidRPr="00CD1FDF" w:rsidRDefault="00CD1FDF" w:rsidP="00CD1FDF">
      <w:pPr>
        <w:pStyle w:val="Titreobjet"/>
        <w:rPr>
          <w:noProof/>
        </w:rPr>
      </w:pPr>
      <w:r w:rsidRPr="00CD1FDF">
        <w:rPr>
          <w:noProof/>
        </w:rPr>
        <w:t xml:space="preserve">privind stabilirea îndeplinirii în mod satisfăcător a condițiilor pentru plata celei de a doua tranșe a sprijinului financiar nerambursabil și a sprijinului sub formă de împrumut din cadrul Planului pentru Ucraina al Mecanismului pentru Ucraina </w:t>
      </w:r>
      <w:r w:rsidRPr="00CD1FDF">
        <w:rPr>
          <w:noProof/>
        </w:rPr>
        <w:br/>
      </w:r>
    </w:p>
    <w:p w:rsidR="00446D5D" w:rsidRPr="00CD1FDF" w:rsidRDefault="00446D5D" w:rsidP="00446D5D">
      <w:pPr>
        <w:pStyle w:val="Institutionquiagit"/>
        <w:rPr>
          <w:noProof/>
        </w:rPr>
      </w:pPr>
      <w:bookmarkStart w:id="1" w:name="_Hlk172115450"/>
      <w:r w:rsidRPr="00CD1FDF">
        <w:rPr>
          <w:noProof/>
        </w:rPr>
        <w:t>CONSILIUL UNIUNII EUROPENE,</w:t>
      </w:r>
    </w:p>
    <w:p w:rsidR="00446D5D" w:rsidRPr="00CD1FDF" w:rsidRDefault="00446D5D" w:rsidP="00446D5D">
      <w:pPr>
        <w:rPr>
          <w:noProof/>
        </w:rPr>
      </w:pPr>
      <w:bookmarkStart w:id="2" w:name="_Hlk172115434"/>
      <w:bookmarkStart w:id="3" w:name="_Hlk172115421"/>
      <w:r w:rsidRPr="00CD1FDF">
        <w:rPr>
          <w:noProof/>
        </w:rPr>
        <w:t xml:space="preserve">având în vedere Tratatul privind funcționarea Uniunii Europene, </w:t>
      </w:r>
    </w:p>
    <w:p w:rsidR="00446D5D" w:rsidRPr="00CD1FDF" w:rsidRDefault="00446D5D" w:rsidP="00446D5D">
      <w:pPr>
        <w:rPr>
          <w:noProof/>
        </w:rPr>
      </w:pPr>
      <w:bookmarkStart w:id="4" w:name="_Hlk172111742"/>
      <w:r w:rsidRPr="00CD1FDF">
        <w:rPr>
          <w:noProof/>
        </w:rPr>
        <w:t>Având în vedere Regulamentul (UE) 2024/792 al Parlamentului European și al Consiliului din 29 februarie 2024 de instituire a Mecanismului pentru Ucraina</w:t>
      </w:r>
      <w:r w:rsidRPr="00CD1FDF">
        <w:rPr>
          <w:rStyle w:val="FootnoteReference"/>
          <w:noProof/>
        </w:rPr>
        <w:footnoteReference w:id="2"/>
      </w:r>
      <w:r w:rsidRPr="00CD1FDF">
        <w:rPr>
          <w:noProof/>
        </w:rPr>
        <w:t>, în special articolul 26 alineatul (4),</w:t>
      </w:r>
    </w:p>
    <w:bookmarkEnd w:id="4"/>
    <w:p w:rsidR="00446D5D" w:rsidRPr="00CD1FDF" w:rsidRDefault="00446D5D" w:rsidP="55ADF842">
      <w:pPr>
        <w:rPr>
          <w:noProof/>
        </w:rPr>
      </w:pPr>
      <w:r w:rsidRPr="00CD1FDF">
        <w:rPr>
          <w:noProof/>
        </w:rPr>
        <w:t>având în vedere propunerea Comisiei Europene,</w:t>
      </w:r>
    </w:p>
    <w:bookmarkEnd w:id="2"/>
    <w:p w:rsidR="00446D5D" w:rsidRPr="00CD1FDF" w:rsidRDefault="00446D5D" w:rsidP="00446D5D">
      <w:pPr>
        <w:rPr>
          <w:noProof/>
        </w:rPr>
      </w:pPr>
      <w:r w:rsidRPr="00CD1FDF">
        <w:rPr>
          <w:noProof/>
        </w:rPr>
        <w:t>întrucât:</w:t>
      </w:r>
    </w:p>
    <w:p w:rsidR="00900062" w:rsidRPr="00CD1FDF" w:rsidRDefault="00A92E59" w:rsidP="00A92E59">
      <w:pPr>
        <w:pStyle w:val="ManualConsidrant"/>
        <w:rPr>
          <w:noProof/>
        </w:rPr>
      </w:pPr>
      <w:bookmarkStart w:id="5" w:name="_Hlk172111757"/>
      <w:bookmarkEnd w:id="3"/>
      <w:r w:rsidRPr="00A92E59">
        <w:rPr>
          <w:noProof/>
        </w:rPr>
        <w:t>(1)</w:t>
      </w:r>
      <w:r w:rsidRPr="00A92E59">
        <w:rPr>
          <w:noProof/>
        </w:rPr>
        <w:tab/>
      </w:r>
      <w:r w:rsidR="00446D5D" w:rsidRPr="00CD1FDF">
        <w:rPr>
          <w:noProof/>
        </w:rPr>
        <w:t xml:space="preserve">Pilonul I al Mecanismului pentru Ucraina (denumit în continuare „mecanismul”) pune la dispoziția Ucrainei un sprijin financiar de până la 38 270 000 000 EUR pentru perioada 2024-2027 sub formă de sprijin nerambursabil și împrumuturi. Finanțarea în cadrul pilonului I este alocată în principal pe baza Planului pentru Ucraina (denumit în continuare „planul”). Planul stabilește agenda de reforme și investiții pentru Ucraina, precum și etapele calitative și cantitative care sunt legate de finanțarea în cadrul pilonului I al mecanismului. </w:t>
      </w:r>
    </w:p>
    <w:p w:rsidR="00900062" w:rsidRPr="00CD1FDF" w:rsidRDefault="00A92E59" w:rsidP="00A92E59">
      <w:pPr>
        <w:pStyle w:val="ManualConsidrant"/>
        <w:rPr>
          <w:noProof/>
        </w:rPr>
      </w:pPr>
      <w:r w:rsidRPr="00A92E59">
        <w:rPr>
          <w:noProof/>
        </w:rPr>
        <w:t>(2)</w:t>
      </w:r>
      <w:r w:rsidRPr="00A92E59">
        <w:rPr>
          <w:noProof/>
        </w:rPr>
        <w:tab/>
      </w:r>
      <w:r w:rsidR="6DAF66E4" w:rsidRPr="00CD1FDF">
        <w:rPr>
          <w:noProof/>
        </w:rPr>
        <w:t>În temeiul articolului 19 din Regulamentul (UE) 2024/792, Consiliul a adoptat Decizia de punere în aplicare (UE) 2024/1447</w:t>
      </w:r>
      <w:r w:rsidR="6DAF66E4" w:rsidRPr="00CD1FDF">
        <w:rPr>
          <w:rStyle w:val="FootnoteReference"/>
          <w:noProof/>
        </w:rPr>
        <w:footnoteReference w:id="3"/>
      </w:r>
      <w:r w:rsidR="6DAF66E4" w:rsidRPr="00CD1FDF">
        <w:rPr>
          <w:noProof/>
        </w:rPr>
        <w:t xml:space="preserve"> privind aprobarea evaluării planului. Calendarul pentru monitorizarea și punerea în aplicare a planului, inclusiv etapele calitative și cantitative care sunt legate de finanțarea în cadrul pilonului I al mecanismului, este stabilit în anexa la Decizia de punere în aplicare (UE) 2024/1447.</w:t>
      </w:r>
    </w:p>
    <w:p w:rsidR="00900062" w:rsidRPr="00CD1FDF" w:rsidRDefault="00A92E59" w:rsidP="00A92E59">
      <w:pPr>
        <w:pStyle w:val="ManualConsidrant"/>
        <w:rPr>
          <w:noProof/>
        </w:rPr>
      </w:pPr>
      <w:r w:rsidRPr="00A92E59">
        <w:rPr>
          <w:noProof/>
        </w:rPr>
        <w:t>(3)</w:t>
      </w:r>
      <w:r w:rsidRPr="00A92E59">
        <w:rPr>
          <w:noProof/>
        </w:rPr>
        <w:tab/>
      </w:r>
      <w:r w:rsidR="00446D5D" w:rsidRPr="00CD1FDF">
        <w:rPr>
          <w:noProof/>
        </w:rPr>
        <w:t xml:space="preserve">Suma totală a resurselor financiare puse la dispoziția planului în temeiul Deciziei de punere în aplicare (UE) 2024/1447 a Consiliului se ridică la 32 270 000 000 EUR, din care </w:t>
      </w:r>
      <w:bookmarkStart w:id="6" w:name="_Hlk181809472"/>
      <w:r w:rsidR="00446D5D" w:rsidRPr="00CD1FDF">
        <w:rPr>
          <w:noProof/>
        </w:rPr>
        <w:t>5 270 000 000</w:t>
      </w:r>
      <w:r w:rsidR="00446D5D" w:rsidRPr="00CD1FDF">
        <w:rPr>
          <w:noProof/>
          <w:sz w:val="28"/>
        </w:rPr>
        <w:t> </w:t>
      </w:r>
      <w:r w:rsidR="00446D5D" w:rsidRPr="00CD1FDF">
        <w:rPr>
          <w:noProof/>
        </w:rPr>
        <w:t>EUR</w:t>
      </w:r>
      <w:bookmarkEnd w:id="6"/>
      <w:r w:rsidR="00446D5D" w:rsidRPr="00CD1FDF">
        <w:rPr>
          <w:noProof/>
        </w:rPr>
        <w:t xml:space="preserve"> sub formă de sprijin financiar nerambursabil și 27 000 000 000 EUR sub formă de împrumut. </w:t>
      </w:r>
    </w:p>
    <w:p w:rsidR="00900062" w:rsidRPr="00CD1FDF" w:rsidRDefault="00A92E59" w:rsidP="00A92E59">
      <w:pPr>
        <w:pStyle w:val="ManualConsidrant"/>
        <w:rPr>
          <w:noProof/>
        </w:rPr>
      </w:pPr>
      <w:r w:rsidRPr="00A92E59">
        <w:rPr>
          <w:noProof/>
        </w:rPr>
        <w:t>(4)</w:t>
      </w:r>
      <w:r w:rsidRPr="00A92E59">
        <w:rPr>
          <w:noProof/>
        </w:rPr>
        <w:tab/>
      </w:r>
      <w:r w:rsidR="5F7B3744" w:rsidRPr="00CD1FDF">
        <w:rPr>
          <w:noProof/>
        </w:rPr>
        <w:t>În conformitate cu articolele 25 și 24 din Regulamentul (UE) 2024/1447, suma de 6 000 000 000 EUR a fost plătită Ucrainei – ca finanțare-punte excepțională și suma de 1 890 000 000 EUR – sub formă de prefinanțare, reprezentând o plată în avans de 7 % din sprijinul sub formă de împrumut pe care Ucraina este eligibilă să îl primească în cadrul Planului pentru Ucraina.</w:t>
      </w:r>
    </w:p>
    <w:p w:rsidR="00900062" w:rsidRPr="00CD1FDF" w:rsidRDefault="00A92E59" w:rsidP="00A92E59">
      <w:pPr>
        <w:pStyle w:val="ManualConsidrant"/>
        <w:rPr>
          <w:noProof/>
        </w:rPr>
      </w:pPr>
      <w:r w:rsidRPr="00A92E59">
        <w:rPr>
          <w:noProof/>
        </w:rPr>
        <w:t>(5)</w:t>
      </w:r>
      <w:r w:rsidRPr="00A92E59">
        <w:rPr>
          <w:noProof/>
        </w:rPr>
        <w:tab/>
      </w:r>
      <w:r w:rsidR="27BB8800" w:rsidRPr="00CD1FDF">
        <w:rPr>
          <w:noProof/>
        </w:rPr>
        <w:t>În conformitate cu articolul 26 alineatul (4) din Regulamentul (UE) 2024/792, suma de 4 165 092 857 EUR a fost plătită Ucrainei în cadrul primei tranșe, din care 1 500 000 000 EUR sub formă de sprijin financiar nerambursabil și 2 665 092 857 </w:t>
      </w:r>
      <w:r w:rsidR="27BB8800" w:rsidRPr="00CD1FDF">
        <w:rPr>
          <w:noProof/>
          <w:color w:val="000000" w:themeColor="text1"/>
        </w:rPr>
        <w:t>EUR sub formă de împrumuturi. În conformitate cu dispozițiile acordului de împrumut încheiat între Uniune și Ucraina în temeiul articolului 22 din Regulamentul (UE) 2024/792, suma de 200</w:t>
      </w:r>
      <w:r w:rsidR="27BB8800" w:rsidRPr="00CD1FDF">
        <w:rPr>
          <w:noProof/>
        </w:rPr>
        <w:t> </w:t>
      </w:r>
      <w:r w:rsidR="27BB8800" w:rsidRPr="00CD1FDF">
        <w:rPr>
          <w:noProof/>
          <w:color w:val="000000" w:themeColor="text1"/>
        </w:rPr>
        <w:t>598</w:t>
      </w:r>
      <w:r w:rsidR="27BB8800" w:rsidRPr="00CD1FDF">
        <w:rPr>
          <w:noProof/>
        </w:rPr>
        <w:t> </w:t>
      </w:r>
      <w:r w:rsidR="27BB8800" w:rsidRPr="00CD1FDF">
        <w:rPr>
          <w:noProof/>
          <w:color w:val="000000" w:themeColor="text1"/>
        </w:rPr>
        <w:t>387 EUR aferentă primei tranșe a fost utilizată pentru lichidarea prefinanțării împrumutului.</w:t>
      </w:r>
    </w:p>
    <w:p w:rsidR="00900062" w:rsidRPr="00CD1FDF" w:rsidRDefault="00A92E59" w:rsidP="00A92E59">
      <w:pPr>
        <w:pStyle w:val="ManualConsidrant"/>
        <w:rPr>
          <w:noProof/>
        </w:rPr>
      </w:pPr>
      <w:r w:rsidRPr="00A92E59">
        <w:rPr>
          <w:noProof/>
        </w:rPr>
        <w:t>(6)</w:t>
      </w:r>
      <w:r w:rsidRPr="00A92E59">
        <w:rPr>
          <w:noProof/>
        </w:rPr>
        <w:tab/>
      </w:r>
      <w:r w:rsidR="00446D5D" w:rsidRPr="00CD1FDF">
        <w:rPr>
          <w:noProof/>
        </w:rPr>
        <w:t xml:space="preserve">În conformitate cu articolul 26 alineatul (2) din Regulamentul (UE) 2024/792, la 10 octombrie 2024, Ucraina a prezentat o cerere de plată a celei de a doua tranșe a sprijinului financiar nerambursabil și a sprijinului sub formă de împrumut, în valoare de 4 248 847 926 EUR, astfel cum se prevede în anexa la Decizia de punere în aplicare (UE) 2024/1447 a Consiliului, furnizând totodată dovezi care demonstrează îndeplinirea satisfăcătoare a opt dintre cele nouă etape. La 31 octombrie 2024, au fost prezentate dovezi suplimentare referitoare la îndeplinirea satisfăcătoare a etapei rămase. Cererea a fost însoțită de documentele necesare în temeiul articolului 12 din acordul-cadru, al articolului 5 din Acordul de finanțare și al articolului 6 din Acordul de împrumut încheiat între Uniune și Ucraina în temeiul articolelor 9, 10 și 22 din Regulamentul (UE) 2024/792. </w:t>
      </w:r>
    </w:p>
    <w:p w:rsidR="00900062" w:rsidRPr="00CD1FDF" w:rsidRDefault="00A92E59" w:rsidP="00A92E59">
      <w:pPr>
        <w:pStyle w:val="ManualConsidrant"/>
        <w:rPr>
          <w:noProof/>
        </w:rPr>
      </w:pPr>
      <w:r w:rsidRPr="00A92E59">
        <w:rPr>
          <w:noProof/>
        </w:rPr>
        <w:t>(7)</w:t>
      </w:r>
      <w:r w:rsidRPr="00A92E59">
        <w:rPr>
          <w:noProof/>
        </w:rPr>
        <w:tab/>
      </w:r>
      <w:r w:rsidR="13303290" w:rsidRPr="00CD1FDF">
        <w:rPr>
          <w:noProof/>
        </w:rPr>
        <w:t xml:space="preserve">Ucraina a furnizat, împreună cu cererea sa de plată, justificarea corespunzătoare a îndeplinirii în mod satisfăcător a celor nouă etape prevăzute pentru T3-2024, în conformitate cu Decizia de punere în aplicare (UE) 2024/1447. Cele nouă etape îndeplinite în mod satisfăcător se referă la diverse reforme prevăzute în cadrul planului la capitolele privind combaterea corupției și a spălării banilor, capitalul uman, mediul de afaceri, descentralizarea și politica regională, sectorul energetic și tranziția verde, precum și protecția mediului. Parchetul Specializat Anticorupție a avut ocazia de a-și crește efectivul de personal. Au fost adoptate Planul de acțiune pentru punerea în aplicare a Strategiei de recuperare a activelor pentru perioada 2023-2025, Strategia de dezvoltare demografică pentru perioada până în 2040, Planul de acțiune privind dereglementarea și rezoluțiile de modificare a Strategiei de stat pentru dezvoltare regională pentru perioada 2021-2027. În plus, a fost elaborat documentul de reflecție care stabilește domeniul de aplicare al derogărilor de la normele privind evaluarea impactului asupra mediului și evaluarea strategică de mediu. În cele din urmă, au intrat în vigoare legile referitoare la Codul penal și Codul de procedură penală și la poluarea industrială, precum și legislația secundară privind integritatea și transparența pieței angro de energie. </w:t>
      </w:r>
    </w:p>
    <w:p w:rsidR="00900062" w:rsidRPr="00CD1FDF" w:rsidRDefault="00A92E59" w:rsidP="00A92E59">
      <w:pPr>
        <w:pStyle w:val="ManualConsidrant"/>
        <w:rPr>
          <w:noProof/>
        </w:rPr>
      </w:pPr>
      <w:r w:rsidRPr="00A92E59">
        <w:rPr>
          <w:noProof/>
        </w:rPr>
        <w:t>(8)</w:t>
      </w:r>
      <w:r w:rsidRPr="00A92E59">
        <w:rPr>
          <w:noProof/>
        </w:rPr>
        <w:tab/>
      </w:r>
      <w:r w:rsidR="00446D5D" w:rsidRPr="00CD1FDF">
        <w:rPr>
          <w:noProof/>
        </w:rPr>
        <w:t>În conformitate cu articolul 26 alineatul (4) din Regulamentul (UE) 2024/792, Comisia a analizat în detaliu cererea de plată prezentată de Ucraina și a evaluat-o pozitiv, concluzionând că cele nouă etape calitative și cantitative pentru plata celei de a doua tranșe au fost îndeplinite în mod satisfăcător, astfel cum se specifică în anexa la prezenta decizie. Această evaluare pozitivă se realizează în contextul punerii în aplicare a planului. Continuarea alinierii la acquis-ul UE va fi facilitată prin procesul de aderare la UE.</w:t>
      </w:r>
    </w:p>
    <w:p w:rsidR="00900062" w:rsidRPr="00CD1FDF" w:rsidRDefault="00A92E59" w:rsidP="00A92E59">
      <w:pPr>
        <w:pStyle w:val="ManualConsidrant"/>
        <w:rPr>
          <w:noProof/>
        </w:rPr>
      </w:pPr>
      <w:r w:rsidRPr="00A92E59">
        <w:rPr>
          <w:noProof/>
        </w:rPr>
        <w:t>(9)</w:t>
      </w:r>
      <w:r w:rsidRPr="00A92E59">
        <w:rPr>
          <w:noProof/>
        </w:rPr>
        <w:tab/>
      </w:r>
      <w:r w:rsidR="00446D5D" w:rsidRPr="00CD1FDF">
        <w:rPr>
          <w:noProof/>
        </w:rPr>
        <w:t>Comisia a stabilit că Ucraina continuă să îndeplinească condiția prealabilă pentru acordarea sprijinului din partea Uniunii, astfel cum este prevăzută la articolul 5 din Regulamentul (UE) 2024/792. În special, Ucraina continuă să susțină și să respecte mecanisme democratice eficace, inclusiv un sistem parlamentar pluripartit și statul de drept, și să garanteze respectarea drepturilor omului, inclusiv a drepturilor persoanelor care aparțin minorităților.</w:t>
      </w:r>
    </w:p>
    <w:p w:rsidR="00900062" w:rsidRPr="00CD1FDF" w:rsidRDefault="00A92E59" w:rsidP="00A92E59">
      <w:pPr>
        <w:pStyle w:val="ManualConsidrant"/>
        <w:rPr>
          <w:noProof/>
        </w:rPr>
      </w:pPr>
      <w:r w:rsidRPr="00A92E59">
        <w:rPr>
          <w:noProof/>
        </w:rPr>
        <w:t>(10)</w:t>
      </w:r>
      <w:r w:rsidRPr="00A92E59">
        <w:rPr>
          <w:noProof/>
        </w:rPr>
        <w:tab/>
      </w:r>
      <w:r w:rsidR="00446D5D" w:rsidRPr="00CD1FDF">
        <w:rPr>
          <w:noProof/>
        </w:rPr>
        <w:t xml:space="preserve">Prin urmare, prezenta decizie ar trebui să stabilească faptul că au fost îndeplinite în mod satisfăcător condițiile relevante pentru plata celei de a doua tranșe din cadrul planului. </w:t>
      </w:r>
    </w:p>
    <w:p w:rsidR="00446D5D" w:rsidRPr="00CD1FDF" w:rsidRDefault="00A92E59" w:rsidP="00A92E59">
      <w:pPr>
        <w:pStyle w:val="ManualConsidrant"/>
        <w:rPr>
          <w:noProof/>
        </w:rPr>
      </w:pPr>
      <w:r w:rsidRPr="00A92E59">
        <w:rPr>
          <w:noProof/>
        </w:rPr>
        <w:t>(11)</w:t>
      </w:r>
      <w:r w:rsidRPr="00A92E59">
        <w:rPr>
          <w:noProof/>
        </w:rPr>
        <w:tab/>
      </w:r>
      <w:r w:rsidR="00446D5D" w:rsidRPr="00CD1FDF">
        <w:rPr>
          <w:noProof/>
        </w:rPr>
        <w:t xml:space="preserve">Având în vedere situația fiscală dificilă cu care se confruntă Ucraina, este extrem de important ca fondurile să fie plătite cât mai curând posibil. Dat fiind caracterul urgent al situației și pentru a accelera procesul, prezenta decizie ar trebui să intre în vigoare la data publicării în </w:t>
      </w:r>
      <w:r w:rsidR="00446D5D" w:rsidRPr="00CD1FDF">
        <w:rPr>
          <w:i/>
          <w:noProof/>
        </w:rPr>
        <w:t>Jurnalul Oficial al Uniunii Europene</w:t>
      </w:r>
      <w:r w:rsidR="00446D5D" w:rsidRPr="00CD1FDF">
        <w:rPr>
          <w:noProof/>
        </w:rPr>
        <w:t xml:space="preserve"> și ar trebui să se aplice de la data adoptării sale, </w:t>
      </w:r>
    </w:p>
    <w:bookmarkEnd w:id="5"/>
    <w:p w:rsidR="00446D5D" w:rsidRPr="00CD1FDF" w:rsidRDefault="00446D5D" w:rsidP="00446D5D">
      <w:pPr>
        <w:pStyle w:val="Formuledadoption"/>
        <w:rPr>
          <w:noProof/>
        </w:rPr>
      </w:pPr>
      <w:r w:rsidRPr="00CD1FDF">
        <w:rPr>
          <w:noProof/>
        </w:rPr>
        <w:t xml:space="preserve">ADOPTĂ PREZENTA DECIZIE: </w:t>
      </w:r>
    </w:p>
    <w:p w:rsidR="00446D5D" w:rsidRPr="00CD1FDF" w:rsidRDefault="00446D5D" w:rsidP="00446D5D">
      <w:pPr>
        <w:pStyle w:val="Titrearticle"/>
        <w:rPr>
          <w:noProof/>
        </w:rPr>
      </w:pPr>
      <w:r w:rsidRPr="00CD1FDF">
        <w:rPr>
          <w:noProof/>
        </w:rPr>
        <w:t>Articolul 1</w:t>
      </w:r>
    </w:p>
    <w:p w:rsidR="00446D5D" w:rsidRPr="00CD1FDF" w:rsidRDefault="00446D5D" w:rsidP="00446D5D">
      <w:pPr>
        <w:rPr>
          <w:noProof/>
        </w:rPr>
      </w:pPr>
      <w:bookmarkStart w:id="7" w:name="_Hlk172111778"/>
      <w:r w:rsidRPr="00CD1FDF">
        <w:rPr>
          <w:noProof/>
        </w:rPr>
        <w:t>Îndeplinirea în mod satisfăcător a condițiilor relevante pentru plata celei de a doua tranșe care se ridică la 4 248 847 926 EUR, astfel cum este prevăzut în anexa la Decizia de punere în aplicare (UE) 2024/1447, se stabilește în concordanță cu evaluarea furnizată de Comisie în conformitate cu articolul 26 din Regulamentul (UE) 2024/792, anexată la prezenta decizie.</w:t>
      </w:r>
    </w:p>
    <w:bookmarkEnd w:id="7"/>
    <w:p w:rsidR="00446D5D" w:rsidRPr="00CD1FDF" w:rsidRDefault="00446D5D" w:rsidP="00446D5D">
      <w:pPr>
        <w:rPr>
          <w:noProof/>
        </w:rPr>
      </w:pPr>
    </w:p>
    <w:p w:rsidR="00446D5D" w:rsidRPr="00CD1FDF" w:rsidRDefault="00446D5D" w:rsidP="00446D5D">
      <w:pPr>
        <w:pStyle w:val="Titrearticle"/>
        <w:rPr>
          <w:noProof/>
        </w:rPr>
      </w:pPr>
      <w:r w:rsidRPr="00CD1FDF">
        <w:rPr>
          <w:noProof/>
        </w:rPr>
        <w:t>Articolul 2</w:t>
      </w:r>
    </w:p>
    <w:p w:rsidR="00446D5D" w:rsidRPr="00CD1FDF" w:rsidRDefault="00446D5D" w:rsidP="00446D5D">
      <w:pPr>
        <w:keepNext/>
        <w:keepLines/>
        <w:rPr>
          <w:noProof/>
        </w:rPr>
      </w:pPr>
      <w:r w:rsidRPr="00CD1FDF">
        <w:rPr>
          <w:noProof/>
        </w:rPr>
        <w:t xml:space="preserve">Prezenta decizie intră în vigoare la data publicării în </w:t>
      </w:r>
      <w:r w:rsidRPr="00CD1FDF">
        <w:rPr>
          <w:i/>
          <w:noProof/>
        </w:rPr>
        <w:t>Jurnalul Oficial al Uniunii Europene</w:t>
      </w:r>
      <w:r w:rsidRPr="00CD1FDF">
        <w:rPr>
          <w:noProof/>
        </w:rPr>
        <w:t>.</w:t>
      </w:r>
    </w:p>
    <w:p w:rsidR="00446D5D" w:rsidRPr="00CD1FDF" w:rsidRDefault="00446D5D" w:rsidP="00446D5D">
      <w:pPr>
        <w:rPr>
          <w:noProof/>
        </w:rPr>
      </w:pPr>
      <w:bookmarkStart w:id="8" w:name="_Hlk172111802"/>
      <w:r w:rsidRPr="00CD1FDF">
        <w:rPr>
          <w:noProof/>
        </w:rPr>
        <w:t xml:space="preserve">Prezenta decizie se aplică de la data adoptării. </w:t>
      </w:r>
    </w:p>
    <w:bookmarkEnd w:id="8"/>
    <w:p w:rsidR="00446D5D" w:rsidRPr="00CD1FDF" w:rsidRDefault="00446D5D" w:rsidP="00446D5D">
      <w:pPr>
        <w:keepNext/>
        <w:keepLines/>
        <w:rPr>
          <w:noProof/>
        </w:rPr>
      </w:pPr>
    </w:p>
    <w:p w:rsidR="00446D5D" w:rsidRPr="00CD1FDF" w:rsidRDefault="00CD1FDF" w:rsidP="00B40516">
      <w:pPr>
        <w:pStyle w:val="Fait"/>
        <w:rPr>
          <w:noProof/>
        </w:rPr>
      </w:pPr>
      <w:r>
        <w:rPr>
          <w:noProof/>
        </w:rPr>
        <w:t>Adoptată la Bruxelles,</w:t>
      </w:r>
    </w:p>
    <w:p w:rsidR="00446D5D" w:rsidRPr="00CD1FDF" w:rsidRDefault="00446D5D" w:rsidP="00B40516">
      <w:pPr>
        <w:pStyle w:val="Institutionquisigne"/>
        <w:rPr>
          <w:noProof/>
        </w:rPr>
      </w:pPr>
      <w:r w:rsidRPr="00CD1FDF">
        <w:rPr>
          <w:noProof/>
        </w:rPr>
        <w:tab/>
        <w:t>Pentru Consiliu,</w:t>
      </w:r>
    </w:p>
    <w:p w:rsidR="00446D5D" w:rsidRPr="00CD1FDF" w:rsidRDefault="00446D5D" w:rsidP="00446D5D">
      <w:pPr>
        <w:pStyle w:val="Personnequisigne"/>
        <w:rPr>
          <w:noProof/>
        </w:rPr>
      </w:pPr>
      <w:r w:rsidRPr="00CD1FDF">
        <w:rPr>
          <w:noProof/>
        </w:rPr>
        <w:tab/>
        <w:t>Președintele</w:t>
      </w:r>
      <w:bookmarkEnd w:id="1"/>
    </w:p>
    <w:sectPr w:rsidR="00446D5D" w:rsidRPr="00CD1FDF" w:rsidSect="00CD6A53">
      <w:headerReference w:type="even" r:id="rId14"/>
      <w:footerReference w:type="even" r:id="rId15"/>
      <w:footerReference w:type="default" r:id="rId16"/>
      <w:headerReference w:type="first" r:id="rId17"/>
      <w:footerReference w:type="first" r:id="rId18"/>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7B7D" w:rsidRDefault="00047B7D" w:rsidP="00446D5D">
      <w:pPr>
        <w:spacing w:before="0" w:after="0"/>
      </w:pPr>
      <w:r>
        <w:separator/>
      </w:r>
    </w:p>
  </w:endnote>
  <w:endnote w:type="continuationSeparator" w:id="0">
    <w:p w:rsidR="00047B7D" w:rsidRDefault="00047B7D" w:rsidP="00446D5D">
      <w:pPr>
        <w:spacing w:before="0" w:after="0"/>
      </w:pPr>
      <w:r>
        <w:continuationSeparator/>
      </w:r>
    </w:p>
  </w:endnote>
  <w:endnote w:type="continuationNotice" w:id="1">
    <w:p w:rsidR="00047B7D" w:rsidRDefault="00047B7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A53" w:rsidRPr="00CD6A53" w:rsidRDefault="00CD6A53" w:rsidP="00CD6A53">
    <w:pPr>
      <w:pStyle w:val="Footer"/>
      <w:rPr>
        <w:rFonts w:ascii="Arial" w:hAnsi="Arial" w:cs="Arial"/>
        <w:b/>
        <w:sz w:val="48"/>
      </w:rPr>
    </w:pPr>
    <w:r w:rsidRPr="00CD6A53">
      <w:rPr>
        <w:rFonts w:ascii="Arial" w:hAnsi="Arial" w:cs="Arial"/>
        <w:b/>
        <w:sz w:val="48"/>
      </w:rPr>
      <w:t>RO</w:t>
    </w:r>
    <w:r w:rsidRPr="00CD6A53">
      <w:rPr>
        <w:rFonts w:ascii="Arial" w:hAnsi="Arial" w:cs="Arial"/>
        <w:b/>
        <w:sz w:val="48"/>
      </w:rPr>
      <w:tab/>
    </w:r>
    <w:r w:rsidRPr="00CD6A53">
      <w:rPr>
        <w:rFonts w:ascii="Arial" w:hAnsi="Arial" w:cs="Arial"/>
        <w:b/>
        <w:sz w:val="48"/>
      </w:rPr>
      <w:tab/>
    </w:r>
    <w:r w:rsidRPr="00CD6A53">
      <w:tab/>
    </w:r>
    <w:r w:rsidRPr="00CD6A53">
      <w:rPr>
        <w:rFonts w:ascii="Arial" w:hAnsi="Arial" w:cs="Arial"/>
        <w:b/>
        <w:sz w:val="48"/>
      </w:rPr>
      <w:t>RO</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A53" w:rsidRPr="00CD6A53" w:rsidRDefault="00CD6A53" w:rsidP="00CD6A53">
    <w:pPr>
      <w:pStyle w:val="Footer"/>
      <w:rPr>
        <w:rFonts w:ascii="Arial" w:hAnsi="Arial" w:cs="Arial"/>
        <w:b/>
        <w:sz w:val="48"/>
      </w:rPr>
    </w:pPr>
    <w:r w:rsidRPr="00CD6A53">
      <w:rPr>
        <w:rFonts w:ascii="Arial" w:hAnsi="Arial" w:cs="Arial"/>
        <w:b/>
        <w:sz w:val="48"/>
      </w:rPr>
      <w:t>RO</w:t>
    </w:r>
    <w:r w:rsidRPr="00CD6A53">
      <w:rPr>
        <w:rFonts w:ascii="Arial" w:hAnsi="Arial" w:cs="Arial"/>
        <w:b/>
        <w:sz w:val="48"/>
      </w:rPr>
      <w:tab/>
    </w:r>
    <w:r w:rsidRPr="00CD6A53">
      <w:rPr>
        <w:rFonts w:ascii="Arial" w:hAnsi="Arial" w:cs="Arial"/>
        <w:b/>
        <w:sz w:val="48"/>
      </w:rPr>
      <w:tab/>
    </w:r>
    <w:r w:rsidRPr="00CD6A53">
      <w:tab/>
    </w:r>
    <w:r w:rsidRPr="00CD6A53">
      <w:rPr>
        <w:rFonts w:ascii="Arial" w:hAnsi="Arial" w:cs="Arial"/>
        <w:b/>
        <w:sz w:val="48"/>
      </w:rPr>
      <w:t>RO</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A53" w:rsidRDefault="00CD6A5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A53" w:rsidRPr="00CD6A53" w:rsidRDefault="00CD6A53" w:rsidP="00CD6A53">
    <w:pPr>
      <w:pStyle w:val="Footer"/>
      <w:rPr>
        <w:rFonts w:ascii="Arial" w:hAnsi="Arial" w:cs="Arial"/>
        <w:b/>
        <w:sz w:val="48"/>
      </w:rPr>
    </w:pPr>
    <w:r w:rsidRPr="00CD6A53">
      <w:rPr>
        <w:rFonts w:ascii="Arial" w:hAnsi="Arial" w:cs="Arial"/>
        <w:b/>
        <w:sz w:val="48"/>
      </w:rPr>
      <w:t>RO</w:t>
    </w:r>
    <w:r w:rsidRPr="00CD6A53">
      <w:rPr>
        <w:rFonts w:ascii="Arial" w:hAnsi="Arial" w:cs="Arial"/>
        <w:b/>
        <w:sz w:val="48"/>
      </w:rPr>
      <w:tab/>
    </w:r>
    <w:r>
      <w:fldChar w:fldCharType="begin"/>
    </w:r>
    <w:r>
      <w:instrText xml:space="preserve"> PAGE  \* MERGEFORMAT </w:instrText>
    </w:r>
    <w:r>
      <w:fldChar w:fldCharType="separate"/>
    </w:r>
    <w:r w:rsidR="00B40516">
      <w:rPr>
        <w:noProof/>
      </w:rPr>
      <w:t>3</w:t>
    </w:r>
    <w:r>
      <w:fldChar w:fldCharType="end"/>
    </w:r>
    <w:r>
      <w:tab/>
    </w:r>
    <w:r w:rsidRPr="00CD6A53">
      <w:tab/>
    </w:r>
    <w:r w:rsidRPr="00CD6A53">
      <w:rPr>
        <w:rFonts w:ascii="Arial" w:hAnsi="Arial" w:cs="Arial"/>
        <w:b/>
        <w:sz w:val="48"/>
      </w:rPr>
      <w:t>RO</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A53" w:rsidRDefault="00CD6A53" w:rsidP="00CD6A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7B7D" w:rsidRDefault="00047B7D" w:rsidP="00446D5D">
      <w:pPr>
        <w:spacing w:before="0" w:after="0"/>
      </w:pPr>
      <w:r>
        <w:separator/>
      </w:r>
    </w:p>
  </w:footnote>
  <w:footnote w:type="continuationSeparator" w:id="0">
    <w:p w:rsidR="00047B7D" w:rsidRDefault="00047B7D" w:rsidP="00446D5D">
      <w:pPr>
        <w:spacing w:before="0" w:after="0"/>
      </w:pPr>
      <w:r>
        <w:continuationSeparator/>
      </w:r>
    </w:p>
  </w:footnote>
  <w:footnote w:type="continuationNotice" w:id="1">
    <w:p w:rsidR="00047B7D" w:rsidRDefault="00047B7D">
      <w:pPr>
        <w:spacing w:before="0" w:after="0"/>
      </w:pPr>
    </w:p>
  </w:footnote>
  <w:footnote w:id="2">
    <w:p w:rsidR="00446D5D" w:rsidRPr="00C72BE5" w:rsidRDefault="00446D5D" w:rsidP="00446D5D">
      <w:pPr>
        <w:pStyle w:val="FootnoteText"/>
      </w:pPr>
      <w:r>
        <w:rPr>
          <w:rStyle w:val="FootnoteReference"/>
        </w:rPr>
        <w:footnoteRef/>
      </w:r>
      <w:r>
        <w:tab/>
        <w:t xml:space="preserve">JO L, 2024/792, 29.2.2024, ELI: </w:t>
      </w:r>
      <w:hyperlink r:id="rId1" w:history="1">
        <w:r>
          <w:rPr>
            <w:rStyle w:val="Hyperlink"/>
          </w:rPr>
          <w:t>http://data.europa.eu/eli/reg/2024/792/oj</w:t>
        </w:r>
      </w:hyperlink>
      <w:r>
        <w:t xml:space="preserve">. </w:t>
      </w:r>
    </w:p>
  </w:footnote>
  <w:footnote w:id="3">
    <w:p w:rsidR="55ADF842" w:rsidRPr="00CD1FDF" w:rsidRDefault="55ADF842" w:rsidP="001D7F92">
      <w:pPr>
        <w:pStyle w:val="FootnoteText"/>
        <w:rPr>
          <w:rFonts w:eastAsia="Times New Roman"/>
          <w:color w:val="000000" w:themeColor="text1"/>
          <w:sz w:val="19"/>
          <w:szCs w:val="19"/>
          <w:lang w:val="fr-BE"/>
        </w:rPr>
      </w:pPr>
      <w:r>
        <w:rPr>
          <w:rStyle w:val="FootnoteReference"/>
        </w:rPr>
        <w:footnoteRef/>
      </w:r>
      <w:r w:rsidRPr="00CD1FDF">
        <w:rPr>
          <w:lang w:val="fr-BE"/>
        </w:rPr>
        <w:tab/>
        <w:t>Decizia de punere în aplicare (UE) 2024/1447 a Consiliului din 14 mai 2024 de aprobare a evaluării Planului pentru Ucraina (</w:t>
      </w:r>
      <w:r w:rsidRPr="00CD1FDF">
        <w:rPr>
          <w:color w:val="000000" w:themeColor="text1"/>
          <w:lang w:val="fr-BE"/>
        </w:rPr>
        <w:t>JO L, 2024/1447, 24.5.2024, ELI:</w:t>
      </w:r>
      <w:r w:rsidRPr="00CD1FDF">
        <w:rPr>
          <w:color w:val="000000" w:themeColor="text1"/>
          <w:u w:val="single"/>
          <w:lang w:val="fr-BE"/>
        </w:rPr>
        <w:t xml:space="preserve"> </w:t>
      </w:r>
      <w:hyperlink r:id="rId2" w:history="1">
        <w:r w:rsidRPr="00CD1FDF">
          <w:rPr>
            <w:rStyle w:val="Hyperlink"/>
            <w:sz w:val="19"/>
            <w:lang w:val="fr-BE"/>
          </w:rPr>
          <w:t>http://data.europa.eu/eli/dec_impl/2024/1447/oj</w:t>
        </w:r>
      </w:hyperlink>
      <w:r w:rsidRPr="00CD1FDF">
        <w:rPr>
          <w:color w:val="000000" w:themeColor="text1"/>
          <w:sz w:val="19"/>
          <w:lang w:val="fr-B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A53" w:rsidRDefault="00CD6A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A53" w:rsidRDefault="00CD6A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54A6FF1C"/>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2F00674E"/>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3A0ADE4E"/>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F9C6C148"/>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9"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0"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1"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8"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3"/>
  </w:num>
  <w:num w:numId="2">
    <w:abstractNumId w:val="2"/>
  </w:num>
  <w:num w:numId="3">
    <w:abstractNumId w:val="1"/>
  </w:num>
  <w:num w:numId="4">
    <w:abstractNumId w:val="0"/>
  </w:num>
  <w:num w:numId="5">
    <w:abstractNumId w:val="18"/>
    <w:lvlOverride w:ilvl="0">
      <w:startOverride w:val="1"/>
    </w:lvlOverride>
  </w:num>
  <w:num w:numId="6">
    <w:abstractNumId w:val="15"/>
  </w:num>
  <w:num w:numId="7">
    <w:abstractNumId w:val="8"/>
  </w:num>
  <w:num w:numId="8">
    <w:abstractNumId w:val="17"/>
  </w:num>
  <w:num w:numId="9">
    <w:abstractNumId w:val="7"/>
  </w:num>
  <w:num w:numId="10">
    <w:abstractNumId w:val="9"/>
  </w:num>
  <w:num w:numId="11">
    <w:abstractNumId w:val="10"/>
  </w:num>
  <w:num w:numId="12">
    <w:abstractNumId w:val="5"/>
  </w:num>
  <w:num w:numId="13">
    <w:abstractNumId w:val="16"/>
  </w:num>
  <w:num w:numId="14">
    <w:abstractNumId w:val="4"/>
  </w:num>
  <w:num w:numId="15">
    <w:abstractNumId w:val="11"/>
  </w:num>
  <w:num w:numId="16">
    <w:abstractNumId w:val="13"/>
  </w:num>
  <w:num w:numId="17">
    <w:abstractNumId w:val="14"/>
  </w:num>
  <w:num w:numId="18">
    <w:abstractNumId w:val="6"/>
  </w:num>
  <w:num w:numId="19">
    <w:abstractNumId w:val="12"/>
  </w:num>
  <w:num w:numId="20">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4-11-27 18:05:07"/>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CORRIGENDUM" w:val="&lt;UNUSED&gt;"/>
    <w:docVar w:name="LW_COVERPAGE_EXISTS" w:val="True"/>
    <w:docVar w:name="LW_COVERPAGE_GUID" w:val="110C2EA9-3845-46B1-AD14-0A1593F668E6"/>
    <w:docVar w:name="LW_COVERPAGE_TYPE" w:val="1"/>
    <w:docVar w:name="LW_CROSSREFERENCE" w:val="&lt;UNUSED&gt;"/>
    <w:docVar w:name="LW_DocType" w:val="COM"/>
    <w:docVar w:name="LW_EMISSION" w:val="14.11.2024"/>
    <w:docVar w:name="LW_EMISSION_ISODATE" w:val="2024-11-14"/>
    <w:docVar w:name="LW_EMISSION_LOCATION" w:val="BRX"/>
    <w:docVar w:name="LW_EMISSION_PREFIX" w:val="Bruxelles, "/>
    <w:docVar w:name="LW_EMISSION_SUFFIX" w:val=" "/>
    <w:docVar w:name="LW_ID_DOCMODEL" w:val="SJ-021"/>
    <w:docVar w:name="LW_ID_DOCSIGNATURE" w:val="SJ-021"/>
    <w:docVar w:name="LW_ID_DOCSTRUCTURE" w:val="COM/PL/ORG"/>
    <w:docVar w:name="LW_ID_DOCTYPE" w:val="SJ-021"/>
    <w:docVar w:name="LW_ID_STATUT" w:val="SJ-021"/>
    <w:docVar w:name="LW_INSERT_EXP.MOTIFS.NEW" w:val="1"/>
    <w:docVar w:name="LW_INTERETEEE.CP" w:val="&lt;UNUSED&gt;"/>
    <w:docVar w:name="LW_LANGUE" w:val="RO"/>
    <w:docVar w:name="LW_LEVEL_OF_SENSITIVITY" w:val="Standard treatment"/>
    <w:docVar w:name="LW_NOM.INST" w:val="COMISIA EUROPEAN\u258?"/>
    <w:docVar w:name="LW_NOM.INST_JOINTDOC" w:val="&lt;EMPTY&gt;"/>
    <w:docVar w:name="LW_PART_NBR" w:val="1"/>
    <w:docVar w:name="LW_PART_NBR_TOTAL" w:val="1"/>
    <w:docVar w:name="LW_REF.II.NEW.CP" w:val="NLE"/>
    <w:docVar w:name="LW_REF.II.NEW.CP_NUMBER" w:val="0303"/>
    <w:docVar w:name="LW_REF.II.NEW.CP_YEAR" w:val="2024"/>
    <w:docVar w:name="LW_REF.INST.NEW" w:val="COM"/>
    <w:docVar w:name="LW_REF.INST.NEW_ADOPTED" w:val="final"/>
    <w:docVar w:name="LW_REF.INST.NEW_TEXT" w:val="(2024) 544"/>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Propunere de"/>
    <w:docVar w:name="LW_SUPERTITRE" w:val="&lt;UNUSED&gt;"/>
    <w:docVar w:name="LW_TITRE.OBJ.CP" w:val="privind stabilirea îndeplinirii în mod satisf\u259?c\u259?tor a condi\u539?iilor pentru plata celei de a doua tran\u537?e a sprijinului financiar nerambursabil \u537?i a sprijinului sub form\u259? de împrumut din cadrul Planului pentru Ucraina al Mecanismului pentru Ucraina _x000b_"/>
    <w:docVar w:name="LW_TYPE.DOC.CP" w:val="DECIZIE DE PUNERE ÎN APLICARE A CONSILIULUI"/>
    <w:docVar w:name="LwApiVersions" w:val="LW4CoDe 1.24.5.0; LW 9.0, Build 20240221"/>
  </w:docVars>
  <w:rsids>
    <w:rsidRoot w:val="00446D5D"/>
    <w:rsid w:val="0000782C"/>
    <w:rsid w:val="00027D47"/>
    <w:rsid w:val="00042C15"/>
    <w:rsid w:val="00047B7D"/>
    <w:rsid w:val="0006593E"/>
    <w:rsid w:val="00085F2F"/>
    <w:rsid w:val="000864C0"/>
    <w:rsid w:val="000971DE"/>
    <w:rsid w:val="000B49AE"/>
    <w:rsid w:val="000B4B84"/>
    <w:rsid w:val="000B54AB"/>
    <w:rsid w:val="000C1D84"/>
    <w:rsid w:val="000D6931"/>
    <w:rsid w:val="000E106D"/>
    <w:rsid w:val="000E5BC0"/>
    <w:rsid w:val="000F733C"/>
    <w:rsid w:val="001065F5"/>
    <w:rsid w:val="00123769"/>
    <w:rsid w:val="001238EF"/>
    <w:rsid w:val="0012573F"/>
    <w:rsid w:val="0013450E"/>
    <w:rsid w:val="0015333E"/>
    <w:rsid w:val="00185992"/>
    <w:rsid w:val="00197613"/>
    <w:rsid w:val="001B12D8"/>
    <w:rsid w:val="001B5BC3"/>
    <w:rsid w:val="001D7F92"/>
    <w:rsid w:val="001E1699"/>
    <w:rsid w:val="001F446C"/>
    <w:rsid w:val="002149A4"/>
    <w:rsid w:val="00221A84"/>
    <w:rsid w:val="002243C8"/>
    <w:rsid w:val="0022494F"/>
    <w:rsid w:val="00230525"/>
    <w:rsid w:val="00233C1F"/>
    <w:rsid w:val="00233DC7"/>
    <w:rsid w:val="00247779"/>
    <w:rsid w:val="00252BEC"/>
    <w:rsid w:val="0025553A"/>
    <w:rsid w:val="00267E45"/>
    <w:rsid w:val="00285BEE"/>
    <w:rsid w:val="0029533F"/>
    <w:rsid w:val="002A7BEE"/>
    <w:rsid w:val="002B2C20"/>
    <w:rsid w:val="002B30AF"/>
    <w:rsid w:val="002C6CCE"/>
    <w:rsid w:val="002D4A4D"/>
    <w:rsid w:val="002D5FFC"/>
    <w:rsid w:val="0031354B"/>
    <w:rsid w:val="0033344A"/>
    <w:rsid w:val="00340B14"/>
    <w:rsid w:val="003605E3"/>
    <w:rsid w:val="003A6D4E"/>
    <w:rsid w:val="003B663E"/>
    <w:rsid w:val="003C6659"/>
    <w:rsid w:val="003F792A"/>
    <w:rsid w:val="004025E8"/>
    <w:rsid w:val="00407A49"/>
    <w:rsid w:val="00414ADA"/>
    <w:rsid w:val="00415B98"/>
    <w:rsid w:val="00417102"/>
    <w:rsid w:val="00421CAD"/>
    <w:rsid w:val="0042648E"/>
    <w:rsid w:val="00446D5D"/>
    <w:rsid w:val="00451586"/>
    <w:rsid w:val="0046037B"/>
    <w:rsid w:val="004612F5"/>
    <w:rsid w:val="004936D2"/>
    <w:rsid w:val="004A3199"/>
    <w:rsid w:val="004D5CAD"/>
    <w:rsid w:val="004E4109"/>
    <w:rsid w:val="004F11CE"/>
    <w:rsid w:val="004F65C8"/>
    <w:rsid w:val="00501FF3"/>
    <w:rsid w:val="0050700D"/>
    <w:rsid w:val="00513A83"/>
    <w:rsid w:val="00515B0D"/>
    <w:rsid w:val="00517262"/>
    <w:rsid w:val="00524287"/>
    <w:rsid w:val="005311F2"/>
    <w:rsid w:val="00561CAF"/>
    <w:rsid w:val="00566FA8"/>
    <w:rsid w:val="005673EC"/>
    <w:rsid w:val="0058D03F"/>
    <w:rsid w:val="005B1EB6"/>
    <w:rsid w:val="005B5F89"/>
    <w:rsid w:val="005C6B25"/>
    <w:rsid w:val="005D1F3A"/>
    <w:rsid w:val="0062259A"/>
    <w:rsid w:val="00625E5F"/>
    <w:rsid w:val="00630ECE"/>
    <w:rsid w:val="00637501"/>
    <w:rsid w:val="00641FBD"/>
    <w:rsid w:val="006505AA"/>
    <w:rsid w:val="00653EBE"/>
    <w:rsid w:val="0065493B"/>
    <w:rsid w:val="00662ABC"/>
    <w:rsid w:val="00672184"/>
    <w:rsid w:val="0069106B"/>
    <w:rsid w:val="00696A91"/>
    <w:rsid w:val="006B1FDA"/>
    <w:rsid w:val="006B71C4"/>
    <w:rsid w:val="006B7239"/>
    <w:rsid w:val="006C2E47"/>
    <w:rsid w:val="00722006"/>
    <w:rsid w:val="00740287"/>
    <w:rsid w:val="00747DF5"/>
    <w:rsid w:val="0076009E"/>
    <w:rsid w:val="00771416"/>
    <w:rsid w:val="00773331"/>
    <w:rsid w:val="00783A53"/>
    <w:rsid w:val="00786EB6"/>
    <w:rsid w:val="00792C37"/>
    <w:rsid w:val="007932EF"/>
    <w:rsid w:val="007B1C4D"/>
    <w:rsid w:val="007E05B0"/>
    <w:rsid w:val="00811671"/>
    <w:rsid w:val="00812E54"/>
    <w:rsid w:val="00818C39"/>
    <w:rsid w:val="00834496"/>
    <w:rsid w:val="00844CAF"/>
    <w:rsid w:val="008472C1"/>
    <w:rsid w:val="00874D22"/>
    <w:rsid w:val="00886646"/>
    <w:rsid w:val="008866C9"/>
    <w:rsid w:val="0088AE84"/>
    <w:rsid w:val="00896E6D"/>
    <w:rsid w:val="008A2914"/>
    <w:rsid w:val="008B465E"/>
    <w:rsid w:val="008C5296"/>
    <w:rsid w:val="008D4188"/>
    <w:rsid w:val="008E4D8E"/>
    <w:rsid w:val="008E50F2"/>
    <w:rsid w:val="008E56EA"/>
    <w:rsid w:val="008E7D51"/>
    <w:rsid w:val="00900062"/>
    <w:rsid w:val="009251B9"/>
    <w:rsid w:val="00945E1A"/>
    <w:rsid w:val="00956CBB"/>
    <w:rsid w:val="0095709D"/>
    <w:rsid w:val="0096315A"/>
    <w:rsid w:val="00964FD5"/>
    <w:rsid w:val="00971F86"/>
    <w:rsid w:val="009776E3"/>
    <w:rsid w:val="00985D11"/>
    <w:rsid w:val="009A22FC"/>
    <w:rsid w:val="009E7FCC"/>
    <w:rsid w:val="009F6926"/>
    <w:rsid w:val="009F6ED6"/>
    <w:rsid w:val="00A04C54"/>
    <w:rsid w:val="00A10156"/>
    <w:rsid w:val="00A20B82"/>
    <w:rsid w:val="00A230FB"/>
    <w:rsid w:val="00A43895"/>
    <w:rsid w:val="00A92E59"/>
    <w:rsid w:val="00A93F79"/>
    <w:rsid w:val="00AC032F"/>
    <w:rsid w:val="00AC6F86"/>
    <w:rsid w:val="00AD131E"/>
    <w:rsid w:val="00AE21BF"/>
    <w:rsid w:val="00AE336C"/>
    <w:rsid w:val="00B14A63"/>
    <w:rsid w:val="00B14F18"/>
    <w:rsid w:val="00B26C06"/>
    <w:rsid w:val="00B34542"/>
    <w:rsid w:val="00B40516"/>
    <w:rsid w:val="00B41621"/>
    <w:rsid w:val="00B77ED8"/>
    <w:rsid w:val="00B956F2"/>
    <w:rsid w:val="00B96C28"/>
    <w:rsid w:val="00BA0395"/>
    <w:rsid w:val="00BB7F58"/>
    <w:rsid w:val="00BC0AB5"/>
    <w:rsid w:val="00BC3C84"/>
    <w:rsid w:val="00BC68DE"/>
    <w:rsid w:val="00BC7D23"/>
    <w:rsid w:val="00BD2260"/>
    <w:rsid w:val="00BF750F"/>
    <w:rsid w:val="00C064F5"/>
    <w:rsid w:val="00C12301"/>
    <w:rsid w:val="00C17F87"/>
    <w:rsid w:val="00C27B1D"/>
    <w:rsid w:val="00C3551D"/>
    <w:rsid w:val="00C4213D"/>
    <w:rsid w:val="00C52048"/>
    <w:rsid w:val="00C6202E"/>
    <w:rsid w:val="00C66A47"/>
    <w:rsid w:val="00C73801"/>
    <w:rsid w:val="00C754CE"/>
    <w:rsid w:val="00C8311E"/>
    <w:rsid w:val="00C8655D"/>
    <w:rsid w:val="00C962E7"/>
    <w:rsid w:val="00C974BA"/>
    <w:rsid w:val="00CA14FD"/>
    <w:rsid w:val="00CB1623"/>
    <w:rsid w:val="00CB4643"/>
    <w:rsid w:val="00CC742A"/>
    <w:rsid w:val="00CD0E6E"/>
    <w:rsid w:val="00CD1FDF"/>
    <w:rsid w:val="00CD6A53"/>
    <w:rsid w:val="00CD7F86"/>
    <w:rsid w:val="00CE0C3D"/>
    <w:rsid w:val="00CF0723"/>
    <w:rsid w:val="00CF25A6"/>
    <w:rsid w:val="00D02DDA"/>
    <w:rsid w:val="00D04E75"/>
    <w:rsid w:val="00D20381"/>
    <w:rsid w:val="00D320AF"/>
    <w:rsid w:val="00D33802"/>
    <w:rsid w:val="00D3750E"/>
    <w:rsid w:val="00D40D01"/>
    <w:rsid w:val="00D5530B"/>
    <w:rsid w:val="00D61C2E"/>
    <w:rsid w:val="00D909FE"/>
    <w:rsid w:val="00DB48B9"/>
    <w:rsid w:val="00DC28BF"/>
    <w:rsid w:val="00DC6879"/>
    <w:rsid w:val="00DD44AB"/>
    <w:rsid w:val="00DD5D1F"/>
    <w:rsid w:val="00DE04D9"/>
    <w:rsid w:val="00DE0A78"/>
    <w:rsid w:val="00E00B5C"/>
    <w:rsid w:val="00E30783"/>
    <w:rsid w:val="00E61CEE"/>
    <w:rsid w:val="00E66459"/>
    <w:rsid w:val="00E7038A"/>
    <w:rsid w:val="00E71029"/>
    <w:rsid w:val="00E76D05"/>
    <w:rsid w:val="00E87219"/>
    <w:rsid w:val="00E94935"/>
    <w:rsid w:val="00E95A83"/>
    <w:rsid w:val="00EB5E32"/>
    <w:rsid w:val="00EC2175"/>
    <w:rsid w:val="00EC66A6"/>
    <w:rsid w:val="00EC7E0D"/>
    <w:rsid w:val="00ED5C32"/>
    <w:rsid w:val="00EE789B"/>
    <w:rsid w:val="00EF2622"/>
    <w:rsid w:val="00EF4713"/>
    <w:rsid w:val="00F06D3F"/>
    <w:rsid w:val="00F13BCB"/>
    <w:rsid w:val="00F207E1"/>
    <w:rsid w:val="00F41D34"/>
    <w:rsid w:val="00F5280B"/>
    <w:rsid w:val="00F7673E"/>
    <w:rsid w:val="00F76B06"/>
    <w:rsid w:val="00F86160"/>
    <w:rsid w:val="00F969BE"/>
    <w:rsid w:val="00FA3E8C"/>
    <w:rsid w:val="00FC36B7"/>
    <w:rsid w:val="00FC38F8"/>
    <w:rsid w:val="00FD6CB4"/>
    <w:rsid w:val="026B7CCD"/>
    <w:rsid w:val="026D4184"/>
    <w:rsid w:val="042703CF"/>
    <w:rsid w:val="04A0E94E"/>
    <w:rsid w:val="04A321E8"/>
    <w:rsid w:val="04D89DDF"/>
    <w:rsid w:val="04E58D35"/>
    <w:rsid w:val="051EDC45"/>
    <w:rsid w:val="054F3AD5"/>
    <w:rsid w:val="0596040B"/>
    <w:rsid w:val="069E218A"/>
    <w:rsid w:val="06DC13B0"/>
    <w:rsid w:val="070FC1F9"/>
    <w:rsid w:val="073657D7"/>
    <w:rsid w:val="07879692"/>
    <w:rsid w:val="0871D127"/>
    <w:rsid w:val="08927AD9"/>
    <w:rsid w:val="09F341B7"/>
    <w:rsid w:val="0A0028B9"/>
    <w:rsid w:val="0B1AE20E"/>
    <w:rsid w:val="0B24903B"/>
    <w:rsid w:val="0C943B39"/>
    <w:rsid w:val="0CC9A4F2"/>
    <w:rsid w:val="0CF0E2D1"/>
    <w:rsid w:val="0E893749"/>
    <w:rsid w:val="0EFB2C1A"/>
    <w:rsid w:val="0F476C8B"/>
    <w:rsid w:val="0F6B141A"/>
    <w:rsid w:val="130004C2"/>
    <w:rsid w:val="1317F2A9"/>
    <w:rsid w:val="13303290"/>
    <w:rsid w:val="141176F4"/>
    <w:rsid w:val="1434D6BD"/>
    <w:rsid w:val="14C8DF9A"/>
    <w:rsid w:val="15050999"/>
    <w:rsid w:val="15482435"/>
    <w:rsid w:val="157ACC6A"/>
    <w:rsid w:val="16131E2A"/>
    <w:rsid w:val="16D23FF9"/>
    <w:rsid w:val="16E64717"/>
    <w:rsid w:val="1728FA9B"/>
    <w:rsid w:val="173425F1"/>
    <w:rsid w:val="175548B9"/>
    <w:rsid w:val="17960538"/>
    <w:rsid w:val="18580BF1"/>
    <w:rsid w:val="18CDA770"/>
    <w:rsid w:val="193E443C"/>
    <w:rsid w:val="19A5EA17"/>
    <w:rsid w:val="19ECBB86"/>
    <w:rsid w:val="1B0A2988"/>
    <w:rsid w:val="1B471B1C"/>
    <w:rsid w:val="1B6FAC6D"/>
    <w:rsid w:val="1BF0DCD0"/>
    <w:rsid w:val="1C23D277"/>
    <w:rsid w:val="1C5C6CFD"/>
    <w:rsid w:val="1CD3B19D"/>
    <w:rsid w:val="1CE398AD"/>
    <w:rsid w:val="1D40E48F"/>
    <w:rsid w:val="1DDB9D07"/>
    <w:rsid w:val="1DF28B9E"/>
    <w:rsid w:val="1E510B7E"/>
    <w:rsid w:val="1E99DD82"/>
    <w:rsid w:val="1EE5D16E"/>
    <w:rsid w:val="1F6232A5"/>
    <w:rsid w:val="1FC841E7"/>
    <w:rsid w:val="2010A09B"/>
    <w:rsid w:val="20A45A9A"/>
    <w:rsid w:val="20FA29B3"/>
    <w:rsid w:val="228C77F7"/>
    <w:rsid w:val="22B4E027"/>
    <w:rsid w:val="230B8042"/>
    <w:rsid w:val="232E538C"/>
    <w:rsid w:val="233ECC3D"/>
    <w:rsid w:val="23B0B757"/>
    <w:rsid w:val="243B19CD"/>
    <w:rsid w:val="24CCE9EF"/>
    <w:rsid w:val="2590D678"/>
    <w:rsid w:val="26114B19"/>
    <w:rsid w:val="27668F31"/>
    <w:rsid w:val="27B6D8A7"/>
    <w:rsid w:val="27BB8800"/>
    <w:rsid w:val="28399160"/>
    <w:rsid w:val="28ADB12C"/>
    <w:rsid w:val="28EF2020"/>
    <w:rsid w:val="2A47E4A6"/>
    <w:rsid w:val="2A4E99E2"/>
    <w:rsid w:val="2B114F01"/>
    <w:rsid w:val="2B7EC2E8"/>
    <w:rsid w:val="2BCEF40F"/>
    <w:rsid w:val="2CD7CDB6"/>
    <w:rsid w:val="2D426FA6"/>
    <w:rsid w:val="2D50163B"/>
    <w:rsid w:val="2D909687"/>
    <w:rsid w:val="2EA188AA"/>
    <w:rsid w:val="2F19E3D1"/>
    <w:rsid w:val="2F3316DD"/>
    <w:rsid w:val="2F529224"/>
    <w:rsid w:val="2FF0B603"/>
    <w:rsid w:val="3005876D"/>
    <w:rsid w:val="309B45E4"/>
    <w:rsid w:val="3106314B"/>
    <w:rsid w:val="31897E99"/>
    <w:rsid w:val="31AC3411"/>
    <w:rsid w:val="3251CE9B"/>
    <w:rsid w:val="32DFEE98"/>
    <w:rsid w:val="3303D89B"/>
    <w:rsid w:val="332AD833"/>
    <w:rsid w:val="33631C2E"/>
    <w:rsid w:val="3697F48F"/>
    <w:rsid w:val="36B8FE6B"/>
    <w:rsid w:val="37544EF8"/>
    <w:rsid w:val="37873451"/>
    <w:rsid w:val="37DAD846"/>
    <w:rsid w:val="37F11D84"/>
    <w:rsid w:val="381BB2A8"/>
    <w:rsid w:val="3842A4A2"/>
    <w:rsid w:val="38890076"/>
    <w:rsid w:val="3893EFBC"/>
    <w:rsid w:val="38BC9CC6"/>
    <w:rsid w:val="38E0CD7A"/>
    <w:rsid w:val="38EE2C7B"/>
    <w:rsid w:val="38F53CF7"/>
    <w:rsid w:val="39A7F7F9"/>
    <w:rsid w:val="3A33D496"/>
    <w:rsid w:val="3D41BCCF"/>
    <w:rsid w:val="3DF22F48"/>
    <w:rsid w:val="3E596D9F"/>
    <w:rsid w:val="3E9B7881"/>
    <w:rsid w:val="3F0A14C5"/>
    <w:rsid w:val="3F90810D"/>
    <w:rsid w:val="3FC92187"/>
    <w:rsid w:val="4007D866"/>
    <w:rsid w:val="4018027E"/>
    <w:rsid w:val="4055C4CE"/>
    <w:rsid w:val="40D8101F"/>
    <w:rsid w:val="41010CAE"/>
    <w:rsid w:val="426AF8C4"/>
    <w:rsid w:val="428BC90A"/>
    <w:rsid w:val="42EAF21B"/>
    <w:rsid w:val="42FEACFD"/>
    <w:rsid w:val="43A30C0F"/>
    <w:rsid w:val="43AB3567"/>
    <w:rsid w:val="43D1AD9D"/>
    <w:rsid w:val="43EC3928"/>
    <w:rsid w:val="45DF3A6A"/>
    <w:rsid w:val="4615A9C7"/>
    <w:rsid w:val="46EC44AA"/>
    <w:rsid w:val="47A12A3B"/>
    <w:rsid w:val="490BE7DC"/>
    <w:rsid w:val="49780627"/>
    <w:rsid w:val="49EAA477"/>
    <w:rsid w:val="4A7241BE"/>
    <w:rsid w:val="4A85E182"/>
    <w:rsid w:val="4AC8CC81"/>
    <w:rsid w:val="4B5FB7CE"/>
    <w:rsid w:val="4BD6BF21"/>
    <w:rsid w:val="4BE53003"/>
    <w:rsid w:val="4C7754F9"/>
    <w:rsid w:val="4CDE5A61"/>
    <w:rsid w:val="4DBAD394"/>
    <w:rsid w:val="4DFB0CFC"/>
    <w:rsid w:val="4EA50700"/>
    <w:rsid w:val="50076170"/>
    <w:rsid w:val="501F8385"/>
    <w:rsid w:val="50C5DC6A"/>
    <w:rsid w:val="5105B947"/>
    <w:rsid w:val="51686FC1"/>
    <w:rsid w:val="52438077"/>
    <w:rsid w:val="524FADF8"/>
    <w:rsid w:val="52D2CCB4"/>
    <w:rsid w:val="535BD78D"/>
    <w:rsid w:val="53CCB437"/>
    <w:rsid w:val="53D854E0"/>
    <w:rsid w:val="53F7C2EF"/>
    <w:rsid w:val="54676F2F"/>
    <w:rsid w:val="54B403AC"/>
    <w:rsid w:val="54E52960"/>
    <w:rsid w:val="55ADF842"/>
    <w:rsid w:val="5624F7ED"/>
    <w:rsid w:val="567ABCE9"/>
    <w:rsid w:val="56EFDF1D"/>
    <w:rsid w:val="570FE2FD"/>
    <w:rsid w:val="584F5EB8"/>
    <w:rsid w:val="5A216B67"/>
    <w:rsid w:val="5A36F02B"/>
    <w:rsid w:val="5AF44C1E"/>
    <w:rsid w:val="5C703172"/>
    <w:rsid w:val="5EE1A372"/>
    <w:rsid w:val="5F32E550"/>
    <w:rsid w:val="5F7B3744"/>
    <w:rsid w:val="5F9336D4"/>
    <w:rsid w:val="5F9CC2E8"/>
    <w:rsid w:val="5FCCB232"/>
    <w:rsid w:val="5FDA0D42"/>
    <w:rsid w:val="6126F71E"/>
    <w:rsid w:val="61663BBE"/>
    <w:rsid w:val="62333F05"/>
    <w:rsid w:val="62953680"/>
    <w:rsid w:val="62B20ED3"/>
    <w:rsid w:val="632FEE7B"/>
    <w:rsid w:val="638CB839"/>
    <w:rsid w:val="64212B11"/>
    <w:rsid w:val="64552DC3"/>
    <w:rsid w:val="64C9C7DB"/>
    <w:rsid w:val="64E0F0C7"/>
    <w:rsid w:val="652E407D"/>
    <w:rsid w:val="655081B1"/>
    <w:rsid w:val="655CFF0D"/>
    <w:rsid w:val="65894C58"/>
    <w:rsid w:val="66742450"/>
    <w:rsid w:val="6796F4DE"/>
    <w:rsid w:val="67EFAD0F"/>
    <w:rsid w:val="6840CA36"/>
    <w:rsid w:val="6877D831"/>
    <w:rsid w:val="68E5CA57"/>
    <w:rsid w:val="6A62B209"/>
    <w:rsid w:val="6C37E441"/>
    <w:rsid w:val="6C93BBAA"/>
    <w:rsid w:val="6CCA0043"/>
    <w:rsid w:val="6DAF66E4"/>
    <w:rsid w:val="6DF35B7F"/>
    <w:rsid w:val="6E027285"/>
    <w:rsid w:val="6E958D38"/>
    <w:rsid w:val="6EA65C63"/>
    <w:rsid w:val="6F670431"/>
    <w:rsid w:val="6F9BBAC4"/>
    <w:rsid w:val="6FFC8EF9"/>
    <w:rsid w:val="705D2628"/>
    <w:rsid w:val="749263C6"/>
    <w:rsid w:val="7667D9B7"/>
    <w:rsid w:val="76B687EC"/>
    <w:rsid w:val="77C28868"/>
    <w:rsid w:val="78FD1074"/>
    <w:rsid w:val="792A3D5F"/>
    <w:rsid w:val="79C41C87"/>
    <w:rsid w:val="7A36AB00"/>
    <w:rsid w:val="7A64305F"/>
    <w:rsid w:val="7A6B0F2B"/>
    <w:rsid w:val="7C1562BD"/>
    <w:rsid w:val="7E0E35F5"/>
    <w:rsid w:val="7E93F686"/>
    <w:rsid w:val="7EDC3B77"/>
    <w:rsid w:val="7F93B8DD"/>
    <w:rsid w:val="7FF77D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5:docId w15:val="{D6224AFE-954D-40D0-B7D1-BF09A8EA1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ro-RO"/>
    </w:rPr>
  </w:style>
  <w:style w:type="paragraph" w:styleId="Heading1">
    <w:name w:val="heading 1"/>
    <w:basedOn w:val="Normal"/>
    <w:next w:val="Text1"/>
    <w:link w:val="Heading1Char"/>
    <w:uiPriority w:val="9"/>
    <w:qFormat/>
    <w:pPr>
      <w:keepNext/>
      <w:numPr>
        <w:numId w:val="13"/>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3"/>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3"/>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3"/>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13"/>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13"/>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13"/>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6D5D"/>
    <w:rPr>
      <w:color w:val="0000FF" w:themeColor="hyperlink"/>
      <w:u w:val="single"/>
    </w:rPr>
  </w:style>
  <w:style w:type="character" w:customStyle="1" w:styleId="cf01">
    <w:name w:val="cf01"/>
    <w:basedOn w:val="DefaultParagraphFont"/>
    <w:rsid w:val="00446D5D"/>
    <w:rPr>
      <w:rFonts w:ascii="Segoe UI" w:hAnsi="Segoe UI" w:cs="Segoe UI" w:hint="default"/>
      <w:color w:val="333333"/>
      <w:sz w:val="18"/>
      <w:szCs w:val="18"/>
      <w:shd w:val="clear" w:color="auto" w:fill="FFFFFF"/>
    </w:rPr>
  </w:style>
  <w:style w:type="paragraph" w:styleId="ListBullet">
    <w:name w:val="List Bullet"/>
    <w:basedOn w:val="Normal"/>
    <w:uiPriority w:val="99"/>
    <w:semiHidden/>
    <w:unhideWhenUsed/>
    <w:rsid w:val="00CB1623"/>
    <w:pPr>
      <w:numPr>
        <w:numId w:val="1"/>
      </w:numPr>
      <w:contextualSpacing/>
    </w:pPr>
  </w:style>
  <w:style w:type="paragraph" w:styleId="ListBullet2">
    <w:name w:val="List Bullet 2"/>
    <w:basedOn w:val="Normal"/>
    <w:uiPriority w:val="99"/>
    <w:semiHidden/>
    <w:unhideWhenUsed/>
    <w:rsid w:val="00CB1623"/>
    <w:pPr>
      <w:numPr>
        <w:numId w:val="2"/>
      </w:numPr>
      <w:contextualSpacing/>
    </w:pPr>
  </w:style>
  <w:style w:type="paragraph" w:styleId="ListBullet3">
    <w:name w:val="List Bullet 3"/>
    <w:basedOn w:val="Normal"/>
    <w:uiPriority w:val="99"/>
    <w:semiHidden/>
    <w:unhideWhenUsed/>
    <w:rsid w:val="00CB1623"/>
    <w:pPr>
      <w:numPr>
        <w:numId w:val="3"/>
      </w:numPr>
      <w:contextualSpacing/>
    </w:pPr>
  </w:style>
  <w:style w:type="paragraph" w:styleId="ListBullet4">
    <w:name w:val="List Bullet 4"/>
    <w:basedOn w:val="Normal"/>
    <w:uiPriority w:val="99"/>
    <w:semiHidden/>
    <w:unhideWhenUsed/>
    <w:rsid w:val="00CB1623"/>
    <w:pPr>
      <w:numPr>
        <w:numId w:val="4"/>
      </w:numPr>
      <w:contextualSpacing/>
    </w:pPr>
  </w:style>
  <w:style w:type="character" w:styleId="CommentReference">
    <w:name w:val="annotation reference"/>
    <w:basedOn w:val="DefaultParagraphFont"/>
    <w:uiPriority w:val="99"/>
    <w:semiHidden/>
    <w:unhideWhenUsed/>
    <w:rsid w:val="000B49AE"/>
    <w:rPr>
      <w:sz w:val="16"/>
      <w:szCs w:val="16"/>
    </w:rPr>
  </w:style>
  <w:style w:type="paragraph" w:styleId="CommentText">
    <w:name w:val="annotation text"/>
    <w:basedOn w:val="Normal"/>
    <w:link w:val="CommentTextChar"/>
    <w:uiPriority w:val="99"/>
    <w:unhideWhenUsed/>
    <w:rsid w:val="000B49AE"/>
    <w:rPr>
      <w:sz w:val="20"/>
      <w:szCs w:val="20"/>
    </w:rPr>
  </w:style>
  <w:style w:type="character" w:customStyle="1" w:styleId="CommentTextChar">
    <w:name w:val="Comment Text Char"/>
    <w:basedOn w:val="DefaultParagraphFont"/>
    <w:link w:val="CommentText"/>
    <w:uiPriority w:val="99"/>
    <w:rsid w:val="000B49AE"/>
    <w:rPr>
      <w:rFonts w:ascii="Times New Roman" w:hAnsi="Times New Roman" w:cs="Times New Roman"/>
      <w:sz w:val="20"/>
      <w:szCs w:val="20"/>
      <w:lang w:val="ro-RO"/>
    </w:rPr>
  </w:style>
  <w:style w:type="paragraph" w:styleId="CommentSubject">
    <w:name w:val="annotation subject"/>
    <w:basedOn w:val="CommentText"/>
    <w:next w:val="CommentText"/>
    <w:link w:val="CommentSubjectChar"/>
    <w:uiPriority w:val="99"/>
    <w:semiHidden/>
    <w:unhideWhenUsed/>
    <w:rsid w:val="000B49AE"/>
    <w:rPr>
      <w:b/>
      <w:bCs/>
    </w:rPr>
  </w:style>
  <w:style w:type="character" w:customStyle="1" w:styleId="CommentSubjectChar">
    <w:name w:val="Comment Subject Char"/>
    <w:basedOn w:val="CommentTextChar"/>
    <w:link w:val="CommentSubject"/>
    <w:uiPriority w:val="99"/>
    <w:semiHidden/>
    <w:rsid w:val="000B49AE"/>
    <w:rPr>
      <w:rFonts w:ascii="Times New Roman" w:hAnsi="Times New Roman" w:cs="Times New Roman"/>
      <w:b/>
      <w:bCs/>
      <w:sz w:val="20"/>
      <w:szCs w:val="20"/>
      <w:lang w:val="ro-RO"/>
    </w:rPr>
  </w:style>
  <w:style w:type="paragraph" w:styleId="Revision">
    <w:name w:val="Revision"/>
    <w:hidden/>
    <w:uiPriority w:val="99"/>
    <w:semiHidden/>
    <w:rsid w:val="00AC6F86"/>
    <w:pPr>
      <w:spacing w:after="0" w:line="240" w:lineRule="auto"/>
    </w:pPr>
    <w:rPr>
      <w:rFonts w:ascii="Times New Roman" w:hAnsi="Times New Roman" w:cs="Times New Roman"/>
      <w:sz w:val="24"/>
    </w:rPr>
  </w:style>
  <w:style w:type="character" w:customStyle="1" w:styleId="UnresolvedMention">
    <w:name w:val="Unresolved Mention"/>
    <w:basedOn w:val="DefaultParagraphFont"/>
    <w:uiPriority w:val="99"/>
    <w:semiHidden/>
    <w:unhideWhenUsed/>
    <w:rsid w:val="00D02DDA"/>
    <w:rPr>
      <w:color w:val="605E5C"/>
      <w:shd w:val="clear" w:color="auto" w:fill="E1DFDD"/>
    </w:rPr>
  </w:style>
  <w:style w:type="character" w:customStyle="1" w:styleId="HeaderChar">
    <w:name w:val="Header Char"/>
    <w:basedOn w:val="DefaultParagraphFont"/>
    <w:link w:val="Header"/>
    <w:uiPriority w:val="99"/>
    <w:rsid w:val="00CD6A53"/>
    <w:rPr>
      <w:rFonts w:ascii="Times New Roman" w:hAnsi="Times New Roman" w:cs="Times New Roman"/>
      <w:sz w:val="24"/>
      <w:lang w:val="ro-RO"/>
    </w:rPr>
  </w:style>
  <w:style w:type="character" w:customStyle="1" w:styleId="FooterChar">
    <w:name w:val="Footer Char"/>
    <w:basedOn w:val="DefaultParagraphFont"/>
    <w:link w:val="Footer"/>
    <w:uiPriority w:val="99"/>
    <w:rsid w:val="00CD6A53"/>
    <w:rPr>
      <w:rFonts w:ascii="Times New Roman" w:hAnsi="Times New Roman" w:cs="Times New Roman"/>
      <w:sz w:val="24"/>
      <w:lang w:val="ro-RO"/>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ro-RO"/>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ro-RO"/>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ro-RO"/>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ro-RO"/>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ro-RO"/>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ro-RO"/>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ro-RO"/>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CD6A53"/>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CD6A53"/>
    <w:pPr>
      <w:spacing w:before="0"/>
      <w:jc w:val="right"/>
    </w:pPr>
    <w:rPr>
      <w:sz w:val="28"/>
    </w:rPr>
  </w:style>
  <w:style w:type="paragraph" w:customStyle="1" w:styleId="FooterSensitivity">
    <w:name w:val="Footer Sensitivity"/>
    <w:basedOn w:val="Normal"/>
    <w:rsid w:val="00CD6A53"/>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6"/>
      </w:numPr>
    </w:pPr>
  </w:style>
  <w:style w:type="paragraph" w:customStyle="1" w:styleId="Tiret1">
    <w:name w:val="Tiret 1"/>
    <w:basedOn w:val="Point1"/>
    <w:pPr>
      <w:numPr>
        <w:numId w:val="7"/>
      </w:numPr>
    </w:pPr>
  </w:style>
  <w:style w:type="paragraph" w:customStyle="1" w:styleId="Tiret2">
    <w:name w:val="Tiret 2"/>
    <w:basedOn w:val="Point2"/>
    <w:pPr>
      <w:numPr>
        <w:numId w:val="8"/>
      </w:numPr>
    </w:pPr>
  </w:style>
  <w:style w:type="paragraph" w:customStyle="1" w:styleId="Tiret3">
    <w:name w:val="Tiret 3"/>
    <w:basedOn w:val="Point3"/>
    <w:pPr>
      <w:numPr>
        <w:numId w:val="9"/>
      </w:numPr>
    </w:pPr>
  </w:style>
  <w:style w:type="paragraph" w:customStyle="1" w:styleId="Tiret4">
    <w:name w:val="Tiret 4"/>
    <w:basedOn w:val="Point4"/>
    <w:pPr>
      <w:numPr>
        <w:numId w:val="10"/>
      </w:numPr>
    </w:pPr>
  </w:style>
  <w:style w:type="paragraph" w:customStyle="1" w:styleId="Tiret5">
    <w:name w:val="Tiret 5"/>
    <w:basedOn w:val="Point5"/>
    <w:pPr>
      <w:numPr>
        <w:numId w:val="11"/>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2"/>
      </w:numPr>
    </w:pPr>
  </w:style>
  <w:style w:type="paragraph" w:customStyle="1" w:styleId="NumPar2">
    <w:name w:val="NumPar 2"/>
    <w:basedOn w:val="Normal"/>
    <w:next w:val="Text1"/>
    <w:pPr>
      <w:numPr>
        <w:ilvl w:val="1"/>
        <w:numId w:val="12"/>
      </w:numPr>
    </w:pPr>
  </w:style>
  <w:style w:type="paragraph" w:customStyle="1" w:styleId="NumPar3">
    <w:name w:val="NumPar 3"/>
    <w:basedOn w:val="Normal"/>
    <w:next w:val="Text1"/>
    <w:pPr>
      <w:numPr>
        <w:ilvl w:val="2"/>
        <w:numId w:val="12"/>
      </w:numPr>
    </w:pPr>
  </w:style>
  <w:style w:type="paragraph" w:customStyle="1" w:styleId="NumPar4">
    <w:name w:val="NumPar 4"/>
    <w:basedOn w:val="Normal"/>
    <w:next w:val="Text1"/>
    <w:pPr>
      <w:numPr>
        <w:ilvl w:val="3"/>
        <w:numId w:val="12"/>
      </w:numPr>
    </w:pPr>
  </w:style>
  <w:style w:type="paragraph" w:customStyle="1" w:styleId="NumPar5">
    <w:name w:val="NumPar 5"/>
    <w:basedOn w:val="Normal"/>
    <w:next w:val="Text2"/>
    <w:pPr>
      <w:numPr>
        <w:ilvl w:val="4"/>
        <w:numId w:val="12"/>
      </w:numPr>
    </w:pPr>
  </w:style>
  <w:style w:type="paragraph" w:customStyle="1" w:styleId="NumPar6">
    <w:name w:val="NumPar 6"/>
    <w:basedOn w:val="Normal"/>
    <w:next w:val="Text2"/>
    <w:pPr>
      <w:numPr>
        <w:ilvl w:val="5"/>
        <w:numId w:val="12"/>
      </w:numPr>
    </w:pPr>
  </w:style>
  <w:style w:type="paragraph" w:customStyle="1" w:styleId="NumPar7">
    <w:name w:val="NumPar 7"/>
    <w:basedOn w:val="Normal"/>
    <w:next w:val="Text2"/>
    <w:pPr>
      <w:numPr>
        <w:ilvl w:val="6"/>
        <w:numId w:val="12"/>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4"/>
      </w:numPr>
    </w:pPr>
  </w:style>
  <w:style w:type="paragraph" w:customStyle="1" w:styleId="Point1number">
    <w:name w:val="Point 1 (number)"/>
    <w:basedOn w:val="Normal"/>
    <w:pPr>
      <w:numPr>
        <w:ilvl w:val="2"/>
        <w:numId w:val="14"/>
      </w:numPr>
    </w:pPr>
  </w:style>
  <w:style w:type="paragraph" w:customStyle="1" w:styleId="Point2number">
    <w:name w:val="Point 2 (number)"/>
    <w:basedOn w:val="Normal"/>
    <w:pPr>
      <w:numPr>
        <w:ilvl w:val="4"/>
        <w:numId w:val="14"/>
      </w:numPr>
    </w:pPr>
  </w:style>
  <w:style w:type="paragraph" w:customStyle="1" w:styleId="Point3number">
    <w:name w:val="Point 3 (number)"/>
    <w:basedOn w:val="Normal"/>
    <w:pPr>
      <w:numPr>
        <w:ilvl w:val="6"/>
        <w:numId w:val="14"/>
      </w:numPr>
    </w:pPr>
  </w:style>
  <w:style w:type="paragraph" w:customStyle="1" w:styleId="Point0letter">
    <w:name w:val="Point 0 (letter)"/>
    <w:basedOn w:val="Normal"/>
    <w:pPr>
      <w:numPr>
        <w:ilvl w:val="1"/>
        <w:numId w:val="14"/>
      </w:numPr>
    </w:pPr>
  </w:style>
  <w:style w:type="paragraph" w:customStyle="1" w:styleId="Point1letter">
    <w:name w:val="Point 1 (letter)"/>
    <w:basedOn w:val="Normal"/>
    <w:pPr>
      <w:numPr>
        <w:ilvl w:val="3"/>
        <w:numId w:val="14"/>
      </w:numPr>
    </w:pPr>
  </w:style>
  <w:style w:type="paragraph" w:customStyle="1" w:styleId="Point2letter">
    <w:name w:val="Point 2 (letter)"/>
    <w:basedOn w:val="Normal"/>
    <w:pPr>
      <w:numPr>
        <w:ilvl w:val="5"/>
        <w:numId w:val="14"/>
      </w:numPr>
    </w:pPr>
  </w:style>
  <w:style w:type="paragraph" w:customStyle="1" w:styleId="Point3letter">
    <w:name w:val="Point 3 (letter)"/>
    <w:basedOn w:val="Normal"/>
    <w:pPr>
      <w:numPr>
        <w:ilvl w:val="7"/>
        <w:numId w:val="14"/>
      </w:numPr>
    </w:pPr>
  </w:style>
  <w:style w:type="paragraph" w:customStyle="1" w:styleId="Point4letter">
    <w:name w:val="Point 4 (letter)"/>
    <w:basedOn w:val="Normal"/>
    <w:pPr>
      <w:numPr>
        <w:ilvl w:val="8"/>
        <w:numId w:val="14"/>
      </w:numPr>
    </w:pPr>
  </w:style>
  <w:style w:type="paragraph" w:customStyle="1" w:styleId="Bullet0">
    <w:name w:val="Bullet 0"/>
    <w:basedOn w:val="Normal"/>
    <w:pPr>
      <w:numPr>
        <w:numId w:val="15"/>
      </w:numPr>
    </w:pPr>
  </w:style>
  <w:style w:type="paragraph" w:customStyle="1" w:styleId="Bullet1">
    <w:name w:val="Bullet 1"/>
    <w:basedOn w:val="Normal"/>
    <w:pPr>
      <w:numPr>
        <w:numId w:val="16"/>
      </w:numPr>
    </w:pPr>
  </w:style>
  <w:style w:type="paragraph" w:customStyle="1" w:styleId="Bullet2">
    <w:name w:val="Bullet 2"/>
    <w:basedOn w:val="Normal"/>
    <w:pPr>
      <w:numPr>
        <w:numId w:val="17"/>
      </w:numPr>
    </w:pPr>
  </w:style>
  <w:style w:type="paragraph" w:customStyle="1" w:styleId="Bullet3">
    <w:name w:val="Bullet 3"/>
    <w:basedOn w:val="Normal"/>
    <w:pPr>
      <w:numPr>
        <w:numId w:val="18"/>
      </w:numPr>
    </w:pPr>
  </w:style>
  <w:style w:type="paragraph" w:customStyle="1" w:styleId="Bullet4">
    <w:name w:val="Bullet 4"/>
    <w:basedOn w:val="Normal"/>
    <w:pPr>
      <w:numPr>
        <w:numId w:val="19"/>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0"/>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 w:type="paragraph" w:styleId="Header">
    <w:name w:val="header"/>
    <w:basedOn w:val="Normal"/>
    <w:link w:val="HeaderChar"/>
    <w:uiPriority w:val="99"/>
    <w:unhideWhenUsed/>
    <w:rsid w:val="00CD6A53"/>
    <w:pPr>
      <w:tabs>
        <w:tab w:val="center" w:pos="4535"/>
        <w:tab w:val="right" w:pos="9071"/>
      </w:tabs>
      <w:spacing w:before="0"/>
    </w:pPr>
  </w:style>
  <w:style w:type="paragraph" w:customStyle="1" w:styleId="HeaderLandscape">
    <w:name w:val="HeaderLandscape"/>
    <w:basedOn w:val="Normal"/>
    <w:rsid w:val="00CD6A53"/>
    <w:pPr>
      <w:tabs>
        <w:tab w:val="center" w:pos="7285"/>
        <w:tab w:val="right" w:pos="14003"/>
      </w:tabs>
      <w:spacing w:before="0"/>
    </w:pPr>
  </w:style>
  <w:style w:type="paragraph" w:styleId="Footer">
    <w:name w:val="footer"/>
    <w:basedOn w:val="Normal"/>
    <w:link w:val="FooterChar"/>
    <w:uiPriority w:val="99"/>
    <w:unhideWhenUsed/>
    <w:rsid w:val="00CD6A53"/>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CD6A53"/>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542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data.europa.eu/eli/dec_impl/2024/1447/oj" TargetMode="External"/><Relationship Id="rId1" Type="http://schemas.openxmlformats.org/officeDocument/2006/relationships/hyperlink" Target="http://data.europa.eu/eli/reg/2024/792/oj"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A035B8C3EAA64A9CFE17FEB37C94B7" ma:contentTypeVersion="13" ma:contentTypeDescription="Create a new document." ma:contentTypeScope="" ma:versionID="ceede4f2c4a2aa62d8a5284ff8ef180b">
  <xsd:schema xmlns:xsd="http://www.w3.org/2001/XMLSchema" xmlns:xs="http://www.w3.org/2001/XMLSchema" xmlns:p="http://schemas.microsoft.com/office/2006/metadata/properties" xmlns:ns2="f46a404f-b2a3-4040-9043-f235421f67a9" xmlns:ns3="143df74d-9af4-4f98-9378-663f31c63d7c" targetNamespace="http://schemas.microsoft.com/office/2006/metadata/properties" ma:root="true" ma:fieldsID="ad8105a9dacf4297f334b553f0f52945" ns2:_="" ns3:_="">
    <xsd:import namespace="f46a404f-b2a3-4040-9043-f235421f67a9"/>
    <xsd:import namespace="143df74d-9af4-4f98-9378-663f31c63d7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a404f-b2a3-4040-9043-f235421f67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3df74d-9af4-4f98-9378-663f31c63d7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6eaa164-67b1-4009-9506-aa3f45407dd2}" ma:internalName="TaxCatchAll" ma:showField="CatchAllData" ma:web="143df74d-9af4-4f98-9378-663f31c63d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46a404f-b2a3-4040-9043-f235421f67a9">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TaxCatchAll xmlns="143df74d-9af4-4f98-9378-663f31c63d7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E6A81E-4273-4C1C-94EB-347DEC0EBD30}">
  <ds:schemaRefs>
    <ds:schemaRef ds:uri="http://schemas.microsoft.com/sharepoint/v3/contenttype/forms"/>
  </ds:schemaRefs>
</ds:datastoreItem>
</file>

<file path=customXml/itemProps2.xml><?xml version="1.0" encoding="utf-8"?>
<ds:datastoreItem xmlns:ds="http://schemas.openxmlformats.org/officeDocument/2006/customXml" ds:itemID="{FD7B6D40-07F2-4D52-BA30-66EF9A7478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a404f-b2a3-4040-9043-f235421f67a9"/>
    <ds:schemaRef ds:uri="143df74d-9af4-4f98-9378-663f31c63d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7E8230-EA63-49C6-BB9C-D2E2FBF3C148}">
  <ds:schemaRefs>
    <ds:schemaRef ds:uri="http://schemas.microsoft.com/office/2006/metadata/properties"/>
    <ds:schemaRef ds:uri="http://schemas.microsoft.com/office/infopath/2007/PartnerControls"/>
    <ds:schemaRef ds:uri="f46a404f-b2a3-4040-9043-f235421f67a9"/>
    <ds:schemaRef ds:uri="143df74d-9af4-4f98-9378-663f31c63d7c"/>
  </ds:schemaRefs>
</ds:datastoreItem>
</file>

<file path=customXml/itemProps4.xml><?xml version="1.0" encoding="utf-8"?>
<ds:datastoreItem xmlns:ds="http://schemas.openxmlformats.org/officeDocument/2006/customXml" ds:itemID="{F5EB19B7-1A7C-46CC-BBCD-C5F3319CB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29</TotalTime>
  <Pages>4</Pages>
  <Words>1087</Words>
  <Characters>6199</Characters>
  <Application>Microsoft Office Word</Application>
  <DocSecurity>0</DocSecurity>
  <Lines>51</Lines>
  <Paragraphs>14</Paragraphs>
  <ScaleCrop>false</ScaleCrop>
  <Manager/>
  <Company/>
  <LinksUpToDate>false</LinksUpToDate>
  <CharactersWithSpaces>7272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55</cp:revision>
  <dcterms:created xsi:type="dcterms:W3CDTF">2024-11-08T17:31:00Z</dcterms:created>
  <dcterms:modified xsi:type="dcterms:W3CDTF">2024-11-27T17:05:00Z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8.0.25.0</vt:lpwstr>
  </property>
  <property fmtid="{D5CDD505-2E9C-101B-9397-08002B2CF9AE}" pid="4" name="Last edited using">
    <vt:lpwstr>LW 9.0, Build 20230317</vt:lpwstr>
  </property>
  <property fmtid="{D5CDD505-2E9C-101B-9397-08002B2CF9AE}" pid="5" name="Created using">
    <vt:lpwstr>LW 9.0, Build 20230317</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SJ-021</vt:lpwstr>
  </property>
  <property fmtid="{D5CDD505-2E9C-101B-9397-08002B2CF9AE}" pid="10" name="MSIP_Label_6bd9ddd1-4d20-43f6-abfa-fc3c07406f94_Enabled">
    <vt:lpwstr>true</vt:lpwstr>
  </property>
  <property fmtid="{D5CDD505-2E9C-101B-9397-08002B2CF9AE}" pid="11" name="MSIP_Label_6bd9ddd1-4d20-43f6-abfa-fc3c07406f94_SetDate">
    <vt:lpwstr>2024-07-17T11:37:53Z</vt:lpwstr>
  </property>
  <property fmtid="{D5CDD505-2E9C-101B-9397-08002B2CF9AE}" pid="12" name="MSIP_Label_6bd9ddd1-4d20-43f6-abfa-fc3c07406f94_Method">
    <vt:lpwstr>Standard</vt:lpwstr>
  </property>
  <property fmtid="{D5CDD505-2E9C-101B-9397-08002B2CF9AE}" pid="13" name="MSIP_Label_6bd9ddd1-4d20-43f6-abfa-fc3c07406f94_Name">
    <vt:lpwstr>Commission Use</vt:lpwstr>
  </property>
  <property fmtid="{D5CDD505-2E9C-101B-9397-08002B2CF9AE}" pid="14" name="MSIP_Label_6bd9ddd1-4d20-43f6-abfa-fc3c07406f94_SiteId">
    <vt:lpwstr>b24c8b06-522c-46fe-9080-70926f8dddb1</vt:lpwstr>
  </property>
  <property fmtid="{D5CDD505-2E9C-101B-9397-08002B2CF9AE}" pid="15" name="MSIP_Label_6bd9ddd1-4d20-43f6-abfa-fc3c07406f94_ActionId">
    <vt:lpwstr>00b229e1-a42a-4753-93f8-f11c8b4585bb</vt:lpwstr>
  </property>
  <property fmtid="{D5CDD505-2E9C-101B-9397-08002B2CF9AE}" pid="16" name="MSIP_Label_6bd9ddd1-4d20-43f6-abfa-fc3c07406f94_ContentBits">
    <vt:lpwstr>0</vt:lpwstr>
  </property>
  <property fmtid="{D5CDD505-2E9C-101B-9397-08002B2CF9AE}" pid="17" name="ContentTypeId">
    <vt:lpwstr>0x01010089A035B8C3EAA64A9CFE17FEB37C94B7</vt:lpwstr>
  </property>
  <property fmtid="{D5CDD505-2E9C-101B-9397-08002B2CF9AE}" pid="18" name="MediaServiceImageTags">
    <vt:lpwstr/>
  </property>
  <property fmtid="{D5CDD505-2E9C-101B-9397-08002B2CF9AE}" pid="19" name="DQCStatus">
    <vt:lpwstr>Green (DQC version 03)</vt:lpwstr>
  </property>
  <property name="OP_sanitized" fmtid="{D5CDD505-2E9C-101B-9397-08002B2CF9AE}" pid="20">
    <vt:lpwstr>True</vt:lpwstr>
  </property>
</Properties>
</file>