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D5D" w:rsidRPr="002265BA" w:rsidRDefault="009146F5" w:rsidP="009146F5">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0C8B6AF8-49E1-41CD-812C-357CEB874EE3" style="width:455.25pt;height:383.25pt">
            <v:imagedata r:id="rId11" o:title=""/>
          </v:shape>
        </w:pict>
      </w:r>
    </w:p>
    <w:p w:rsidR="00945E1A" w:rsidRPr="002265BA" w:rsidRDefault="00945E1A" w:rsidP="00E95A83">
      <w:pPr>
        <w:rPr>
          <w:noProof/>
        </w:rPr>
        <w:sectPr w:rsidR="00945E1A" w:rsidRPr="002265BA" w:rsidSect="009146F5">
          <w:footerReference w:type="even" r:id="rId12"/>
          <w:footerReference w:type="default" r:id="rId13"/>
          <w:pgSz w:w="11907" w:h="16839"/>
          <w:pgMar w:top="1134" w:right="1417" w:bottom="1134" w:left="1417" w:header="709" w:footer="709" w:gutter="0"/>
          <w:pgNumType w:start="0"/>
          <w:cols w:space="720"/>
          <w:docGrid w:linePitch="360"/>
        </w:sectPr>
      </w:pPr>
    </w:p>
    <w:p w:rsidR="00C064F5" w:rsidRPr="002265BA" w:rsidRDefault="00C064F5" w:rsidP="00945E1A">
      <w:pPr>
        <w:pStyle w:val="Exposdesmotifstitre"/>
        <w:ind w:left="360"/>
        <w:rPr>
          <w:noProof/>
          <w:sz w:val="2"/>
          <w:szCs w:val="2"/>
        </w:rPr>
      </w:pPr>
      <w:bookmarkStart w:id="0" w:name="_GoBack"/>
      <w:bookmarkEnd w:id="0"/>
    </w:p>
    <w:p w:rsidR="00C064F5" w:rsidRPr="002265BA" w:rsidRDefault="00C064F5" w:rsidP="00C064F5">
      <w:pPr>
        <w:rPr>
          <w:noProof/>
          <w:sz w:val="2"/>
          <w:szCs w:val="2"/>
        </w:rPr>
      </w:pPr>
    </w:p>
    <w:p w:rsidR="00A04C54" w:rsidRPr="002265BA" w:rsidRDefault="002162B9" w:rsidP="002162B9">
      <w:pPr>
        <w:pStyle w:val="Rfrenceinterinstitutionnelle"/>
        <w:rPr>
          <w:noProof/>
        </w:rPr>
      </w:pPr>
      <w:r>
        <w:rPr>
          <w:noProof/>
        </w:rPr>
        <w:t>2024/0303 (NLE)</w:t>
      </w:r>
    </w:p>
    <w:p w:rsidR="00446D5D" w:rsidRPr="002265BA" w:rsidRDefault="002162B9" w:rsidP="002162B9">
      <w:pPr>
        <w:pStyle w:val="Statut"/>
        <w:rPr>
          <w:noProof/>
        </w:rPr>
      </w:pPr>
      <w:r w:rsidRPr="002162B9">
        <w:rPr>
          <w:noProof/>
        </w:rPr>
        <w:t>Predlog</w:t>
      </w:r>
    </w:p>
    <w:p w:rsidR="00446D5D" w:rsidRPr="002265BA" w:rsidRDefault="002162B9" w:rsidP="002162B9">
      <w:pPr>
        <w:pStyle w:val="Typedudocument"/>
        <w:rPr>
          <w:noProof/>
        </w:rPr>
      </w:pPr>
      <w:r w:rsidRPr="002162B9">
        <w:rPr>
          <w:noProof/>
        </w:rPr>
        <w:t>IZVEDBENI SKLEP SVETA</w:t>
      </w:r>
    </w:p>
    <w:p w:rsidR="00446D5D" w:rsidRPr="002265BA" w:rsidRDefault="002162B9" w:rsidP="002162B9">
      <w:pPr>
        <w:pStyle w:val="Titreobjet"/>
        <w:rPr>
          <w:noProof/>
        </w:rPr>
      </w:pPr>
      <w:r w:rsidRPr="002162B9">
        <w:rPr>
          <w:noProof/>
        </w:rPr>
        <w:t>o potrditvi zadovoljivega izpolnjevanja pogojev za plačilo drugega obroka nepovratne finančne podpore in podpore v obliki posojila iz načrta za Ukrajino v okviru instrumenta za Ukrajino</w:t>
      </w:r>
      <w:r w:rsidRPr="002162B9">
        <w:rPr>
          <w:noProof/>
        </w:rPr>
        <w:br/>
      </w:r>
    </w:p>
    <w:p w:rsidR="00446D5D" w:rsidRPr="002265BA" w:rsidRDefault="00446D5D" w:rsidP="00446D5D">
      <w:pPr>
        <w:pStyle w:val="Institutionquiagit"/>
        <w:rPr>
          <w:noProof/>
        </w:rPr>
      </w:pPr>
      <w:bookmarkStart w:id="1" w:name="_Hlk172115450"/>
      <w:r w:rsidRPr="002265BA">
        <w:rPr>
          <w:noProof/>
        </w:rPr>
        <w:t>SVET EVROPSKE UNIJE JE –</w:t>
      </w:r>
    </w:p>
    <w:p w:rsidR="00446D5D" w:rsidRPr="002265BA" w:rsidRDefault="00446D5D" w:rsidP="00446D5D">
      <w:pPr>
        <w:rPr>
          <w:noProof/>
        </w:rPr>
      </w:pPr>
      <w:bookmarkStart w:id="2" w:name="_Hlk172115434"/>
      <w:bookmarkStart w:id="3" w:name="_Hlk172115421"/>
      <w:r w:rsidRPr="002265BA">
        <w:rPr>
          <w:noProof/>
        </w:rPr>
        <w:t xml:space="preserve">ob upoštevanju Pogodbe o delovanju Evropske unije, </w:t>
      </w:r>
    </w:p>
    <w:p w:rsidR="00446D5D" w:rsidRPr="002265BA" w:rsidRDefault="00446D5D" w:rsidP="00446D5D">
      <w:pPr>
        <w:rPr>
          <w:noProof/>
        </w:rPr>
      </w:pPr>
      <w:bookmarkStart w:id="4" w:name="_Hlk172111742"/>
      <w:r w:rsidRPr="002265BA">
        <w:rPr>
          <w:noProof/>
        </w:rPr>
        <w:t>ob upoštevanju Uredbe (EU) 2024/792 Evropskega parlamenta in Sveta z dne 29. februarja 2024 o vzpostavitvi instrumenta za Ukrajino</w:t>
      </w:r>
      <w:r w:rsidRPr="002265BA">
        <w:rPr>
          <w:rStyle w:val="FootnoteReference"/>
          <w:noProof/>
        </w:rPr>
        <w:footnoteReference w:id="2"/>
      </w:r>
      <w:r w:rsidRPr="002265BA">
        <w:rPr>
          <w:noProof/>
        </w:rPr>
        <w:t xml:space="preserve"> in zlasti člena 26(4) Uredbe,</w:t>
      </w:r>
    </w:p>
    <w:bookmarkEnd w:id="4"/>
    <w:p w:rsidR="00446D5D" w:rsidRPr="002265BA" w:rsidRDefault="00446D5D" w:rsidP="55ADF842">
      <w:pPr>
        <w:rPr>
          <w:noProof/>
        </w:rPr>
      </w:pPr>
      <w:r w:rsidRPr="002265BA">
        <w:rPr>
          <w:noProof/>
        </w:rPr>
        <w:t>ob upoštevanju predloga Evropske komisije,</w:t>
      </w:r>
    </w:p>
    <w:bookmarkEnd w:id="2"/>
    <w:p w:rsidR="00446D5D" w:rsidRPr="002265BA" w:rsidRDefault="00446D5D" w:rsidP="00446D5D">
      <w:pPr>
        <w:rPr>
          <w:noProof/>
        </w:rPr>
      </w:pPr>
      <w:r w:rsidRPr="002265BA">
        <w:rPr>
          <w:noProof/>
        </w:rPr>
        <w:t>ob upoštevanju naslednjega:</w:t>
      </w:r>
    </w:p>
    <w:p w:rsidR="00900062" w:rsidRPr="002265BA" w:rsidRDefault="00A71F12" w:rsidP="00A71F12">
      <w:pPr>
        <w:pStyle w:val="ManualConsidrant"/>
        <w:rPr>
          <w:noProof/>
        </w:rPr>
      </w:pPr>
      <w:bookmarkStart w:id="5" w:name="_Hlk172111757"/>
      <w:bookmarkEnd w:id="3"/>
      <w:r w:rsidRPr="00A71F12">
        <w:rPr>
          <w:noProof/>
        </w:rPr>
        <w:t>(1)</w:t>
      </w:r>
      <w:r w:rsidRPr="00A71F12">
        <w:rPr>
          <w:noProof/>
        </w:rPr>
        <w:tab/>
      </w:r>
      <w:r w:rsidR="00446D5D" w:rsidRPr="002265BA">
        <w:rPr>
          <w:noProof/>
        </w:rPr>
        <w:t xml:space="preserve">Steber I instrumenta za Ukrajino (v nadaljnjem besedilu: instrument) daje Ukrajini na voljo finančno podporo v višini do 38 270 000 000 EUR za obdobje 2024–2027 v obliki nepovratne podpore in posojil. Financiranje v okviru stebra I se dodeljuje predvsem na podlagi načrta za Ukrajino (v nadaljnjem besedilu: načrt). Načrt določa program reform in naložb za Ukrajino ter kvalitativne in kvantitativne korake, ki so povezani s financiranjem v okviru stebra I instrumenta. </w:t>
      </w:r>
    </w:p>
    <w:p w:rsidR="00900062" w:rsidRPr="002265BA" w:rsidRDefault="00A71F12" w:rsidP="00A71F12">
      <w:pPr>
        <w:pStyle w:val="ManualConsidrant"/>
        <w:rPr>
          <w:noProof/>
        </w:rPr>
      </w:pPr>
      <w:r w:rsidRPr="00A71F12">
        <w:rPr>
          <w:noProof/>
        </w:rPr>
        <w:t>(2)</w:t>
      </w:r>
      <w:r w:rsidRPr="00A71F12">
        <w:rPr>
          <w:noProof/>
        </w:rPr>
        <w:tab/>
      </w:r>
      <w:r w:rsidR="6DAF66E4" w:rsidRPr="002265BA">
        <w:rPr>
          <w:noProof/>
        </w:rPr>
        <w:t>Svet je na podlagi člena 19 Uredbe (EU) 2024/792 sprejel Izvedbeni sklep (EU) 2024/1447</w:t>
      </w:r>
      <w:r w:rsidR="00653EBE" w:rsidRPr="002265BA">
        <w:rPr>
          <w:rStyle w:val="FootnoteReference"/>
          <w:noProof/>
        </w:rPr>
        <w:footnoteReference w:id="3"/>
      </w:r>
      <w:r w:rsidR="6DAF66E4" w:rsidRPr="002265BA">
        <w:rPr>
          <w:noProof/>
        </w:rPr>
        <w:t xml:space="preserve"> o odobritvi ocene načrta. Časovni razpored za spremljanje in izvajanje načrta, vključno s kvalitativnimi in kvantitativnimi koraki, ki so povezani s financiranjem v okviru stebra I instrumenta, je določen v Prilogi k Izvedbenemu sklepu (EU) 2024/1447.</w:t>
      </w:r>
    </w:p>
    <w:p w:rsidR="00900062" w:rsidRPr="002265BA" w:rsidRDefault="00A71F12" w:rsidP="00A71F12">
      <w:pPr>
        <w:pStyle w:val="ManualConsidrant"/>
        <w:rPr>
          <w:noProof/>
        </w:rPr>
      </w:pPr>
      <w:r w:rsidRPr="00A71F12">
        <w:rPr>
          <w:noProof/>
        </w:rPr>
        <w:t>(3)</w:t>
      </w:r>
      <w:r w:rsidRPr="00A71F12">
        <w:rPr>
          <w:noProof/>
        </w:rPr>
        <w:tab/>
      </w:r>
      <w:r w:rsidR="00446D5D" w:rsidRPr="002265BA">
        <w:rPr>
          <w:noProof/>
        </w:rPr>
        <w:t xml:space="preserve">Skupna vsota finančnih sredstev, ki so na voljo za načrt na podlagi Izvedbenega sklepa Sveta (EU) 2024/1447, znaša 32 270 000 000 EUR, od tega </w:t>
      </w:r>
      <w:bookmarkStart w:id="6" w:name="_Hlk181809472"/>
      <w:r w:rsidR="00446D5D" w:rsidRPr="002265BA">
        <w:rPr>
          <w:noProof/>
        </w:rPr>
        <w:t>5 270 000 000 EUR</w:t>
      </w:r>
      <w:bookmarkEnd w:id="6"/>
      <w:r w:rsidR="00446D5D" w:rsidRPr="002265BA">
        <w:rPr>
          <w:noProof/>
        </w:rPr>
        <w:t xml:space="preserve"> v obliki nepovratne finančne podpore in do 27 000 000 000 EUR v obliki posojila. </w:t>
      </w:r>
    </w:p>
    <w:p w:rsidR="00900062" w:rsidRPr="002265BA" w:rsidRDefault="00A71F12" w:rsidP="00A71F12">
      <w:pPr>
        <w:pStyle w:val="ManualConsidrant"/>
        <w:rPr>
          <w:noProof/>
        </w:rPr>
      </w:pPr>
      <w:r w:rsidRPr="00A71F12">
        <w:rPr>
          <w:noProof/>
        </w:rPr>
        <w:t>(4)</w:t>
      </w:r>
      <w:r w:rsidRPr="00A71F12">
        <w:rPr>
          <w:noProof/>
        </w:rPr>
        <w:tab/>
      </w:r>
      <w:r w:rsidR="5F7B3744" w:rsidRPr="002265BA">
        <w:rPr>
          <w:noProof/>
        </w:rPr>
        <w:t>V skladu s členoma 24 in 25 Uredbe (EU) 2024/792 je bilo Ukrajini izplačanih 6 000 000 000 EUR kot izredno premostitveno financiranje in 1 890 000 000 EUR v obliki predhodnega financiranja, ki predstavlja predplačilo v višini 7 % podpore v obliki posojila, do katere je Ukrajina upravičena v okviru načrta.</w:t>
      </w:r>
    </w:p>
    <w:p w:rsidR="00900062" w:rsidRPr="002265BA" w:rsidRDefault="00A71F12" w:rsidP="00A71F12">
      <w:pPr>
        <w:pStyle w:val="ManualConsidrant"/>
        <w:rPr>
          <w:noProof/>
        </w:rPr>
      </w:pPr>
      <w:r w:rsidRPr="00A71F12">
        <w:rPr>
          <w:noProof/>
        </w:rPr>
        <w:t>(5)</w:t>
      </w:r>
      <w:r w:rsidRPr="00A71F12">
        <w:rPr>
          <w:noProof/>
        </w:rPr>
        <w:tab/>
      </w:r>
      <w:r w:rsidR="27BB8800" w:rsidRPr="002265BA">
        <w:rPr>
          <w:noProof/>
        </w:rPr>
        <w:t>V skladu s členom 26(4) Uredbe (EU) 2024/792 je bilo Ukrajini izplačanih 4 165 092 857 EUR v okviru prvega obroka, od tega 1 500 000 000 EUR v obliki nepovratne finančne podpore in 2 665 092 857 EUR v obliki posojil.</w:t>
      </w:r>
      <w:r w:rsidR="27BB8800" w:rsidRPr="002265BA">
        <w:rPr>
          <w:noProof/>
          <w:color w:val="000000" w:themeColor="text1"/>
        </w:rPr>
        <w:t xml:space="preserve"> </w:t>
      </w:r>
      <w:r w:rsidR="27BB8800" w:rsidRPr="002265BA">
        <w:rPr>
          <w:noProof/>
        </w:rPr>
        <w:t>V skladu z določbami sporazuma o posojilu, sklenjenega med Unijo in Ukrajino na podlagi člena 22 Uredbe (EU) 2024/792, je bil za obračun predhodnega financiranja posojila uporabljen znesek v višini 200 598 387 EUR iz prvega obroka.</w:t>
      </w:r>
    </w:p>
    <w:p w:rsidR="00900062" w:rsidRPr="002265BA" w:rsidRDefault="00A71F12" w:rsidP="00A71F12">
      <w:pPr>
        <w:pStyle w:val="ManualConsidrant"/>
        <w:rPr>
          <w:noProof/>
        </w:rPr>
      </w:pPr>
      <w:r w:rsidRPr="00A71F12">
        <w:rPr>
          <w:noProof/>
        </w:rPr>
        <w:t>(6)</w:t>
      </w:r>
      <w:r w:rsidRPr="00A71F12">
        <w:rPr>
          <w:noProof/>
        </w:rPr>
        <w:tab/>
      </w:r>
      <w:r w:rsidR="00446D5D" w:rsidRPr="002265BA">
        <w:rPr>
          <w:noProof/>
        </w:rPr>
        <w:t xml:space="preserve">V skladu s členom 26(2) Uredbe (EU) 2024/792 je Ukrajina 10. oktobra 2024 predložila zahtevek za plačilo drugega obroka nepovratne finančne podpore in podpore v obliki posojila v višini 4 248 847 926 EUR, kot je določeno v Prilogi k Izvedbenemu sklepu Sveta (EU) 2024/1447, ter predložila dokaze, ki kažejo zadovoljivo izpolnitev osmih od devetih korakov. Dodatni dokazi v zvezi z zadovoljivo izpolnitvijo preostalega koraka so bili predloženi 31. oktobra 2024. Zahtevku so bili priloženi dokumenti, ki se zahtevajo v skladu s členom 12 okvirnega sporazuma, členom 5 sporazuma o financiranju oziroma členom 6 sporazuma o posojilu, sklenjenega med Unijo in Ukrajino na podlagi členov 9, 10 oziroma 22 Uredbe (EU) 2024/792. </w:t>
      </w:r>
    </w:p>
    <w:p w:rsidR="00900062" w:rsidRPr="002265BA" w:rsidRDefault="00A71F12" w:rsidP="00A71F12">
      <w:pPr>
        <w:pStyle w:val="ManualConsidrant"/>
        <w:rPr>
          <w:noProof/>
        </w:rPr>
      </w:pPr>
      <w:r w:rsidRPr="00A71F12">
        <w:rPr>
          <w:noProof/>
        </w:rPr>
        <w:t>(7)</w:t>
      </w:r>
      <w:r w:rsidRPr="00A71F12">
        <w:rPr>
          <w:noProof/>
        </w:rPr>
        <w:tab/>
      </w:r>
      <w:r w:rsidR="13303290" w:rsidRPr="002265BA">
        <w:rPr>
          <w:noProof/>
        </w:rPr>
        <w:t xml:space="preserve">Ukrajina je v svojem zahtevku za plačilo predložila ustrezno utemeljitev zadovoljive izpolnitve devetih korakov, ki jih je bilo treba izvesti do tretjega četrtletja leta 2024 v skladu z Izvedbenim sklepom (EU) 2024/1447. Zadevnih devet zadovoljivo izpolnjenih korakov se nanaša na različne reforme iz načrta v okviru poglavij o boju proti korupciji in pranju denarja, človeškem kapitalu, poslovnem okolju, decentralizaciji in regionalni politiki, energetskem sektorju ter zelenem prehodu in varstvu okolja. Specializirano protikorupcijsko tožilstvo je dobilo možnost povečati število zaposlenih. Sprejeti so bili akcijski načrt za izvajanje strategije za odvzem premoženjske koristi za obdobje 2023–2025, strategija za demografski razvoj za obdobje do leta 2040, akcijski načrt za deregulacijo in resoluciji o spremembi državne strategije za regionalni razvoj za obdobje 2021–2027. Poleg tega je bil pripravljen dokument za razpravo, ki določa obseg odstopanj od pravil o presoji vplivov na okolje in strateški presoji vplivov na okolje. Nazadnje, začeli so veljati zakoni o kazenskem zakoniku in zakoniku o kazenskem postopku ter o industrijskem onesnaževanju in sekundarna zakonodaja o celovitosti in preglednosti veleprodajnega energetskega trga. </w:t>
      </w:r>
    </w:p>
    <w:p w:rsidR="00900062" w:rsidRPr="002265BA" w:rsidRDefault="00A71F12" w:rsidP="00A71F12">
      <w:pPr>
        <w:pStyle w:val="ManualConsidrant"/>
        <w:rPr>
          <w:noProof/>
        </w:rPr>
      </w:pPr>
      <w:r w:rsidRPr="00A71F12">
        <w:rPr>
          <w:noProof/>
        </w:rPr>
        <w:t>(8)</w:t>
      </w:r>
      <w:r w:rsidRPr="00A71F12">
        <w:rPr>
          <w:noProof/>
        </w:rPr>
        <w:tab/>
      </w:r>
      <w:r w:rsidR="00446D5D" w:rsidRPr="002265BA">
        <w:rPr>
          <w:noProof/>
        </w:rPr>
        <w:t>Komisija je v skladu s členom 26(4) Uredbe (EU) 2024/792 podrobno ocenila zahtevek za plačilo, ki ga je predložila Ukrajina, in dala pozitivno oceno v zvezi z zadovoljivo izpolnitvijo devetih kvalitativnih in kvantitativnih korakov za drugi obrok, kot je določeno v Prilogi k temu sklepu. Ta pozitivna ocena je opravljena v okviru izvajanja načrta. Proces pristopa k EU bo spodbujal nadaljnje usklajevanje s pravnim redom EU.</w:t>
      </w:r>
    </w:p>
    <w:p w:rsidR="00900062" w:rsidRPr="002265BA" w:rsidRDefault="00A71F12" w:rsidP="00A71F12">
      <w:pPr>
        <w:pStyle w:val="ManualConsidrant"/>
        <w:rPr>
          <w:noProof/>
        </w:rPr>
      </w:pPr>
      <w:r w:rsidRPr="00A71F12">
        <w:rPr>
          <w:noProof/>
        </w:rPr>
        <w:t>(9)</w:t>
      </w:r>
      <w:r w:rsidRPr="00A71F12">
        <w:rPr>
          <w:noProof/>
        </w:rPr>
        <w:tab/>
      </w:r>
      <w:r w:rsidR="00446D5D" w:rsidRPr="002265BA">
        <w:rPr>
          <w:noProof/>
        </w:rPr>
        <w:t>Komisija je ocenila, da Ukrajina še naprej izpolnjuje osnovni pogoj za podporo Unije, kot je določen v členu 5 Uredbe (EU) 2024/792. Ukrajina zlasti še naprej vzdržuje in spoštuje učinkovite demokratične mehanizme, vključno z večstrankarskim parlamentarnim sistemom in pravno državo, ter zagotavlja spoštovanje človekovih pravic, vključno s pravicami pripadnikov manjšin.</w:t>
      </w:r>
    </w:p>
    <w:p w:rsidR="00900062" w:rsidRPr="002265BA" w:rsidRDefault="00A71F12" w:rsidP="00A71F12">
      <w:pPr>
        <w:pStyle w:val="ManualConsidrant"/>
        <w:rPr>
          <w:noProof/>
        </w:rPr>
      </w:pPr>
      <w:r w:rsidRPr="00A71F12">
        <w:rPr>
          <w:noProof/>
        </w:rPr>
        <w:t>(10)</w:t>
      </w:r>
      <w:r w:rsidRPr="00A71F12">
        <w:rPr>
          <w:noProof/>
        </w:rPr>
        <w:tab/>
      </w:r>
      <w:r w:rsidR="00446D5D" w:rsidRPr="002265BA">
        <w:rPr>
          <w:noProof/>
        </w:rPr>
        <w:t xml:space="preserve">Zato bi bilo treba v tem sklepu potrditi, da so ustrezni pogoji za plačilo drugega obroka v okviru načrta zadovoljivo izpolnjeni. </w:t>
      </w:r>
    </w:p>
    <w:p w:rsidR="00446D5D" w:rsidRPr="002265BA" w:rsidRDefault="00A71F12" w:rsidP="00A71F12">
      <w:pPr>
        <w:pStyle w:val="ManualConsidrant"/>
        <w:rPr>
          <w:noProof/>
        </w:rPr>
      </w:pPr>
      <w:r w:rsidRPr="00A71F12">
        <w:rPr>
          <w:noProof/>
        </w:rPr>
        <w:t>(11)</w:t>
      </w:r>
      <w:r w:rsidRPr="00A71F12">
        <w:rPr>
          <w:noProof/>
        </w:rPr>
        <w:tab/>
      </w:r>
      <w:r w:rsidR="00446D5D" w:rsidRPr="002265BA">
        <w:rPr>
          <w:noProof/>
        </w:rPr>
        <w:t xml:space="preserve">Glede na težke fiskalne razmere, s katerimi se sooča Ukrajina, je izjemno pomembno, da se sredstva izplačajo čim prej. Zaradi nujnosti razmer in za pospešitev postopka bi moral ta sklep začeti veljati na dan objave v </w:t>
      </w:r>
      <w:r w:rsidR="00446D5D" w:rsidRPr="002265BA">
        <w:rPr>
          <w:i/>
          <w:iCs/>
          <w:noProof/>
        </w:rPr>
        <w:t>Uradnem listu Evropske unije</w:t>
      </w:r>
      <w:r w:rsidR="00446D5D" w:rsidRPr="002265BA">
        <w:rPr>
          <w:noProof/>
        </w:rPr>
        <w:t xml:space="preserve"> in bi se moral uporabljati od datuma sprejetja – </w:t>
      </w:r>
    </w:p>
    <w:bookmarkEnd w:id="5"/>
    <w:p w:rsidR="00446D5D" w:rsidRPr="002265BA" w:rsidRDefault="00446D5D" w:rsidP="00446D5D">
      <w:pPr>
        <w:pStyle w:val="Formuledadoption"/>
        <w:rPr>
          <w:noProof/>
        </w:rPr>
      </w:pPr>
      <w:r w:rsidRPr="002265BA">
        <w:rPr>
          <w:noProof/>
        </w:rPr>
        <w:t xml:space="preserve">SPREJEL NASLEDNJI SKLEP: </w:t>
      </w:r>
    </w:p>
    <w:p w:rsidR="00446D5D" w:rsidRPr="002265BA" w:rsidRDefault="00446D5D" w:rsidP="00446D5D">
      <w:pPr>
        <w:pStyle w:val="Titrearticle"/>
        <w:rPr>
          <w:noProof/>
        </w:rPr>
      </w:pPr>
      <w:r w:rsidRPr="002265BA">
        <w:rPr>
          <w:noProof/>
        </w:rPr>
        <w:t>Člen 1</w:t>
      </w:r>
    </w:p>
    <w:p w:rsidR="00446D5D" w:rsidRPr="002265BA" w:rsidRDefault="00446D5D" w:rsidP="00446D5D">
      <w:pPr>
        <w:rPr>
          <w:noProof/>
        </w:rPr>
      </w:pPr>
      <w:bookmarkStart w:id="7" w:name="_Hlk172111778"/>
      <w:r w:rsidRPr="002265BA">
        <w:rPr>
          <w:noProof/>
        </w:rPr>
        <w:t>Zadovoljivo izpolnjevanje ustreznih pogojev za plačilo drugega obroka v višini 4 248 847 926 EUR, kot je določeno v Prilogi k Izvedbenemu sklepu (EU) 2024/1447, se v skladu z oceno, ki jo je Komisija predložila v skladu s členom 26 Uredbe (EU) 2024/792, priloženo temu sklepu, potrdi.</w:t>
      </w:r>
    </w:p>
    <w:bookmarkEnd w:id="7"/>
    <w:p w:rsidR="00446D5D" w:rsidRPr="002265BA" w:rsidRDefault="00446D5D" w:rsidP="00446D5D">
      <w:pPr>
        <w:rPr>
          <w:noProof/>
        </w:rPr>
      </w:pPr>
    </w:p>
    <w:p w:rsidR="00446D5D" w:rsidRPr="002265BA" w:rsidRDefault="00446D5D" w:rsidP="00446D5D">
      <w:pPr>
        <w:pStyle w:val="Titrearticle"/>
        <w:rPr>
          <w:noProof/>
        </w:rPr>
      </w:pPr>
      <w:r w:rsidRPr="002265BA">
        <w:rPr>
          <w:noProof/>
        </w:rPr>
        <w:t>Člen 2</w:t>
      </w:r>
    </w:p>
    <w:p w:rsidR="00446D5D" w:rsidRPr="002265BA" w:rsidRDefault="00446D5D" w:rsidP="00446D5D">
      <w:pPr>
        <w:keepNext/>
        <w:keepLines/>
        <w:rPr>
          <w:noProof/>
        </w:rPr>
      </w:pPr>
      <w:r w:rsidRPr="002265BA">
        <w:rPr>
          <w:noProof/>
        </w:rPr>
        <w:t>Ta sklep začne veljati na dan objave v </w:t>
      </w:r>
      <w:r w:rsidRPr="002265BA">
        <w:rPr>
          <w:i/>
          <w:iCs/>
          <w:noProof/>
        </w:rPr>
        <w:t>Uradnem listu Evropske unije</w:t>
      </w:r>
      <w:r w:rsidRPr="002265BA">
        <w:rPr>
          <w:noProof/>
        </w:rPr>
        <w:t>.</w:t>
      </w:r>
    </w:p>
    <w:p w:rsidR="00446D5D" w:rsidRPr="002265BA" w:rsidRDefault="00446D5D" w:rsidP="00446D5D">
      <w:pPr>
        <w:rPr>
          <w:noProof/>
        </w:rPr>
      </w:pPr>
      <w:bookmarkStart w:id="8" w:name="_Hlk172111802"/>
      <w:r w:rsidRPr="002265BA">
        <w:rPr>
          <w:noProof/>
        </w:rPr>
        <w:t xml:space="preserve">Uporablja se od datuma sprejetja. </w:t>
      </w:r>
    </w:p>
    <w:bookmarkEnd w:id="8"/>
    <w:p w:rsidR="00446D5D" w:rsidRPr="002265BA" w:rsidRDefault="00446D5D" w:rsidP="00446D5D">
      <w:pPr>
        <w:keepNext/>
        <w:keepLines/>
        <w:rPr>
          <w:noProof/>
        </w:rPr>
      </w:pPr>
    </w:p>
    <w:p w:rsidR="00446D5D" w:rsidRPr="002265BA" w:rsidRDefault="002162B9" w:rsidP="00BD13DA">
      <w:pPr>
        <w:pStyle w:val="Fait"/>
        <w:rPr>
          <w:noProof/>
        </w:rPr>
      </w:pPr>
      <w:r>
        <w:rPr>
          <w:noProof/>
        </w:rPr>
        <w:t>V Bruslju,</w:t>
      </w:r>
    </w:p>
    <w:p w:rsidR="00446D5D" w:rsidRPr="002265BA" w:rsidRDefault="00446D5D" w:rsidP="00BD13DA">
      <w:pPr>
        <w:pStyle w:val="Institutionquisigne"/>
        <w:rPr>
          <w:noProof/>
        </w:rPr>
      </w:pPr>
      <w:r w:rsidRPr="002265BA">
        <w:rPr>
          <w:noProof/>
        </w:rPr>
        <w:tab/>
        <w:t>Za Svet</w:t>
      </w:r>
    </w:p>
    <w:p w:rsidR="00446D5D" w:rsidRPr="002265BA" w:rsidRDefault="00446D5D" w:rsidP="00446D5D">
      <w:pPr>
        <w:pStyle w:val="Personnequisigne"/>
        <w:rPr>
          <w:noProof/>
        </w:rPr>
      </w:pPr>
      <w:r w:rsidRPr="002265BA">
        <w:rPr>
          <w:noProof/>
        </w:rPr>
        <w:tab/>
        <w:t>predsednik</w:t>
      </w:r>
      <w:bookmarkEnd w:id="1"/>
    </w:p>
    <w:sectPr w:rsidR="00446D5D" w:rsidRPr="002265BA" w:rsidSect="009146F5">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B7D" w:rsidRDefault="00047B7D" w:rsidP="00446D5D">
      <w:pPr>
        <w:spacing w:before="0" w:after="0"/>
      </w:pPr>
      <w:r>
        <w:separator/>
      </w:r>
    </w:p>
  </w:endnote>
  <w:endnote w:type="continuationSeparator" w:id="0">
    <w:p w:rsidR="00047B7D" w:rsidRDefault="00047B7D" w:rsidP="00446D5D">
      <w:pPr>
        <w:spacing w:before="0" w:after="0"/>
      </w:pPr>
      <w:r>
        <w:continuationSeparator/>
      </w:r>
    </w:p>
  </w:endnote>
  <w:endnote w:type="continuationNotice" w:id="1">
    <w:p w:rsidR="00047B7D" w:rsidRDefault="00047B7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6F5" w:rsidRPr="009146F5" w:rsidRDefault="009146F5" w:rsidP="009146F5">
    <w:pPr>
      <w:pStyle w:val="Footer"/>
      <w:rPr>
        <w:rFonts w:ascii="Arial" w:hAnsi="Arial" w:cs="Arial"/>
        <w:b/>
        <w:sz w:val="48"/>
      </w:rPr>
    </w:pPr>
    <w:r w:rsidRPr="009146F5">
      <w:rPr>
        <w:rFonts w:ascii="Arial" w:hAnsi="Arial" w:cs="Arial"/>
        <w:b/>
        <w:sz w:val="48"/>
      </w:rPr>
      <w:t>SL</w:t>
    </w:r>
    <w:r w:rsidRPr="009146F5">
      <w:rPr>
        <w:rFonts w:ascii="Arial" w:hAnsi="Arial" w:cs="Arial"/>
        <w:b/>
        <w:sz w:val="48"/>
      </w:rPr>
      <w:tab/>
    </w:r>
    <w:r w:rsidRPr="009146F5">
      <w:rPr>
        <w:rFonts w:ascii="Arial" w:hAnsi="Arial" w:cs="Arial"/>
        <w:b/>
        <w:sz w:val="48"/>
      </w:rPr>
      <w:tab/>
    </w:r>
    <w:r w:rsidRPr="009146F5">
      <w:tab/>
    </w:r>
    <w:r w:rsidRPr="009146F5">
      <w:rPr>
        <w:rFonts w:ascii="Arial" w:hAnsi="Arial" w:cs="Arial"/>
        <w:b/>
        <w:sz w:val="48"/>
      </w:rPr>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6F5" w:rsidRPr="009146F5" w:rsidRDefault="009146F5" w:rsidP="009146F5">
    <w:pPr>
      <w:pStyle w:val="Footer"/>
      <w:rPr>
        <w:rFonts w:ascii="Arial" w:hAnsi="Arial" w:cs="Arial"/>
        <w:b/>
        <w:sz w:val="48"/>
      </w:rPr>
    </w:pPr>
    <w:r w:rsidRPr="009146F5">
      <w:rPr>
        <w:rFonts w:ascii="Arial" w:hAnsi="Arial" w:cs="Arial"/>
        <w:b/>
        <w:sz w:val="48"/>
      </w:rPr>
      <w:t>SL</w:t>
    </w:r>
    <w:r w:rsidRPr="009146F5">
      <w:rPr>
        <w:rFonts w:ascii="Arial" w:hAnsi="Arial" w:cs="Arial"/>
        <w:b/>
        <w:sz w:val="48"/>
      </w:rPr>
      <w:tab/>
    </w:r>
    <w:r w:rsidRPr="009146F5">
      <w:rPr>
        <w:rFonts w:ascii="Arial" w:hAnsi="Arial" w:cs="Arial"/>
        <w:b/>
        <w:sz w:val="48"/>
      </w:rPr>
      <w:tab/>
    </w:r>
    <w:r w:rsidRPr="009146F5">
      <w:tab/>
    </w:r>
    <w:r w:rsidRPr="009146F5">
      <w:rPr>
        <w:rFonts w:ascii="Arial" w:hAnsi="Arial" w:cs="Arial"/>
        <w:b/>
        <w:sz w:val="48"/>
      </w:rPr>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6F5" w:rsidRDefault="009146F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6F5" w:rsidRPr="009146F5" w:rsidRDefault="009146F5" w:rsidP="009146F5">
    <w:pPr>
      <w:pStyle w:val="Footer"/>
      <w:rPr>
        <w:rFonts w:ascii="Arial" w:hAnsi="Arial" w:cs="Arial"/>
        <w:b/>
        <w:sz w:val="48"/>
      </w:rPr>
    </w:pPr>
    <w:r w:rsidRPr="009146F5">
      <w:rPr>
        <w:rFonts w:ascii="Arial" w:hAnsi="Arial" w:cs="Arial"/>
        <w:b/>
        <w:sz w:val="48"/>
      </w:rPr>
      <w:t>SL</w:t>
    </w:r>
    <w:r w:rsidRPr="009146F5">
      <w:rPr>
        <w:rFonts w:ascii="Arial" w:hAnsi="Arial" w:cs="Arial"/>
        <w:b/>
        <w:sz w:val="48"/>
      </w:rPr>
      <w:tab/>
    </w:r>
    <w:r>
      <w:fldChar w:fldCharType="begin"/>
    </w:r>
    <w:r>
      <w:instrText xml:space="preserve"> PAGE  \* MERGEFORMAT </w:instrText>
    </w:r>
    <w:r>
      <w:fldChar w:fldCharType="separate"/>
    </w:r>
    <w:r w:rsidR="00BD13DA">
      <w:rPr>
        <w:noProof/>
      </w:rPr>
      <w:t>3</w:t>
    </w:r>
    <w:r>
      <w:fldChar w:fldCharType="end"/>
    </w:r>
    <w:r>
      <w:tab/>
    </w:r>
    <w:r w:rsidRPr="009146F5">
      <w:tab/>
    </w:r>
    <w:r w:rsidRPr="009146F5">
      <w:rPr>
        <w:rFonts w:ascii="Arial" w:hAnsi="Arial" w:cs="Arial"/>
        <w:b/>
        <w:sz w:val="48"/>
      </w:rPr>
      <w:t>SL</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6F5" w:rsidRDefault="009146F5" w:rsidP="009146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B7D" w:rsidRDefault="00047B7D" w:rsidP="00446D5D">
      <w:pPr>
        <w:spacing w:before="0" w:after="0"/>
      </w:pPr>
      <w:r>
        <w:separator/>
      </w:r>
    </w:p>
  </w:footnote>
  <w:footnote w:type="continuationSeparator" w:id="0">
    <w:p w:rsidR="00047B7D" w:rsidRDefault="00047B7D" w:rsidP="00446D5D">
      <w:pPr>
        <w:spacing w:before="0" w:after="0"/>
      </w:pPr>
      <w:r>
        <w:continuationSeparator/>
      </w:r>
    </w:p>
  </w:footnote>
  <w:footnote w:type="continuationNotice" w:id="1">
    <w:p w:rsidR="00047B7D" w:rsidRDefault="00047B7D">
      <w:pPr>
        <w:spacing w:before="0" w:after="0"/>
      </w:pPr>
    </w:p>
  </w:footnote>
  <w:footnote w:id="2">
    <w:p w:rsidR="00446D5D" w:rsidRPr="00C72BE5" w:rsidRDefault="00446D5D" w:rsidP="00446D5D">
      <w:pPr>
        <w:pStyle w:val="FootnoteText"/>
      </w:pPr>
      <w:r>
        <w:rPr>
          <w:rStyle w:val="FootnoteReference"/>
        </w:rPr>
        <w:footnoteRef/>
      </w:r>
      <w:r>
        <w:tab/>
        <w:t xml:space="preserve">UL L, 2024/792, 29.2.2024, ELI: </w:t>
      </w:r>
      <w:hyperlink r:id="rId1" w:history="1">
        <w:r>
          <w:rPr>
            <w:rStyle w:val="Hyperlink"/>
          </w:rPr>
          <w:t>http://data.europa.eu/eli/reg/2024/792/oj</w:t>
        </w:r>
      </w:hyperlink>
      <w:r>
        <w:t xml:space="preserve">. </w:t>
      </w:r>
    </w:p>
  </w:footnote>
  <w:footnote w:id="3">
    <w:p w:rsidR="55ADF842" w:rsidRDefault="55ADF842" w:rsidP="001D7F92">
      <w:pPr>
        <w:pStyle w:val="FootnoteText"/>
        <w:rPr>
          <w:rFonts w:eastAsia="Times New Roman"/>
          <w:color w:val="000000" w:themeColor="text1"/>
          <w:sz w:val="19"/>
          <w:szCs w:val="19"/>
        </w:rPr>
      </w:pPr>
      <w:r>
        <w:rPr>
          <w:rStyle w:val="FootnoteReference"/>
        </w:rPr>
        <w:footnoteRef/>
      </w:r>
      <w:r>
        <w:tab/>
        <w:t>Izvedbeni sklep Sveta (EU) 2024/1447 z dne 14. maja 2024 o odobritvi ocene načrta za Ukrajino (UL L, 2024/1447, 24.5.2024, ELI:</w:t>
      </w:r>
      <w:r>
        <w:rPr>
          <w:color w:val="000000" w:themeColor="text1"/>
          <w:u w:val="single"/>
        </w:rPr>
        <w:t xml:space="preserve"> </w:t>
      </w:r>
      <w:hyperlink r:id="rId2" w:history="1">
        <w:r>
          <w:rPr>
            <w:rStyle w:val="Hyperlink"/>
            <w:sz w:val="19"/>
          </w:rPr>
          <w:t>http://data.europa.eu/eli/dec_impl/2024/1447/oj</w:t>
        </w:r>
      </w:hyperlink>
      <w:r>
        <w:rPr>
          <w:color w:val="000000" w:themeColor="text1"/>
          <w:sz w:val="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6F5" w:rsidRDefault="009146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6F5" w:rsidRDefault="009146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54A6FF1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2F00674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A0ADE4E"/>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F9C6C148"/>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 w:numId="21">
    <w:abstractNumId w:val="15"/>
  </w:num>
  <w:num w:numId="22">
    <w:abstractNumId w:val="8"/>
  </w:num>
  <w:num w:numId="23">
    <w:abstractNumId w:val="17"/>
  </w:num>
  <w:num w:numId="24">
    <w:abstractNumId w:val="7"/>
  </w:num>
  <w:num w:numId="25">
    <w:abstractNumId w:val="9"/>
  </w:num>
  <w:num w:numId="26">
    <w:abstractNumId w:val="10"/>
  </w:num>
  <w:num w:numId="27">
    <w:abstractNumId w:val="5"/>
  </w:num>
  <w:num w:numId="28">
    <w:abstractNumId w:val="16"/>
  </w:num>
  <w:num w:numId="29">
    <w:abstractNumId w:val="4"/>
  </w:num>
  <w:num w:numId="30">
    <w:abstractNumId w:val="11"/>
  </w:num>
  <w:num w:numId="31">
    <w:abstractNumId w:val="13"/>
  </w:num>
  <w:num w:numId="32">
    <w:abstractNumId w:val="14"/>
  </w:num>
  <w:num w:numId="33">
    <w:abstractNumId w:val="6"/>
  </w:num>
  <w:num w:numId="34">
    <w:abstractNumId w:val="12"/>
  </w:num>
  <w:num w:numId="35">
    <w:abstractNumId w:val="18"/>
  </w:num>
  <w:num w:numId="36">
    <w:abstractNumId w:val="15"/>
  </w:num>
  <w:num w:numId="37">
    <w:abstractNumId w:val="8"/>
  </w:num>
  <w:num w:numId="38">
    <w:abstractNumId w:val="17"/>
  </w:num>
  <w:num w:numId="39">
    <w:abstractNumId w:val="7"/>
  </w:num>
  <w:num w:numId="40">
    <w:abstractNumId w:val="9"/>
  </w:num>
  <w:num w:numId="41">
    <w:abstractNumId w:val="10"/>
  </w:num>
  <w:num w:numId="42">
    <w:abstractNumId w:val="5"/>
  </w:num>
  <w:num w:numId="43">
    <w:abstractNumId w:val="16"/>
  </w:num>
  <w:num w:numId="44">
    <w:abstractNumId w:val="4"/>
  </w:num>
  <w:num w:numId="45">
    <w:abstractNumId w:val="11"/>
  </w:num>
  <w:num w:numId="46">
    <w:abstractNumId w:val="13"/>
  </w:num>
  <w:num w:numId="47">
    <w:abstractNumId w:val="14"/>
  </w:num>
  <w:num w:numId="48">
    <w:abstractNumId w:val="6"/>
  </w:num>
  <w:num w:numId="49">
    <w:abstractNumId w:val="12"/>
  </w:num>
  <w:num w:numId="5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4-11-27 18:05:04"/>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0C8B6AF8-49E1-41CD-812C-357CEB874EE3"/>
    <w:docVar w:name="LW_COVERPAGE_TYPE" w:val="1"/>
    <w:docVar w:name="LW_CROSSREFERENCE" w:val="&lt;UNUSED&gt;"/>
    <w:docVar w:name="LW_DocType" w:val="COM"/>
    <w:docVar w:name="LW_EMISSION" w:val="14.11.2024"/>
    <w:docVar w:name="LW_EMISSION_ISODATE" w:val="2024-11-14"/>
    <w:docVar w:name="LW_EMISSION_LOCATION" w:val="BRX"/>
    <w:docVar w:name="LW_EMISSION_PREFIX" w:val="Bruselj, "/>
    <w:docVar w:name="LW_EMISSION_SUFFIX" w:val=" "/>
    <w:docVar w:name="LW_ID_DOCMODEL" w:val="SJ-021"/>
    <w:docVar w:name="LW_ID_DOCSIGNATURE" w:val="SJ-021"/>
    <w:docVar w:name="LW_ID_DOCSTRUCTURE" w:val="COM/PL/ORG"/>
    <w:docVar w:name="LW_ID_DOCTYPE" w:val="SJ-021"/>
    <w:docVar w:name="LW_ID_STATUT" w:val="SJ-021"/>
    <w:docVar w:name="LW_INSERT_EXP.MOTIFS.NEW" w:val="1"/>
    <w:docVar w:name="LW_INTERETEEE.CP" w:val="&lt;UNUSED&gt;"/>
    <w:docVar w:name="LW_LANGUE" w:val="SL"/>
    <w:docVar w:name="LW_LEVEL_OF_SENSITIVITY" w:val="Standard treatment"/>
    <w:docVar w:name="LW_NOM.INST" w:val="EVROPSKA KOMISIJA"/>
    <w:docVar w:name="LW_NOM.INST_JOINTDOC" w:val="&lt;EMPTY&gt;"/>
    <w:docVar w:name="LW_PART_NBR" w:val="1"/>
    <w:docVar w:name="LW_PART_NBR_TOTAL" w:val="1"/>
    <w:docVar w:name="LW_REF.II.NEW.CP" w:val="NLE"/>
    <w:docVar w:name="LW_REF.II.NEW.CP_NUMBER" w:val="0303"/>
    <w:docVar w:name="LW_REF.II.NEW.CP_YEAR" w:val="2024"/>
    <w:docVar w:name="LW_REF.INST.NEW" w:val="COM"/>
    <w:docVar w:name="LW_REF.INST.NEW_ADOPTED" w:val="final"/>
    <w:docVar w:name="LW_REF.INST.NEW_TEXT" w:val="(2024) 54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edlog"/>
    <w:docVar w:name="LW_SUPERTITRE" w:val="&lt;UNUSED&gt;"/>
    <w:docVar w:name="LW_TITRE.OBJ.CP" w:val="o potrditvi zadovoljivega izpolnjevanja pogojev za pla\u269?ilo drugega obroka nepovratne finan\u269?ne podpore in podpore v obliki posojila iz na\u269?rta za Ukrajino v okviru instrumenta za Ukrajino_x000b_"/>
    <w:docVar w:name="LW_TYPE.DOC.CP" w:val="IZVEDBENI SKLEP SVETA"/>
    <w:docVar w:name="LwApiVersions" w:val="LW4CoDe 1.24.5.0; LW 9.0, Build 20240221"/>
  </w:docVars>
  <w:rsids>
    <w:rsidRoot w:val="00446D5D"/>
    <w:rsid w:val="0000758D"/>
    <w:rsid w:val="0000782C"/>
    <w:rsid w:val="00042C15"/>
    <w:rsid w:val="00047B7D"/>
    <w:rsid w:val="0006593E"/>
    <w:rsid w:val="00085F2F"/>
    <w:rsid w:val="000864C0"/>
    <w:rsid w:val="000971DE"/>
    <w:rsid w:val="000B49AE"/>
    <w:rsid w:val="000B4B84"/>
    <w:rsid w:val="000B54AB"/>
    <w:rsid w:val="000C1D84"/>
    <w:rsid w:val="000D6931"/>
    <w:rsid w:val="000E106D"/>
    <w:rsid w:val="000F733C"/>
    <w:rsid w:val="001065F5"/>
    <w:rsid w:val="00111C41"/>
    <w:rsid w:val="00123769"/>
    <w:rsid w:val="001238EF"/>
    <w:rsid w:val="0012573F"/>
    <w:rsid w:val="0015333E"/>
    <w:rsid w:val="00185992"/>
    <w:rsid w:val="00197613"/>
    <w:rsid w:val="001B12D8"/>
    <w:rsid w:val="001D7F92"/>
    <w:rsid w:val="001E1699"/>
    <w:rsid w:val="001F446C"/>
    <w:rsid w:val="002149A4"/>
    <w:rsid w:val="002162B9"/>
    <w:rsid w:val="00221A84"/>
    <w:rsid w:val="002243C8"/>
    <w:rsid w:val="0022494F"/>
    <w:rsid w:val="002265BA"/>
    <w:rsid w:val="00230525"/>
    <w:rsid w:val="00233C1F"/>
    <w:rsid w:val="00233DC7"/>
    <w:rsid w:val="00247779"/>
    <w:rsid w:val="0025553A"/>
    <w:rsid w:val="00267E45"/>
    <w:rsid w:val="00285BEE"/>
    <w:rsid w:val="0029533F"/>
    <w:rsid w:val="002A7BEE"/>
    <w:rsid w:val="002B2C20"/>
    <w:rsid w:val="002B30AF"/>
    <w:rsid w:val="002C6CCE"/>
    <w:rsid w:val="002D4A4D"/>
    <w:rsid w:val="0031354B"/>
    <w:rsid w:val="0033344A"/>
    <w:rsid w:val="00340B14"/>
    <w:rsid w:val="003605E3"/>
    <w:rsid w:val="003A6D4E"/>
    <w:rsid w:val="003B663E"/>
    <w:rsid w:val="003F792A"/>
    <w:rsid w:val="00407A49"/>
    <w:rsid w:val="00414ADA"/>
    <w:rsid w:val="00415B98"/>
    <w:rsid w:val="00417102"/>
    <w:rsid w:val="00421CAD"/>
    <w:rsid w:val="0042648E"/>
    <w:rsid w:val="00446D5D"/>
    <w:rsid w:val="00451586"/>
    <w:rsid w:val="0046037B"/>
    <w:rsid w:val="004612F5"/>
    <w:rsid w:val="004936D2"/>
    <w:rsid w:val="004A3199"/>
    <w:rsid w:val="004D5CAD"/>
    <w:rsid w:val="004E4109"/>
    <w:rsid w:val="004F11CE"/>
    <w:rsid w:val="004F65C8"/>
    <w:rsid w:val="00501FF3"/>
    <w:rsid w:val="0050700D"/>
    <w:rsid w:val="00515B0D"/>
    <w:rsid w:val="00517262"/>
    <w:rsid w:val="00524287"/>
    <w:rsid w:val="005311F2"/>
    <w:rsid w:val="00561CAF"/>
    <w:rsid w:val="00566FA8"/>
    <w:rsid w:val="005673EC"/>
    <w:rsid w:val="0058D03F"/>
    <w:rsid w:val="00590327"/>
    <w:rsid w:val="0059491B"/>
    <w:rsid w:val="005B1EB6"/>
    <w:rsid w:val="005B5F89"/>
    <w:rsid w:val="005C6B25"/>
    <w:rsid w:val="005D1F3A"/>
    <w:rsid w:val="0062259A"/>
    <w:rsid w:val="00625E5F"/>
    <w:rsid w:val="00630ECE"/>
    <w:rsid w:val="00641FBD"/>
    <w:rsid w:val="006505AA"/>
    <w:rsid w:val="00653EBE"/>
    <w:rsid w:val="0065493B"/>
    <w:rsid w:val="00662ABC"/>
    <w:rsid w:val="00672184"/>
    <w:rsid w:val="0069106B"/>
    <w:rsid w:val="00696A91"/>
    <w:rsid w:val="006B1FDA"/>
    <w:rsid w:val="006B71C4"/>
    <w:rsid w:val="006B7239"/>
    <w:rsid w:val="006C2E47"/>
    <w:rsid w:val="00722006"/>
    <w:rsid w:val="00740287"/>
    <w:rsid w:val="00747DF5"/>
    <w:rsid w:val="0076009E"/>
    <w:rsid w:val="00771416"/>
    <w:rsid w:val="00773331"/>
    <w:rsid w:val="00783A53"/>
    <w:rsid w:val="00786EB6"/>
    <w:rsid w:val="00792C37"/>
    <w:rsid w:val="007932EF"/>
    <w:rsid w:val="007B1C4D"/>
    <w:rsid w:val="007E05B0"/>
    <w:rsid w:val="00811671"/>
    <w:rsid w:val="00812E54"/>
    <w:rsid w:val="00818C39"/>
    <w:rsid w:val="00834496"/>
    <w:rsid w:val="00844CAF"/>
    <w:rsid w:val="008472C1"/>
    <w:rsid w:val="00874D22"/>
    <w:rsid w:val="00886646"/>
    <w:rsid w:val="008866C9"/>
    <w:rsid w:val="0088AE84"/>
    <w:rsid w:val="00896E6D"/>
    <w:rsid w:val="008A2914"/>
    <w:rsid w:val="008B465E"/>
    <w:rsid w:val="008C5296"/>
    <w:rsid w:val="008D4188"/>
    <w:rsid w:val="008E4D8E"/>
    <w:rsid w:val="008E50F2"/>
    <w:rsid w:val="008E56EA"/>
    <w:rsid w:val="008E7D51"/>
    <w:rsid w:val="00900062"/>
    <w:rsid w:val="009146F5"/>
    <w:rsid w:val="009251B9"/>
    <w:rsid w:val="00945E1A"/>
    <w:rsid w:val="00956CBB"/>
    <w:rsid w:val="0095709D"/>
    <w:rsid w:val="0096315A"/>
    <w:rsid w:val="00964FD5"/>
    <w:rsid w:val="00971F86"/>
    <w:rsid w:val="009776E3"/>
    <w:rsid w:val="00985D11"/>
    <w:rsid w:val="009A22FC"/>
    <w:rsid w:val="009E302A"/>
    <w:rsid w:val="009E7FCC"/>
    <w:rsid w:val="009F6926"/>
    <w:rsid w:val="009F6ED6"/>
    <w:rsid w:val="00A04C54"/>
    <w:rsid w:val="00A10156"/>
    <w:rsid w:val="00A20B82"/>
    <w:rsid w:val="00A230FB"/>
    <w:rsid w:val="00A43895"/>
    <w:rsid w:val="00A71F12"/>
    <w:rsid w:val="00A93F79"/>
    <w:rsid w:val="00AC032F"/>
    <w:rsid w:val="00AC6F86"/>
    <w:rsid w:val="00AD131E"/>
    <w:rsid w:val="00AE21BF"/>
    <w:rsid w:val="00B14A63"/>
    <w:rsid w:val="00B14F18"/>
    <w:rsid w:val="00B26C06"/>
    <w:rsid w:val="00B34542"/>
    <w:rsid w:val="00B41621"/>
    <w:rsid w:val="00B77ED8"/>
    <w:rsid w:val="00B8682D"/>
    <w:rsid w:val="00B956F2"/>
    <w:rsid w:val="00B96C28"/>
    <w:rsid w:val="00BA0395"/>
    <w:rsid w:val="00BB7F58"/>
    <w:rsid w:val="00BC0AB5"/>
    <w:rsid w:val="00BC3C84"/>
    <w:rsid w:val="00BC68DE"/>
    <w:rsid w:val="00BC7D23"/>
    <w:rsid w:val="00BD13DA"/>
    <w:rsid w:val="00BD2260"/>
    <w:rsid w:val="00BF750F"/>
    <w:rsid w:val="00C064F5"/>
    <w:rsid w:val="00C12301"/>
    <w:rsid w:val="00C17F87"/>
    <w:rsid w:val="00C27B1D"/>
    <w:rsid w:val="00C3551D"/>
    <w:rsid w:val="00C52048"/>
    <w:rsid w:val="00C6202E"/>
    <w:rsid w:val="00C649B3"/>
    <w:rsid w:val="00C66A47"/>
    <w:rsid w:val="00C73801"/>
    <w:rsid w:val="00C754CE"/>
    <w:rsid w:val="00C8311E"/>
    <w:rsid w:val="00C8655D"/>
    <w:rsid w:val="00C962E7"/>
    <w:rsid w:val="00C974BA"/>
    <w:rsid w:val="00CA14FD"/>
    <w:rsid w:val="00CB1623"/>
    <w:rsid w:val="00CB4643"/>
    <w:rsid w:val="00CC742A"/>
    <w:rsid w:val="00CD0E6E"/>
    <w:rsid w:val="00CD420C"/>
    <w:rsid w:val="00CD7F86"/>
    <w:rsid w:val="00CE0C3D"/>
    <w:rsid w:val="00CF0723"/>
    <w:rsid w:val="00CF25A6"/>
    <w:rsid w:val="00D02DDA"/>
    <w:rsid w:val="00D04E75"/>
    <w:rsid w:val="00D20381"/>
    <w:rsid w:val="00D320AF"/>
    <w:rsid w:val="00D40D01"/>
    <w:rsid w:val="00D5530B"/>
    <w:rsid w:val="00D61C2E"/>
    <w:rsid w:val="00D66D93"/>
    <w:rsid w:val="00D909FE"/>
    <w:rsid w:val="00DB48B9"/>
    <w:rsid w:val="00DC28BF"/>
    <w:rsid w:val="00DC6879"/>
    <w:rsid w:val="00DD44AB"/>
    <w:rsid w:val="00DD5D1F"/>
    <w:rsid w:val="00DE04D9"/>
    <w:rsid w:val="00DE0A78"/>
    <w:rsid w:val="00E00B5C"/>
    <w:rsid w:val="00E30783"/>
    <w:rsid w:val="00E50F6D"/>
    <w:rsid w:val="00E61CEE"/>
    <w:rsid w:val="00E66459"/>
    <w:rsid w:val="00E7038A"/>
    <w:rsid w:val="00E71029"/>
    <w:rsid w:val="00E76D05"/>
    <w:rsid w:val="00E87219"/>
    <w:rsid w:val="00E94935"/>
    <w:rsid w:val="00E95A83"/>
    <w:rsid w:val="00EB5E32"/>
    <w:rsid w:val="00EC2175"/>
    <w:rsid w:val="00EC66A6"/>
    <w:rsid w:val="00EC7E0D"/>
    <w:rsid w:val="00EE789B"/>
    <w:rsid w:val="00EF2622"/>
    <w:rsid w:val="00EF4713"/>
    <w:rsid w:val="00F06D3F"/>
    <w:rsid w:val="00F13BCB"/>
    <w:rsid w:val="00F207E1"/>
    <w:rsid w:val="00F41D34"/>
    <w:rsid w:val="00F5280B"/>
    <w:rsid w:val="00F7673E"/>
    <w:rsid w:val="00F76B06"/>
    <w:rsid w:val="00F86160"/>
    <w:rsid w:val="00F969BE"/>
    <w:rsid w:val="00FA3E8C"/>
    <w:rsid w:val="00FC36B7"/>
    <w:rsid w:val="00FC38F8"/>
    <w:rsid w:val="00FD6CB4"/>
    <w:rsid w:val="026B7CCD"/>
    <w:rsid w:val="026D4184"/>
    <w:rsid w:val="042703CF"/>
    <w:rsid w:val="04A0E94E"/>
    <w:rsid w:val="04A321E8"/>
    <w:rsid w:val="04D89DDF"/>
    <w:rsid w:val="04E58D35"/>
    <w:rsid w:val="051EDC45"/>
    <w:rsid w:val="054F3AD5"/>
    <w:rsid w:val="0596040B"/>
    <w:rsid w:val="069E218A"/>
    <w:rsid w:val="06DC13B0"/>
    <w:rsid w:val="070FC1F9"/>
    <w:rsid w:val="073657D7"/>
    <w:rsid w:val="07879692"/>
    <w:rsid w:val="0871D127"/>
    <w:rsid w:val="08927AD9"/>
    <w:rsid w:val="09F341B7"/>
    <w:rsid w:val="0A0028B9"/>
    <w:rsid w:val="0B1AE20E"/>
    <w:rsid w:val="0B24903B"/>
    <w:rsid w:val="0C943B39"/>
    <w:rsid w:val="0CC9A4F2"/>
    <w:rsid w:val="0CF0E2D1"/>
    <w:rsid w:val="0E893749"/>
    <w:rsid w:val="0EFB2C1A"/>
    <w:rsid w:val="0F476C8B"/>
    <w:rsid w:val="0F6B141A"/>
    <w:rsid w:val="130004C2"/>
    <w:rsid w:val="1317F2A9"/>
    <w:rsid w:val="13303290"/>
    <w:rsid w:val="141176F4"/>
    <w:rsid w:val="1434D6BD"/>
    <w:rsid w:val="14C8DF9A"/>
    <w:rsid w:val="15050999"/>
    <w:rsid w:val="15482435"/>
    <w:rsid w:val="157ACC6A"/>
    <w:rsid w:val="16131E2A"/>
    <w:rsid w:val="16D23FF9"/>
    <w:rsid w:val="16E64717"/>
    <w:rsid w:val="1728FA9B"/>
    <w:rsid w:val="173425F1"/>
    <w:rsid w:val="175548B9"/>
    <w:rsid w:val="17960538"/>
    <w:rsid w:val="18580BF1"/>
    <w:rsid w:val="18CDA770"/>
    <w:rsid w:val="193E443C"/>
    <w:rsid w:val="19A5EA17"/>
    <w:rsid w:val="19ECBB86"/>
    <w:rsid w:val="1B0A2988"/>
    <w:rsid w:val="1B471B1C"/>
    <w:rsid w:val="1B6FAC6D"/>
    <w:rsid w:val="1BF0DCD0"/>
    <w:rsid w:val="1C23D277"/>
    <w:rsid w:val="1C5C6CFD"/>
    <w:rsid w:val="1CD3B19D"/>
    <w:rsid w:val="1CE398AD"/>
    <w:rsid w:val="1D40E48F"/>
    <w:rsid w:val="1DDB9D07"/>
    <w:rsid w:val="1DF28B9E"/>
    <w:rsid w:val="1E510B7E"/>
    <w:rsid w:val="1E99DD82"/>
    <w:rsid w:val="1EE5D16E"/>
    <w:rsid w:val="1F6232A5"/>
    <w:rsid w:val="1FC841E7"/>
    <w:rsid w:val="2010A09B"/>
    <w:rsid w:val="20A45A9A"/>
    <w:rsid w:val="20FA29B3"/>
    <w:rsid w:val="228C77F7"/>
    <w:rsid w:val="22B4E027"/>
    <w:rsid w:val="230B8042"/>
    <w:rsid w:val="232E538C"/>
    <w:rsid w:val="233ECC3D"/>
    <w:rsid w:val="23B0B757"/>
    <w:rsid w:val="243B19CD"/>
    <w:rsid w:val="24CCE9EF"/>
    <w:rsid w:val="2590D678"/>
    <w:rsid w:val="26114B19"/>
    <w:rsid w:val="27668F31"/>
    <w:rsid w:val="27B6D8A7"/>
    <w:rsid w:val="27BB8800"/>
    <w:rsid w:val="28399160"/>
    <w:rsid w:val="28ADB12C"/>
    <w:rsid w:val="28EF2020"/>
    <w:rsid w:val="2A47E4A6"/>
    <w:rsid w:val="2A4E99E2"/>
    <w:rsid w:val="2B114F01"/>
    <w:rsid w:val="2B7EC2E8"/>
    <w:rsid w:val="2BCEF40F"/>
    <w:rsid w:val="2CD7CDB6"/>
    <w:rsid w:val="2D426FA6"/>
    <w:rsid w:val="2D50163B"/>
    <w:rsid w:val="2D909687"/>
    <w:rsid w:val="2EA188AA"/>
    <w:rsid w:val="2F19E3D1"/>
    <w:rsid w:val="2F3316DD"/>
    <w:rsid w:val="2F529224"/>
    <w:rsid w:val="2FF0B603"/>
    <w:rsid w:val="3005876D"/>
    <w:rsid w:val="309B45E4"/>
    <w:rsid w:val="3106314B"/>
    <w:rsid w:val="31897E99"/>
    <w:rsid w:val="31AC3411"/>
    <w:rsid w:val="3251CE9B"/>
    <w:rsid w:val="32DFEE98"/>
    <w:rsid w:val="3303D89B"/>
    <w:rsid w:val="332AD833"/>
    <w:rsid w:val="33631C2E"/>
    <w:rsid w:val="3697F48F"/>
    <w:rsid w:val="36B8FE6B"/>
    <w:rsid w:val="37544EF8"/>
    <w:rsid w:val="37873451"/>
    <w:rsid w:val="37DAD846"/>
    <w:rsid w:val="37F11D84"/>
    <w:rsid w:val="381BB2A8"/>
    <w:rsid w:val="3842A4A2"/>
    <w:rsid w:val="38890076"/>
    <w:rsid w:val="3893EFBC"/>
    <w:rsid w:val="38BC9CC6"/>
    <w:rsid w:val="38E0CD7A"/>
    <w:rsid w:val="38EE2C7B"/>
    <w:rsid w:val="38F53CF7"/>
    <w:rsid w:val="39A7F7F9"/>
    <w:rsid w:val="3A33D496"/>
    <w:rsid w:val="3D41BCCF"/>
    <w:rsid w:val="3DF22F48"/>
    <w:rsid w:val="3E596D9F"/>
    <w:rsid w:val="3E9B7881"/>
    <w:rsid w:val="3F0A14C5"/>
    <w:rsid w:val="3F90810D"/>
    <w:rsid w:val="3FC92187"/>
    <w:rsid w:val="4007D866"/>
    <w:rsid w:val="4018027E"/>
    <w:rsid w:val="4055C4CE"/>
    <w:rsid w:val="40D8101F"/>
    <w:rsid w:val="41010CAE"/>
    <w:rsid w:val="426AF8C4"/>
    <w:rsid w:val="428BC90A"/>
    <w:rsid w:val="42EAF21B"/>
    <w:rsid w:val="42FEACFD"/>
    <w:rsid w:val="43A30C0F"/>
    <w:rsid w:val="43AB3567"/>
    <w:rsid w:val="43D1AD9D"/>
    <w:rsid w:val="43EC3928"/>
    <w:rsid w:val="45DF3A6A"/>
    <w:rsid w:val="4615A9C7"/>
    <w:rsid w:val="46EC44AA"/>
    <w:rsid w:val="47A12A3B"/>
    <w:rsid w:val="490BE7DC"/>
    <w:rsid w:val="49780627"/>
    <w:rsid w:val="49EAA477"/>
    <w:rsid w:val="4A7241BE"/>
    <w:rsid w:val="4A85E182"/>
    <w:rsid w:val="4AC8CC81"/>
    <w:rsid w:val="4B5FB7CE"/>
    <w:rsid w:val="4BD6BF21"/>
    <w:rsid w:val="4BE53003"/>
    <w:rsid w:val="4C7754F9"/>
    <w:rsid w:val="4CDE5A61"/>
    <w:rsid w:val="4DBAD394"/>
    <w:rsid w:val="4DFB0CFC"/>
    <w:rsid w:val="4EA50700"/>
    <w:rsid w:val="50076170"/>
    <w:rsid w:val="501F8385"/>
    <w:rsid w:val="50C5DC6A"/>
    <w:rsid w:val="5105B947"/>
    <w:rsid w:val="51686FC1"/>
    <w:rsid w:val="52438077"/>
    <w:rsid w:val="524FADF8"/>
    <w:rsid w:val="52D2CCB4"/>
    <w:rsid w:val="535BD78D"/>
    <w:rsid w:val="53CCB437"/>
    <w:rsid w:val="53D854E0"/>
    <w:rsid w:val="53F7C2EF"/>
    <w:rsid w:val="54676F2F"/>
    <w:rsid w:val="54B403AC"/>
    <w:rsid w:val="54E52960"/>
    <w:rsid w:val="55ADF842"/>
    <w:rsid w:val="5624F7ED"/>
    <w:rsid w:val="567ABCE9"/>
    <w:rsid w:val="56EFDF1D"/>
    <w:rsid w:val="570FE2FD"/>
    <w:rsid w:val="584F5EB8"/>
    <w:rsid w:val="5A216B67"/>
    <w:rsid w:val="5A36F02B"/>
    <w:rsid w:val="5AF44C1E"/>
    <w:rsid w:val="5C703172"/>
    <w:rsid w:val="5EE1A372"/>
    <w:rsid w:val="5F32E550"/>
    <w:rsid w:val="5F7B3744"/>
    <w:rsid w:val="5F9336D4"/>
    <w:rsid w:val="5F9CC2E8"/>
    <w:rsid w:val="5FCCB232"/>
    <w:rsid w:val="5FDA0D42"/>
    <w:rsid w:val="6126F71E"/>
    <w:rsid w:val="61663BBE"/>
    <w:rsid w:val="62333F05"/>
    <w:rsid w:val="62953680"/>
    <w:rsid w:val="62B20ED3"/>
    <w:rsid w:val="632FEE7B"/>
    <w:rsid w:val="638CB839"/>
    <w:rsid w:val="64212B11"/>
    <w:rsid w:val="64552DC3"/>
    <w:rsid w:val="64C9C7DB"/>
    <w:rsid w:val="64E0F0C7"/>
    <w:rsid w:val="652E407D"/>
    <w:rsid w:val="655081B1"/>
    <w:rsid w:val="655CFF0D"/>
    <w:rsid w:val="65894C58"/>
    <w:rsid w:val="66742450"/>
    <w:rsid w:val="6796F4DE"/>
    <w:rsid w:val="67EFAD0F"/>
    <w:rsid w:val="6840CA36"/>
    <w:rsid w:val="6877D831"/>
    <w:rsid w:val="68E5CA57"/>
    <w:rsid w:val="6A62B209"/>
    <w:rsid w:val="6C37E441"/>
    <w:rsid w:val="6C93BBAA"/>
    <w:rsid w:val="6CCA0043"/>
    <w:rsid w:val="6DAF66E4"/>
    <w:rsid w:val="6DF35B7F"/>
    <w:rsid w:val="6E027285"/>
    <w:rsid w:val="6E958D38"/>
    <w:rsid w:val="6EA65C63"/>
    <w:rsid w:val="6F670431"/>
    <w:rsid w:val="6F9BBAC4"/>
    <w:rsid w:val="6FFC8EF9"/>
    <w:rsid w:val="705D2628"/>
    <w:rsid w:val="749263C6"/>
    <w:rsid w:val="7667D9B7"/>
    <w:rsid w:val="76B687EC"/>
    <w:rsid w:val="77C28868"/>
    <w:rsid w:val="78FD1074"/>
    <w:rsid w:val="792A3D5F"/>
    <w:rsid w:val="79C41C87"/>
    <w:rsid w:val="7A36AB00"/>
    <w:rsid w:val="7A64305F"/>
    <w:rsid w:val="7A6B0F2B"/>
    <w:rsid w:val="7C1562BD"/>
    <w:rsid w:val="7E0E35F5"/>
    <w:rsid w:val="7E93F686"/>
    <w:rsid w:val="7EDC3B77"/>
    <w:rsid w:val="7F93B8DD"/>
    <w:rsid w:val="7FF77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D6224AFE-954D-40D0-B7D1-BF09A8EA1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sl-SI"/>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6D5D"/>
    <w:rPr>
      <w:color w:val="0000FF" w:themeColor="hyperlink"/>
      <w:u w:val="single"/>
    </w:rPr>
  </w:style>
  <w:style w:type="character" w:customStyle="1" w:styleId="cf01">
    <w:name w:val="cf01"/>
    <w:basedOn w:val="DefaultParagraphFont"/>
    <w:rsid w:val="00446D5D"/>
    <w:rPr>
      <w:rFonts w:ascii="Segoe UI" w:hAnsi="Segoe UI" w:cs="Segoe UI" w:hint="default"/>
      <w:color w:val="333333"/>
      <w:sz w:val="18"/>
      <w:szCs w:val="18"/>
      <w:shd w:val="clear" w:color="auto" w:fill="FFFFFF"/>
    </w:rPr>
  </w:style>
  <w:style w:type="paragraph" w:styleId="ListBullet">
    <w:name w:val="List Bullet"/>
    <w:basedOn w:val="Normal"/>
    <w:uiPriority w:val="99"/>
    <w:semiHidden/>
    <w:unhideWhenUsed/>
    <w:rsid w:val="00CB1623"/>
    <w:pPr>
      <w:numPr>
        <w:numId w:val="1"/>
      </w:numPr>
      <w:contextualSpacing/>
    </w:pPr>
  </w:style>
  <w:style w:type="paragraph" w:styleId="ListBullet2">
    <w:name w:val="List Bullet 2"/>
    <w:basedOn w:val="Normal"/>
    <w:uiPriority w:val="99"/>
    <w:semiHidden/>
    <w:unhideWhenUsed/>
    <w:rsid w:val="00CB1623"/>
    <w:pPr>
      <w:numPr>
        <w:numId w:val="2"/>
      </w:numPr>
      <w:contextualSpacing/>
    </w:pPr>
  </w:style>
  <w:style w:type="paragraph" w:styleId="ListBullet3">
    <w:name w:val="List Bullet 3"/>
    <w:basedOn w:val="Normal"/>
    <w:uiPriority w:val="99"/>
    <w:semiHidden/>
    <w:unhideWhenUsed/>
    <w:rsid w:val="00CB1623"/>
    <w:pPr>
      <w:numPr>
        <w:numId w:val="3"/>
      </w:numPr>
      <w:contextualSpacing/>
    </w:pPr>
  </w:style>
  <w:style w:type="paragraph" w:styleId="ListBullet4">
    <w:name w:val="List Bullet 4"/>
    <w:basedOn w:val="Normal"/>
    <w:uiPriority w:val="99"/>
    <w:semiHidden/>
    <w:unhideWhenUsed/>
    <w:rsid w:val="00CB1623"/>
    <w:pPr>
      <w:numPr>
        <w:numId w:val="4"/>
      </w:numPr>
      <w:contextualSpacing/>
    </w:pPr>
  </w:style>
  <w:style w:type="character" w:styleId="CommentReference">
    <w:name w:val="annotation reference"/>
    <w:basedOn w:val="DefaultParagraphFont"/>
    <w:uiPriority w:val="99"/>
    <w:semiHidden/>
    <w:unhideWhenUsed/>
    <w:rsid w:val="000B49AE"/>
    <w:rPr>
      <w:sz w:val="16"/>
      <w:szCs w:val="16"/>
    </w:rPr>
  </w:style>
  <w:style w:type="paragraph" w:styleId="CommentText">
    <w:name w:val="annotation text"/>
    <w:basedOn w:val="Normal"/>
    <w:link w:val="CommentTextChar"/>
    <w:uiPriority w:val="99"/>
    <w:unhideWhenUsed/>
    <w:rsid w:val="000B49AE"/>
    <w:rPr>
      <w:sz w:val="20"/>
      <w:szCs w:val="20"/>
    </w:rPr>
  </w:style>
  <w:style w:type="character" w:customStyle="1" w:styleId="CommentTextChar">
    <w:name w:val="Comment Text Char"/>
    <w:basedOn w:val="DefaultParagraphFont"/>
    <w:link w:val="CommentText"/>
    <w:uiPriority w:val="99"/>
    <w:rsid w:val="000B49AE"/>
    <w:rPr>
      <w:rFonts w:ascii="Times New Roman" w:hAnsi="Times New Roman" w:cs="Times New Roman"/>
      <w:sz w:val="20"/>
      <w:szCs w:val="20"/>
      <w:lang w:val="sl-SI"/>
    </w:rPr>
  </w:style>
  <w:style w:type="paragraph" w:styleId="CommentSubject">
    <w:name w:val="annotation subject"/>
    <w:basedOn w:val="CommentText"/>
    <w:next w:val="CommentText"/>
    <w:link w:val="CommentSubjectChar"/>
    <w:uiPriority w:val="99"/>
    <w:semiHidden/>
    <w:unhideWhenUsed/>
    <w:rsid w:val="000B49AE"/>
    <w:rPr>
      <w:b/>
      <w:bCs/>
    </w:rPr>
  </w:style>
  <w:style w:type="character" w:customStyle="1" w:styleId="CommentSubjectChar">
    <w:name w:val="Comment Subject Char"/>
    <w:basedOn w:val="CommentTextChar"/>
    <w:link w:val="CommentSubject"/>
    <w:uiPriority w:val="99"/>
    <w:semiHidden/>
    <w:rsid w:val="000B49AE"/>
    <w:rPr>
      <w:rFonts w:ascii="Times New Roman" w:hAnsi="Times New Roman" w:cs="Times New Roman"/>
      <w:b/>
      <w:bCs/>
      <w:sz w:val="20"/>
      <w:szCs w:val="20"/>
      <w:lang w:val="sl-SI"/>
    </w:rPr>
  </w:style>
  <w:style w:type="paragraph" w:styleId="Revision">
    <w:name w:val="Revision"/>
    <w:hidden/>
    <w:uiPriority w:val="99"/>
    <w:semiHidden/>
    <w:rsid w:val="00AC6F86"/>
    <w:pPr>
      <w:spacing w:after="0" w:line="240" w:lineRule="auto"/>
    </w:pPr>
    <w:rPr>
      <w:rFonts w:ascii="Times New Roman" w:hAnsi="Times New Roman" w:cs="Times New Roman"/>
      <w:sz w:val="24"/>
    </w:rPr>
  </w:style>
  <w:style w:type="character" w:customStyle="1" w:styleId="UnresolvedMention">
    <w:name w:val="Unresolved Mention"/>
    <w:basedOn w:val="DefaultParagraphFont"/>
    <w:uiPriority w:val="99"/>
    <w:semiHidden/>
    <w:unhideWhenUsed/>
    <w:rsid w:val="00D02DDA"/>
    <w:rPr>
      <w:color w:val="605E5C"/>
      <w:shd w:val="clear" w:color="auto" w:fill="E1DFDD"/>
    </w:rPr>
  </w:style>
  <w:style w:type="character" w:customStyle="1" w:styleId="HeaderChar">
    <w:name w:val="Header Char"/>
    <w:basedOn w:val="DefaultParagraphFont"/>
    <w:link w:val="Header"/>
    <w:uiPriority w:val="99"/>
    <w:rsid w:val="009146F5"/>
    <w:rPr>
      <w:rFonts w:ascii="Times New Roman" w:hAnsi="Times New Roman" w:cs="Times New Roman"/>
      <w:sz w:val="24"/>
      <w:lang w:val="sl-SI"/>
    </w:rPr>
  </w:style>
  <w:style w:type="character" w:customStyle="1" w:styleId="FooterChar">
    <w:name w:val="Footer Char"/>
    <w:basedOn w:val="DefaultParagraphFont"/>
    <w:link w:val="Footer"/>
    <w:uiPriority w:val="99"/>
    <w:rsid w:val="009146F5"/>
    <w:rPr>
      <w:rFonts w:ascii="Times New Roman" w:hAnsi="Times New Roman" w:cs="Times New Roman"/>
      <w:sz w:val="24"/>
      <w:lang w:val="sl-SI"/>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9146F5"/>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9146F5"/>
    <w:pPr>
      <w:spacing w:before="0"/>
      <w:jc w:val="right"/>
    </w:pPr>
    <w:rPr>
      <w:sz w:val="28"/>
    </w:rPr>
  </w:style>
  <w:style w:type="paragraph" w:customStyle="1" w:styleId="FooterSensitivity">
    <w:name w:val="Footer Sensitivity"/>
    <w:basedOn w:val="Normal"/>
    <w:rsid w:val="009146F5"/>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6"/>
      </w:numPr>
    </w:pPr>
  </w:style>
  <w:style w:type="paragraph" w:customStyle="1" w:styleId="Tiret1">
    <w:name w:val="Tiret 1"/>
    <w:basedOn w:val="Point1"/>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39"/>
      </w:numPr>
    </w:pPr>
  </w:style>
  <w:style w:type="paragraph" w:customStyle="1" w:styleId="Tiret4">
    <w:name w:val="Tiret 4"/>
    <w:basedOn w:val="Point4"/>
    <w:pPr>
      <w:numPr>
        <w:numId w:val="40"/>
      </w:numPr>
    </w:pPr>
  </w:style>
  <w:style w:type="paragraph" w:customStyle="1" w:styleId="Tiret5">
    <w:name w:val="Tiret 5"/>
    <w:basedOn w:val="Point5"/>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NumPar5">
    <w:name w:val="NumPar 5"/>
    <w:basedOn w:val="Normal"/>
    <w:next w:val="Text2"/>
    <w:pPr>
      <w:numPr>
        <w:ilvl w:val="4"/>
        <w:numId w:val="42"/>
      </w:numPr>
    </w:pPr>
  </w:style>
  <w:style w:type="paragraph" w:customStyle="1" w:styleId="NumPar6">
    <w:name w:val="NumPar 6"/>
    <w:basedOn w:val="Normal"/>
    <w:next w:val="Text2"/>
    <w:pPr>
      <w:numPr>
        <w:ilvl w:val="5"/>
        <w:numId w:val="42"/>
      </w:numPr>
    </w:pPr>
  </w:style>
  <w:style w:type="paragraph" w:customStyle="1" w:styleId="NumPar7">
    <w:name w:val="NumPar 7"/>
    <w:basedOn w:val="Normal"/>
    <w:next w:val="Text2"/>
    <w:pPr>
      <w:numPr>
        <w:ilvl w:val="6"/>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9146F5"/>
    <w:pPr>
      <w:tabs>
        <w:tab w:val="center" w:pos="4535"/>
        <w:tab w:val="right" w:pos="9071"/>
      </w:tabs>
      <w:spacing w:before="0"/>
    </w:pPr>
  </w:style>
  <w:style w:type="paragraph" w:customStyle="1" w:styleId="HeaderLandscape">
    <w:name w:val="HeaderLandscape"/>
    <w:basedOn w:val="Normal"/>
    <w:rsid w:val="009146F5"/>
    <w:pPr>
      <w:tabs>
        <w:tab w:val="center" w:pos="7285"/>
        <w:tab w:val="right" w:pos="14003"/>
      </w:tabs>
      <w:spacing w:before="0"/>
    </w:pPr>
  </w:style>
  <w:style w:type="paragraph" w:styleId="Footer">
    <w:name w:val="footer"/>
    <w:basedOn w:val="Normal"/>
    <w:link w:val="FooterChar"/>
    <w:uiPriority w:val="99"/>
    <w:unhideWhenUsed/>
    <w:rsid w:val="009146F5"/>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9146F5"/>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dec_impl/2024/1447/oj" TargetMode="External"/><Relationship Id="rId1" Type="http://schemas.openxmlformats.org/officeDocument/2006/relationships/hyperlink" Target="http://data.europa.eu/eli/reg/2024/792/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46a404f-b2a3-4040-9043-f235421f67a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143df74d-9af4-4f98-9378-663f31c63d7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A035B8C3EAA64A9CFE17FEB37C94B7" ma:contentTypeVersion="13" ma:contentTypeDescription="Create a new document." ma:contentTypeScope="" ma:versionID="ceede4f2c4a2aa62d8a5284ff8ef180b">
  <xsd:schema xmlns:xsd="http://www.w3.org/2001/XMLSchema" xmlns:xs="http://www.w3.org/2001/XMLSchema" xmlns:p="http://schemas.microsoft.com/office/2006/metadata/properties" xmlns:ns2="f46a404f-b2a3-4040-9043-f235421f67a9" xmlns:ns3="143df74d-9af4-4f98-9378-663f31c63d7c" targetNamespace="http://schemas.microsoft.com/office/2006/metadata/properties" ma:root="true" ma:fieldsID="ad8105a9dacf4297f334b553f0f52945" ns2:_="" ns3:_="">
    <xsd:import namespace="f46a404f-b2a3-4040-9043-f235421f67a9"/>
    <xsd:import namespace="143df74d-9af4-4f98-9378-663f31c63d7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a404f-b2a3-4040-9043-f235421f6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df74d-9af4-4f98-9378-663f31c63d7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eaa164-67b1-4009-9506-aa3f45407dd2}" ma:internalName="TaxCatchAll" ma:showField="CatchAllData" ma:web="143df74d-9af4-4f98-9378-663f31c63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E8230-EA63-49C6-BB9C-D2E2FBF3C148}">
  <ds:schemaRefs>
    <ds:schemaRef ds:uri="http://schemas.microsoft.com/office/2006/metadata/properties"/>
    <ds:schemaRef ds:uri="http://schemas.microsoft.com/office/infopath/2007/PartnerControls"/>
    <ds:schemaRef ds:uri="f46a404f-b2a3-4040-9043-f235421f67a9"/>
    <ds:schemaRef ds:uri="143df74d-9af4-4f98-9378-663f31c63d7c"/>
  </ds:schemaRefs>
</ds:datastoreItem>
</file>

<file path=customXml/itemProps2.xml><?xml version="1.0" encoding="utf-8"?>
<ds:datastoreItem xmlns:ds="http://schemas.openxmlformats.org/officeDocument/2006/customXml" ds:itemID="{FD7B6D40-07F2-4D52-BA30-66EF9A747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a404f-b2a3-4040-9043-f235421f67a9"/>
    <ds:schemaRef ds:uri="143df74d-9af4-4f98-9378-663f31c6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E6A81E-4273-4C1C-94EB-347DEC0EBD30}">
  <ds:schemaRefs>
    <ds:schemaRef ds:uri="http://schemas.microsoft.com/sharepoint/v3/contenttype/forms"/>
  </ds:schemaRefs>
</ds:datastoreItem>
</file>

<file path=customXml/itemProps4.xml><?xml version="1.0" encoding="utf-8"?>
<ds:datastoreItem xmlns:ds="http://schemas.openxmlformats.org/officeDocument/2006/customXml" ds:itemID="{732C0405-76AD-4B56-BC37-15FC670BA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25</TotalTime>
  <Pages>4</Pages>
  <Words>905</Words>
  <Characters>5162</Characters>
  <Application>Microsoft Office Word</Application>
  <DocSecurity>0</DocSecurity>
  <Lines>43</Lines>
  <Paragraphs>12</Paragraphs>
  <ScaleCrop>false</ScaleCrop>
  <Manager/>
  <Company/>
  <LinksUpToDate>false</LinksUpToDate>
  <CharactersWithSpaces>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51</cp:revision>
  <dcterms:created xsi:type="dcterms:W3CDTF">2024-11-08T17:31:00Z</dcterms:created>
  <dcterms:modified xsi:type="dcterms:W3CDTF">2024-11-27T17:05:00Z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Created using">
    <vt:lpwstr>LW 9.0, Build 20230317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SJ-021</vt:lpwstr>
  </property>
  <property fmtid="{D5CDD505-2E9C-101B-9397-08002B2CF9AE}" pid="10" name="MSIP_Label_6bd9ddd1-4d20-43f6-abfa-fc3c07406f94_Enabled">
    <vt:lpwstr>true</vt:lpwstr>
  </property>
  <property fmtid="{D5CDD505-2E9C-101B-9397-08002B2CF9AE}" pid="11" name="MSIP_Label_6bd9ddd1-4d20-43f6-abfa-fc3c07406f94_SetDate">
    <vt:lpwstr>2024-07-17T11:37:53Z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00b229e1-a42a-4753-93f8-f11c8b4585bb</vt:lpwstr>
  </property>
  <property fmtid="{D5CDD505-2E9C-101B-9397-08002B2CF9AE}" pid="16" name="MSIP_Label_6bd9ddd1-4d20-43f6-abfa-fc3c07406f94_ContentBits">
    <vt:lpwstr>0</vt:lpwstr>
  </property>
  <property fmtid="{D5CDD505-2E9C-101B-9397-08002B2CF9AE}" pid="17" name="ContentTypeId">
    <vt:lpwstr>0x01010089A035B8C3EAA64A9CFE17FEB37C94B7</vt:lpwstr>
  </property>
  <property fmtid="{D5CDD505-2E9C-101B-9397-08002B2CF9AE}" pid="18" name="MediaServiceImageTags">
    <vt:lpwstr/>
  </property>
  <property fmtid="{D5CDD505-2E9C-101B-9397-08002B2CF9AE}" pid="19" name="DQCStatus">
    <vt:lpwstr>Green (DQC version 03)</vt:lpwstr>
  </property>
  <property name="OP_sanitized" fmtid="{D5CDD505-2E9C-101B-9397-08002B2CF9AE}" pid="20">
    <vt:lpwstr>True</vt:lpwstr>
  </property>
</Properties>
</file>