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3A428AB3689948BB93474D4CE075C7D4" style="width:450.35pt;height:352.55pt">
            <v:imagedata r:id="rId8" o:title=""/>
          </v:shape>
        </w:pict>
      </w:r>
    </w:p>
    <w:p>
      <w:pPr>
        <w:rPr>
          <w:noProof/>
        </w:rPr>
        <w:sectPr>
          <w:footerReference w:type="default" r:id="rId9"/>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EXPUNERE DE MOTIVE</w:t>
      </w:r>
    </w:p>
    <w:p>
      <w:pPr>
        <w:pStyle w:val="ManualHeading1"/>
        <w:rPr>
          <w:noProof/>
        </w:rPr>
      </w:pPr>
      <w:r>
        <w:rPr>
          <w:noProof/>
        </w:rPr>
        <w:t>1.</w:t>
      </w:r>
      <w:r>
        <w:rPr>
          <w:noProof/>
        </w:rPr>
        <w:tab/>
        <w:t>CONTEXTUL PROPUNERII</w:t>
      </w:r>
    </w:p>
    <w:p>
      <w:pPr>
        <w:rPr>
          <w:noProof/>
        </w:rPr>
      </w:pPr>
      <w:r>
        <w:rPr>
          <w:noProof/>
        </w:rPr>
        <w:t>Acordul internațional din 2005 cu privire la uleiul de măsline și măslinele de masă</w:t>
      </w:r>
      <w:r>
        <w:rPr>
          <w:rStyle w:val="FootnoteReference"/>
          <w:noProof/>
        </w:rPr>
        <w:footnoteReference w:id="1"/>
      </w:r>
      <w:r>
        <w:rPr>
          <w:noProof/>
        </w:rPr>
        <w:t xml:space="preserve"> urma să expire la 31 decembrie 2014 și a fost prelungit până la 31 decembrie 2015. În conformitate cu articolul 47 alineatul (3) din respectivul acord, el va rămâne în vigoare până la intrarea în vigoare a noului acord, cu condiția ca durata acestei prelungiri să nu depășească 12 luni. Prin urmare, acordul actual va înceta să producă efecte cel târziu la 31 decembrie 2016.</w:t>
      </w:r>
    </w:p>
    <w:p>
      <w:pPr>
        <w:rPr>
          <w:noProof/>
        </w:rPr>
      </w:pPr>
      <w:r>
        <w:rPr>
          <w:noProof/>
        </w:rPr>
        <w:t>La 19 noiembrie 2013, Consiliul a autorizat Comisia să înceapă negocieri, în numele Uniunii, în vederea încheierii unui nou acord internațional privind uleiul de măsline și măslinele de masă.</w:t>
      </w:r>
    </w:p>
    <w:p>
      <w:pPr>
        <w:rPr>
          <w:noProof/>
        </w:rPr>
      </w:pPr>
      <w:r>
        <w:rPr>
          <w:noProof/>
        </w:rPr>
        <w:t xml:space="preserve">Reprezentanții celor 24 de state membre ale Conferinței Organizației Națiunilor Unite pentru Comerț și Dezvoltare (UNCTAD) și a două organizații interguvernamentale au stabilit textul noului acord cu ocazia Conferinței Organizației Națiunilor Unite pentru negocierea unui acord destinat să înlocuiască Acordul internațional din 2005 cu privire la uleiul de măsline și măslinele de masă, care s-a desfășurat la Palatul Națiunilor din Geneva în perioada 5-9 octombrie 2015. </w:t>
      </w:r>
    </w:p>
    <w:p>
      <w:pPr>
        <w:rPr>
          <w:noProof/>
        </w:rPr>
      </w:pPr>
      <w:r>
        <w:rPr>
          <w:noProof/>
        </w:rPr>
        <w:t>Textul acordului, care a fost negociat cu consultarea grupului de lucru al Consiliului pentru produse de bază (PROBA), respectă directivele de negociere adoptate de Consiliu.</w:t>
      </w:r>
    </w:p>
    <w:p>
      <w:pPr>
        <w:pBdr>
          <w:top w:val="nil"/>
          <w:left w:val="nil"/>
          <w:bottom w:val="nil"/>
          <w:right w:val="nil"/>
          <w:between w:val="nil"/>
          <w:bar w:val="nil"/>
        </w:pBdr>
        <w:spacing w:before="0" w:after="240"/>
        <w:rPr>
          <w:rFonts w:eastAsia="Arial Unicode MS"/>
          <w:noProof/>
        </w:rPr>
      </w:pPr>
      <w:r>
        <w:rPr>
          <w:noProof/>
        </w:rPr>
        <w:t>Noul acord este deschis spre semnare la sediul Organizației Națiunilor Unite de la New York până pe 31 decembrie 2016 inclusiv. Acesta va intra în vigoare la data de 1 ianuarie 2017, cu condiția ca cel puțin cinci părți contractante, reprezentând cel puțin 80 % din totalul cotelor-părți de participare, să-l semneze definitiv sau să-l ratifice, să-l accepte, să-l aprobe ori să adere la el până la acea dată. Noul acord va putea fi aplicat cu titlu provizoriu, în condițiile prevăzute la articolul 31 alineatele (2) și (3) din acest acord, dacă nu intră pe deplin în vigoare până la data de 1 ianuarie 2017.</w:t>
      </w:r>
    </w:p>
    <w:p>
      <w:pPr>
        <w:pStyle w:val="ManualHeading1"/>
        <w:rPr>
          <w:noProof/>
        </w:rPr>
      </w:pPr>
      <w:r>
        <w:rPr>
          <w:noProof/>
        </w:rPr>
        <w:t>2.</w:t>
      </w:r>
      <w:r>
        <w:rPr>
          <w:noProof/>
        </w:rPr>
        <w:tab/>
        <w:t>TEMEI JURIDIC, SUBSIDIARITATE ȘI PROPORȚIONALITATE</w:t>
      </w:r>
    </w:p>
    <w:p>
      <w:pPr>
        <w:rPr>
          <w:rFonts w:eastAsia="Times New Roman"/>
          <w:noProof/>
          <w:szCs w:val="24"/>
        </w:rPr>
      </w:pPr>
      <w:r>
        <w:rPr>
          <w:noProof/>
        </w:rPr>
        <w:t>Având în vedere cele de mai sus, Comisia propune:</w:t>
      </w:r>
    </w:p>
    <w:p>
      <w:pPr>
        <w:rPr>
          <w:rFonts w:eastAsia="Arial Unicode MS"/>
          <w:noProof/>
        </w:rPr>
      </w:pPr>
      <w:r>
        <w:rPr>
          <w:noProof/>
        </w:rPr>
        <w:t>Ca, în conformitate cu articolul 207 alineatul (4) și articolul 218 alineatul (5) din TFUE, Consiliul să autorizeze Comisia să semneze acordul în numele Uniunii Europene, sub rezerva încheierii sale la o dată ulterioară.</w:t>
      </w:r>
    </w:p>
    <w:p>
      <w:pPr>
        <w:pStyle w:val="ManualHeading1"/>
        <w:rPr>
          <w:noProof/>
        </w:rPr>
      </w:pPr>
      <w:r>
        <w:rPr>
          <w:noProof/>
        </w:rPr>
        <w:t>3.</w:t>
      </w:r>
      <w:r>
        <w:rPr>
          <w:noProof/>
        </w:rPr>
        <w:tab/>
        <w:t>IMPLICAȚIILE BUGETARE</w:t>
      </w:r>
    </w:p>
    <w:p>
      <w:pPr>
        <w:rPr>
          <w:noProof/>
        </w:rPr>
        <w:sectPr>
          <w:footerReference w:type="default" r:id="rId10"/>
          <w:footerReference w:type="first" r:id="rId11"/>
          <w:pgSz w:w="11907" w:h="16839"/>
          <w:pgMar w:top="1134" w:right="1417" w:bottom="1134" w:left="1417" w:header="709" w:footer="709" w:gutter="0"/>
          <w:cols w:space="708"/>
          <w:docGrid w:linePitch="360"/>
        </w:sectPr>
      </w:pPr>
      <w:r>
        <w:rPr>
          <w:noProof/>
        </w:rPr>
        <w:t>Acest nou acord implică o contribuție a Uniunii Europene la bugetele COI. Respectiva contribuție este înscrisă la postul 05 06 01 din bugetul UE (acorduri internaționale privind agricultura).</w:t>
      </w:r>
    </w:p>
    <w:p>
      <w:pPr>
        <w:pStyle w:val="Rfrenceinterinstitutionnelle"/>
        <w:rPr>
          <w:noProof/>
        </w:rPr>
      </w:pPr>
      <w:r>
        <w:rPr>
          <w:noProof/>
        </w:rPr>
        <w:t>2016/0196 (NLE)</w:t>
      </w:r>
    </w:p>
    <w:p>
      <w:pPr>
        <w:pStyle w:val="Statut"/>
        <w:rPr>
          <w:noProof/>
        </w:rPr>
      </w:pPr>
      <w:r>
        <w:rPr>
          <w:noProof/>
        </w:rPr>
        <w:t>Propunere de</w:t>
      </w:r>
    </w:p>
    <w:p>
      <w:pPr>
        <w:pStyle w:val="Typedudocument"/>
        <w:rPr>
          <w:noProof/>
        </w:rPr>
      </w:pPr>
      <w:r>
        <w:rPr>
          <w:noProof/>
        </w:rPr>
        <w:t>DECIZIE A CONSILIULUI</w:t>
      </w:r>
    </w:p>
    <w:p>
      <w:pPr>
        <w:pStyle w:val="Titreobjet"/>
        <w:rPr>
          <w:noProof/>
        </w:rPr>
      </w:pPr>
      <w:r>
        <w:rPr>
          <w:noProof/>
        </w:rPr>
        <w:t xml:space="preserve">privind semnarea, în numele Uniunii Europene, și aplicarea provizorie a Acordului internațional din 2015 cu privire la uleiul de măsline și măslinele de masă </w:t>
      </w:r>
    </w:p>
    <w:p>
      <w:pPr>
        <w:pStyle w:val="Institutionquiagit"/>
        <w:rPr>
          <w:noProof/>
        </w:rPr>
      </w:pPr>
      <w:r>
        <w:rPr>
          <w:noProof/>
        </w:rPr>
        <w:t>CONSILIUL UNIUNII EUROPENE,</w:t>
      </w:r>
    </w:p>
    <w:p>
      <w:pPr>
        <w:rPr>
          <w:noProof/>
        </w:rPr>
      </w:pPr>
      <w:r>
        <w:rPr>
          <w:noProof/>
        </w:rPr>
        <w:t>având în vedere Tratatul privind funcționarea Uniunii Europene, în special articolul 207 alineatul (4) primul paragraf, coroborat cu articolul 218 alineatul (5),</w:t>
      </w:r>
    </w:p>
    <w:p>
      <w:pPr>
        <w:rPr>
          <w:noProof/>
        </w:rPr>
      </w:pPr>
      <w:r>
        <w:rPr>
          <w:noProof/>
        </w:rPr>
        <w:t>având în vedere propunerea Comisiei Europene,</w:t>
      </w:r>
    </w:p>
    <w:p>
      <w:pPr>
        <w:rPr>
          <w:noProof/>
        </w:rPr>
      </w:pPr>
      <w:r>
        <w:rPr>
          <w:noProof/>
        </w:rPr>
        <w:t>întrucât:</w:t>
      </w:r>
    </w:p>
    <w:p>
      <w:pPr>
        <w:pStyle w:val="ManualConsidrant"/>
        <w:rPr>
          <w:noProof/>
        </w:rPr>
      </w:pPr>
      <w:r>
        <w:t>(1)</w:t>
      </w:r>
      <w:r>
        <w:tab/>
      </w:r>
      <w:r>
        <w:rPr>
          <w:noProof/>
        </w:rPr>
        <w:t>La 19 noiembrie 2013, Consiliul a autorizat Comisia să înceapă negocieri, în numele Uniunii, în vederea încheierii unui nou acord internațional privind uleiul de măsline și măslinele de masă</w:t>
      </w:r>
      <w:r>
        <w:rPr>
          <w:rStyle w:val="FootnoteReference"/>
          <w:noProof/>
        </w:rPr>
        <w:footnoteReference w:id="2"/>
      </w:r>
      <w:r>
        <w:rPr>
          <w:noProof/>
        </w:rPr>
        <w:t>.</w:t>
      </w:r>
    </w:p>
    <w:p>
      <w:pPr>
        <w:pStyle w:val="ManualConsidrant"/>
        <w:rPr>
          <w:noProof/>
        </w:rPr>
      </w:pPr>
      <w:r>
        <w:t>(2)</w:t>
      </w:r>
      <w:r>
        <w:tab/>
      </w:r>
      <w:r>
        <w:rPr>
          <w:noProof/>
        </w:rPr>
        <w:t>Textul noului acord internațional privind uleiul de măsline și măslinele de masă a fost adoptat la 9 octombrie 2015 de reprezentanții celor 24 de state membre ale Conferinței Organizației Națiunilor Unite pentru Comerț și Dezvoltare (UNCTAD) și a două organizații interguvernamentale, cu ocazia Conferinței Organizației Națiunilor Unite pentru negocierea unui acord destinat să înlocuiască Acordul internațional din 2005 cu privire la uleiul de măsline și măslinele de masă.</w:t>
      </w:r>
    </w:p>
    <w:p>
      <w:pPr>
        <w:pStyle w:val="ManualConsidrant"/>
        <w:rPr>
          <w:noProof/>
        </w:rPr>
      </w:pPr>
      <w:r>
        <w:t>(3)</w:t>
      </w:r>
      <w:r>
        <w:tab/>
      </w:r>
      <w:r>
        <w:rPr>
          <w:noProof/>
        </w:rPr>
        <w:t>Acordul internațional din 2005 cu privire la uleiul de măsline și măslinele de masă</w:t>
      </w:r>
      <w:r>
        <w:rPr>
          <w:rStyle w:val="FootnoteReference"/>
          <w:noProof/>
        </w:rPr>
        <w:footnoteReference w:id="3"/>
      </w:r>
      <w:r>
        <w:rPr>
          <w:noProof/>
        </w:rPr>
        <w:t>, care urma să expire la 31 decembrie 2014, a fost prelungit până la 31 decembrie 2015 și va rămâne în vigoare, în conformitate cu articolul 47 alineatul (3) din respectivul acord, până la intrarea în vigoare a noului acord, cu condiția ca durata acestei prelungiri să nu depășească 12 luni. Noul acord este deschis spre semnare la sediul Organizației Națiunilor Unite de la New York până pe 31 decembrie 2016 inclusiv.</w:t>
      </w:r>
    </w:p>
    <w:p>
      <w:pPr>
        <w:pStyle w:val="ManualConsidrant"/>
        <w:rPr>
          <w:noProof/>
          <w:szCs w:val="24"/>
        </w:rPr>
      </w:pPr>
      <w:r>
        <w:t>(4)</w:t>
      </w:r>
      <w:r>
        <w:tab/>
      </w:r>
      <w:r>
        <w:rPr>
          <w:noProof/>
        </w:rPr>
        <w:t>Articolul 31 alineatul (1) din acord stabilește condițiile necesare pentru intrarea sa în vigoare la 1 ianuarie 2017. Articolul 31 alineatele (2) și (3) prevede aplicarea cu titlu provizoriu a acordului, în anumite condiții, în cazul în care nu sunt îndeplinite condițiile prevăzute la alineatul (1) din acest articol.</w:t>
      </w:r>
    </w:p>
    <w:p>
      <w:pPr>
        <w:pStyle w:val="ManualConsidrant"/>
        <w:rPr>
          <w:noProof/>
        </w:rPr>
      </w:pPr>
      <w:r>
        <w:t>(5)</w:t>
      </w:r>
      <w:r>
        <w:tab/>
      </w:r>
      <w:r>
        <w:rPr>
          <w:noProof/>
        </w:rPr>
        <w:t>În conformitate cu articolul 31 alineatul (2) din acord, pentru a se evita întreruperea aplicării normelor acordurilor internaționale cu privire la uleiul de măsline și măslinele de masă, este necesar să se prevadă aplicarea cu titlu provizoriu a acordului de către Uniune dacă procedura de încheiere a acestuia de către Uniune nu s-a terminat înainte de 1 ianuarie 2017.</w:t>
      </w:r>
    </w:p>
    <w:p>
      <w:pPr>
        <w:pStyle w:val="ManualConsidrant"/>
        <w:rPr>
          <w:noProof/>
        </w:rPr>
      </w:pPr>
      <w:r>
        <w:t>(6)</w:t>
      </w:r>
      <w:r>
        <w:tab/>
      </w:r>
      <w:r>
        <w:rPr>
          <w:noProof/>
          <w:color w:val="000000"/>
          <w:shd w:val="clear" w:color="auto" w:fill="FFFFFF"/>
        </w:rPr>
        <w:t xml:space="preserve">De asemenea, </w:t>
      </w:r>
      <w:r>
        <w:rPr>
          <w:noProof/>
        </w:rPr>
        <w:t>în conformitate cu articolul 31 alineatul (3), este necesar să se prevadă aplicarea cu titlu provizoriu a acordului de către Uniune dacă la 31 decembrie 2016 nu sunt îndeplinite condițiile de intrare în vigoare definitivă sau provizorie, prevăzute la articolul 31 alineatele (1) și (2).</w:t>
      </w:r>
    </w:p>
    <w:p>
      <w:pPr>
        <w:pStyle w:val="ManualConsidrant"/>
        <w:rPr>
          <w:noProof/>
        </w:rPr>
      </w:pPr>
      <w:r>
        <w:t>(7)</w:t>
      </w:r>
      <w:r>
        <w:tab/>
      </w:r>
      <w:r>
        <w:rPr>
          <w:noProof/>
        </w:rPr>
        <w:t>Prin urmare, este necesar să se semneze acordul în numele Uniunii Europene, sub rezerva încheierii sale la o dată ulterioară, și să se notifice aplicarea sa provizorie în condițiile prevăzute la articolul 31 alineatele (2) și (3) din acesta,</w:t>
      </w:r>
    </w:p>
    <w:p>
      <w:pPr>
        <w:pStyle w:val="Formuledadoption"/>
        <w:rPr>
          <w:noProof/>
        </w:rPr>
      </w:pPr>
      <w:r>
        <w:rPr>
          <w:noProof/>
        </w:rPr>
        <w:t>ADOPTĂ PREZENTA DECIZIE:</w:t>
      </w:r>
    </w:p>
    <w:p>
      <w:pPr>
        <w:pStyle w:val="Titrearticle"/>
        <w:rPr>
          <w:noProof/>
        </w:rPr>
      </w:pPr>
      <w:r>
        <w:rPr>
          <w:noProof/>
        </w:rPr>
        <w:t>Articolul 1</w:t>
      </w:r>
    </w:p>
    <w:p>
      <w:pPr>
        <w:rPr>
          <w:noProof/>
        </w:rPr>
      </w:pPr>
      <w:r>
        <w:rPr>
          <w:noProof/>
        </w:rPr>
        <w:t>Se aprobă, în numele Uniunii Europene, semnarea Acordului internațional din 2015 cu privire la uleiul de măsline și măslinele de masă, sub rezerva încheierii sale.</w:t>
      </w:r>
    </w:p>
    <w:p>
      <w:pPr>
        <w:rPr>
          <w:noProof/>
        </w:rPr>
      </w:pPr>
      <w:r>
        <w:rPr>
          <w:noProof/>
        </w:rPr>
        <w:t>Textul acordului este anexat la prezenta decizie.</w:t>
      </w:r>
    </w:p>
    <w:p>
      <w:pPr>
        <w:pStyle w:val="Titrearticle"/>
        <w:rPr>
          <w:noProof/>
        </w:rPr>
      </w:pPr>
      <w:r>
        <w:rPr>
          <w:noProof/>
        </w:rPr>
        <w:t>Articolul 2</w:t>
      </w:r>
    </w:p>
    <w:p>
      <w:pPr>
        <w:rPr>
          <w:noProof/>
        </w:rPr>
      </w:pPr>
      <w:r>
        <w:rPr>
          <w:noProof/>
        </w:rPr>
        <w:t>Secretariatul general al Consiliului stabilește instrumentul prin care se acordă competențe depline în vederea semnării acordului, sub rezerva încheierii acestuia, persoanei (persoanelor) indicate de negociatorul acordului.</w:t>
      </w:r>
    </w:p>
    <w:p>
      <w:pPr>
        <w:pStyle w:val="Titrearticle"/>
        <w:rPr>
          <w:noProof/>
        </w:rPr>
      </w:pPr>
      <w:r>
        <w:rPr>
          <w:noProof/>
        </w:rPr>
        <w:t>Articolul 3</w:t>
      </w:r>
    </w:p>
    <w:p>
      <w:pPr>
        <w:rPr>
          <w:noProof/>
        </w:rPr>
      </w:pPr>
      <w:r>
        <w:rPr>
          <w:noProof/>
        </w:rPr>
        <w:t>Uniunea aplică acordul cu titlu provizoriu de la data de 1 ianuarie 2017 dacă:</w:t>
      </w:r>
    </w:p>
    <w:p>
      <w:pPr>
        <w:rPr>
          <w:noProof/>
        </w:rPr>
      </w:pPr>
      <w:r>
        <w:rPr>
          <w:noProof/>
        </w:rPr>
        <w:t>a) sunt întrunite condițiile prevăzute la articolul 31 alineatul (2) din acord și dacă procedura necesară pentru încheierea sa de către Uniune nu s-a terminat,</w:t>
      </w:r>
    </w:p>
    <w:p>
      <w:pPr>
        <w:rPr>
          <w:noProof/>
        </w:rPr>
      </w:pPr>
      <w:r>
        <w:rPr>
          <w:noProof/>
        </w:rPr>
        <w:t>b) sunt întrunite condițiile prevăzute la articolul 31 alineatul (3) din acord.</w:t>
      </w:r>
    </w:p>
    <w:p>
      <w:pPr>
        <w:rPr>
          <w:noProof/>
        </w:rPr>
      </w:pPr>
      <w:r>
        <w:rPr>
          <w:noProof/>
        </w:rPr>
        <w:t>Aplicarea cu titlu provizoriu a acordului, în condițiile prevăzute la primul alineat, este notificată, în conformitate cu articolul 31 alineatele (2) și (3) din acord, de către persoana autorizată sau persoanele autorizate să semneze acordul în temeiul articolului 2.</w:t>
      </w:r>
    </w:p>
    <w:p>
      <w:pPr>
        <w:pStyle w:val="Titrearticle"/>
        <w:rPr>
          <w:noProof/>
        </w:rPr>
      </w:pPr>
      <w:r>
        <w:rPr>
          <w:noProof/>
        </w:rPr>
        <w:t>Articolul 4</w:t>
      </w:r>
    </w:p>
    <w:p>
      <w:pPr>
        <w:rPr>
          <w:noProof/>
        </w:rPr>
      </w:pPr>
      <w:r>
        <w:rPr>
          <w:noProof/>
        </w:rPr>
        <w:t>Prezenta decizie intră în vigoare la data adoptării.</w:t>
      </w:r>
    </w:p>
    <w:p>
      <w:pPr>
        <w:pStyle w:val="Fait"/>
        <w:rPr>
          <w:noProof/>
        </w:rPr>
      </w:pPr>
      <w:r>
        <w:rPr>
          <w:noProof/>
        </w:rPr>
        <w:t>Adoptată la Bruxelles,</w:t>
      </w:r>
    </w:p>
    <w:p>
      <w:pPr>
        <w:pStyle w:val="Institutionquisigne"/>
        <w:rPr>
          <w:noProof/>
        </w:rPr>
      </w:pPr>
      <w:r>
        <w:rPr>
          <w:noProof/>
        </w:rPr>
        <w:tab/>
        <w:t>Pentru Consiliu</w:t>
      </w:r>
    </w:p>
    <w:p>
      <w:pPr>
        <w:pStyle w:val="Personnequisigne"/>
        <w:rPr>
          <w:noProof/>
        </w:rPr>
      </w:pPr>
      <w:r>
        <w:rPr>
          <w:noProof/>
        </w:rPr>
        <w:tab/>
        <w:t>Președintele</w:t>
      </w:r>
    </w:p>
    <w:p>
      <w:pPr>
        <w:rPr>
          <w:noProof/>
        </w:rPr>
        <w:sectPr>
          <w:pgSz w:w="11907" w:h="16839"/>
          <w:pgMar w:top="1134" w:right="1417" w:bottom="1134" w:left="1417" w:header="709" w:footer="709" w:gutter="0"/>
          <w:cols w:space="708"/>
          <w:docGrid w:linePitch="360"/>
        </w:sectPr>
      </w:pPr>
    </w:p>
    <w:p>
      <w:pPr>
        <w:pStyle w:val="Fichefinanciretitre"/>
        <w:rPr>
          <w:noProof/>
        </w:rPr>
      </w:pPr>
      <w:r>
        <w:rPr>
          <w:noProof/>
        </w:rPr>
        <w:t>FIȘĂ FINANCIARĂ LEGISLATIVĂ</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567"/>
        <w:gridCol w:w="3884"/>
        <w:gridCol w:w="992"/>
        <w:gridCol w:w="425"/>
        <w:gridCol w:w="567"/>
        <w:gridCol w:w="567"/>
        <w:gridCol w:w="425"/>
        <w:gridCol w:w="142"/>
        <w:gridCol w:w="1418"/>
      </w:tblGrid>
      <w:tr>
        <w:trPr>
          <w:trHeight w:val="355"/>
        </w:trPr>
        <w:tc>
          <w:tcPr>
            <w:tcW w:w="7002" w:type="dxa"/>
            <w:gridSpan w:val="6"/>
            <w:vMerge w:val="restart"/>
          </w:tcPr>
          <w:p>
            <w:pPr>
              <w:pStyle w:val="Fichefinanciretitretable"/>
              <w:rPr>
                <w:noProof/>
              </w:rPr>
            </w:pPr>
            <w:r>
              <w:rPr>
                <w:noProof/>
              </w:rPr>
              <w:t>FIȘĂ FINANCIARĂ</w:t>
            </w:r>
          </w:p>
        </w:tc>
        <w:tc>
          <w:tcPr>
            <w:tcW w:w="1985" w:type="dxa"/>
            <w:gridSpan w:val="3"/>
          </w:tcPr>
          <w:p>
            <w:pPr>
              <w:pStyle w:val="Fichefinanciretextetable"/>
              <w:rPr>
                <w:noProof/>
                <w:sz w:val="16"/>
                <w:szCs w:val="16"/>
              </w:rPr>
            </w:pPr>
            <w:r>
              <w:rPr>
                <w:noProof/>
                <w:sz w:val="16"/>
              </w:rPr>
              <w:t>FF/2015/EM/ig/1766189 Rev1</w:t>
            </w:r>
          </w:p>
          <w:p>
            <w:pPr>
              <w:pStyle w:val="Fichefinanciretextetable"/>
              <w:rPr>
                <w:noProof/>
                <w:sz w:val="16"/>
                <w:szCs w:val="16"/>
              </w:rPr>
            </w:pPr>
            <w:r>
              <w:rPr>
                <w:noProof/>
                <w:sz w:val="16"/>
              </w:rPr>
              <w:t>agri.ddg2.c.2(2016)</w:t>
            </w:r>
            <w:r>
              <w:rPr>
                <w:noProof/>
              </w:rPr>
              <w:t xml:space="preserve"> Ares(2016)1790690</w:t>
            </w:r>
          </w:p>
        </w:tc>
      </w:tr>
      <w:tr>
        <w:trPr>
          <w:trHeight w:val="355"/>
        </w:trPr>
        <w:tc>
          <w:tcPr>
            <w:tcW w:w="7002" w:type="dxa"/>
            <w:gridSpan w:val="6"/>
            <w:vMerge/>
            <w:tcBorders>
              <w:bottom w:val="nil"/>
            </w:tcBorders>
          </w:tcPr>
          <w:p>
            <w:pPr>
              <w:pStyle w:val="Fichefinanciretitretable"/>
              <w:rPr>
                <w:noProof/>
              </w:rPr>
            </w:pPr>
          </w:p>
        </w:tc>
        <w:tc>
          <w:tcPr>
            <w:tcW w:w="1985" w:type="dxa"/>
            <w:gridSpan w:val="3"/>
          </w:tcPr>
          <w:p>
            <w:pPr>
              <w:pStyle w:val="Fichefinanciretextetable"/>
              <w:rPr>
                <w:i/>
                <w:noProof/>
              </w:rPr>
            </w:pPr>
            <w:r>
              <w:rPr>
                <w:i/>
                <w:noProof/>
                <w:spacing w:val="-3"/>
              </w:rPr>
              <w:t xml:space="preserve">6.221.2016.1 </w:t>
            </w:r>
          </w:p>
        </w:tc>
      </w:tr>
      <w:tr>
        <w:tc>
          <w:tcPr>
            <w:tcW w:w="7002" w:type="dxa"/>
            <w:gridSpan w:val="6"/>
            <w:tcBorders>
              <w:top w:val="nil"/>
            </w:tcBorders>
          </w:tcPr>
          <w:p>
            <w:pPr>
              <w:pStyle w:val="Fichefinanciretextetable"/>
              <w:rPr>
                <w:noProof/>
              </w:rPr>
            </w:pPr>
          </w:p>
        </w:tc>
        <w:tc>
          <w:tcPr>
            <w:tcW w:w="1985" w:type="dxa"/>
            <w:gridSpan w:val="3"/>
          </w:tcPr>
          <w:p>
            <w:pPr>
              <w:pStyle w:val="Fichefinanciretextetable"/>
              <w:rPr>
                <w:noProof/>
              </w:rPr>
            </w:pPr>
            <w:r>
              <w:rPr>
                <w:noProof/>
              </w:rPr>
              <w:t>DATA: 18.5.2016</w:t>
            </w:r>
          </w:p>
          <w:p>
            <w:pPr>
              <w:pStyle w:val="Fichefinanciretextetable"/>
              <w:rPr>
                <w:noProof/>
              </w:rPr>
            </w:pPr>
          </w:p>
        </w:tc>
      </w:tr>
      <w:tr>
        <w:tc>
          <w:tcPr>
            <w:tcW w:w="567" w:type="dxa"/>
            <w:tcBorders>
              <w:right w:val="nil"/>
            </w:tcBorders>
          </w:tcPr>
          <w:p>
            <w:pPr>
              <w:pStyle w:val="Fichefinanciretextetable"/>
              <w:rPr>
                <w:noProof/>
              </w:rPr>
            </w:pPr>
            <w:r>
              <w:rPr>
                <w:noProof/>
              </w:rPr>
              <w:t>1.</w:t>
            </w:r>
          </w:p>
        </w:tc>
        <w:tc>
          <w:tcPr>
            <w:tcW w:w="6435" w:type="dxa"/>
            <w:gridSpan w:val="5"/>
            <w:tcBorders>
              <w:left w:val="nil"/>
              <w:right w:val="nil"/>
            </w:tcBorders>
          </w:tcPr>
          <w:p>
            <w:pPr>
              <w:pStyle w:val="Fichefinanciretextetable"/>
              <w:rPr>
                <w:noProof/>
              </w:rPr>
            </w:pPr>
            <w:r>
              <w:rPr>
                <w:noProof/>
              </w:rPr>
              <w:t>LINIA BUGETARĂ:</w:t>
            </w:r>
          </w:p>
          <w:p>
            <w:pPr>
              <w:pStyle w:val="Fichefinanciretextetable"/>
              <w:rPr>
                <w:noProof/>
              </w:rPr>
            </w:pPr>
          </w:p>
          <w:p>
            <w:pPr>
              <w:pStyle w:val="Fichefinanciretextetable"/>
              <w:rPr>
                <w:noProof/>
              </w:rPr>
            </w:pPr>
            <w:r>
              <w:rPr>
                <w:noProof/>
              </w:rPr>
              <w:t>05 06 01- Acorduri internaționale privind agricultura</w:t>
            </w:r>
          </w:p>
        </w:tc>
        <w:tc>
          <w:tcPr>
            <w:tcW w:w="1985" w:type="dxa"/>
            <w:gridSpan w:val="3"/>
            <w:tcBorders>
              <w:left w:val="nil"/>
            </w:tcBorders>
          </w:tcPr>
          <w:p>
            <w:pPr>
              <w:pStyle w:val="Fichefinanciretextetable"/>
              <w:rPr>
                <w:noProof/>
              </w:rPr>
            </w:pPr>
            <w:r>
              <w:rPr>
                <w:noProof/>
              </w:rPr>
              <w:t>CREDITE:</w:t>
            </w:r>
            <w:r>
              <w:rPr>
                <w:noProof/>
              </w:rPr>
              <w:br/>
              <w:t>2017</w:t>
            </w:r>
          </w:p>
          <w:p>
            <w:pPr>
              <w:rPr>
                <w:rFonts w:ascii="Arial" w:hAnsi="Arial" w:cs="Arial"/>
                <w:b/>
                <w:bCs/>
                <w:noProof/>
                <w:sz w:val="20"/>
                <w:szCs w:val="20"/>
              </w:rPr>
            </w:pPr>
            <w:r>
              <w:rPr>
                <w:noProof/>
                <w:sz w:val="20"/>
              </w:rPr>
              <w:t>8 105 849 EUR</w:t>
            </w:r>
          </w:p>
        </w:tc>
      </w:tr>
      <w:tr>
        <w:tc>
          <w:tcPr>
            <w:tcW w:w="567" w:type="dxa"/>
            <w:tcBorders>
              <w:bottom w:val="nil"/>
              <w:right w:val="nil"/>
            </w:tcBorders>
          </w:tcPr>
          <w:p>
            <w:pPr>
              <w:pStyle w:val="Fichefinanciretextetable"/>
              <w:rPr>
                <w:noProof/>
              </w:rPr>
            </w:pPr>
            <w:r>
              <w:rPr>
                <w:noProof/>
              </w:rPr>
              <w:t>2.</w:t>
            </w:r>
          </w:p>
        </w:tc>
        <w:tc>
          <w:tcPr>
            <w:tcW w:w="8420" w:type="dxa"/>
            <w:gridSpan w:val="8"/>
            <w:tcBorders>
              <w:left w:val="nil"/>
            </w:tcBorders>
          </w:tcPr>
          <w:p>
            <w:pPr>
              <w:pStyle w:val="Fichefinanciretextetable"/>
              <w:rPr>
                <w:noProof/>
              </w:rPr>
            </w:pPr>
            <w:r>
              <w:rPr>
                <w:noProof/>
              </w:rPr>
              <w:t>TITLUL MĂSURII:</w:t>
            </w:r>
          </w:p>
          <w:p>
            <w:pPr>
              <w:pStyle w:val="Typedudocument"/>
              <w:jc w:val="both"/>
              <w:rPr>
                <w:rFonts w:eastAsia="Times New Roman"/>
                <w:b w:val="0"/>
                <w:noProof/>
                <w:sz w:val="20"/>
                <w:szCs w:val="20"/>
              </w:rPr>
            </w:pPr>
            <w:r>
              <w:rPr>
                <w:b w:val="0"/>
                <w:noProof/>
                <w:sz w:val="20"/>
              </w:rPr>
              <w:t>Propunere de Decizie a Consiliului privind semnarea, în numele Uniunii Europene, a Acordului internațional din 2015 cu privire la uleiul de măsline și măslinele de masă</w:t>
            </w:r>
          </w:p>
          <w:p>
            <w:pPr>
              <w:pStyle w:val="Fichefinanciretextetable"/>
              <w:rPr>
                <w:noProof/>
              </w:rPr>
            </w:pPr>
          </w:p>
        </w:tc>
      </w:tr>
      <w:tr>
        <w:tc>
          <w:tcPr>
            <w:tcW w:w="567" w:type="dxa"/>
            <w:tcBorders>
              <w:bottom w:val="nil"/>
              <w:right w:val="nil"/>
            </w:tcBorders>
          </w:tcPr>
          <w:p>
            <w:pPr>
              <w:pStyle w:val="Fichefinanciretextetable"/>
              <w:rPr>
                <w:noProof/>
              </w:rPr>
            </w:pPr>
            <w:r>
              <w:rPr>
                <w:noProof/>
              </w:rPr>
              <w:t>3.</w:t>
            </w:r>
          </w:p>
        </w:tc>
        <w:tc>
          <w:tcPr>
            <w:tcW w:w="8420" w:type="dxa"/>
            <w:gridSpan w:val="8"/>
            <w:tcBorders>
              <w:left w:val="nil"/>
            </w:tcBorders>
          </w:tcPr>
          <w:p>
            <w:pPr>
              <w:pStyle w:val="Fichefinanciretextetable"/>
              <w:rPr>
                <w:noProof/>
              </w:rPr>
            </w:pPr>
            <w:r>
              <w:rPr>
                <w:noProof/>
              </w:rPr>
              <w:t>TEMEIUL JURIDIC:</w:t>
            </w:r>
          </w:p>
          <w:p>
            <w:pPr>
              <w:pStyle w:val="Fichefinanciretextetable"/>
              <w:rPr>
                <w:noProof/>
              </w:rPr>
            </w:pPr>
            <w:r>
              <w:rPr>
                <w:noProof/>
              </w:rPr>
              <w:t>Articolele 207 și 218 din Tratatul privind funcționarea Uniunii Europene.</w:t>
            </w:r>
          </w:p>
          <w:p>
            <w:pPr>
              <w:pStyle w:val="Fichefinanciretextetable"/>
              <w:rPr>
                <w:noProof/>
              </w:rPr>
            </w:pPr>
          </w:p>
        </w:tc>
      </w:tr>
      <w:tr>
        <w:tc>
          <w:tcPr>
            <w:tcW w:w="567" w:type="dxa"/>
            <w:tcBorders>
              <w:right w:val="nil"/>
            </w:tcBorders>
          </w:tcPr>
          <w:p>
            <w:pPr>
              <w:pStyle w:val="Fichefinanciretextetable"/>
              <w:rPr>
                <w:noProof/>
              </w:rPr>
            </w:pPr>
            <w:r>
              <w:rPr>
                <w:noProof/>
              </w:rPr>
              <w:t>4.</w:t>
            </w:r>
          </w:p>
        </w:tc>
        <w:tc>
          <w:tcPr>
            <w:tcW w:w="8420" w:type="dxa"/>
            <w:gridSpan w:val="8"/>
            <w:tcBorders>
              <w:left w:val="nil"/>
            </w:tcBorders>
          </w:tcPr>
          <w:p>
            <w:pPr>
              <w:pStyle w:val="Fichefinanciretextetable"/>
              <w:rPr>
                <w:noProof/>
              </w:rPr>
            </w:pPr>
            <w:r>
              <w:rPr>
                <w:noProof/>
              </w:rPr>
              <w:t>OBIECTIVELE MĂSURII:</w:t>
            </w:r>
          </w:p>
          <w:p>
            <w:pPr>
              <w:pStyle w:val="Fichefinanciretextetable"/>
              <w:rPr>
                <w:noProof/>
              </w:rPr>
            </w:pPr>
          </w:p>
          <w:p>
            <w:pPr>
              <w:pStyle w:val="Fichefinanciretextetable"/>
              <w:rPr>
                <w:noProof/>
              </w:rPr>
            </w:pPr>
            <w:r>
              <w:rPr>
                <w:noProof/>
              </w:rPr>
              <w:t>Semnarea unui nou acord care va intra în vigoare la 1 ianuarie 2017.</w:t>
            </w:r>
          </w:p>
        </w:tc>
      </w:tr>
      <w:tr>
        <w:tc>
          <w:tcPr>
            <w:tcW w:w="567" w:type="dxa"/>
            <w:tcBorders>
              <w:bottom w:val="nil"/>
              <w:right w:val="nil"/>
            </w:tcBorders>
          </w:tcPr>
          <w:p>
            <w:pPr>
              <w:pStyle w:val="Fichefinanciretextetable"/>
              <w:rPr>
                <w:noProof/>
              </w:rPr>
            </w:pPr>
            <w:r>
              <w:rPr>
                <w:noProof/>
              </w:rPr>
              <w:t>5.</w:t>
            </w:r>
          </w:p>
        </w:tc>
        <w:tc>
          <w:tcPr>
            <w:tcW w:w="3884" w:type="dxa"/>
            <w:tcBorders>
              <w:left w:val="nil"/>
            </w:tcBorders>
          </w:tcPr>
          <w:p>
            <w:pPr>
              <w:pStyle w:val="Fichefinanciretextetable"/>
              <w:rPr>
                <w:noProof/>
              </w:rPr>
            </w:pPr>
            <w:r>
              <w:rPr>
                <w:noProof/>
              </w:rPr>
              <w:t>INCIDENȚE FINANCIARE</w:t>
            </w:r>
          </w:p>
        </w:tc>
        <w:tc>
          <w:tcPr>
            <w:tcW w:w="1417" w:type="dxa"/>
            <w:gridSpan w:val="2"/>
          </w:tcPr>
          <w:p>
            <w:pPr>
              <w:pStyle w:val="Fichefinanciretextetable"/>
              <w:jc w:val="center"/>
              <w:rPr>
                <w:noProof/>
              </w:rPr>
            </w:pPr>
            <w:r>
              <w:rPr>
                <w:noProof/>
              </w:rPr>
              <w:t>PERIOADĂ DE</w:t>
            </w:r>
            <w:r>
              <w:rPr>
                <w:noProof/>
              </w:rPr>
              <w:br/>
              <w:t>12 LUNI</w:t>
            </w:r>
            <w:r>
              <w:rPr>
                <w:noProof/>
              </w:rPr>
              <w:br/>
            </w:r>
            <w:r>
              <w:rPr>
                <w:noProof/>
              </w:rPr>
              <w:br/>
            </w:r>
            <w:r>
              <w:rPr>
                <w:noProof/>
              </w:rPr>
              <w:br/>
              <w:t>(mil. EUR)</w:t>
            </w:r>
          </w:p>
        </w:tc>
        <w:tc>
          <w:tcPr>
            <w:tcW w:w="1559" w:type="dxa"/>
            <w:gridSpan w:val="3"/>
          </w:tcPr>
          <w:p>
            <w:pPr>
              <w:pStyle w:val="Fichefinanciretextetable"/>
              <w:jc w:val="center"/>
              <w:rPr>
                <w:noProof/>
              </w:rPr>
            </w:pPr>
            <w:r>
              <w:rPr>
                <w:noProof/>
              </w:rPr>
              <w:t>EXERCIȚIUL ÎN</w:t>
            </w:r>
          </w:p>
          <w:p>
            <w:pPr>
              <w:pStyle w:val="Fichefinanciretextetable"/>
              <w:jc w:val="center"/>
              <w:rPr>
                <w:noProof/>
              </w:rPr>
            </w:pPr>
            <w:r>
              <w:rPr>
                <w:noProof/>
              </w:rPr>
              <w:t>CURS</w:t>
            </w:r>
          </w:p>
          <w:p>
            <w:pPr>
              <w:pStyle w:val="Fichefinanciretextetable"/>
              <w:jc w:val="center"/>
              <w:rPr>
                <w:noProof/>
              </w:rPr>
            </w:pPr>
            <w:r>
              <w:rPr>
                <w:noProof/>
              </w:rPr>
              <w:t>2016</w:t>
            </w:r>
          </w:p>
          <w:p>
            <w:pPr>
              <w:pStyle w:val="Fichefinanciretextetable"/>
              <w:jc w:val="center"/>
              <w:rPr>
                <w:noProof/>
              </w:rPr>
            </w:pPr>
            <w:r>
              <w:rPr>
                <w:noProof/>
              </w:rPr>
              <w:t>(mil. EUR)</w:t>
            </w:r>
          </w:p>
        </w:tc>
        <w:tc>
          <w:tcPr>
            <w:tcW w:w="1560" w:type="dxa"/>
            <w:gridSpan w:val="2"/>
          </w:tcPr>
          <w:p>
            <w:pPr>
              <w:pStyle w:val="Fichefinanciretextetable"/>
              <w:jc w:val="center"/>
              <w:rPr>
                <w:noProof/>
              </w:rPr>
            </w:pPr>
            <w:r>
              <w:rPr>
                <w:noProof/>
              </w:rPr>
              <w:t>EXERCIȚIUL</w:t>
            </w:r>
          </w:p>
          <w:p>
            <w:pPr>
              <w:pStyle w:val="Fichefinanciretextetable"/>
              <w:jc w:val="center"/>
              <w:rPr>
                <w:noProof/>
              </w:rPr>
            </w:pPr>
            <w:r>
              <w:rPr>
                <w:noProof/>
              </w:rPr>
              <w:t>URMĂTOR</w:t>
            </w:r>
          </w:p>
          <w:p>
            <w:pPr>
              <w:pStyle w:val="Fichefinanciretextetable"/>
              <w:jc w:val="center"/>
              <w:rPr>
                <w:noProof/>
              </w:rPr>
            </w:pPr>
            <w:r>
              <w:rPr>
                <w:noProof/>
              </w:rPr>
              <w:t>2017</w:t>
            </w:r>
          </w:p>
          <w:p>
            <w:pPr>
              <w:pStyle w:val="Fichefinanciretextetable"/>
              <w:jc w:val="center"/>
              <w:rPr>
                <w:noProof/>
              </w:rPr>
            </w:pPr>
            <w:r>
              <w:rPr>
                <w:noProof/>
              </w:rPr>
              <w:t>(mil. EUR)</w:t>
            </w:r>
          </w:p>
        </w:tc>
      </w:tr>
      <w:tr>
        <w:tc>
          <w:tcPr>
            <w:tcW w:w="567" w:type="dxa"/>
            <w:tcBorders>
              <w:bottom w:val="nil"/>
              <w:right w:val="nil"/>
            </w:tcBorders>
          </w:tcPr>
          <w:p>
            <w:pPr>
              <w:pStyle w:val="Fichefinanciretextetable"/>
              <w:rPr>
                <w:noProof/>
              </w:rPr>
            </w:pPr>
            <w:r>
              <w:rPr>
                <w:noProof/>
              </w:rPr>
              <w:t>5.0</w:t>
            </w:r>
          </w:p>
        </w:tc>
        <w:tc>
          <w:tcPr>
            <w:tcW w:w="3884" w:type="dxa"/>
            <w:tcBorders>
              <w:left w:val="nil"/>
            </w:tcBorders>
          </w:tcPr>
          <w:p>
            <w:pPr>
              <w:pStyle w:val="Fichefinanciretextetable"/>
              <w:rPr>
                <w:noProof/>
              </w:rPr>
            </w:pPr>
            <w:r>
              <w:rPr>
                <w:noProof/>
              </w:rPr>
              <w:t>CHELTUIELI SUPORTATE</w:t>
            </w:r>
          </w:p>
          <w:p>
            <w:pPr>
              <w:pStyle w:val="Fichefinanciretextetable"/>
              <w:rPr>
                <w:noProof/>
              </w:rPr>
            </w:pPr>
            <w:r>
              <w:rPr>
                <w:noProof/>
              </w:rPr>
              <w:t>-</w:t>
            </w:r>
            <w:r>
              <w:rPr>
                <w:noProof/>
              </w:rPr>
              <w:tab/>
              <w:t>DIN BUGETUL UE</w:t>
            </w:r>
            <w:r>
              <w:rPr>
                <w:noProof/>
              </w:rPr>
              <w:br/>
              <w:t>(RESTITUIRI/INTERVENȚII)</w:t>
            </w:r>
          </w:p>
          <w:p>
            <w:pPr>
              <w:pStyle w:val="Fichefinanciretextetable"/>
              <w:rPr>
                <w:noProof/>
              </w:rPr>
            </w:pPr>
            <w:r>
              <w:rPr>
                <w:noProof/>
              </w:rPr>
              <w:t>-</w:t>
            </w:r>
            <w:r>
              <w:rPr>
                <w:noProof/>
              </w:rPr>
              <w:tab/>
              <w:t>DIN BUGETELE NAȚIONALE</w:t>
            </w:r>
          </w:p>
          <w:p>
            <w:pPr>
              <w:pStyle w:val="Fichefinanciretextetable"/>
              <w:rPr>
                <w:noProof/>
              </w:rPr>
            </w:pPr>
            <w:r>
              <w:rPr>
                <w:noProof/>
              </w:rPr>
              <w:t>-</w:t>
            </w:r>
            <w:r>
              <w:rPr>
                <w:noProof/>
              </w:rPr>
              <w:tab/>
              <w:t>DIN ALTE SECTOARE</w:t>
            </w:r>
          </w:p>
        </w:tc>
        <w:tc>
          <w:tcPr>
            <w:tcW w:w="1417" w:type="dxa"/>
            <w:gridSpan w:val="2"/>
          </w:tcPr>
          <w:p>
            <w:pPr>
              <w:pStyle w:val="Fichefinanciretextetable"/>
              <w:jc w:val="center"/>
              <w:rPr>
                <w:noProof/>
              </w:rPr>
            </w:pPr>
          </w:p>
        </w:tc>
        <w:tc>
          <w:tcPr>
            <w:tcW w:w="1559" w:type="dxa"/>
            <w:gridSpan w:val="3"/>
          </w:tcPr>
          <w:p>
            <w:pPr>
              <w:pStyle w:val="Fichefinanciretextetable"/>
              <w:jc w:val="center"/>
              <w:rPr>
                <w:noProof/>
              </w:rPr>
            </w:pPr>
            <w:r>
              <w:rPr>
                <w:noProof/>
              </w:rPr>
              <w:t>-</w:t>
            </w:r>
          </w:p>
        </w:tc>
        <w:tc>
          <w:tcPr>
            <w:tcW w:w="1560" w:type="dxa"/>
            <w:gridSpan w:val="2"/>
          </w:tcPr>
          <w:p>
            <w:pPr>
              <w:pStyle w:val="Fichefinanciretextetable"/>
              <w:jc w:val="center"/>
              <w:rPr>
                <w:noProof/>
              </w:rPr>
            </w:pPr>
            <w:r>
              <w:rPr>
                <w:noProof/>
              </w:rPr>
              <w:t>8,105</w:t>
            </w:r>
          </w:p>
        </w:tc>
      </w:tr>
      <w:tr>
        <w:tc>
          <w:tcPr>
            <w:tcW w:w="567" w:type="dxa"/>
            <w:tcBorders>
              <w:right w:val="nil"/>
            </w:tcBorders>
          </w:tcPr>
          <w:p>
            <w:pPr>
              <w:pStyle w:val="Fichefinanciretextetable"/>
              <w:rPr>
                <w:noProof/>
              </w:rPr>
            </w:pPr>
            <w:r>
              <w:rPr>
                <w:noProof/>
              </w:rPr>
              <w:t>5.1</w:t>
            </w:r>
          </w:p>
        </w:tc>
        <w:tc>
          <w:tcPr>
            <w:tcW w:w="3884" w:type="dxa"/>
            <w:tcBorders>
              <w:left w:val="nil"/>
            </w:tcBorders>
          </w:tcPr>
          <w:p>
            <w:pPr>
              <w:pStyle w:val="Fichefinanciretextetable"/>
              <w:rPr>
                <w:noProof/>
              </w:rPr>
            </w:pPr>
            <w:r>
              <w:rPr>
                <w:noProof/>
              </w:rPr>
              <w:t>VENITURI</w:t>
            </w:r>
          </w:p>
          <w:p>
            <w:pPr>
              <w:pStyle w:val="Fichefinanciretextetable"/>
              <w:rPr>
                <w:noProof/>
              </w:rPr>
            </w:pPr>
            <w:r>
              <w:rPr>
                <w:noProof/>
              </w:rPr>
              <w:t>-</w:t>
            </w:r>
            <w:r>
              <w:rPr>
                <w:noProof/>
              </w:rPr>
              <w:tab/>
              <w:t>RESURSE PROPRII ALE UE</w:t>
            </w:r>
            <w:r>
              <w:rPr>
                <w:noProof/>
              </w:rPr>
              <w:br/>
              <w:t>(TAXE/TAXE VAMALE)</w:t>
            </w:r>
          </w:p>
          <w:p>
            <w:pPr>
              <w:pStyle w:val="Fichefinanciretextetable"/>
              <w:rPr>
                <w:noProof/>
              </w:rPr>
            </w:pPr>
            <w:r>
              <w:rPr>
                <w:noProof/>
              </w:rPr>
              <w:t>-</w:t>
            </w:r>
            <w:r>
              <w:rPr>
                <w:noProof/>
              </w:rPr>
              <w:tab/>
              <w:t>LA NIVEL NAȚIONAL</w:t>
            </w:r>
          </w:p>
        </w:tc>
        <w:tc>
          <w:tcPr>
            <w:tcW w:w="1417" w:type="dxa"/>
            <w:gridSpan w:val="2"/>
          </w:tcPr>
          <w:p>
            <w:pPr>
              <w:pStyle w:val="Fichefinanciretextetable"/>
              <w:jc w:val="center"/>
              <w:rPr>
                <w:noProof/>
              </w:rPr>
            </w:pPr>
          </w:p>
        </w:tc>
        <w:tc>
          <w:tcPr>
            <w:tcW w:w="1559" w:type="dxa"/>
            <w:gridSpan w:val="3"/>
          </w:tcPr>
          <w:p>
            <w:pPr>
              <w:pStyle w:val="Fichefinanciretextetable"/>
              <w:jc w:val="center"/>
              <w:rPr>
                <w:noProof/>
              </w:rPr>
            </w:pPr>
          </w:p>
        </w:tc>
        <w:tc>
          <w:tcPr>
            <w:tcW w:w="1560" w:type="dxa"/>
            <w:gridSpan w:val="2"/>
          </w:tcPr>
          <w:p>
            <w:pPr>
              <w:pStyle w:val="Fichefinanciretextetable"/>
              <w:jc w:val="center"/>
              <w:rPr>
                <w:noProof/>
              </w:rPr>
            </w:pPr>
          </w:p>
        </w:tc>
      </w:tr>
      <w:tr>
        <w:tc>
          <w:tcPr>
            <w:tcW w:w="567" w:type="dxa"/>
            <w:tcBorders>
              <w:bottom w:val="nil"/>
              <w:right w:val="nil"/>
            </w:tcBorders>
          </w:tcPr>
          <w:p>
            <w:pPr>
              <w:pStyle w:val="Fichefinanciretextetable"/>
              <w:rPr>
                <w:noProof/>
              </w:rPr>
            </w:pPr>
          </w:p>
        </w:tc>
        <w:tc>
          <w:tcPr>
            <w:tcW w:w="3884" w:type="dxa"/>
            <w:tcBorders>
              <w:left w:val="nil"/>
              <w:bottom w:val="nil"/>
            </w:tcBorders>
          </w:tcPr>
          <w:p>
            <w:pPr>
              <w:pStyle w:val="Fichefinanciretextetable"/>
              <w:rPr>
                <w:noProof/>
              </w:rPr>
            </w:pPr>
          </w:p>
        </w:tc>
        <w:tc>
          <w:tcPr>
            <w:tcW w:w="992" w:type="dxa"/>
            <w:tcBorders>
              <w:bottom w:val="nil"/>
            </w:tcBorders>
          </w:tcPr>
          <w:p>
            <w:pPr>
              <w:pStyle w:val="Fichefinanciretextetable"/>
              <w:jc w:val="center"/>
              <w:rPr>
                <w:noProof/>
              </w:rPr>
            </w:pPr>
            <w:r>
              <w:rPr>
                <w:noProof/>
              </w:rPr>
              <w:t>2018</w:t>
            </w:r>
          </w:p>
        </w:tc>
        <w:tc>
          <w:tcPr>
            <w:tcW w:w="992" w:type="dxa"/>
            <w:gridSpan w:val="2"/>
            <w:tcBorders>
              <w:bottom w:val="nil"/>
            </w:tcBorders>
          </w:tcPr>
          <w:p>
            <w:pPr>
              <w:pStyle w:val="Fichefinanciretextetable"/>
              <w:jc w:val="center"/>
              <w:rPr>
                <w:noProof/>
              </w:rPr>
            </w:pPr>
            <w:r>
              <w:rPr>
                <w:noProof/>
              </w:rPr>
              <w:t>2019</w:t>
            </w:r>
          </w:p>
        </w:tc>
        <w:tc>
          <w:tcPr>
            <w:tcW w:w="992" w:type="dxa"/>
            <w:gridSpan w:val="2"/>
            <w:tcBorders>
              <w:bottom w:val="nil"/>
            </w:tcBorders>
          </w:tcPr>
          <w:p>
            <w:pPr>
              <w:pStyle w:val="Fichefinanciretextetable"/>
              <w:jc w:val="center"/>
              <w:rPr>
                <w:noProof/>
              </w:rPr>
            </w:pPr>
            <w:r>
              <w:rPr>
                <w:noProof/>
              </w:rPr>
              <w:t>2020</w:t>
            </w:r>
          </w:p>
        </w:tc>
        <w:tc>
          <w:tcPr>
            <w:tcW w:w="1560" w:type="dxa"/>
            <w:gridSpan w:val="2"/>
            <w:tcBorders>
              <w:bottom w:val="nil"/>
            </w:tcBorders>
          </w:tcPr>
          <w:p>
            <w:pPr>
              <w:pStyle w:val="Fichefinanciretextetable"/>
              <w:jc w:val="center"/>
              <w:rPr>
                <w:noProof/>
              </w:rPr>
            </w:pPr>
          </w:p>
        </w:tc>
      </w:tr>
      <w:tr>
        <w:tc>
          <w:tcPr>
            <w:tcW w:w="567" w:type="dxa"/>
            <w:tcBorders>
              <w:top w:val="nil"/>
              <w:bottom w:val="nil"/>
              <w:right w:val="nil"/>
            </w:tcBorders>
          </w:tcPr>
          <w:p>
            <w:pPr>
              <w:pStyle w:val="Fichefinanciretextetable"/>
              <w:rPr>
                <w:noProof/>
              </w:rPr>
            </w:pPr>
            <w:r>
              <w:rPr>
                <w:noProof/>
              </w:rPr>
              <w:t>5.0.1</w:t>
            </w:r>
          </w:p>
        </w:tc>
        <w:tc>
          <w:tcPr>
            <w:tcW w:w="3884" w:type="dxa"/>
            <w:tcBorders>
              <w:top w:val="nil"/>
              <w:left w:val="nil"/>
              <w:bottom w:val="nil"/>
            </w:tcBorders>
          </w:tcPr>
          <w:p>
            <w:pPr>
              <w:pStyle w:val="Fichefinanciretextetable"/>
              <w:rPr>
                <w:noProof/>
              </w:rPr>
            </w:pPr>
            <w:r>
              <w:rPr>
                <w:noProof/>
              </w:rPr>
              <w:t>CHELTUIELI ESTIMATIVE</w:t>
            </w:r>
          </w:p>
        </w:tc>
        <w:tc>
          <w:tcPr>
            <w:tcW w:w="992" w:type="dxa"/>
            <w:tcBorders>
              <w:bottom w:val="nil"/>
            </w:tcBorders>
          </w:tcPr>
          <w:p>
            <w:pPr>
              <w:pStyle w:val="Fichefinanciretextetable"/>
              <w:jc w:val="center"/>
              <w:rPr>
                <w:rFonts w:ascii="Arial" w:hAnsi="Arial" w:cs="Arial"/>
                <w:noProof/>
                <w:color w:val="000000"/>
              </w:rPr>
            </w:pPr>
            <w:r>
              <w:rPr>
                <w:noProof/>
              </w:rPr>
              <w:t>8,105</w:t>
            </w:r>
            <w:r>
              <w:rPr>
                <w:noProof/>
              </w:rPr>
              <w:tab/>
            </w:r>
            <w:r>
              <w:rPr>
                <w:noProof/>
              </w:rPr>
              <w:br/>
            </w:r>
          </w:p>
          <w:p>
            <w:pPr>
              <w:pStyle w:val="Fichefinanciretextetable"/>
              <w:tabs>
                <w:tab w:val="left" w:pos="315"/>
                <w:tab w:val="center" w:pos="511"/>
              </w:tabs>
              <w:rPr>
                <w:noProof/>
              </w:rPr>
            </w:pPr>
          </w:p>
        </w:tc>
        <w:tc>
          <w:tcPr>
            <w:tcW w:w="992" w:type="dxa"/>
            <w:gridSpan w:val="2"/>
            <w:tcBorders>
              <w:bottom w:val="nil"/>
            </w:tcBorders>
          </w:tcPr>
          <w:p>
            <w:pPr>
              <w:pStyle w:val="Fichefinanciretextetable"/>
              <w:jc w:val="center"/>
              <w:rPr>
                <w:noProof/>
              </w:rPr>
            </w:pPr>
            <w:r>
              <w:rPr>
                <w:noProof/>
                <w:color w:val="000000"/>
              </w:rPr>
              <w:t>8,105</w:t>
            </w:r>
            <w:r>
              <w:rPr>
                <w:noProof/>
                <w:color w:val="000000"/>
              </w:rPr>
              <w:br/>
            </w:r>
          </w:p>
        </w:tc>
        <w:tc>
          <w:tcPr>
            <w:tcW w:w="992" w:type="dxa"/>
            <w:gridSpan w:val="2"/>
            <w:tcBorders>
              <w:bottom w:val="nil"/>
            </w:tcBorders>
          </w:tcPr>
          <w:p>
            <w:pPr>
              <w:pStyle w:val="Fichefinanciretextetable"/>
              <w:jc w:val="center"/>
              <w:rPr>
                <w:noProof/>
              </w:rPr>
            </w:pPr>
            <w:r>
              <w:rPr>
                <w:noProof/>
              </w:rPr>
              <w:t>8,105</w:t>
            </w:r>
          </w:p>
          <w:p>
            <w:pPr>
              <w:pStyle w:val="Fichefinanciretextetable"/>
              <w:jc w:val="center"/>
              <w:rPr>
                <w:rFonts w:ascii="Arial" w:hAnsi="Arial" w:cs="Arial"/>
                <w:noProof/>
                <w:color w:val="000000"/>
              </w:rPr>
            </w:pPr>
          </w:p>
        </w:tc>
        <w:tc>
          <w:tcPr>
            <w:tcW w:w="1560" w:type="dxa"/>
            <w:gridSpan w:val="2"/>
            <w:tcBorders>
              <w:bottom w:val="nil"/>
            </w:tcBorders>
          </w:tcPr>
          <w:p>
            <w:pPr>
              <w:pStyle w:val="Fichefinanciretextetable"/>
              <w:jc w:val="center"/>
              <w:rPr>
                <w:noProof/>
              </w:rPr>
            </w:pPr>
          </w:p>
          <w:p>
            <w:pPr>
              <w:pStyle w:val="Fichefinanciretextetable"/>
              <w:jc w:val="center"/>
              <w:rPr>
                <w:noProof/>
              </w:rPr>
            </w:pPr>
          </w:p>
        </w:tc>
      </w:tr>
      <w:tr>
        <w:tc>
          <w:tcPr>
            <w:tcW w:w="567" w:type="dxa"/>
            <w:tcBorders>
              <w:top w:val="nil"/>
              <w:right w:val="nil"/>
            </w:tcBorders>
          </w:tcPr>
          <w:p>
            <w:pPr>
              <w:pStyle w:val="Fichefinanciretextetable"/>
              <w:rPr>
                <w:noProof/>
              </w:rPr>
            </w:pPr>
            <w:r>
              <w:rPr>
                <w:noProof/>
              </w:rPr>
              <w:t>5.1.1</w:t>
            </w:r>
          </w:p>
        </w:tc>
        <w:tc>
          <w:tcPr>
            <w:tcW w:w="3884" w:type="dxa"/>
            <w:tcBorders>
              <w:top w:val="nil"/>
              <w:left w:val="nil"/>
            </w:tcBorders>
          </w:tcPr>
          <w:p>
            <w:pPr>
              <w:pStyle w:val="Fichefinanciretextetable"/>
              <w:rPr>
                <w:noProof/>
              </w:rPr>
            </w:pPr>
            <w:r>
              <w:rPr>
                <w:noProof/>
              </w:rPr>
              <w:t>VENITURI ESTIMATIVE</w:t>
            </w:r>
          </w:p>
        </w:tc>
        <w:tc>
          <w:tcPr>
            <w:tcW w:w="992" w:type="dxa"/>
            <w:tcBorders>
              <w:top w:val="nil"/>
            </w:tcBorders>
          </w:tcPr>
          <w:p>
            <w:pPr>
              <w:pStyle w:val="Fichefinanciretextetable"/>
              <w:rPr>
                <w:noProof/>
              </w:rPr>
            </w:pPr>
          </w:p>
        </w:tc>
        <w:tc>
          <w:tcPr>
            <w:tcW w:w="992" w:type="dxa"/>
            <w:gridSpan w:val="2"/>
            <w:tcBorders>
              <w:top w:val="nil"/>
            </w:tcBorders>
          </w:tcPr>
          <w:p>
            <w:pPr>
              <w:pStyle w:val="Fichefinanciretextetable"/>
              <w:jc w:val="center"/>
              <w:rPr>
                <w:noProof/>
              </w:rPr>
            </w:pPr>
          </w:p>
        </w:tc>
        <w:tc>
          <w:tcPr>
            <w:tcW w:w="992" w:type="dxa"/>
            <w:gridSpan w:val="2"/>
            <w:tcBorders>
              <w:top w:val="nil"/>
            </w:tcBorders>
          </w:tcPr>
          <w:p>
            <w:pPr>
              <w:pStyle w:val="Fichefinanciretextetable"/>
              <w:jc w:val="center"/>
              <w:rPr>
                <w:noProof/>
              </w:rPr>
            </w:pPr>
          </w:p>
        </w:tc>
        <w:tc>
          <w:tcPr>
            <w:tcW w:w="1560" w:type="dxa"/>
            <w:gridSpan w:val="2"/>
            <w:tcBorders>
              <w:top w:val="nil"/>
            </w:tcBorders>
          </w:tcPr>
          <w:p>
            <w:pPr>
              <w:pStyle w:val="Fichefinanciretextetable"/>
              <w:jc w:val="center"/>
              <w:rPr>
                <w:noProof/>
              </w:rPr>
            </w:pPr>
          </w:p>
        </w:tc>
      </w:tr>
      <w:tr>
        <w:tc>
          <w:tcPr>
            <w:tcW w:w="567" w:type="dxa"/>
            <w:tcBorders>
              <w:right w:val="nil"/>
            </w:tcBorders>
          </w:tcPr>
          <w:p>
            <w:pPr>
              <w:pStyle w:val="Fichefinanciretextetable"/>
              <w:rPr>
                <w:noProof/>
              </w:rPr>
            </w:pPr>
            <w:r>
              <w:rPr>
                <w:noProof/>
              </w:rPr>
              <w:t>5.2</w:t>
            </w:r>
          </w:p>
        </w:tc>
        <w:tc>
          <w:tcPr>
            <w:tcW w:w="8420" w:type="dxa"/>
            <w:gridSpan w:val="8"/>
            <w:tcBorders>
              <w:left w:val="nil"/>
            </w:tcBorders>
          </w:tcPr>
          <w:p>
            <w:pPr>
              <w:pStyle w:val="Fichefinanciretextetable"/>
              <w:rPr>
                <w:noProof/>
              </w:rPr>
            </w:pPr>
            <w:r>
              <w:rPr>
                <w:noProof/>
              </w:rPr>
              <w:t>METODĂ DE CALCUL: --------</w:t>
            </w:r>
          </w:p>
        </w:tc>
      </w:tr>
      <w:tr>
        <w:tc>
          <w:tcPr>
            <w:tcW w:w="567" w:type="dxa"/>
            <w:tcBorders>
              <w:bottom w:val="nil"/>
              <w:right w:val="nil"/>
            </w:tcBorders>
          </w:tcPr>
          <w:p>
            <w:pPr>
              <w:pStyle w:val="Fichefinanciretextetable"/>
              <w:rPr>
                <w:noProof/>
              </w:rPr>
            </w:pPr>
            <w:r>
              <w:rPr>
                <w:noProof/>
              </w:rPr>
              <w:t>6.0</w:t>
            </w:r>
          </w:p>
        </w:tc>
        <w:tc>
          <w:tcPr>
            <w:tcW w:w="7002" w:type="dxa"/>
            <w:gridSpan w:val="7"/>
            <w:tcBorders>
              <w:left w:val="nil"/>
              <w:right w:val="nil"/>
            </w:tcBorders>
          </w:tcPr>
          <w:p>
            <w:pPr>
              <w:pStyle w:val="Fichefinanciretextetable"/>
              <w:spacing w:before="120" w:after="100" w:afterAutospacing="1"/>
              <w:rPr>
                <w:noProof/>
              </w:rPr>
            </w:pPr>
            <w:r>
              <w:rPr>
                <w:noProof/>
              </w:rPr>
              <w:t>ESTE POSIBILĂ FINANȚAREA DIN CREDITE ÎNSCRISE LA CAPITOLUL CORESPUNZĂTOR DIN BUGETUL ACTUAL?</w:t>
            </w:r>
          </w:p>
        </w:tc>
        <w:tc>
          <w:tcPr>
            <w:tcW w:w="1418" w:type="dxa"/>
            <w:tcBorders>
              <w:left w:val="nil"/>
              <w:bottom w:val="nil"/>
            </w:tcBorders>
          </w:tcPr>
          <w:p>
            <w:pPr>
              <w:pStyle w:val="Fichefinanciretextetable"/>
              <w:jc w:val="center"/>
              <w:rPr>
                <w:noProof/>
              </w:rPr>
            </w:pPr>
            <w:r>
              <w:rPr>
                <w:noProof/>
              </w:rPr>
              <w:br/>
            </w:r>
            <w:r>
              <w:t>DA</w:t>
            </w:r>
            <w:r>
              <w:rPr>
                <w:noProof/>
              </w:rPr>
              <w:t xml:space="preserve"> </w:t>
            </w:r>
          </w:p>
        </w:tc>
      </w:tr>
      <w:tr>
        <w:tc>
          <w:tcPr>
            <w:tcW w:w="567" w:type="dxa"/>
            <w:tcBorders>
              <w:bottom w:val="nil"/>
              <w:right w:val="nil"/>
            </w:tcBorders>
          </w:tcPr>
          <w:p>
            <w:pPr>
              <w:pStyle w:val="Fichefinanciretextetable"/>
              <w:rPr>
                <w:noProof/>
              </w:rPr>
            </w:pPr>
            <w:r>
              <w:rPr>
                <w:noProof/>
              </w:rPr>
              <w:t>6.1</w:t>
            </w:r>
          </w:p>
        </w:tc>
        <w:tc>
          <w:tcPr>
            <w:tcW w:w="7002" w:type="dxa"/>
            <w:gridSpan w:val="7"/>
            <w:tcBorders>
              <w:left w:val="nil"/>
              <w:right w:val="nil"/>
            </w:tcBorders>
          </w:tcPr>
          <w:p>
            <w:pPr>
              <w:pStyle w:val="Fichefinanciretextetable"/>
              <w:spacing w:before="120" w:after="100" w:afterAutospacing="1"/>
              <w:rPr>
                <w:noProof/>
              </w:rPr>
            </w:pPr>
            <w:r>
              <w:rPr>
                <w:noProof/>
              </w:rPr>
              <w:t>ESTE POSIBILĂ FINANȚAREA PRIN TRANSFER ÎNTRE CAPITOLELE BUGETULUI ACTUAL?</w:t>
            </w:r>
          </w:p>
        </w:tc>
        <w:tc>
          <w:tcPr>
            <w:tcW w:w="1418" w:type="dxa"/>
            <w:tcBorders>
              <w:left w:val="nil"/>
              <w:bottom w:val="nil"/>
            </w:tcBorders>
          </w:tcPr>
          <w:p>
            <w:pPr>
              <w:pStyle w:val="Fichefinanciretextetable"/>
              <w:jc w:val="center"/>
              <w:rPr>
                <w:noProof/>
              </w:rPr>
            </w:pPr>
            <w:r>
              <w:rPr>
                <w:noProof/>
              </w:rPr>
              <w:br/>
            </w:r>
            <w:r>
              <w:t xml:space="preserve"> -</w:t>
            </w:r>
          </w:p>
        </w:tc>
      </w:tr>
      <w:tr>
        <w:tc>
          <w:tcPr>
            <w:tcW w:w="567" w:type="dxa"/>
            <w:tcBorders>
              <w:bottom w:val="nil"/>
              <w:right w:val="nil"/>
            </w:tcBorders>
          </w:tcPr>
          <w:p>
            <w:pPr>
              <w:pStyle w:val="Fichefinanciretextetable"/>
              <w:rPr>
                <w:noProof/>
              </w:rPr>
            </w:pPr>
            <w:r>
              <w:rPr>
                <w:noProof/>
              </w:rPr>
              <w:t>6.2</w:t>
            </w:r>
          </w:p>
        </w:tc>
        <w:tc>
          <w:tcPr>
            <w:tcW w:w="7002" w:type="dxa"/>
            <w:gridSpan w:val="7"/>
            <w:tcBorders>
              <w:left w:val="nil"/>
              <w:right w:val="nil"/>
            </w:tcBorders>
          </w:tcPr>
          <w:p>
            <w:pPr>
              <w:pStyle w:val="Fichefinanciretextetable"/>
              <w:spacing w:before="120" w:after="100" w:afterAutospacing="1"/>
              <w:rPr>
                <w:noProof/>
              </w:rPr>
            </w:pPr>
            <w:r>
              <w:rPr>
                <w:noProof/>
              </w:rPr>
              <w:t>VA FI NECESAR UN BUGET SUPLIMENTAR?</w:t>
            </w:r>
          </w:p>
        </w:tc>
        <w:tc>
          <w:tcPr>
            <w:tcW w:w="1418" w:type="dxa"/>
            <w:tcBorders>
              <w:left w:val="nil"/>
              <w:bottom w:val="nil"/>
            </w:tcBorders>
          </w:tcPr>
          <w:p>
            <w:pPr>
              <w:pStyle w:val="Fichefinanciretextetable"/>
              <w:jc w:val="center"/>
              <w:rPr>
                <w:noProof/>
              </w:rPr>
            </w:pPr>
            <w:r>
              <w:t xml:space="preserve"> -</w:t>
            </w:r>
          </w:p>
        </w:tc>
      </w:tr>
      <w:tr>
        <w:tc>
          <w:tcPr>
            <w:tcW w:w="567" w:type="dxa"/>
            <w:tcBorders>
              <w:right w:val="nil"/>
            </w:tcBorders>
          </w:tcPr>
          <w:p>
            <w:pPr>
              <w:pStyle w:val="Fichefinanciretextetable"/>
              <w:rPr>
                <w:noProof/>
              </w:rPr>
            </w:pPr>
            <w:r>
              <w:rPr>
                <w:noProof/>
              </w:rPr>
              <w:t>6.3</w:t>
            </w:r>
          </w:p>
        </w:tc>
        <w:tc>
          <w:tcPr>
            <w:tcW w:w="7002" w:type="dxa"/>
            <w:gridSpan w:val="7"/>
            <w:tcBorders>
              <w:left w:val="nil"/>
              <w:right w:val="nil"/>
            </w:tcBorders>
          </w:tcPr>
          <w:p>
            <w:pPr>
              <w:pStyle w:val="Fichefinanciretextetable"/>
              <w:spacing w:before="120" w:after="100" w:afterAutospacing="1"/>
              <w:rPr>
                <w:noProof/>
              </w:rPr>
            </w:pPr>
            <w:r>
              <w:rPr>
                <w:noProof/>
              </w:rPr>
              <w:t>VOR TREBUI INCLUSE CREDITE ÎN BUGETELE VIITOARE?</w:t>
            </w:r>
          </w:p>
        </w:tc>
        <w:tc>
          <w:tcPr>
            <w:tcW w:w="1418" w:type="dxa"/>
            <w:tcBorders>
              <w:left w:val="nil"/>
            </w:tcBorders>
          </w:tcPr>
          <w:p>
            <w:pPr>
              <w:pStyle w:val="Fichefinanciretextetable"/>
              <w:jc w:val="center"/>
              <w:rPr>
                <w:noProof/>
              </w:rPr>
            </w:pPr>
            <w:r>
              <w:t>DA</w:t>
            </w:r>
            <w:r>
              <w:rPr>
                <w:noProof/>
              </w:rPr>
              <w:t xml:space="preserve"> </w:t>
            </w:r>
          </w:p>
        </w:tc>
      </w:tr>
      <w:tr>
        <w:tc>
          <w:tcPr>
            <w:tcW w:w="8987" w:type="dxa"/>
            <w:gridSpan w:val="9"/>
          </w:tcPr>
          <w:p>
            <w:pPr>
              <w:pStyle w:val="Fichefinanciretextetable"/>
              <w:rPr>
                <w:noProof/>
              </w:rPr>
            </w:pPr>
            <w:r>
              <w:rPr>
                <w:noProof/>
              </w:rPr>
              <w:t>OBSERVAȚII:</w:t>
            </w:r>
          </w:p>
          <w:p>
            <w:pPr>
              <w:pStyle w:val="Fichefinanciretextetable"/>
              <w:jc w:val="both"/>
              <w:rPr>
                <w:noProof/>
              </w:rPr>
            </w:pPr>
            <w:r>
              <w:rPr>
                <w:noProof/>
              </w:rPr>
              <w:t xml:space="preserve">Linia bugetară 05 06 01 finanțează contribuțiile UE pentru mai multe organisme internaționale. Printre ele se va număra și Consiliul oleicol internațional (COI). După semnarea noului acord al COI, viitoarea contribuție a UE pentru COI va fi finanțată pe baza unei părți a creditelor înscrise la această linie bugetară, în limitele programării financiare prevăzute pentru perioada 2017-2020.  </w:t>
            </w:r>
          </w:p>
        </w:tc>
      </w:tr>
    </w:tbl>
    <w:p>
      <w:pPr>
        <w:rPr>
          <w:noProof/>
        </w:rPr>
      </w:pPr>
    </w:p>
    <w:sectPr>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RO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4</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lang w:val="pt-PT"/>
        </w:rPr>
      </w:pPr>
      <w:r>
        <w:rPr>
          <w:rStyle w:val="FootnoteReference"/>
        </w:rPr>
        <w:footnoteRef/>
      </w:r>
      <w:r>
        <w:tab/>
      </w:r>
      <w:r>
        <w:rPr>
          <w:rStyle w:val="FootnoteReference"/>
        </w:rPr>
        <w:footnoteRef/>
      </w:r>
      <w:r>
        <w:t>JO L 302, 19.11.2005, p. 47.</w:t>
      </w:r>
    </w:p>
  </w:footnote>
  <w:footnote w:id="2">
    <w:p>
      <w:pPr>
        <w:pStyle w:val="FootnoteText"/>
        <w:rPr>
          <w:lang w:val="pt-PT"/>
        </w:rPr>
      </w:pPr>
      <w:r>
        <w:rPr>
          <w:rStyle w:val="FootnoteReference"/>
        </w:rPr>
        <w:footnoteRef/>
      </w:r>
      <w:r>
        <w:tab/>
        <w:t>COM(2013) 646 final, 19.9.2013.</w:t>
      </w:r>
    </w:p>
  </w:footnote>
  <w:footnote w:id="3">
    <w:p>
      <w:pPr>
        <w:pStyle w:val="FootnoteText"/>
        <w:rPr>
          <w:lang w:val="fr-BE"/>
        </w:rPr>
      </w:pPr>
      <w:r>
        <w:rPr>
          <w:rStyle w:val="FootnoteReference"/>
        </w:rPr>
        <w:footnoteRef/>
      </w:r>
      <w:r>
        <w:tab/>
        <w:t>JO L 302, 19.11.2005, p. 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80A16E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1E4F99E"/>
    <w:lvl w:ilvl="0">
      <w:start w:val="1"/>
      <w:numFmt w:val="decimal"/>
      <w:pStyle w:val="ListNumber3"/>
      <w:lvlText w:val="%1."/>
      <w:lvlJc w:val="left"/>
      <w:pPr>
        <w:tabs>
          <w:tab w:val="num" w:pos="926"/>
        </w:tabs>
        <w:ind w:left="926" w:hanging="360"/>
      </w:pPr>
    </w:lvl>
  </w:abstractNum>
  <w:abstractNum w:abstractNumId="2">
    <w:nsid w:val="FFFFFF7F"/>
    <w:multiLevelType w:val="singleLevel"/>
    <w:tmpl w:val="C53C455A"/>
    <w:lvl w:ilvl="0">
      <w:start w:val="1"/>
      <w:numFmt w:val="decimal"/>
      <w:pStyle w:val="ListNumber2"/>
      <w:lvlText w:val="%1."/>
      <w:lvlJc w:val="left"/>
      <w:pPr>
        <w:tabs>
          <w:tab w:val="num" w:pos="643"/>
        </w:tabs>
        <w:ind w:left="643" w:hanging="360"/>
      </w:pPr>
    </w:lvl>
  </w:abstractNum>
  <w:abstractNum w:abstractNumId="3">
    <w:nsid w:val="FFFFFF81"/>
    <w:multiLevelType w:val="singleLevel"/>
    <w:tmpl w:val="7872512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06483DF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9"/>
    <w:multiLevelType w:val="singleLevel"/>
    <w:tmpl w:val="33BC36C8"/>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7">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4">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5">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4">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6"/>
  </w:num>
  <w:num w:numId="2">
    <w:abstractNumId w:val="15"/>
  </w:num>
  <w:num w:numId="3">
    <w:abstractNumId w:val="14"/>
  </w:num>
  <w:num w:numId="4">
    <w:abstractNumId w:val="22"/>
  </w:num>
  <w:num w:numId="5">
    <w:abstractNumId w:val="23"/>
  </w:num>
  <w:num w:numId="6">
    <w:abstractNumId w:val="5"/>
  </w:num>
  <w:num w:numId="7">
    <w:abstractNumId w:val="3"/>
  </w:num>
  <w:num w:numId="8">
    <w:abstractNumId w:val="24"/>
    <w:lvlOverride w:ilvl="0">
      <w:startOverride w:val="1"/>
    </w:lvlOverride>
  </w:num>
  <w:num w:numId="9">
    <w:abstractNumId w:val="4"/>
  </w:num>
  <w:num w:numId="10">
    <w:abstractNumId w:val="2"/>
  </w:num>
  <w:num w:numId="11">
    <w:abstractNumId w:val="1"/>
  </w:num>
  <w:num w:numId="12">
    <w:abstractNumId w:val="0"/>
  </w:num>
  <w:num w:numId="13">
    <w:abstractNumId w:val="19"/>
  </w:num>
  <w:num w:numId="14">
    <w:abstractNumId w:val="11"/>
  </w:num>
  <w:num w:numId="15">
    <w:abstractNumId w:val="21"/>
  </w:num>
  <w:num w:numId="16">
    <w:abstractNumId w:val="10"/>
  </w:num>
  <w:num w:numId="17">
    <w:abstractNumId w:val="12"/>
  </w:num>
  <w:num w:numId="18">
    <w:abstractNumId w:val="8"/>
  </w:num>
  <w:num w:numId="19">
    <w:abstractNumId w:val="20"/>
  </w:num>
  <w:num w:numId="20">
    <w:abstractNumId w:val="7"/>
  </w:num>
  <w:num w:numId="21">
    <w:abstractNumId w:val="13"/>
  </w:num>
  <w:num w:numId="22">
    <w:abstractNumId w:val="17"/>
  </w:num>
  <w:num w:numId="23">
    <w:abstractNumId w:val="18"/>
  </w:num>
  <w:num w:numId="24">
    <w:abstractNumId w:val="9"/>
  </w:num>
  <w:num w:numId="25">
    <w:abstractNumId w:val="16"/>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6-28 10:09:40"/>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Green"/>
    <w:docVar w:name="DQCVersion" w:val="3"/>
    <w:docVar w:name="DQCWithWarnings" w:val="0"/>
    <w:docVar w:name="LW_CONFIDENCE" w:val=" "/>
    <w:docVar w:name="LW_CONST_RESTREINT_UE" w:val="RESTREINT UE"/>
    <w:docVar w:name="LW_CORRIGENDUM" w:val="&lt;UNUSED&gt;"/>
    <w:docVar w:name="LW_COVERPAGE_GUID" w:val="3A428AB3689948BB93474D4CE075C7D4"/>
    <w:docVar w:name="LW_CROSSREFERENCE" w:val="&lt;UNUSED&gt;"/>
    <w:docVar w:name="LW_DocType" w:val="COM"/>
    <w:docVar w:name="LW_EMISSION" w:val="28.6.2016"/>
    <w:docVar w:name="LW_EMISSION_ISODATE" w:val="2016-06-28"/>
    <w:docVar w:name="LW_EMISSION_LOCATION" w:val="BRX"/>
    <w:docVar w:name="LW_EMISSION_PREFIX" w:val="Bruxelles, "/>
    <w:docVar w:name="LW_EMISSION_SUFFIX" w:val=" "/>
    <w:docVar w:name="LW_ID_DOCMODEL" w:val="SJ-019"/>
    <w:docVar w:name="LW_ID_DOCSIGNATURE" w:val="SJ-019"/>
    <w:docVar w:name="LW_ID_DOCSTRUCTURE" w:val="COM/PL/ORG"/>
    <w:docVar w:name="LW_ID_DOCTYPE" w:val="SJ-019"/>
    <w:docVar w:name="LW_ID_STATUT" w:val="SJ-019"/>
    <w:docVar w:name="LW_INTERETEEE.CP" w:val="&lt;UNUSED&gt;"/>
    <w:docVar w:name="LW_LANGUE" w:val="RO"/>
    <w:docVar w:name="LW_MARKING" w:val="&lt;UNUSED&gt;"/>
    <w:docVar w:name="LW_NOM.INST" w:val="COMISIA EUROPEAN\u258?"/>
    <w:docVar w:name="LW_NOM.INST_JOINTDOC" w:val="&lt;EMPTY&gt;"/>
    <w:docVar w:name="LW_PART_NBR" w:val="1"/>
    <w:docVar w:name="LW_PART_NBR_TOTAL" w:val="1"/>
    <w:docVar w:name="LW_REF.II.NEW.CP" w:val="NLE"/>
    <w:docVar w:name="LW_REF.II.NEW.CP_NUMBER" w:val="0196"/>
    <w:docVar w:name="LW_REF.II.NEW.CP_YEAR" w:val="2016"/>
    <w:docVar w:name="LW_REF.INST.NEW" w:val="COM"/>
    <w:docVar w:name="LW_REF.INST.NEW_ADOPTED" w:val="final"/>
    <w:docVar w:name="LW_REF.INST.NEW_TEXT" w:val="(2016) 426"/>
    <w:docVar w:name="LW_REF.INTERNE" w:val="&lt;UNUSED&gt;"/>
    <w:docVar w:name="LW_SOUS.TITRE.OBJ.CP" w:val="&lt;UNUSED&gt;"/>
    <w:docVar w:name="LW_STATUT.CP" w:val="Propunere de"/>
    <w:docVar w:name="LW_SUPERTITRE" w:val="&lt;UNUSED&gt;"/>
    <w:docVar w:name="LW_TITRE.OBJ.CP" w:val="privind semnarea, în numele Uniunii Europene, \u537?i aplicarea provizorie a Acordului interna\u539?ional din 2015 cu privire la uleiul de m\u259?sline \u537?i m\u259?slinele de mas\u259? "/>
    <w:docVar w:name="LW_TYPE.DOC.CP" w:val="DECIZIE A CONSILIULUI"/>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pPr>
      <w:numPr>
        <w:numId w:val="4"/>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1">
    <w:name w:val="List Dash 1"/>
    <w:basedOn w:val="Normal"/>
    <w:pPr>
      <w:numPr>
        <w:numId w:val="2"/>
      </w:numPr>
    </w:pPr>
    <w:rPr>
      <w:rFonts w:eastAsia="Times New Roman"/>
    </w:rPr>
  </w:style>
  <w:style w:type="paragraph" w:customStyle="1" w:styleId="ListDash2">
    <w:name w:val="List Dash 2"/>
    <w:basedOn w:val="Normal"/>
    <w:pPr>
      <w:numPr>
        <w:numId w:val="3"/>
      </w:numPr>
    </w:pPr>
    <w:rPr>
      <w:rFonts w:eastAsia="Times New Roman"/>
    </w:rPr>
  </w:style>
  <w:style w:type="paragraph" w:customStyle="1" w:styleId="ListNumberLevel2">
    <w:name w:val="List Number (Level 2)"/>
    <w:basedOn w:val="Normal"/>
    <w:pPr>
      <w:numPr>
        <w:ilvl w:val="1"/>
        <w:numId w:val="4"/>
      </w:numPr>
    </w:pPr>
    <w:rPr>
      <w:rFonts w:eastAsia="Times New Roman"/>
    </w:rPr>
  </w:style>
  <w:style w:type="paragraph" w:customStyle="1" w:styleId="ListNumberLevel3">
    <w:name w:val="List Number (Level 3)"/>
    <w:basedOn w:val="Normal"/>
    <w:pPr>
      <w:numPr>
        <w:ilvl w:val="2"/>
        <w:numId w:val="4"/>
      </w:numPr>
    </w:pPr>
    <w:rPr>
      <w:rFonts w:eastAsia="Times New Roman"/>
    </w:rPr>
  </w:style>
  <w:style w:type="paragraph" w:customStyle="1" w:styleId="ListNumberLevel4">
    <w:name w:val="List Number (Level 4)"/>
    <w:basedOn w:val="Normal"/>
    <w:pPr>
      <w:numPr>
        <w:ilvl w:val="3"/>
        <w:numId w:val="4"/>
      </w:numPr>
    </w:pPr>
    <w:rPr>
      <w:rFonts w:eastAsia="Times New Roman"/>
    </w:rPr>
  </w:style>
  <w:style w:type="character" w:styleId="Hyperlink">
    <w:name w:val="Hyperlink"/>
    <w:rPr>
      <w:color w:val="0000FF"/>
      <w:u w:val="single"/>
    </w:rPr>
  </w:style>
  <w:style w:type="paragraph" w:styleId="ListBullet2">
    <w:name w:val="List Bullet 2"/>
    <w:basedOn w:val="Normal"/>
    <w:pPr>
      <w:numPr>
        <w:numId w:val="5"/>
      </w:numPr>
    </w:pPr>
    <w:rPr>
      <w:rFonts w:eastAsia="Times New Roman"/>
    </w:rPr>
  </w:style>
  <w:style w:type="paragraph" w:customStyle="1" w:styleId="Fichefinanciretextetable">
    <w:name w:val="Fiche financière texte (table)"/>
    <w:basedOn w:val="Normal"/>
    <w:pPr>
      <w:spacing w:before="0" w:after="0"/>
      <w:jc w:val="left"/>
    </w:pPr>
    <w:rPr>
      <w:rFonts w:eastAsia="Times New Roman"/>
      <w:sz w:val="20"/>
      <w:szCs w:val="20"/>
    </w:rPr>
  </w:style>
  <w:style w:type="paragraph" w:customStyle="1" w:styleId="Fichefinanciretitretable">
    <w:name w:val="Fiche financière titre (table)"/>
    <w:basedOn w:val="Normal"/>
    <w:pPr>
      <w:jc w:val="center"/>
    </w:pPr>
    <w:rPr>
      <w:rFonts w:eastAsia="Times New Roman"/>
      <w:b/>
      <w:sz w:val="40"/>
      <w:szCs w:val="20"/>
    </w:rPr>
  </w:style>
  <w:style w:type="paragraph" w:styleId="ListBullet">
    <w:name w:val="List Bullet"/>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3">
    <w:name w:val="List Bullet 3"/>
    <w:basedOn w:val="Normal"/>
    <w:uiPriority w:val="99"/>
    <w:semiHidden/>
    <w:unhideWhenUsed/>
    <w:pPr>
      <w:numPr>
        <w:numId w:val="9"/>
      </w:numPr>
      <w:contextualSpacing/>
    </w:pPr>
  </w:style>
  <w:style w:type="paragraph" w:styleId="ListNumber2">
    <w:name w:val="List Number 2"/>
    <w:basedOn w:val="Normal"/>
    <w:uiPriority w:val="99"/>
    <w:semiHidden/>
    <w:unhideWhenUsed/>
    <w:pPr>
      <w:numPr>
        <w:numId w:val="10"/>
      </w:numPr>
      <w:contextualSpacing/>
    </w:pPr>
  </w:style>
  <w:style w:type="paragraph" w:styleId="ListNumber3">
    <w:name w:val="List Number 3"/>
    <w:basedOn w:val="Normal"/>
    <w:uiPriority w:val="99"/>
    <w:semiHidden/>
    <w:unhideWhenUsed/>
    <w:pPr>
      <w:numPr>
        <w:numId w:val="11"/>
      </w:numPr>
      <w:contextualSpacing/>
    </w:pPr>
  </w:style>
  <w:style w:type="paragraph" w:styleId="ListNumber4">
    <w:name w:val="List Number 4"/>
    <w:basedOn w:val="Normal"/>
    <w:uiPriority w:val="99"/>
    <w:semiHidden/>
    <w:unhideWhenUsed/>
    <w:pPr>
      <w:numPr>
        <w:numId w:val="12"/>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pPr>
      <w:numPr>
        <w:numId w:val="4"/>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1">
    <w:name w:val="List Dash 1"/>
    <w:basedOn w:val="Normal"/>
    <w:pPr>
      <w:numPr>
        <w:numId w:val="2"/>
      </w:numPr>
    </w:pPr>
    <w:rPr>
      <w:rFonts w:eastAsia="Times New Roman"/>
    </w:rPr>
  </w:style>
  <w:style w:type="paragraph" w:customStyle="1" w:styleId="ListDash2">
    <w:name w:val="List Dash 2"/>
    <w:basedOn w:val="Normal"/>
    <w:pPr>
      <w:numPr>
        <w:numId w:val="3"/>
      </w:numPr>
    </w:pPr>
    <w:rPr>
      <w:rFonts w:eastAsia="Times New Roman"/>
    </w:rPr>
  </w:style>
  <w:style w:type="paragraph" w:customStyle="1" w:styleId="ListNumberLevel2">
    <w:name w:val="List Number (Level 2)"/>
    <w:basedOn w:val="Normal"/>
    <w:pPr>
      <w:numPr>
        <w:ilvl w:val="1"/>
        <w:numId w:val="4"/>
      </w:numPr>
    </w:pPr>
    <w:rPr>
      <w:rFonts w:eastAsia="Times New Roman"/>
    </w:rPr>
  </w:style>
  <w:style w:type="paragraph" w:customStyle="1" w:styleId="ListNumberLevel3">
    <w:name w:val="List Number (Level 3)"/>
    <w:basedOn w:val="Normal"/>
    <w:pPr>
      <w:numPr>
        <w:ilvl w:val="2"/>
        <w:numId w:val="4"/>
      </w:numPr>
    </w:pPr>
    <w:rPr>
      <w:rFonts w:eastAsia="Times New Roman"/>
    </w:rPr>
  </w:style>
  <w:style w:type="paragraph" w:customStyle="1" w:styleId="ListNumberLevel4">
    <w:name w:val="List Number (Level 4)"/>
    <w:basedOn w:val="Normal"/>
    <w:pPr>
      <w:numPr>
        <w:ilvl w:val="3"/>
        <w:numId w:val="4"/>
      </w:numPr>
    </w:pPr>
    <w:rPr>
      <w:rFonts w:eastAsia="Times New Roman"/>
    </w:rPr>
  </w:style>
  <w:style w:type="character" w:styleId="Hyperlink">
    <w:name w:val="Hyperlink"/>
    <w:rPr>
      <w:color w:val="0000FF"/>
      <w:u w:val="single"/>
    </w:rPr>
  </w:style>
  <w:style w:type="paragraph" w:styleId="ListBullet2">
    <w:name w:val="List Bullet 2"/>
    <w:basedOn w:val="Normal"/>
    <w:pPr>
      <w:numPr>
        <w:numId w:val="5"/>
      </w:numPr>
    </w:pPr>
    <w:rPr>
      <w:rFonts w:eastAsia="Times New Roman"/>
    </w:rPr>
  </w:style>
  <w:style w:type="paragraph" w:customStyle="1" w:styleId="Fichefinanciretextetable">
    <w:name w:val="Fiche financière texte (table)"/>
    <w:basedOn w:val="Normal"/>
    <w:pPr>
      <w:spacing w:before="0" w:after="0"/>
      <w:jc w:val="left"/>
    </w:pPr>
    <w:rPr>
      <w:rFonts w:eastAsia="Times New Roman"/>
      <w:sz w:val="20"/>
      <w:szCs w:val="20"/>
    </w:rPr>
  </w:style>
  <w:style w:type="paragraph" w:customStyle="1" w:styleId="Fichefinanciretitretable">
    <w:name w:val="Fiche financière titre (table)"/>
    <w:basedOn w:val="Normal"/>
    <w:pPr>
      <w:jc w:val="center"/>
    </w:pPr>
    <w:rPr>
      <w:rFonts w:eastAsia="Times New Roman"/>
      <w:b/>
      <w:sz w:val="40"/>
      <w:szCs w:val="20"/>
    </w:rPr>
  </w:style>
  <w:style w:type="paragraph" w:styleId="ListBullet">
    <w:name w:val="List Bullet"/>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3">
    <w:name w:val="List Bullet 3"/>
    <w:basedOn w:val="Normal"/>
    <w:uiPriority w:val="99"/>
    <w:semiHidden/>
    <w:unhideWhenUsed/>
    <w:pPr>
      <w:numPr>
        <w:numId w:val="9"/>
      </w:numPr>
      <w:contextualSpacing/>
    </w:pPr>
  </w:style>
  <w:style w:type="paragraph" w:styleId="ListNumber2">
    <w:name w:val="List Number 2"/>
    <w:basedOn w:val="Normal"/>
    <w:uiPriority w:val="99"/>
    <w:semiHidden/>
    <w:unhideWhenUsed/>
    <w:pPr>
      <w:numPr>
        <w:numId w:val="10"/>
      </w:numPr>
      <w:contextualSpacing/>
    </w:pPr>
  </w:style>
  <w:style w:type="paragraph" w:styleId="ListNumber3">
    <w:name w:val="List Number 3"/>
    <w:basedOn w:val="Normal"/>
    <w:uiPriority w:val="99"/>
    <w:semiHidden/>
    <w:unhideWhenUsed/>
    <w:pPr>
      <w:numPr>
        <w:numId w:val="11"/>
      </w:numPr>
      <w:contextualSpacing/>
    </w:pPr>
  </w:style>
  <w:style w:type="paragraph" w:styleId="ListNumber4">
    <w:name w:val="List Number 4"/>
    <w:basedOn w:val="Normal"/>
    <w:uiPriority w:val="99"/>
    <w:semiHidden/>
    <w:unhideWhenUsed/>
    <w:pPr>
      <w:numPr>
        <w:numId w:val="12"/>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1</TotalTime>
  <Pages>6</Pages>
  <Words>1276</Words>
  <Characters>7108</Characters>
  <Application>Microsoft Office Word</Application>
  <DocSecurity>0</DocSecurity>
  <Lines>215</Lines>
  <Paragraphs>130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dcterms:created xsi:type="dcterms:W3CDTF">2016-06-24T06:49:00Z</dcterms:created>
  <dcterms:modified xsi:type="dcterms:W3CDTF">2016-06-28T08:09:00Z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SJ-019</vt:lpwstr>
  </property>
  <property fmtid="{D5CDD505-2E9C-101B-9397-08002B2CF9AE}" pid="10" name="DQCStatus">
    <vt:lpwstr>Green (DQC version 03)</vt:lpwstr>
  </property>
  <property name="OP_sanitized" fmtid="{D5CDD505-2E9C-101B-9397-08002B2CF9AE}" pid="11">
    <vt:lpwstr>True</vt:lpwstr>
  </property>
</Properties>
</file>