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Pagedecouverture"/>
        <w:rPr>
          <w:noProof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44" type="#_x0000_t75" alt="F81B82469FBC4565AD275F78D0F9D503" style="width:450.35pt;height:396pt">
            <v:imagedata r:id="rId9" o:title=""/>
          </v:shape>
        </w:pict>
      </w:r>
    </w:p>
    <w:p>
      <w:pPr>
        <w:rPr>
          <w:noProof/>
        </w:rPr>
        <w:sectPr>
          <w:footerReference w:type="default" r:id="rId10"/>
          <w:pgSz w:w="11907" w:h="16839"/>
          <w:pgMar w:top="1134" w:right="1417" w:bottom="1134" w:left="1417" w:header="709" w:footer="709" w:gutter="0"/>
          <w:pgNumType w:start="1"/>
          <w:cols w:space="720"/>
          <w:docGrid w:linePitch="360"/>
        </w:sectPr>
      </w:pPr>
    </w:p>
    <w:p>
      <w:pPr>
        <w:pStyle w:val="Typedudocument"/>
        <w:rPr>
          <w:noProof/>
        </w:rPr>
      </w:pPr>
      <w:bookmarkStart w:id="0" w:name="_GoBack"/>
      <w:bookmarkEnd w:id="0"/>
      <w:r>
        <w:rPr>
          <w:noProof/>
        </w:rPr>
        <w:lastRenderedPageBreak/>
        <w:t>A BIZOTTSÁG (EU) …/… RENDELETE</w:t>
      </w:r>
    </w:p>
    <w:p>
      <w:pPr>
        <w:pStyle w:val="Datedadoption"/>
        <w:rPr>
          <w:noProof/>
        </w:rPr>
      </w:pPr>
      <w:r>
        <w:t>(2017.5.17.)</w:t>
      </w:r>
    </w:p>
    <w:p>
      <w:pPr>
        <w:pStyle w:val="Titreobjet"/>
        <w:rPr>
          <w:noProof/>
        </w:rPr>
      </w:pPr>
      <w:r>
        <w:rPr>
          <w:noProof/>
        </w:rPr>
        <w:t xml:space="preserve">az 1333/2008/EK európai parlamenti és tanácsi rendelet II. mellékletének a nitritek (E 249–250) </w:t>
      </w:r>
      <w:r>
        <w:rPr>
          <w:i/>
          <w:noProof/>
        </w:rPr>
        <w:t>golonka peklowana</w:t>
      </w:r>
      <w:r>
        <w:rPr>
          <w:noProof/>
        </w:rPr>
        <w:t xml:space="preserve"> esetében való felhasználása tekintetében történő módosításáról</w:t>
      </w:r>
    </w:p>
    <w:p>
      <w:pPr>
        <w:pStyle w:val="IntrtEEE"/>
        <w:rPr>
          <w:noProof/>
        </w:rPr>
      </w:pPr>
      <w:r>
        <w:rPr>
          <w:noProof/>
        </w:rPr>
        <w:t>(EGT-vonatkozású szöveg)</w:t>
      </w:r>
    </w:p>
    <w:p>
      <w:pPr>
        <w:pStyle w:val="Institutionquiagit"/>
        <w:rPr>
          <w:noProof/>
        </w:rPr>
      </w:pPr>
      <w:r>
        <w:rPr>
          <w:noProof/>
        </w:rPr>
        <w:t>AZ EURÓPAI BIZOTTSÁG,</w:t>
      </w:r>
    </w:p>
    <w:p>
      <w:pPr>
        <w:rPr>
          <w:noProof/>
        </w:rPr>
      </w:pPr>
      <w:r>
        <w:rPr>
          <w:noProof/>
        </w:rPr>
        <w:t>tekintettel az Európai Unió működéséről szóló szerződésre,</w:t>
      </w:r>
    </w:p>
    <w:p>
      <w:pPr>
        <w:rPr>
          <w:noProof/>
        </w:rPr>
      </w:pPr>
      <w:r>
        <w:rPr>
          <w:noProof/>
        </w:rPr>
        <w:t>Tekintettel az élelmiszer-adalékanyagokról szóló, 2008. december 16-i 1333/2008/EK európai parlamenti és tanácsi rendeletre</w:t>
      </w:r>
      <w:r>
        <w:rPr>
          <w:rStyle w:val="FootnoteReference"/>
          <w:noProof/>
        </w:rPr>
        <w:footnoteReference w:id="1"/>
      </w:r>
      <w:r>
        <w:rPr>
          <w:noProof/>
        </w:rPr>
        <w:t xml:space="preserve"> és különösen annak 10. cikke (3) bekezdésére,</w:t>
      </w:r>
    </w:p>
    <w:p>
      <w:pPr>
        <w:rPr>
          <w:noProof/>
        </w:rPr>
      </w:pPr>
      <w:r>
        <w:rPr>
          <w:noProof/>
        </w:rPr>
        <w:t>mivel:</w:t>
      </w:r>
    </w:p>
    <w:p>
      <w:pPr>
        <w:pStyle w:val="ManualConsidrant"/>
        <w:rPr>
          <w:noProof/>
        </w:rPr>
      </w:pPr>
      <w:r>
        <w:t>(1)</w:t>
      </w:r>
      <w:r>
        <w:tab/>
      </w:r>
      <w:r>
        <w:rPr>
          <w:noProof/>
        </w:rPr>
        <w:t>Az 1333/2008/EK rendelet II. melléklete megállapítja az élelmiszerekben használható élelmiszer-adalékanyagok uniós jegyzékét és ezen anyagok felhasználási feltételeit.</w:t>
      </w:r>
    </w:p>
    <w:p>
      <w:pPr>
        <w:pStyle w:val="ManualConsidrant"/>
        <w:rPr>
          <w:noProof/>
        </w:rPr>
      </w:pPr>
      <w:r>
        <w:t>(2)</w:t>
      </w:r>
      <w:r>
        <w:tab/>
      </w:r>
      <w:r>
        <w:rPr>
          <w:noProof/>
        </w:rPr>
        <w:t>Az élelmiszer-adalékanyagok uniós jegyzékének naprakésszé tétele az 1331/2008/EK európai parlamenti és tanácsi rendelet</w:t>
      </w:r>
      <w:r>
        <w:rPr>
          <w:rStyle w:val="FootnoteReference"/>
          <w:noProof/>
        </w:rPr>
        <w:footnoteReference w:id="2"/>
      </w:r>
      <w:r>
        <w:rPr>
          <w:noProof/>
        </w:rPr>
        <w:t xml:space="preserve"> 3. cikkének (1) bekezdésében említett egységes eljárás révén, a Bizottság kezdeményezésére vagy kérelemre történhet.</w:t>
      </w:r>
    </w:p>
    <w:p>
      <w:pPr>
        <w:pStyle w:val="ManualConsidrant"/>
        <w:rPr>
          <w:noProof/>
        </w:rPr>
      </w:pPr>
      <w:r>
        <w:t>(3)</w:t>
      </w:r>
      <w:r>
        <w:tab/>
      </w:r>
      <w:r>
        <w:rPr>
          <w:noProof/>
        </w:rPr>
        <w:t xml:space="preserve">Lengyelország 2016. március 10-én kérelmet nyújtott be a nitriteknek (E 249–250) a </w:t>
      </w:r>
      <w:r>
        <w:rPr>
          <w:i/>
          <w:noProof/>
        </w:rPr>
        <w:t>golonka peklowana</w:t>
      </w:r>
      <w:r>
        <w:rPr>
          <w:noProof/>
        </w:rPr>
        <w:t xml:space="preserve"> tartósítószereként való felhasználásának engedélyezése iránt. A kérelmet a Bizottság ezután az 1331/2008/EK rendelet 4. cikkének megfelelően hozzáférhetővé tette a tagállamok számára. </w:t>
      </w:r>
    </w:p>
    <w:p>
      <w:pPr>
        <w:pStyle w:val="ManualConsidrant"/>
        <w:rPr>
          <w:noProof/>
        </w:rPr>
      </w:pPr>
      <w:r>
        <w:t>(4)</w:t>
      </w:r>
      <w:r>
        <w:tab/>
      </w:r>
      <w:r>
        <w:rPr>
          <w:noProof/>
        </w:rPr>
        <w:t xml:space="preserve">A kérelmező szerint a </w:t>
      </w:r>
      <w:r>
        <w:rPr>
          <w:i/>
          <w:noProof/>
        </w:rPr>
        <w:t>golonka peklowana</w:t>
      </w:r>
      <w:r>
        <w:rPr>
          <w:noProof/>
        </w:rPr>
        <w:t xml:space="preserve"> hagyományos lengyel előkészített hús, amelyben a nitriteket egyrészt tartósító hatásukért, másrészt a fogyasztók által elvárt szín, íz és textúra elérése céljából, a hús pácanyagaként alkalmazzák. A fogyasztóknak a </w:t>
      </w:r>
      <w:r>
        <w:rPr>
          <w:i/>
          <w:noProof/>
        </w:rPr>
        <w:t>golonka peklowana</w:t>
      </w:r>
      <w:r>
        <w:rPr>
          <w:noProof/>
        </w:rPr>
        <w:t xml:space="preserve"> előkészített húst fogyasztás előtt további hőkezelésnek kell alávetniük. </w:t>
      </w:r>
    </w:p>
    <w:p>
      <w:pPr>
        <w:pStyle w:val="ManualConsidrant"/>
        <w:rPr>
          <w:noProof/>
        </w:rPr>
      </w:pPr>
      <w:r>
        <w:t>(5)</w:t>
      </w:r>
      <w:r>
        <w:tab/>
      </w:r>
      <w:r>
        <w:rPr>
          <w:noProof/>
        </w:rPr>
        <w:t xml:space="preserve">Az 1333/2008/EK rendelet (7) preambulumbekezdése értelmében az élelmiszer-adalékanyagok jóváhagyása során figyelembe kell venni egyéb, az adott kérdést tekintve releváns tényezőket, ideértve a hagyományt is. Ezért helyénvaló bizonyos hagyományos termékek piaci elérhetőségének fenntartása egyes tagállamokban, amennyiben az élelmiszer-adalékanyagok felhasználása megfelel az 1333/2008/EK rendeletben foglalt általános és specifikus feltételeknek. </w:t>
      </w:r>
    </w:p>
    <w:p>
      <w:pPr>
        <w:pStyle w:val="ManualConsidrant"/>
        <w:rPr>
          <w:noProof/>
        </w:rPr>
      </w:pPr>
      <w:r>
        <w:t>(6)</w:t>
      </w:r>
      <w:r>
        <w:tab/>
      </w:r>
      <w:r>
        <w:rPr>
          <w:noProof/>
        </w:rPr>
        <w:t xml:space="preserve">Az e rendelet által szabályozott élelmiszer-adalékanyagokra vonatkozó felhasználások egységes alkalmazása érdekében a </w:t>
      </w:r>
      <w:r>
        <w:rPr>
          <w:i/>
          <w:noProof/>
        </w:rPr>
        <w:t>golonka peklowana</w:t>
      </w:r>
      <w:r>
        <w:rPr>
          <w:noProof/>
        </w:rPr>
        <w:t xml:space="preserve"> leírását az élelmiszer-adalékanyagokról szóló 1333/2008/EK rendelet II. mellékletének E. részében felsorolt élelmiszer-kategóriákat ismertető útmutató dokumentum</w:t>
      </w:r>
      <w:r>
        <w:rPr>
          <w:rStyle w:val="FootnoteReference"/>
          <w:noProof/>
        </w:rPr>
        <w:footnoteReference w:id="3"/>
      </w:r>
      <w:r>
        <w:rPr>
          <w:noProof/>
        </w:rPr>
        <w:t xml:space="preserve"> tartalmazza.</w:t>
      </w:r>
    </w:p>
    <w:p>
      <w:pPr>
        <w:pStyle w:val="ManualConsidrant"/>
        <w:rPr>
          <w:noProof/>
        </w:rPr>
      </w:pPr>
      <w:r>
        <w:t>(7)</w:t>
      </w:r>
      <w:r>
        <w:tab/>
      </w:r>
      <w:r>
        <w:rPr>
          <w:noProof/>
        </w:rPr>
        <w:t xml:space="preserve">Az 1331/2008/EK rendelet 3. cikke (2) bekezdésének megfelelően a Bizottság kikéri az Európai Élelmiszerbiztonsági Hatóság (a továbbiakban: Hatóság) véleményét az 1333/2008/EK rendelet II. mellékletében szereplő élelmiszer-adalékanyagok uniós jegyzékének naprakésszé tétele érdekében, kivéve, ha a szóban forgó aktualizálásnak valószínűsíthetően nincs az emberi egészségre gyakorolt hatása. A nitritek húskészítményekben való használata általában engedélyezett; az előkészített húsokban való felhasználás bizonyos hagyományos készítményekre korlátozódik, és a hagyományos pácolt húskészítményekre egyedi feltételek vonatkoznak. Mivel a nitritek felhasználásának kiterjesztésére vonatkozó kérelem konkrét, hagyományosan fogyasztott előkészített húsra vonatkozik, nem várható, hogy a kiterjesztés jelentős hatást gyakorolna az általános nitritexpozícióra. Az uniós jegyzék ezen adalékanyagok kiterjesztett felhasználása tekintetében történő aktualizálása valószínűsíthetően nincs hatással az emberi egészségre, ezért a Hatóság véleményét nem szükséges kikérni. </w:t>
      </w:r>
    </w:p>
    <w:p>
      <w:pPr>
        <w:pStyle w:val="ManualConsidrant"/>
        <w:rPr>
          <w:noProof/>
        </w:rPr>
      </w:pPr>
      <w:r>
        <w:t>(8)</w:t>
      </w:r>
      <w:r>
        <w:tab/>
      </w:r>
      <w:r>
        <w:rPr>
          <w:noProof/>
        </w:rPr>
        <w:t>Az 1333/2008/EK rendelet II. mellékletét ennek megfelelően módosítani kell.</w:t>
      </w:r>
    </w:p>
    <w:p>
      <w:pPr>
        <w:pStyle w:val="ManualConsidrant"/>
        <w:rPr>
          <w:noProof/>
        </w:rPr>
      </w:pPr>
      <w:r>
        <w:t>(9)</w:t>
      </w:r>
      <w:r>
        <w:tab/>
      </w:r>
      <w:r>
        <w:rPr>
          <w:noProof/>
        </w:rPr>
        <w:t>Az e rendeletben előírt intézkedések összhangban vannak a Növények, Állatok, Élelmiszerek és Takarmányok Állandó Bizottságának véleményével,</w:t>
      </w:r>
    </w:p>
    <w:p>
      <w:pPr>
        <w:pStyle w:val="Formuledadoption"/>
        <w:rPr>
          <w:noProof/>
        </w:rPr>
      </w:pPr>
      <w:r>
        <w:rPr>
          <w:noProof/>
        </w:rPr>
        <w:t>ELFOGADTA EZT A RENDELETET:</w:t>
      </w:r>
    </w:p>
    <w:p>
      <w:pPr>
        <w:pStyle w:val="Titrearticle"/>
        <w:rPr>
          <w:noProof/>
        </w:rPr>
      </w:pPr>
      <w:r>
        <w:rPr>
          <w:noProof/>
        </w:rPr>
        <w:t>1. cikk</w:t>
      </w:r>
    </w:p>
    <w:p>
      <w:pPr>
        <w:rPr>
          <w:i/>
          <w:iCs/>
          <w:noProof/>
          <w:sz w:val="19"/>
          <w:szCs w:val="19"/>
        </w:rPr>
      </w:pPr>
      <w:r>
        <w:rPr>
          <w:noProof/>
        </w:rPr>
        <w:t>Az 1333/2008/EK rendelet II. melléklete e rendelet mellékletének megfelelően módosul.</w:t>
      </w:r>
      <w:r>
        <w:rPr>
          <w:i/>
          <w:noProof/>
          <w:sz w:val="19"/>
        </w:rPr>
        <w:t xml:space="preserve"> </w:t>
      </w:r>
    </w:p>
    <w:p>
      <w:pPr>
        <w:pStyle w:val="Titrearticle"/>
        <w:rPr>
          <w:noProof/>
        </w:rPr>
      </w:pPr>
      <w:r>
        <w:rPr>
          <w:noProof/>
        </w:rPr>
        <w:t>2. cikk</w:t>
      </w:r>
    </w:p>
    <w:p>
      <w:pPr>
        <w:rPr>
          <w:noProof/>
        </w:rPr>
      </w:pPr>
      <w:r>
        <w:rPr>
          <w:noProof/>
        </w:rPr>
        <w:t xml:space="preserve">Ez a rendelet az </w:t>
      </w:r>
      <w:r>
        <w:rPr>
          <w:i/>
          <w:noProof/>
        </w:rPr>
        <w:t>Európai Unió Hivatalos Lapjában</w:t>
      </w:r>
      <w:r>
        <w:rPr>
          <w:noProof/>
        </w:rPr>
        <w:t xml:space="preserve"> való kihirdetését követő huszadik napon lép hatályba.</w:t>
      </w:r>
    </w:p>
    <w:p>
      <w:pPr>
        <w:pStyle w:val="Applicationdirecte"/>
        <w:rPr>
          <w:noProof/>
        </w:rPr>
      </w:pPr>
      <w:r>
        <w:rPr>
          <w:noProof/>
        </w:rPr>
        <w:t>Ez a rendelet teljes egészében kötelező és közvetlenül alkalmazandó valamennyi tagállamban.</w:t>
      </w:r>
    </w:p>
    <w:p>
      <w:pPr>
        <w:pStyle w:val="Fait"/>
        <w:rPr>
          <w:noProof/>
        </w:rPr>
      </w:pPr>
      <w:r>
        <w:rPr>
          <w:noProof/>
        </w:rPr>
        <w:t>Kelt Brüsszelben, 2017.5.17.-én.</w:t>
      </w:r>
    </w:p>
    <w:p>
      <w:pPr>
        <w:pStyle w:val="Institutionquisigne"/>
        <w:keepLines/>
        <w:rPr>
          <w:noProof/>
        </w:rPr>
      </w:pPr>
      <w:r>
        <w:rPr>
          <w:noProof/>
        </w:rPr>
        <w:tab/>
        <w:t>a Bizottság részéről</w:t>
      </w:r>
    </w:p>
    <w:p>
      <w:pPr>
        <w:pStyle w:val="Personnequisigne"/>
        <w:keepNext/>
        <w:rPr>
          <w:noProof/>
        </w:rPr>
      </w:pPr>
      <w:r>
        <w:tab/>
        <w:t>elnök</w:t>
      </w:r>
      <w:r>
        <w:br/>
      </w:r>
      <w:r>
        <w:tab/>
        <w:t>Jean-Claude JUNCKER</w:t>
      </w:r>
    </w:p>
    <w:p>
      <w:pPr>
        <w:pStyle w:val="Personnequisigne"/>
        <w:rPr>
          <w:noProof/>
        </w:rPr>
      </w:pPr>
    </w:p>
    <w:sectPr>
      <w:footerReference w:type="default" r:id="rId11"/>
      <w:footerReference w:type="first" r:id="rId12"/>
      <w:pgSz w:w="11907" w:h="16839"/>
      <w:pgMar w:top="1134" w:right="1417" w:bottom="1134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>
      <w:pPr>
        <w:spacing w:before="0" w:after="0"/>
      </w:pPr>
      <w:r>
        <w:separator/>
      </w:r>
    </w:p>
  </w:endnote>
  <w:endnote w:type="continuationSeparator" w:id="0">
    <w:p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rPr>
        <w:rFonts w:ascii="Arial" w:hAnsi="Arial" w:cs="Arial"/>
        <w:b/>
        <w:sz w:val="48"/>
      </w:rPr>
    </w:pPr>
    <w:r>
      <w:rPr>
        <w:rFonts w:ascii="Arial" w:hAnsi="Arial" w:cs="Arial"/>
        <w:b/>
        <w:sz w:val="48"/>
      </w:rPr>
      <w:t>HU</w:t>
    </w:r>
    <w:r>
      <w:rPr>
        <w:rFonts w:ascii="Arial" w:hAnsi="Arial" w:cs="Arial"/>
        <w:b/>
        <w:sz w:val="48"/>
      </w:rPr>
      <w:tab/>
    </w:r>
    <w:r>
      <w:rPr>
        <w:rFonts w:ascii="Arial" w:hAnsi="Arial" w:cs="Arial"/>
        <w:b/>
        <w:sz w:val="48"/>
      </w:rPr>
      <w:tab/>
    </w:r>
    <w:r>
      <w:fldChar w:fldCharType="begin"/>
    </w:r>
    <w:r>
      <w:instrText xml:space="preserve"> DOCVARIABLE "LW_Confidence" \* MERGEFORMAT </w:instrText>
    </w:r>
    <w:r>
      <w:fldChar w:fldCharType="separate"/>
    </w:r>
    <w:r>
      <w:t xml:space="preserve"> </w:t>
    </w:r>
    <w:r>
      <w:fldChar w:fldCharType="end"/>
    </w:r>
    <w:r>
      <w:tab/>
    </w:r>
    <w:r>
      <w:rPr>
        <w:rFonts w:ascii="Arial" w:hAnsi="Arial" w:cs="Arial"/>
        <w:b/>
        <w:sz w:val="48"/>
      </w:rPr>
      <w:t>HU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rPr>
        <w:rFonts w:ascii="Arial" w:hAnsi="Arial" w:cs="Arial"/>
        <w:b/>
        <w:sz w:val="48"/>
      </w:rPr>
    </w:pPr>
    <w:r>
      <w:rPr>
        <w:rFonts w:ascii="Arial" w:hAnsi="Arial" w:cs="Arial"/>
        <w:b/>
        <w:sz w:val="48"/>
      </w:rPr>
      <w:t>HU</w:t>
    </w:r>
    <w:r>
      <w:rPr>
        <w:rFonts w:ascii="Arial" w:hAnsi="Arial" w:cs="Arial"/>
        <w:b/>
        <w:sz w:val="48"/>
      </w:rPr>
      <w:tab/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3</w:t>
    </w:r>
    <w:r>
      <w:fldChar w:fldCharType="end"/>
    </w:r>
    <w:r>
      <w:tab/>
    </w:r>
    <w:r>
      <w:fldChar w:fldCharType="begin"/>
    </w:r>
    <w:r>
      <w:instrText xml:space="preserve"> DOCVARIABLE "LW_Confidence" \* MERGEFORMAT </w:instrText>
    </w:r>
    <w:r>
      <w:fldChar w:fldCharType="separate"/>
    </w:r>
    <w:r>
      <w:t xml:space="preserve"> </w:t>
    </w:r>
    <w:r>
      <w:fldChar w:fldCharType="end"/>
    </w:r>
    <w:r>
      <w:tab/>
    </w:r>
    <w:r>
      <w:rPr>
        <w:rFonts w:ascii="Arial" w:hAnsi="Arial" w:cs="Arial"/>
        <w:b/>
        <w:sz w:val="48"/>
      </w:rPr>
      <w:t>HU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>
      <w:pPr>
        <w:spacing w:before="0" w:after="0"/>
      </w:pPr>
      <w:r>
        <w:separator/>
      </w:r>
    </w:p>
  </w:footnote>
  <w:footnote w:type="continuationSeparator" w:id="0">
    <w:p>
      <w:pPr>
        <w:spacing w:before="0" w:after="0"/>
      </w:pPr>
      <w:r>
        <w:continuationSeparator/>
      </w:r>
    </w:p>
  </w:footnote>
  <w:footnote w:id="1">
    <w:p>
      <w:pPr>
        <w:pStyle w:val="FootnoteText"/>
      </w:pPr>
      <w:r>
        <w:rPr>
          <w:rStyle w:val="FootnoteReference"/>
        </w:rPr>
        <w:footnoteRef/>
      </w:r>
      <w:r>
        <w:tab/>
        <w:t>HL L 354., 2008.12.31., 16. o.</w:t>
      </w:r>
    </w:p>
  </w:footnote>
  <w:footnote w:id="2">
    <w:p>
      <w:pPr>
        <w:pStyle w:val="FootnoteText"/>
      </w:pPr>
      <w:r>
        <w:rPr>
          <w:rStyle w:val="FootnoteReference"/>
        </w:rPr>
        <w:footnoteRef/>
      </w:r>
      <w:r>
        <w:tab/>
        <w:t>Az Európai Parlament és a Tanács 1331/2008/EK rendelete (2008. december 16.) az élelmiszer-adalékanyagok, az élelmiszerenzimek és az élelmiszer-aromák egységes engedélyezési eljárásának létrehozásáról (HL L 354., 2008.12.31., 1. o.).</w:t>
      </w:r>
    </w:p>
  </w:footnote>
  <w:footnote w:id="3">
    <w:p>
      <w:pPr>
        <w:pStyle w:val="FootnoteText"/>
      </w:pPr>
      <w:r>
        <w:rPr>
          <w:rStyle w:val="FootnoteReference"/>
        </w:rPr>
        <w:footnoteRef/>
      </w:r>
      <w:r>
        <w:tab/>
      </w:r>
      <w:hyperlink r:id="rId1">
        <w:r>
          <w:rPr>
            <w:rStyle w:val="Hyperlink"/>
          </w:rPr>
          <w:t>http://ec.europa.eu/food/safety/food_improvement_agents/additives/eu_rules_en</w:t>
        </w:r>
      </w:hyperlink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D"/>
    <w:multiLevelType w:val="singleLevel"/>
    <w:tmpl w:val="8006072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>
    <w:nsid w:val="FFFFFF7E"/>
    <w:multiLevelType w:val="singleLevel"/>
    <w:tmpl w:val="61B602B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2">
    <w:nsid w:val="FFFFFF7F"/>
    <w:multiLevelType w:val="singleLevel"/>
    <w:tmpl w:val="A57E5EA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3">
    <w:nsid w:val="FFFFFF81"/>
    <w:multiLevelType w:val="singleLevel"/>
    <w:tmpl w:val="C6649A6E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4">
    <w:nsid w:val="FFFFFF82"/>
    <w:multiLevelType w:val="singleLevel"/>
    <w:tmpl w:val="465A634C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5">
    <w:nsid w:val="FFFFFF83"/>
    <w:multiLevelType w:val="singleLevel"/>
    <w:tmpl w:val="E03A9BBA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6">
    <w:nsid w:val="FFFFFF88"/>
    <w:multiLevelType w:val="singleLevel"/>
    <w:tmpl w:val="A3C6562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FFFFFF89"/>
    <w:multiLevelType w:val="singleLevel"/>
    <w:tmpl w:val="E4D6804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1B3C78B8"/>
    <w:multiLevelType w:val="multilevel"/>
    <w:tmpl w:val="2ED4F4D0"/>
    <w:name w:val="Point"/>
    <w:lvl w:ilvl="0">
      <w:start w:val="1"/>
      <w:numFmt w:val="decimal"/>
      <w:lvlRestart w:val="0"/>
      <w:pStyle w:val="Point0number"/>
      <w:lvlText w:val="(%1)"/>
      <w:lvlJc w:val="left"/>
      <w:pPr>
        <w:tabs>
          <w:tab w:val="num" w:pos="850"/>
        </w:tabs>
        <w:ind w:left="850" w:hanging="850"/>
      </w:pPr>
    </w:lvl>
    <w:lvl w:ilvl="1">
      <w:start w:val="1"/>
      <w:numFmt w:val="lowerLetter"/>
      <w:pStyle w:val="Point0letter"/>
      <w:lvlText w:val="(%2)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Point1number"/>
      <w:lvlText w:val="(%3)"/>
      <w:lvlJc w:val="left"/>
      <w:pPr>
        <w:tabs>
          <w:tab w:val="num" w:pos="1417"/>
        </w:tabs>
        <w:ind w:left="1417" w:hanging="567"/>
      </w:pPr>
    </w:lvl>
    <w:lvl w:ilvl="3">
      <w:start w:val="1"/>
      <w:numFmt w:val="lowerLetter"/>
      <w:pStyle w:val="Point1letter"/>
      <w:lvlText w:val="(%4)"/>
      <w:lvlJc w:val="left"/>
      <w:pPr>
        <w:tabs>
          <w:tab w:val="num" w:pos="1417"/>
        </w:tabs>
        <w:ind w:left="1417" w:hanging="567"/>
      </w:pPr>
    </w:lvl>
    <w:lvl w:ilvl="4">
      <w:start w:val="1"/>
      <w:numFmt w:val="decimal"/>
      <w:pStyle w:val="Point2number"/>
      <w:lvlText w:val="(%5)"/>
      <w:lvlJc w:val="left"/>
      <w:pPr>
        <w:tabs>
          <w:tab w:val="num" w:pos="1984"/>
        </w:tabs>
        <w:ind w:left="1984" w:hanging="567"/>
      </w:pPr>
    </w:lvl>
    <w:lvl w:ilvl="5">
      <w:start w:val="1"/>
      <w:numFmt w:val="lowerLetter"/>
      <w:pStyle w:val="Point2letter"/>
      <w:lvlText w:val="(%6)"/>
      <w:lvlJc w:val="left"/>
      <w:pPr>
        <w:tabs>
          <w:tab w:val="num" w:pos="1984"/>
        </w:tabs>
        <w:ind w:left="1984" w:hanging="567"/>
      </w:pPr>
    </w:lvl>
    <w:lvl w:ilvl="6">
      <w:start w:val="1"/>
      <w:numFmt w:val="decimal"/>
      <w:pStyle w:val="Point3number"/>
      <w:lvlText w:val="(%7)"/>
      <w:lvlJc w:val="left"/>
      <w:pPr>
        <w:tabs>
          <w:tab w:val="num" w:pos="2551"/>
        </w:tabs>
        <w:ind w:left="2551" w:hanging="567"/>
      </w:pPr>
    </w:lvl>
    <w:lvl w:ilvl="7">
      <w:start w:val="1"/>
      <w:numFmt w:val="lowerLetter"/>
      <w:pStyle w:val="Point3letter"/>
      <w:lvlText w:val="(%8)"/>
      <w:lvlJc w:val="left"/>
      <w:pPr>
        <w:tabs>
          <w:tab w:val="num" w:pos="2551"/>
        </w:tabs>
        <w:ind w:left="2551" w:hanging="567"/>
      </w:pPr>
    </w:lvl>
    <w:lvl w:ilvl="8">
      <w:start w:val="1"/>
      <w:numFmt w:val="lowerLetter"/>
      <w:pStyle w:val="Point4letter"/>
      <w:lvlText w:val="(%9)"/>
      <w:lvlJc w:val="left"/>
      <w:pPr>
        <w:tabs>
          <w:tab w:val="num" w:pos="3118"/>
        </w:tabs>
        <w:ind w:left="3118" w:hanging="567"/>
      </w:pPr>
    </w:lvl>
  </w:abstractNum>
  <w:abstractNum w:abstractNumId="9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>
    <w:nsid w:val="2CB72C6E"/>
    <w:multiLevelType w:val="singleLevel"/>
    <w:tmpl w:val="10ACD464"/>
    <w:name w:val="Bullet 3"/>
    <w:lvl w:ilvl="0">
      <w:start w:val="1"/>
      <w:numFmt w:val="bullet"/>
      <w:lvlRestart w:val="0"/>
      <w:pStyle w:val="Bullet3"/>
      <w:lvlText w:val=""/>
      <w:lvlJc w:val="left"/>
      <w:pPr>
        <w:tabs>
          <w:tab w:val="num" w:pos="2551"/>
        </w:tabs>
        <w:ind w:left="2551" w:hanging="567"/>
      </w:pPr>
      <w:rPr>
        <w:rFonts w:ascii="Symbol" w:hAnsi="Symbol" w:hint="default"/>
      </w:rPr>
    </w:lvl>
  </w:abstractNum>
  <w:abstractNum w:abstractNumId="11">
    <w:nsid w:val="2CE9221F"/>
    <w:multiLevelType w:val="singleLevel"/>
    <w:tmpl w:val="9B4AFB48"/>
    <w:name w:val="Tiret 3"/>
    <w:lvl w:ilvl="0">
      <w:start w:val="1"/>
      <w:numFmt w:val="bullet"/>
      <w:lvlRestart w:val="0"/>
      <w:pStyle w:val="Tiret3"/>
      <w:lvlText w:val="–"/>
      <w:lvlJc w:val="left"/>
      <w:pPr>
        <w:tabs>
          <w:tab w:val="num" w:pos="2551"/>
        </w:tabs>
        <w:ind w:left="2551" w:hanging="567"/>
      </w:pPr>
    </w:lvl>
  </w:abstractNum>
  <w:abstractNum w:abstractNumId="12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13">
    <w:nsid w:val="42FC0772"/>
    <w:multiLevelType w:val="singleLevel"/>
    <w:tmpl w:val="4128FCF8"/>
    <w:name w:val="Tiret 4"/>
    <w:lvl w:ilvl="0">
      <w:start w:val="1"/>
      <w:numFmt w:val="bullet"/>
      <w:lvlRestart w:val="0"/>
      <w:pStyle w:val="Tiret4"/>
      <w:lvlText w:val="–"/>
      <w:lvlJc w:val="left"/>
      <w:pPr>
        <w:tabs>
          <w:tab w:val="num" w:pos="3118"/>
        </w:tabs>
        <w:ind w:left="3118" w:hanging="567"/>
      </w:pPr>
    </w:lvl>
  </w:abstractNum>
  <w:abstractNum w:abstractNumId="14">
    <w:nsid w:val="4552127F"/>
    <w:multiLevelType w:val="singleLevel"/>
    <w:tmpl w:val="057A5296"/>
    <w:name w:val="Bullet 0"/>
    <w:lvl w:ilvl="0">
      <w:start w:val="1"/>
      <w:numFmt w:val="bullet"/>
      <w:lvlRestart w:val="0"/>
      <w:pStyle w:val="Bullet0"/>
      <w:lvlText w:val=""/>
      <w:lvlJc w:val="left"/>
      <w:pPr>
        <w:tabs>
          <w:tab w:val="num" w:pos="850"/>
        </w:tabs>
        <w:ind w:left="850" w:hanging="850"/>
      </w:pPr>
      <w:rPr>
        <w:rFonts w:ascii="Symbol" w:hAnsi="Symbol" w:hint="default"/>
      </w:rPr>
    </w:lvl>
  </w:abstractNum>
  <w:abstractNum w:abstractNumId="15">
    <w:nsid w:val="556E1D63"/>
    <w:multiLevelType w:val="singleLevel"/>
    <w:tmpl w:val="493AAFF0"/>
    <w:name w:val="Bullet 4"/>
    <w:lvl w:ilvl="0">
      <w:start w:val="1"/>
      <w:numFmt w:val="bullet"/>
      <w:lvlRestart w:val="0"/>
      <w:pStyle w:val="Bullet4"/>
      <w:lvlText w:val=""/>
      <w:lvlJc w:val="left"/>
      <w:pPr>
        <w:tabs>
          <w:tab w:val="num" w:pos="3118"/>
        </w:tabs>
        <w:ind w:left="3118" w:hanging="567"/>
      </w:pPr>
      <w:rPr>
        <w:rFonts w:ascii="Symbol" w:hAnsi="Symbol" w:hint="default"/>
      </w:rPr>
    </w:lvl>
  </w:abstractNum>
  <w:abstractNum w:abstractNumId="16">
    <w:nsid w:val="5B395AAA"/>
    <w:multiLevelType w:val="singleLevel"/>
    <w:tmpl w:val="96D02E8A"/>
    <w:name w:val="Bullet 1"/>
    <w:lvl w:ilvl="0">
      <w:start w:val="1"/>
      <w:numFmt w:val="bullet"/>
      <w:lvlRestart w:val="0"/>
      <w:pStyle w:val="Bullet1"/>
      <w:lvlText w:val=""/>
      <w:lvlJc w:val="left"/>
      <w:pPr>
        <w:tabs>
          <w:tab w:val="num" w:pos="1417"/>
        </w:tabs>
        <w:ind w:left="1417" w:hanging="567"/>
      </w:pPr>
      <w:rPr>
        <w:rFonts w:ascii="Symbol" w:hAnsi="Symbol" w:hint="default"/>
      </w:rPr>
    </w:lvl>
  </w:abstractNum>
  <w:abstractNum w:abstractNumId="17">
    <w:nsid w:val="5C056EE5"/>
    <w:multiLevelType w:val="singleLevel"/>
    <w:tmpl w:val="3378D27C"/>
    <w:name w:val="Bullet 2"/>
    <w:lvl w:ilvl="0">
      <w:start w:val="1"/>
      <w:numFmt w:val="bullet"/>
      <w:lvlRestart w:val="0"/>
      <w:pStyle w:val="Bullet2"/>
      <w:lvlText w:val=""/>
      <w:lvlJc w:val="left"/>
      <w:pPr>
        <w:tabs>
          <w:tab w:val="num" w:pos="1984"/>
        </w:tabs>
        <w:ind w:left="1984" w:hanging="567"/>
      </w:pPr>
      <w:rPr>
        <w:rFonts w:ascii="Symbol" w:hAnsi="Symbol" w:hint="default"/>
      </w:rPr>
    </w:lvl>
  </w:abstractNum>
  <w:abstractNum w:abstractNumId="18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19">
    <w:nsid w:val="64A12FA4"/>
    <w:multiLevelType w:val="multilevel"/>
    <w:tmpl w:val="428ECF3E"/>
    <w:name w:val="Heading"/>
    <w:lvl w:ilvl="0">
      <w:start w:val="1"/>
      <w:numFmt w:val="decimal"/>
      <w:lvlRestart w:val="0"/>
      <w:pStyle w:val="Heading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Heading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Heading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Heading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>
    <w:nsid w:val="67B856F6"/>
    <w:multiLevelType w:val="singleLevel"/>
    <w:tmpl w:val="0AB28E9C"/>
    <w:name w:val="Tiret 2"/>
    <w:lvl w:ilvl="0">
      <w:start w:val="1"/>
      <w:numFmt w:val="bullet"/>
      <w:lvlRestart w:val="0"/>
      <w:pStyle w:val="Tiret2"/>
      <w:lvlText w:val="–"/>
      <w:lvlJc w:val="left"/>
      <w:pPr>
        <w:tabs>
          <w:tab w:val="num" w:pos="1984"/>
        </w:tabs>
        <w:ind w:left="1984" w:hanging="567"/>
      </w:pPr>
    </w:lvl>
  </w:abstractNum>
  <w:abstractNum w:abstractNumId="21">
    <w:nsid w:val="7CBE4812"/>
    <w:multiLevelType w:val="singleLevel"/>
    <w:tmpl w:val="23C821E4"/>
    <w:name w:val="Considérant"/>
    <w:lvl w:ilvl="0">
      <w:start w:val="1"/>
      <w:numFmt w:val="decimal"/>
      <w:lvlRestart w:val="0"/>
      <w:pStyle w:val="Considrant"/>
      <w:lvlText w:val="(%1)"/>
      <w:lvlJc w:val="left"/>
      <w:pPr>
        <w:tabs>
          <w:tab w:val="num" w:pos="709"/>
        </w:tabs>
        <w:ind w:left="709" w:hanging="709"/>
      </w:pPr>
    </w:lvl>
  </w:abstractNum>
  <w:num w:numId="1">
    <w:abstractNumId w:val="21"/>
    <w:lvlOverride w:ilvl="0">
      <w:startOverride w:val="1"/>
    </w:lvlOverride>
  </w:num>
  <w:num w:numId="2">
    <w:abstractNumId w:val="7"/>
  </w:num>
  <w:num w:numId="3">
    <w:abstractNumId w:val="5"/>
  </w:num>
  <w:num w:numId="4">
    <w:abstractNumId w:val="4"/>
  </w:num>
  <w:num w:numId="5">
    <w:abstractNumId w:val="3"/>
  </w:num>
  <w:num w:numId="6">
    <w:abstractNumId w:val="6"/>
  </w:num>
  <w:num w:numId="7">
    <w:abstractNumId w:val="2"/>
  </w:num>
  <w:num w:numId="8">
    <w:abstractNumId w:val="1"/>
  </w:num>
  <w:num w:numId="9">
    <w:abstractNumId w:val="0"/>
  </w:num>
  <w:num w:numId="10">
    <w:abstractNumId w:val="18"/>
  </w:num>
  <w:num w:numId="11">
    <w:abstractNumId w:val="12"/>
  </w:num>
  <w:num w:numId="12">
    <w:abstractNumId w:val="20"/>
  </w:num>
  <w:num w:numId="13">
    <w:abstractNumId w:val="11"/>
  </w:num>
  <w:num w:numId="14">
    <w:abstractNumId w:val="13"/>
  </w:num>
  <w:num w:numId="15">
    <w:abstractNumId w:val="9"/>
  </w:num>
  <w:num w:numId="16">
    <w:abstractNumId w:val="19"/>
  </w:num>
  <w:num w:numId="17">
    <w:abstractNumId w:val="8"/>
  </w:num>
  <w:num w:numId="18">
    <w:abstractNumId w:val="14"/>
  </w:num>
  <w:num w:numId="19">
    <w:abstractNumId w:val="16"/>
  </w:num>
  <w:num w:numId="20">
    <w:abstractNumId w:val="17"/>
  </w:num>
  <w:num w:numId="21">
    <w:abstractNumId w:val="10"/>
  </w:num>
  <w:num w:numId="22">
    <w:abstractNumId w:val="15"/>
  </w:num>
  <w:num w:numId="23">
    <w:abstractNumId w:val="21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110"/>
  <w:hideSpellingErrors/>
  <w:hideGrammaticalErrors/>
  <w:attachedTemplate r:id="rId1"/>
  <w:revisionView w:markup="0"/>
  <w:doNotTrackMoves/>
  <w:defaultTabStop w:val="720"/>
  <w:characterSpacingControl w:val="doNotCompress"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</w:compat>
  <w:docVars>
    <w:docVar w:name="COVERPAGE_EXISTS" w:val="True"/>
    <w:docVar w:name="DQCDateTime" w:val="2017-03-01 16:49:31"/>
    <w:docVar w:name="DQCResult_Distribution" w:val="0;0"/>
    <w:docVar w:name="DQCResult_DocumentContent" w:val="0;0"/>
    <w:docVar w:name="DQCResult_DocumentSize" w:val="0;0"/>
    <w:docVar w:name="DQCResult_DocumentVersions" w:val="0;0"/>
    <w:docVar w:name="DQCResult_ExistenceOfMacros" w:val="0;0"/>
    <w:docVar w:name="DQCResult_InvalidFootnotes" w:val="0;0"/>
    <w:docVar w:name="DQCResult_LinkedStyles" w:val="0;0"/>
    <w:docVar w:name="DQCResult_ModifiedMargins" w:val="0;0"/>
    <w:docVar w:name="DQCResult_ModifiedMarkers" w:val="0;0"/>
    <w:docVar w:name="DQCResult_ModifiedNumbering" w:val="0;0"/>
    <w:docVar w:name="DQCResult_Objects" w:val="0;0"/>
    <w:docVar w:name="DQCResult_Sections" w:val="0;0"/>
    <w:docVar w:name="DQCResult_StructureCheck" w:val="0;0"/>
    <w:docVar w:name="DQCResult_SuperfluousWhitespace" w:val="0;0"/>
    <w:docVar w:name="DQCResult_UnknownFonts" w:val="0;0"/>
    <w:docVar w:name="DQCResult_UnknownStyles" w:val="0;0"/>
    <w:docVar w:name="DQCStatus" w:val="Yellow"/>
    <w:docVar w:name="DQCVersion" w:val="3"/>
    <w:docVar w:name="DQCWithWarnings" w:val="0"/>
    <w:docVar w:name="LW_CONFIDENCE" w:val=" "/>
    <w:docVar w:name="LW_CONST_RESTREINT_UE" w:val="RESTREINT UE"/>
    <w:docVar w:name="LW_COVERPAGE_GUID" w:val="F81B82469FBC4565AD275F78D0F9D503"/>
    <w:docVar w:name="LW_CROSSREFERENCE" w:val="&lt;UNUSED&gt;"/>
    <w:docVar w:name="LW_DATE.ADOPT.CP" w:val="(2017.5.17.)"/>
    <w:docVar w:name="LW_DATE.ADOPT.CP_DATEFORMAT" w:val="(%DATE%)"/>
    <w:docVar w:name="LW_DATE.ADOPT.CP_ISODATE" w:val="2017-05-17"/>
    <w:docVar w:name="LW_DocType" w:val="COM"/>
    <w:docVar w:name="LW_EMISSION" w:val="2017.5.17."/>
    <w:docVar w:name="LW_EMISSION_ISODATE" w:val="2017-05-17"/>
    <w:docVar w:name="LW_EMISSION_LOCATION" w:val="BRX"/>
    <w:docVar w:name="LW_EMISSION_PREFIX" w:val="Brüsszel, "/>
    <w:docVar w:name="LW_EMISSION_SUFFIX" w:val=" "/>
    <w:docVar w:name="LW_ID_DOCMODEL" w:val="SJ-001"/>
    <w:docVar w:name="LW_ID_DOCSIGNATURE" w:val="SJ-001"/>
    <w:docVar w:name="LW_ID_DOCSTRUCTURE" w:val="COM/AA"/>
    <w:docVar w:name="LW_ID_DOCTYPE" w:val="SJ-001"/>
    <w:docVar w:name="LW_INTERETEEE.CP" w:val="(EGT-vonatkozású szöveg)"/>
    <w:docVar w:name="LW_LANGUE" w:val="HU"/>
    <w:docVar w:name="LW_LANGUESFAISANTFOI.CP" w:val="&lt;UNUSED&gt;"/>
    <w:docVar w:name="LW_MARKING" w:val="&lt;UNUSED&gt;"/>
    <w:docVar w:name="LW_NOM.INST" w:val="EURÓPAI BIZOTTSÁG"/>
    <w:docVar w:name="LW_NOM.INST_JOINTDOC" w:val="&lt;EMPTY&gt;"/>
    <w:docVar w:name="LW_PART_NBR" w:val="1"/>
    <w:docVar w:name="LW_PART_NBR_TOTAL" w:val="1"/>
    <w:docVar w:name="LW_REF.INST.NEW" w:val="C"/>
    <w:docVar w:name="LW_REF.INST.NEW_ADOPTED" w:val="final"/>
    <w:docVar w:name="LW_REF.INST.NEW_TEXT" w:val="(2017) 3165"/>
    <w:docVar w:name="LW_REF.INTERNE" w:val="&lt;UNUSED&gt;"/>
    <w:docVar w:name="LW_SOUS.TITRE.OBJ.CP" w:val="&lt;UNUSED&gt;"/>
    <w:docVar w:name="LW_SUPERTITRE" w:val="&lt;UNUSED&gt;"/>
    <w:docVar w:name="LW_TITRE.OBJ.CP" w:val="az 1333/2008/EK európai parlamenti és tanácsi rendelet II. mellékletének a nitritek (E 249\u8211?250) golonka peklowana esetében való felhasználása tekintetében történ\u337? módosításáról"/>
    <w:docVar w:name="LW_TITRE.OBJ_CONTENT_FMTD" w:val="az 1333/2008/EK európai parlamenti és tanácsi rendelet II. mellékletének a nitritek (E 249\u8211?250) &lt;FMT:italic&gt;golonka peklowana&lt;/FMT&gt; esetében való felhasználása tekintetében történ\u337? módosításáról"/>
    <w:docVar w:name="LW_TITRE.OBJ_USEMAINTEXTFORCP" w:val="1"/>
    <w:docVar w:name="LW_TYPE.DOC.CP" w:val="A BIZOTTSÁG (EU) \u8230?/\u8230? RENDELETE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hu-HU" w:eastAsia="hu-HU" w:bidi="hu-HU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">
    <w:name w:val="Normal"/>
    <w:qFormat/>
    <w:pPr>
      <w:spacing w:before="120" w:after="120" w:line="240" w:lineRule="auto"/>
      <w:jc w:val="both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Text1"/>
    <w:link w:val="Heading1Char"/>
    <w:uiPriority w:val="9"/>
    <w:qFormat/>
    <w:pPr>
      <w:keepNext/>
      <w:numPr>
        <w:numId w:val="16"/>
      </w:numPr>
      <w:spacing w:before="360"/>
      <w:outlineLvl w:val="0"/>
    </w:pPr>
    <w:rPr>
      <w:rFonts w:eastAsiaTheme="majorEastAsia"/>
      <w:b/>
      <w:bCs/>
      <w:smallCaps/>
      <w:szCs w:val="28"/>
    </w:rPr>
  </w:style>
  <w:style w:type="paragraph" w:styleId="Heading2">
    <w:name w:val="heading 2"/>
    <w:basedOn w:val="Normal"/>
    <w:next w:val="Text1"/>
    <w:link w:val="Heading2Char"/>
    <w:uiPriority w:val="9"/>
    <w:semiHidden/>
    <w:unhideWhenUsed/>
    <w:qFormat/>
    <w:pPr>
      <w:keepNext/>
      <w:numPr>
        <w:ilvl w:val="1"/>
        <w:numId w:val="16"/>
      </w:numPr>
      <w:outlineLvl w:val="1"/>
    </w:pPr>
    <w:rPr>
      <w:rFonts w:eastAsiaTheme="majorEastAsia"/>
      <w:b/>
      <w:bCs/>
      <w:szCs w:val="26"/>
    </w:rPr>
  </w:style>
  <w:style w:type="paragraph" w:styleId="Heading3">
    <w:name w:val="heading 3"/>
    <w:basedOn w:val="Normal"/>
    <w:next w:val="Text1"/>
    <w:link w:val="Heading3Char"/>
    <w:uiPriority w:val="9"/>
    <w:semiHidden/>
    <w:unhideWhenUsed/>
    <w:qFormat/>
    <w:pPr>
      <w:keepNext/>
      <w:numPr>
        <w:ilvl w:val="2"/>
        <w:numId w:val="16"/>
      </w:numPr>
      <w:outlineLvl w:val="2"/>
    </w:pPr>
    <w:rPr>
      <w:rFonts w:eastAsiaTheme="majorEastAsia"/>
      <w:bCs/>
      <w:i/>
    </w:rPr>
  </w:style>
  <w:style w:type="paragraph" w:styleId="Heading4">
    <w:name w:val="heading 4"/>
    <w:basedOn w:val="Normal"/>
    <w:next w:val="Text1"/>
    <w:link w:val="Heading4Char"/>
    <w:uiPriority w:val="9"/>
    <w:semiHidden/>
    <w:unhideWhenUsed/>
    <w:qFormat/>
    <w:pPr>
      <w:keepNext/>
      <w:numPr>
        <w:ilvl w:val="3"/>
        <w:numId w:val="16"/>
      </w:numPr>
      <w:outlineLvl w:val="3"/>
    </w:pPr>
    <w:rPr>
      <w:rFonts w:eastAsiaTheme="majorEastAsia"/>
      <w:bCs/>
      <w:iCs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qFormat/>
    <w:rPr>
      <w:b/>
      <w:bCs/>
      <w:sz w:val="20"/>
      <w:szCs w:val="20"/>
    </w:rPr>
  </w:style>
  <w:style w:type="paragraph" w:styleId="TableofFigures">
    <w:name w:val="table of figures"/>
    <w:basedOn w:val="Normal"/>
    <w:next w:val="Normal"/>
    <w:uiPriority w:val="99"/>
    <w:semiHidden/>
    <w:unhideWhenUsed/>
  </w:style>
  <w:style w:type="paragraph" w:styleId="ListBullet">
    <w:name w:val="List Bullet"/>
    <w:basedOn w:val="Normal"/>
    <w:uiPriority w:val="99"/>
    <w:semiHidden/>
    <w:unhideWhenUsed/>
    <w:pPr>
      <w:numPr>
        <w:numId w:val="2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pPr>
      <w:numPr>
        <w:numId w:val="3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pPr>
      <w:numPr>
        <w:numId w:val="4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pPr>
      <w:numPr>
        <w:numId w:val="5"/>
      </w:numPr>
      <w:contextualSpacing/>
    </w:pPr>
  </w:style>
  <w:style w:type="paragraph" w:styleId="ListNumber">
    <w:name w:val="List Number"/>
    <w:basedOn w:val="Normal"/>
    <w:uiPriority w:val="99"/>
    <w:semiHidden/>
    <w:unhideWhenUsed/>
    <w:pPr>
      <w:numPr>
        <w:numId w:val="6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pPr>
      <w:numPr>
        <w:numId w:val="7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pPr>
      <w:numPr>
        <w:numId w:val="8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pPr>
      <w:numPr>
        <w:numId w:val="9"/>
      </w:numPr>
      <w:contextualSpacing/>
    </w:pPr>
  </w:style>
  <w:style w:type="character" w:styleId="CommentReference">
    <w:name w:val="annotation reference"/>
    <w:uiPriority w:val="99"/>
    <w:semiHidden/>
    <w:unhideWhenUsed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Pr>
      <w:rFonts w:ascii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Pr>
      <w:rFonts w:ascii="Times New Roman" w:hAnsi="Times New Roman"/>
      <w:b/>
      <w:bCs/>
    </w:rPr>
  </w:style>
  <w:style w:type="character" w:styleId="Hyperlink">
    <w:name w:val="Hyperlink"/>
    <w:uiPriority w:val="99"/>
    <w:unhideWhenUsed/>
    <w:rPr>
      <w:color w:val="0000FF"/>
      <w:u w:val="single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Pr>
      <w:rFonts w:ascii="Tahoma" w:hAnsi="Tahoma" w:cs="Tahoma"/>
      <w:sz w:val="16"/>
      <w:szCs w:val="16"/>
    </w:rPr>
  </w:style>
  <w:style w:type="character" w:styleId="FollowedHyperlink">
    <w:name w:val="FollowedHyperlink"/>
    <w:uiPriority w:val="99"/>
    <w:semiHidden/>
    <w:unhideWhenUsed/>
    <w:rPr>
      <w:color w:val="800080"/>
      <w:u w:val="single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35"/>
        <w:tab w:val="right" w:pos="9071"/>
      </w:tabs>
      <w:spacing w:before="0"/>
    </w:pPr>
    <w:rPr>
      <w:lang w:eastAsia="en-US" w:bidi="ar-SA"/>
    </w:rPr>
  </w:style>
  <w:style w:type="character" w:customStyle="1" w:styleId="HeaderChar">
    <w:name w:val="Header Char"/>
    <w:link w:val="Header"/>
    <w:uiPriority w:val="99"/>
    <w:rPr>
      <w:rFonts w:ascii="Times New Roman" w:hAnsi="Times New Roman"/>
      <w:sz w:val="24"/>
      <w:lang w:eastAsia="en-US" w:bidi="ar-SA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FooterChar">
    <w:name w:val="Footer Char"/>
    <w:basedOn w:val="DefaultParagraphFont"/>
    <w:link w:val="Footer"/>
    <w:uiPriority w:val="99"/>
    <w:rPr>
      <w:rFonts w:ascii="Times New Roman" w:hAnsi="Times New Roman" w:cs="Times New Roman"/>
      <w:sz w:val="24"/>
      <w:shd w:val="clear" w:color="auto" w:fill="auto"/>
      <w:lang w:val="en-GB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before="0" w:after="0"/>
      <w:ind w:left="720" w:hanging="72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rFonts w:ascii="Times New Roman" w:hAnsi="Times New Roman" w:cs="Times New Roman"/>
      <w:sz w:val="20"/>
      <w:szCs w:val="20"/>
      <w:shd w:val="clear" w:color="auto" w:fill="auto"/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="Times New Roman" w:eastAsiaTheme="majorEastAsia" w:hAnsi="Times New Roman"/>
      <w:b/>
      <w:bCs/>
      <w:smallCaps/>
      <w:sz w:val="24"/>
      <w:szCs w:val="28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="Times New Roman" w:eastAsiaTheme="majorEastAsia" w:hAnsi="Times New Roman"/>
      <w:b/>
      <w:bCs/>
      <w:sz w:val="24"/>
      <w:szCs w:val="26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="Times New Roman" w:eastAsiaTheme="majorEastAsia" w:hAnsi="Times New Roman"/>
      <w:bCs/>
      <w:i/>
      <w:sz w:val="24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="Times New Roman" w:eastAsiaTheme="majorEastAsia" w:hAnsi="Times New Roman"/>
      <w:bCs/>
      <w:iCs/>
      <w:sz w:val="24"/>
      <w:lang w:val="en-GB"/>
    </w:rPr>
  </w:style>
  <w:style w:type="paragraph" w:styleId="TOCHeading">
    <w:name w:val="TOC Heading"/>
    <w:basedOn w:val="Normal"/>
    <w:next w:val="Normal"/>
    <w:uiPriority w:val="39"/>
    <w:semiHidden/>
    <w:unhideWhenUsed/>
    <w:qFormat/>
    <w:pPr>
      <w:spacing w:after="240"/>
      <w:jc w:val="center"/>
    </w:pPr>
    <w:rPr>
      <w:b/>
      <w:sz w:val="28"/>
    </w:rPr>
  </w:style>
  <w:style w:type="paragraph" w:styleId="TOC1">
    <w:name w:val="toc 1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2">
    <w:name w:val="toc 2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3">
    <w:name w:val="toc 3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4">
    <w:name w:val="toc 4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5">
    <w:name w:val="toc 5"/>
    <w:basedOn w:val="Normal"/>
    <w:next w:val="Normal"/>
    <w:uiPriority w:val="39"/>
    <w:semiHidden/>
    <w:unhideWhenUsed/>
    <w:pPr>
      <w:tabs>
        <w:tab w:val="right" w:leader="dot" w:pos="9071"/>
      </w:tabs>
      <w:spacing w:before="300"/>
      <w:jc w:val="left"/>
    </w:pPr>
  </w:style>
  <w:style w:type="paragraph" w:styleId="TOC6">
    <w:name w:val="toc 6"/>
    <w:basedOn w:val="Normal"/>
    <w:next w:val="Normal"/>
    <w:uiPriority w:val="39"/>
    <w:semiHidden/>
    <w:unhideWhenUsed/>
    <w:pPr>
      <w:tabs>
        <w:tab w:val="right" w:leader="dot" w:pos="9071"/>
      </w:tabs>
      <w:spacing w:before="240"/>
      <w:jc w:val="left"/>
    </w:pPr>
  </w:style>
  <w:style w:type="paragraph" w:styleId="TOC7">
    <w:name w:val="toc 7"/>
    <w:basedOn w:val="Normal"/>
    <w:next w:val="Normal"/>
    <w:uiPriority w:val="39"/>
    <w:semiHidden/>
    <w:unhideWhenUsed/>
    <w:pPr>
      <w:tabs>
        <w:tab w:val="right" w:leader="dot" w:pos="9071"/>
      </w:tabs>
      <w:spacing w:before="180"/>
      <w:jc w:val="left"/>
    </w:pPr>
  </w:style>
  <w:style w:type="paragraph" w:styleId="TOC8">
    <w:name w:val="toc 8"/>
    <w:basedOn w:val="Normal"/>
    <w:next w:val="Normal"/>
    <w:uiPriority w:val="39"/>
    <w:semiHidden/>
    <w:unhideWhenUsed/>
    <w:pPr>
      <w:tabs>
        <w:tab w:val="right" w:leader="dot" w:pos="9071"/>
      </w:tabs>
      <w:jc w:val="left"/>
    </w:pPr>
  </w:style>
  <w:style w:type="paragraph" w:styleId="TOC9">
    <w:name w:val="toc 9"/>
    <w:basedOn w:val="Normal"/>
    <w:next w:val="Normal"/>
    <w:uiPriority w:val="39"/>
    <w:semiHidden/>
    <w:unhideWhenUsed/>
    <w:pPr>
      <w:tabs>
        <w:tab w:val="right" w:leader="dot" w:pos="9071"/>
      </w:tabs>
    </w:pPr>
  </w:style>
  <w:style w:type="paragraph" w:customStyle="1" w:styleId="HeaderLandscape">
    <w:name w:val="HeaderLandscape"/>
    <w:basedOn w:val="Normal"/>
    <w:pPr>
      <w:tabs>
        <w:tab w:val="center" w:pos="7285"/>
        <w:tab w:val="right" w:pos="14003"/>
      </w:tabs>
      <w:spacing w:before="0"/>
    </w:pPr>
    <w:rPr>
      <w:lang w:eastAsia="en-US" w:bidi="ar-SA"/>
    </w:rPr>
  </w:style>
  <w:style w:type="paragraph" w:customStyle="1" w:styleId="FooterLandscape">
    <w:name w:val="FooterLandscape"/>
    <w:basedOn w:val="Normal"/>
    <w:pPr>
      <w:tabs>
        <w:tab w:val="center" w:pos="7285"/>
        <w:tab w:val="center" w:pos="10913"/>
        <w:tab w:val="right" w:pos="15137"/>
      </w:tabs>
      <w:spacing w:before="360" w:after="0"/>
      <w:ind w:left="-567" w:right="-567"/>
      <w:jc w:val="left"/>
    </w:pPr>
  </w:style>
  <w:style w:type="character" w:styleId="FootnoteReference">
    <w:name w:val="footnote reference"/>
    <w:basedOn w:val="DefaultParagraphFont"/>
    <w:uiPriority w:val="99"/>
    <w:semiHidden/>
    <w:unhideWhenUsed/>
    <w:rPr>
      <w:shd w:val="clear" w:color="auto" w:fill="auto"/>
      <w:vertAlign w:val="superscript"/>
    </w:rPr>
  </w:style>
  <w:style w:type="paragraph" w:customStyle="1" w:styleId="Text1">
    <w:name w:val="Text 1"/>
    <w:basedOn w:val="Normal"/>
    <w:pPr>
      <w:ind w:left="850"/>
    </w:pPr>
  </w:style>
  <w:style w:type="paragraph" w:customStyle="1" w:styleId="Text2">
    <w:name w:val="Text 2"/>
    <w:basedOn w:val="Normal"/>
    <w:pPr>
      <w:ind w:left="1417"/>
    </w:pPr>
  </w:style>
  <w:style w:type="paragraph" w:customStyle="1" w:styleId="Text3">
    <w:name w:val="Text 3"/>
    <w:basedOn w:val="Normal"/>
    <w:pPr>
      <w:ind w:left="1984"/>
    </w:pPr>
  </w:style>
  <w:style w:type="paragraph" w:customStyle="1" w:styleId="Text4">
    <w:name w:val="Text 4"/>
    <w:basedOn w:val="Normal"/>
    <w:pPr>
      <w:ind w:left="2551"/>
    </w:pPr>
  </w:style>
  <w:style w:type="paragraph" w:customStyle="1" w:styleId="NormalCentered">
    <w:name w:val="Normal Centered"/>
    <w:basedOn w:val="Normal"/>
    <w:pPr>
      <w:jc w:val="center"/>
    </w:pPr>
  </w:style>
  <w:style w:type="paragraph" w:customStyle="1" w:styleId="NormalLeft">
    <w:name w:val="Normal Left"/>
    <w:basedOn w:val="Normal"/>
    <w:pPr>
      <w:jc w:val="left"/>
    </w:pPr>
  </w:style>
  <w:style w:type="paragraph" w:customStyle="1" w:styleId="NormalRight">
    <w:name w:val="Normal Right"/>
    <w:basedOn w:val="Normal"/>
    <w:pPr>
      <w:jc w:val="right"/>
    </w:pPr>
  </w:style>
  <w:style w:type="paragraph" w:customStyle="1" w:styleId="QuotedText">
    <w:name w:val="Quoted Text"/>
    <w:basedOn w:val="Normal"/>
    <w:pPr>
      <w:ind w:left="1417"/>
    </w:pPr>
  </w:style>
  <w:style w:type="paragraph" w:customStyle="1" w:styleId="Point0">
    <w:name w:val="Point 0"/>
    <w:basedOn w:val="Normal"/>
    <w:pPr>
      <w:ind w:left="850" w:hanging="850"/>
    </w:pPr>
  </w:style>
  <w:style w:type="paragraph" w:customStyle="1" w:styleId="Point1">
    <w:name w:val="Point 1"/>
    <w:basedOn w:val="Normal"/>
    <w:pPr>
      <w:ind w:left="1417" w:hanging="567"/>
    </w:pPr>
  </w:style>
  <w:style w:type="paragraph" w:customStyle="1" w:styleId="Point2">
    <w:name w:val="Point 2"/>
    <w:basedOn w:val="Normal"/>
    <w:pPr>
      <w:ind w:left="1984" w:hanging="567"/>
    </w:pPr>
  </w:style>
  <w:style w:type="paragraph" w:customStyle="1" w:styleId="Point3">
    <w:name w:val="Point 3"/>
    <w:basedOn w:val="Normal"/>
    <w:pPr>
      <w:ind w:left="2551" w:hanging="567"/>
    </w:pPr>
  </w:style>
  <w:style w:type="paragraph" w:customStyle="1" w:styleId="Point4">
    <w:name w:val="Point 4"/>
    <w:basedOn w:val="Normal"/>
    <w:pPr>
      <w:ind w:left="3118" w:hanging="567"/>
    </w:pPr>
  </w:style>
  <w:style w:type="paragraph" w:customStyle="1" w:styleId="Tiret0">
    <w:name w:val="Tiret 0"/>
    <w:basedOn w:val="Point0"/>
    <w:pPr>
      <w:numPr>
        <w:numId w:val="10"/>
      </w:numPr>
    </w:pPr>
  </w:style>
  <w:style w:type="paragraph" w:customStyle="1" w:styleId="Tiret1">
    <w:name w:val="Tiret 1"/>
    <w:basedOn w:val="Point1"/>
    <w:pPr>
      <w:numPr>
        <w:numId w:val="11"/>
      </w:numPr>
    </w:pPr>
  </w:style>
  <w:style w:type="paragraph" w:customStyle="1" w:styleId="Tiret2">
    <w:name w:val="Tiret 2"/>
    <w:basedOn w:val="Point2"/>
    <w:pPr>
      <w:numPr>
        <w:numId w:val="12"/>
      </w:numPr>
    </w:pPr>
  </w:style>
  <w:style w:type="paragraph" w:customStyle="1" w:styleId="Tiret3">
    <w:name w:val="Tiret 3"/>
    <w:basedOn w:val="Point3"/>
    <w:pPr>
      <w:numPr>
        <w:numId w:val="13"/>
      </w:numPr>
    </w:pPr>
  </w:style>
  <w:style w:type="paragraph" w:customStyle="1" w:styleId="Tiret4">
    <w:name w:val="Tiret 4"/>
    <w:basedOn w:val="Point4"/>
    <w:pPr>
      <w:numPr>
        <w:numId w:val="14"/>
      </w:numPr>
    </w:pPr>
  </w:style>
  <w:style w:type="paragraph" w:customStyle="1" w:styleId="PointDouble0">
    <w:name w:val="PointDouble 0"/>
    <w:basedOn w:val="Normal"/>
    <w:pPr>
      <w:tabs>
        <w:tab w:val="left" w:pos="850"/>
      </w:tabs>
      <w:ind w:left="1417" w:hanging="1417"/>
    </w:pPr>
  </w:style>
  <w:style w:type="paragraph" w:customStyle="1" w:styleId="PointDouble1">
    <w:name w:val="PointDouble 1"/>
    <w:basedOn w:val="Normal"/>
    <w:pPr>
      <w:tabs>
        <w:tab w:val="left" w:pos="1417"/>
      </w:tabs>
      <w:ind w:left="1984" w:hanging="1134"/>
    </w:pPr>
  </w:style>
  <w:style w:type="paragraph" w:customStyle="1" w:styleId="PointDouble2">
    <w:name w:val="PointDouble 2"/>
    <w:basedOn w:val="Normal"/>
    <w:pPr>
      <w:tabs>
        <w:tab w:val="left" w:pos="1984"/>
      </w:tabs>
      <w:ind w:left="2551" w:hanging="1134"/>
    </w:pPr>
  </w:style>
  <w:style w:type="paragraph" w:customStyle="1" w:styleId="PointDouble3">
    <w:name w:val="PointDouble 3"/>
    <w:basedOn w:val="Normal"/>
    <w:pPr>
      <w:tabs>
        <w:tab w:val="left" w:pos="2551"/>
      </w:tabs>
      <w:ind w:left="3118" w:hanging="1134"/>
    </w:pPr>
  </w:style>
  <w:style w:type="paragraph" w:customStyle="1" w:styleId="PointDouble4">
    <w:name w:val="PointDouble 4"/>
    <w:basedOn w:val="Normal"/>
    <w:pPr>
      <w:tabs>
        <w:tab w:val="left" w:pos="3118"/>
      </w:tabs>
      <w:ind w:left="3685" w:hanging="1134"/>
    </w:pPr>
  </w:style>
  <w:style w:type="paragraph" w:customStyle="1" w:styleId="PointTriple0">
    <w:name w:val="PointTriple 0"/>
    <w:basedOn w:val="Normal"/>
    <w:pPr>
      <w:tabs>
        <w:tab w:val="left" w:pos="850"/>
        <w:tab w:val="left" w:pos="1417"/>
      </w:tabs>
      <w:ind w:left="1984" w:hanging="1984"/>
    </w:pPr>
  </w:style>
  <w:style w:type="paragraph" w:customStyle="1" w:styleId="PointTriple1">
    <w:name w:val="PointTriple 1"/>
    <w:basedOn w:val="Normal"/>
    <w:pPr>
      <w:tabs>
        <w:tab w:val="left" w:pos="1417"/>
        <w:tab w:val="left" w:pos="1984"/>
      </w:tabs>
      <w:ind w:left="2551" w:hanging="1701"/>
    </w:pPr>
  </w:style>
  <w:style w:type="paragraph" w:customStyle="1" w:styleId="PointTriple2">
    <w:name w:val="PointTriple 2"/>
    <w:basedOn w:val="Normal"/>
    <w:pPr>
      <w:tabs>
        <w:tab w:val="left" w:pos="1984"/>
        <w:tab w:val="left" w:pos="2551"/>
      </w:tabs>
      <w:ind w:left="3118" w:hanging="1701"/>
    </w:pPr>
  </w:style>
  <w:style w:type="paragraph" w:customStyle="1" w:styleId="PointTriple3">
    <w:name w:val="PointTriple 3"/>
    <w:basedOn w:val="Normal"/>
    <w:pPr>
      <w:tabs>
        <w:tab w:val="left" w:pos="2551"/>
        <w:tab w:val="left" w:pos="3118"/>
      </w:tabs>
      <w:ind w:left="3685" w:hanging="1701"/>
    </w:pPr>
  </w:style>
  <w:style w:type="paragraph" w:customStyle="1" w:styleId="PointTriple4">
    <w:name w:val="PointTriple 4"/>
    <w:basedOn w:val="Normal"/>
    <w:pPr>
      <w:tabs>
        <w:tab w:val="left" w:pos="3118"/>
        <w:tab w:val="left" w:pos="3685"/>
      </w:tabs>
      <w:ind w:left="4252" w:hanging="1701"/>
    </w:pPr>
  </w:style>
  <w:style w:type="paragraph" w:customStyle="1" w:styleId="NumPar1">
    <w:name w:val="NumPar 1"/>
    <w:basedOn w:val="Normal"/>
    <w:next w:val="Text1"/>
    <w:pPr>
      <w:numPr>
        <w:numId w:val="15"/>
      </w:numPr>
    </w:pPr>
  </w:style>
  <w:style w:type="paragraph" w:customStyle="1" w:styleId="NumPar2">
    <w:name w:val="NumPar 2"/>
    <w:basedOn w:val="Normal"/>
    <w:next w:val="Text1"/>
    <w:pPr>
      <w:numPr>
        <w:ilvl w:val="1"/>
        <w:numId w:val="15"/>
      </w:numPr>
    </w:pPr>
  </w:style>
  <w:style w:type="paragraph" w:customStyle="1" w:styleId="NumPar3">
    <w:name w:val="NumPar 3"/>
    <w:basedOn w:val="Normal"/>
    <w:next w:val="Text1"/>
    <w:pPr>
      <w:numPr>
        <w:ilvl w:val="2"/>
        <w:numId w:val="15"/>
      </w:numPr>
    </w:pPr>
  </w:style>
  <w:style w:type="paragraph" w:customStyle="1" w:styleId="NumPar4">
    <w:name w:val="NumPar 4"/>
    <w:basedOn w:val="Normal"/>
    <w:next w:val="Text1"/>
    <w:pPr>
      <w:numPr>
        <w:ilvl w:val="3"/>
        <w:numId w:val="15"/>
      </w:numPr>
    </w:pPr>
  </w:style>
  <w:style w:type="paragraph" w:customStyle="1" w:styleId="ManualNumPar1">
    <w:name w:val="Manual NumPar 1"/>
    <w:basedOn w:val="Normal"/>
    <w:next w:val="Text1"/>
    <w:pPr>
      <w:ind w:left="850" w:hanging="850"/>
    </w:pPr>
  </w:style>
  <w:style w:type="paragraph" w:customStyle="1" w:styleId="ManualNumPar2">
    <w:name w:val="Manual NumPar 2"/>
    <w:basedOn w:val="Normal"/>
    <w:next w:val="Text1"/>
    <w:pPr>
      <w:ind w:left="850" w:hanging="850"/>
    </w:pPr>
  </w:style>
  <w:style w:type="paragraph" w:customStyle="1" w:styleId="ManualNumPar3">
    <w:name w:val="Manual NumPar 3"/>
    <w:basedOn w:val="Normal"/>
    <w:next w:val="Text1"/>
    <w:pPr>
      <w:ind w:left="850" w:hanging="850"/>
    </w:pPr>
  </w:style>
  <w:style w:type="paragraph" w:customStyle="1" w:styleId="ManualNumPar4">
    <w:name w:val="Manual NumPar 4"/>
    <w:basedOn w:val="Normal"/>
    <w:next w:val="Text1"/>
    <w:pPr>
      <w:ind w:left="850" w:hanging="850"/>
    </w:pPr>
  </w:style>
  <w:style w:type="paragraph" w:customStyle="1" w:styleId="QuotedNumPar">
    <w:name w:val="Quoted NumPar"/>
    <w:basedOn w:val="Normal"/>
    <w:pPr>
      <w:ind w:left="1417" w:hanging="567"/>
    </w:pPr>
  </w:style>
  <w:style w:type="paragraph" w:customStyle="1" w:styleId="ManualHeading1">
    <w:name w:val="Manual Heading 1"/>
    <w:basedOn w:val="Normal"/>
    <w:next w:val="Text1"/>
    <w:pPr>
      <w:keepNext/>
      <w:tabs>
        <w:tab w:val="left" w:pos="850"/>
      </w:tabs>
      <w:spacing w:before="360"/>
      <w:ind w:left="850" w:hanging="850"/>
      <w:outlineLvl w:val="0"/>
    </w:pPr>
    <w:rPr>
      <w:b/>
      <w:smallCaps/>
    </w:rPr>
  </w:style>
  <w:style w:type="paragraph" w:customStyle="1" w:styleId="ManualHeading2">
    <w:name w:val="Manual Heading 2"/>
    <w:basedOn w:val="Normal"/>
    <w:next w:val="Text1"/>
    <w:pPr>
      <w:keepNext/>
      <w:tabs>
        <w:tab w:val="left" w:pos="850"/>
      </w:tabs>
      <w:ind w:left="850" w:hanging="850"/>
      <w:outlineLvl w:val="1"/>
    </w:pPr>
    <w:rPr>
      <w:b/>
    </w:rPr>
  </w:style>
  <w:style w:type="paragraph" w:customStyle="1" w:styleId="ManualHeading3">
    <w:name w:val="Manual Heading 3"/>
    <w:basedOn w:val="Normal"/>
    <w:next w:val="Text1"/>
    <w:pPr>
      <w:keepNext/>
      <w:tabs>
        <w:tab w:val="left" w:pos="850"/>
      </w:tabs>
      <w:ind w:left="850" w:hanging="850"/>
      <w:outlineLvl w:val="2"/>
    </w:pPr>
    <w:rPr>
      <w:i/>
    </w:rPr>
  </w:style>
  <w:style w:type="paragraph" w:customStyle="1" w:styleId="ManualHeading4">
    <w:name w:val="Manual Heading 4"/>
    <w:basedOn w:val="Normal"/>
    <w:next w:val="Text1"/>
    <w:pPr>
      <w:keepNext/>
      <w:tabs>
        <w:tab w:val="left" w:pos="850"/>
      </w:tabs>
      <w:ind w:left="850" w:hanging="850"/>
      <w:outlineLvl w:val="3"/>
    </w:pPr>
  </w:style>
  <w:style w:type="paragraph" w:customStyle="1" w:styleId="ChapterTitle">
    <w:name w:val="ChapterTitle"/>
    <w:basedOn w:val="Normal"/>
    <w:next w:val="Normal"/>
    <w:pPr>
      <w:keepNext/>
      <w:spacing w:after="360"/>
      <w:jc w:val="center"/>
    </w:pPr>
    <w:rPr>
      <w:b/>
      <w:sz w:val="32"/>
    </w:rPr>
  </w:style>
  <w:style w:type="paragraph" w:customStyle="1" w:styleId="PartTitle">
    <w:name w:val="PartTitle"/>
    <w:basedOn w:val="Normal"/>
    <w:next w:val="ChapterTitle"/>
    <w:pPr>
      <w:keepNext/>
      <w:pageBreakBefore/>
      <w:spacing w:after="360"/>
      <w:jc w:val="center"/>
    </w:pPr>
    <w:rPr>
      <w:b/>
      <w:sz w:val="36"/>
    </w:rPr>
  </w:style>
  <w:style w:type="paragraph" w:customStyle="1" w:styleId="SectionTitle">
    <w:name w:val="SectionTitle"/>
    <w:basedOn w:val="Normal"/>
    <w:next w:val="Heading1"/>
    <w:pPr>
      <w:keepNext/>
      <w:spacing w:after="360"/>
      <w:jc w:val="center"/>
    </w:pPr>
    <w:rPr>
      <w:b/>
      <w:smallCaps/>
      <w:sz w:val="28"/>
    </w:rPr>
  </w:style>
  <w:style w:type="paragraph" w:customStyle="1" w:styleId="TableTitle">
    <w:name w:val="Table Title"/>
    <w:basedOn w:val="Normal"/>
    <w:next w:val="Normal"/>
    <w:pPr>
      <w:jc w:val="center"/>
    </w:pPr>
    <w:rPr>
      <w:b/>
    </w:rPr>
  </w:style>
  <w:style w:type="character" w:customStyle="1" w:styleId="Marker">
    <w:name w:val="Marker"/>
    <w:basedOn w:val="DefaultParagraphFont"/>
    <w:rPr>
      <w:color w:val="0000FF"/>
      <w:shd w:val="clear" w:color="auto" w:fill="auto"/>
    </w:rPr>
  </w:style>
  <w:style w:type="character" w:customStyle="1" w:styleId="Marker1">
    <w:name w:val="Marker1"/>
    <w:basedOn w:val="DefaultParagraphFont"/>
    <w:rPr>
      <w:color w:val="008000"/>
      <w:shd w:val="clear" w:color="auto" w:fill="auto"/>
    </w:rPr>
  </w:style>
  <w:style w:type="character" w:customStyle="1" w:styleId="Marker2">
    <w:name w:val="Marker2"/>
    <w:basedOn w:val="DefaultParagraphFont"/>
    <w:rPr>
      <w:color w:val="FF0000"/>
      <w:shd w:val="clear" w:color="auto" w:fill="auto"/>
    </w:rPr>
  </w:style>
  <w:style w:type="paragraph" w:customStyle="1" w:styleId="Point0number">
    <w:name w:val="Point 0 (number)"/>
    <w:basedOn w:val="Normal"/>
    <w:pPr>
      <w:numPr>
        <w:numId w:val="17"/>
      </w:numPr>
    </w:pPr>
  </w:style>
  <w:style w:type="paragraph" w:customStyle="1" w:styleId="Point1number">
    <w:name w:val="Point 1 (number)"/>
    <w:basedOn w:val="Normal"/>
    <w:pPr>
      <w:numPr>
        <w:ilvl w:val="2"/>
        <w:numId w:val="17"/>
      </w:numPr>
    </w:pPr>
  </w:style>
  <w:style w:type="paragraph" w:customStyle="1" w:styleId="Point2number">
    <w:name w:val="Point 2 (number)"/>
    <w:basedOn w:val="Normal"/>
    <w:pPr>
      <w:numPr>
        <w:ilvl w:val="4"/>
        <w:numId w:val="17"/>
      </w:numPr>
    </w:pPr>
  </w:style>
  <w:style w:type="paragraph" w:customStyle="1" w:styleId="Point3number">
    <w:name w:val="Point 3 (number)"/>
    <w:basedOn w:val="Normal"/>
    <w:pPr>
      <w:numPr>
        <w:ilvl w:val="6"/>
        <w:numId w:val="17"/>
      </w:numPr>
    </w:pPr>
  </w:style>
  <w:style w:type="paragraph" w:customStyle="1" w:styleId="Point0letter">
    <w:name w:val="Point 0 (letter)"/>
    <w:basedOn w:val="Normal"/>
    <w:pPr>
      <w:numPr>
        <w:ilvl w:val="1"/>
        <w:numId w:val="17"/>
      </w:numPr>
    </w:pPr>
  </w:style>
  <w:style w:type="paragraph" w:customStyle="1" w:styleId="Point1letter">
    <w:name w:val="Point 1 (letter)"/>
    <w:basedOn w:val="Normal"/>
    <w:pPr>
      <w:numPr>
        <w:ilvl w:val="3"/>
        <w:numId w:val="17"/>
      </w:numPr>
    </w:pPr>
  </w:style>
  <w:style w:type="paragraph" w:customStyle="1" w:styleId="Point2letter">
    <w:name w:val="Point 2 (letter)"/>
    <w:basedOn w:val="Normal"/>
    <w:pPr>
      <w:numPr>
        <w:ilvl w:val="5"/>
        <w:numId w:val="17"/>
      </w:numPr>
    </w:pPr>
  </w:style>
  <w:style w:type="paragraph" w:customStyle="1" w:styleId="Point3letter">
    <w:name w:val="Point 3 (letter)"/>
    <w:basedOn w:val="Normal"/>
    <w:pPr>
      <w:numPr>
        <w:ilvl w:val="7"/>
        <w:numId w:val="17"/>
      </w:numPr>
    </w:pPr>
  </w:style>
  <w:style w:type="paragraph" w:customStyle="1" w:styleId="Point4letter">
    <w:name w:val="Point 4 (letter)"/>
    <w:basedOn w:val="Normal"/>
    <w:pPr>
      <w:numPr>
        <w:ilvl w:val="8"/>
        <w:numId w:val="17"/>
      </w:numPr>
    </w:pPr>
  </w:style>
  <w:style w:type="paragraph" w:customStyle="1" w:styleId="Bullet0">
    <w:name w:val="Bullet 0"/>
    <w:basedOn w:val="Normal"/>
    <w:pPr>
      <w:numPr>
        <w:numId w:val="18"/>
      </w:numPr>
    </w:pPr>
  </w:style>
  <w:style w:type="paragraph" w:customStyle="1" w:styleId="Bullet1">
    <w:name w:val="Bullet 1"/>
    <w:basedOn w:val="Normal"/>
    <w:pPr>
      <w:numPr>
        <w:numId w:val="19"/>
      </w:numPr>
    </w:pPr>
  </w:style>
  <w:style w:type="paragraph" w:customStyle="1" w:styleId="Bullet2">
    <w:name w:val="Bullet 2"/>
    <w:basedOn w:val="Normal"/>
    <w:pPr>
      <w:numPr>
        <w:numId w:val="20"/>
      </w:numPr>
    </w:pPr>
  </w:style>
  <w:style w:type="paragraph" w:customStyle="1" w:styleId="Bullet3">
    <w:name w:val="Bullet 3"/>
    <w:basedOn w:val="Normal"/>
    <w:pPr>
      <w:numPr>
        <w:numId w:val="21"/>
      </w:numPr>
    </w:pPr>
  </w:style>
  <w:style w:type="paragraph" w:customStyle="1" w:styleId="Bullet4">
    <w:name w:val="Bullet 4"/>
    <w:basedOn w:val="Normal"/>
    <w:pPr>
      <w:numPr>
        <w:numId w:val="22"/>
      </w:numPr>
    </w:pPr>
  </w:style>
  <w:style w:type="paragraph" w:customStyle="1" w:styleId="Annexetitreexpos">
    <w:name w:val="Annexe titre (exposé)"/>
    <w:basedOn w:val="Normal"/>
    <w:next w:val="Normal"/>
    <w:pPr>
      <w:jc w:val="center"/>
    </w:pPr>
    <w:rPr>
      <w:b/>
      <w:u w:val="single"/>
    </w:rPr>
  </w:style>
  <w:style w:type="paragraph" w:customStyle="1" w:styleId="Annexetitre">
    <w:name w:val="Annexe titre"/>
    <w:basedOn w:val="Normal"/>
    <w:next w:val="Normal"/>
    <w:pPr>
      <w:jc w:val="center"/>
    </w:pPr>
    <w:rPr>
      <w:b/>
      <w:u w:val="single"/>
    </w:rPr>
  </w:style>
  <w:style w:type="paragraph" w:customStyle="1" w:styleId="Annexetitrefichefinancire">
    <w:name w:val="Annexe titre (fiche financière)"/>
    <w:basedOn w:val="Normal"/>
    <w:next w:val="Normal"/>
    <w:pPr>
      <w:jc w:val="center"/>
    </w:pPr>
    <w:rPr>
      <w:b/>
      <w:u w:val="single"/>
    </w:rPr>
  </w:style>
  <w:style w:type="paragraph" w:customStyle="1" w:styleId="Applicationdirecte">
    <w:name w:val="Application directe"/>
    <w:basedOn w:val="Normal"/>
    <w:next w:val="Fait"/>
    <w:pPr>
      <w:spacing w:before="480"/>
    </w:pPr>
  </w:style>
  <w:style w:type="paragraph" w:customStyle="1" w:styleId="Avertissementtitre">
    <w:name w:val="Avertissement titre"/>
    <w:basedOn w:val="Normal"/>
    <w:next w:val="Normal"/>
    <w:pPr>
      <w:keepNext/>
      <w:spacing w:before="480"/>
    </w:pPr>
    <w:rPr>
      <w:u w:val="single"/>
    </w:rPr>
  </w:style>
  <w:style w:type="paragraph" w:customStyle="1" w:styleId="Confidence">
    <w:name w:val="Confidence"/>
    <w:basedOn w:val="Normal"/>
    <w:next w:val="Normal"/>
    <w:pPr>
      <w:spacing w:before="360"/>
      <w:jc w:val="center"/>
    </w:pPr>
  </w:style>
  <w:style w:type="paragraph" w:customStyle="1" w:styleId="Confidentialit">
    <w:name w:val="Confidentialité"/>
    <w:basedOn w:val="Normal"/>
    <w:next w:val="TypedudocumentPagedecouverture"/>
    <w:pPr>
      <w:spacing w:before="240" w:after="240"/>
      <w:ind w:left="5103"/>
      <w:jc w:val="left"/>
    </w:pPr>
    <w:rPr>
      <w:i/>
      <w:sz w:val="32"/>
    </w:rPr>
  </w:style>
  <w:style w:type="paragraph" w:customStyle="1" w:styleId="Considrant">
    <w:name w:val="Considérant"/>
    <w:basedOn w:val="Normal"/>
    <w:pPr>
      <w:numPr>
        <w:numId w:val="23"/>
      </w:numPr>
    </w:pPr>
  </w:style>
  <w:style w:type="paragraph" w:customStyle="1" w:styleId="Corrigendum">
    <w:name w:val="Corrigendum"/>
    <w:basedOn w:val="Normal"/>
    <w:next w:val="Normal"/>
    <w:pPr>
      <w:spacing w:before="0" w:after="240"/>
      <w:jc w:val="left"/>
    </w:pPr>
  </w:style>
  <w:style w:type="paragraph" w:customStyle="1" w:styleId="Datedadoption">
    <w:name w:val="Date d'adoption"/>
    <w:basedOn w:val="Normal"/>
    <w:next w:val="Titreobjet"/>
    <w:pPr>
      <w:spacing w:before="360" w:after="0"/>
      <w:jc w:val="center"/>
    </w:pPr>
    <w:rPr>
      <w:b/>
    </w:rPr>
  </w:style>
  <w:style w:type="paragraph" w:customStyle="1" w:styleId="Emission">
    <w:name w:val="Emission"/>
    <w:basedOn w:val="Normal"/>
    <w:next w:val="Rfrenceinstitutionnelle"/>
    <w:pPr>
      <w:spacing w:before="0" w:after="0"/>
      <w:ind w:left="5103"/>
      <w:jc w:val="left"/>
    </w:pPr>
  </w:style>
  <w:style w:type="paragraph" w:customStyle="1" w:styleId="Exposdesmotifstitre">
    <w:name w:val="Exposé des motifs titre"/>
    <w:basedOn w:val="Normal"/>
    <w:next w:val="Normal"/>
    <w:pPr>
      <w:jc w:val="center"/>
    </w:pPr>
    <w:rPr>
      <w:b/>
      <w:u w:val="single"/>
    </w:rPr>
  </w:style>
  <w:style w:type="paragraph" w:customStyle="1" w:styleId="Fait">
    <w:name w:val="Fait à"/>
    <w:basedOn w:val="Normal"/>
    <w:next w:val="Institutionquisigne"/>
    <w:pPr>
      <w:keepNext/>
      <w:spacing w:after="0"/>
    </w:pPr>
  </w:style>
  <w:style w:type="paragraph" w:customStyle="1" w:styleId="Formuledadoption">
    <w:name w:val="Formule d'adoption"/>
    <w:basedOn w:val="Normal"/>
    <w:next w:val="Titrearticle"/>
    <w:pPr>
      <w:keepNext/>
    </w:pPr>
  </w:style>
  <w:style w:type="paragraph" w:customStyle="1" w:styleId="Institutionquiagit">
    <w:name w:val="Institution qui agit"/>
    <w:basedOn w:val="Normal"/>
    <w:next w:val="Normal"/>
    <w:pPr>
      <w:keepNext/>
      <w:spacing w:before="600"/>
    </w:pPr>
  </w:style>
  <w:style w:type="paragraph" w:customStyle="1" w:styleId="Institutionquisigne">
    <w:name w:val="Institution qui signe"/>
    <w:basedOn w:val="Normal"/>
    <w:next w:val="Personnequisigne"/>
    <w:pPr>
      <w:keepNext/>
      <w:tabs>
        <w:tab w:val="left" w:pos="4252"/>
      </w:tabs>
      <w:spacing w:before="720" w:after="0"/>
    </w:pPr>
    <w:rPr>
      <w:i/>
    </w:rPr>
  </w:style>
  <w:style w:type="paragraph" w:customStyle="1" w:styleId="Langue">
    <w:name w:val="Langue"/>
    <w:basedOn w:val="Normal"/>
    <w:next w:val="Rfrenceinterne"/>
    <w:pPr>
      <w:framePr w:wrap="around" w:vAnchor="page" w:hAnchor="text" w:xAlign="center" w:y="14741"/>
      <w:spacing w:before="0" w:after="600"/>
      <w:jc w:val="center"/>
    </w:pPr>
    <w:rPr>
      <w:b/>
      <w:caps/>
    </w:rPr>
  </w:style>
  <w:style w:type="paragraph" w:customStyle="1" w:styleId="ManualConsidrant">
    <w:name w:val="Manual Considérant"/>
    <w:basedOn w:val="Normal"/>
    <w:pPr>
      <w:ind w:left="709" w:hanging="709"/>
    </w:pPr>
  </w:style>
  <w:style w:type="paragraph" w:customStyle="1" w:styleId="Nomdelinstitution">
    <w:name w:val="Nom de l'institution"/>
    <w:basedOn w:val="Normal"/>
    <w:next w:val="Emission"/>
    <w:pPr>
      <w:spacing w:before="0" w:after="0"/>
      <w:jc w:val="left"/>
    </w:pPr>
    <w:rPr>
      <w:rFonts w:ascii="Arial" w:hAnsi="Arial" w:cs="Arial"/>
    </w:rPr>
  </w:style>
  <w:style w:type="paragraph" w:customStyle="1" w:styleId="Personnequisigne">
    <w:name w:val="Personne qui signe"/>
    <w:basedOn w:val="Normal"/>
    <w:next w:val="Institutionquisigne"/>
    <w:pPr>
      <w:tabs>
        <w:tab w:val="left" w:pos="4252"/>
      </w:tabs>
      <w:spacing w:before="0" w:after="0"/>
      <w:jc w:val="left"/>
    </w:pPr>
    <w:rPr>
      <w:i/>
    </w:rPr>
  </w:style>
  <w:style w:type="paragraph" w:customStyle="1" w:styleId="Rfrenceinstitutionnelle">
    <w:name w:val="Référence institutionnelle"/>
    <w:basedOn w:val="Normal"/>
    <w:next w:val="Confidentialit"/>
    <w:pPr>
      <w:spacing w:before="0" w:after="240"/>
      <w:ind w:left="5103"/>
      <w:jc w:val="left"/>
    </w:pPr>
  </w:style>
  <w:style w:type="paragraph" w:customStyle="1" w:styleId="Rfrenceinterinstitutionnelle">
    <w:name w:val="Référence interinstitutionnelle"/>
    <w:basedOn w:val="Normal"/>
    <w:next w:val="Statut"/>
    <w:pPr>
      <w:spacing w:before="0" w:after="0"/>
      <w:ind w:left="5103"/>
      <w:jc w:val="left"/>
    </w:pPr>
  </w:style>
  <w:style w:type="paragraph" w:customStyle="1" w:styleId="Rfrenceinterne">
    <w:name w:val="Référence interne"/>
    <w:basedOn w:val="Normal"/>
    <w:next w:val="Rfrenceinterinstitutionnelle"/>
    <w:pPr>
      <w:spacing w:before="0" w:after="0"/>
      <w:ind w:left="5103"/>
      <w:jc w:val="left"/>
    </w:pPr>
  </w:style>
  <w:style w:type="paragraph" w:customStyle="1" w:styleId="Sous-titreobjet">
    <w:name w:val="Sous-titre objet"/>
    <w:basedOn w:val="Normal"/>
    <w:pPr>
      <w:spacing w:before="0" w:after="0"/>
      <w:jc w:val="center"/>
    </w:pPr>
    <w:rPr>
      <w:b/>
    </w:rPr>
  </w:style>
  <w:style w:type="paragraph" w:customStyle="1" w:styleId="Statut">
    <w:name w:val="Statut"/>
    <w:basedOn w:val="Normal"/>
    <w:next w:val="Typedudocument"/>
    <w:pPr>
      <w:spacing w:before="360" w:after="0"/>
      <w:jc w:val="center"/>
    </w:pPr>
  </w:style>
  <w:style w:type="paragraph" w:customStyle="1" w:styleId="Titrearticle">
    <w:name w:val="Titre article"/>
    <w:basedOn w:val="Normal"/>
    <w:next w:val="Normal"/>
    <w:pPr>
      <w:keepNext/>
      <w:spacing w:before="360"/>
      <w:jc w:val="center"/>
    </w:pPr>
    <w:rPr>
      <w:i/>
    </w:rPr>
  </w:style>
  <w:style w:type="paragraph" w:customStyle="1" w:styleId="Titreobjet">
    <w:name w:val="Titre objet"/>
    <w:basedOn w:val="Normal"/>
    <w:next w:val="Sous-titreobjet"/>
    <w:pPr>
      <w:spacing w:before="360" w:after="360"/>
      <w:jc w:val="center"/>
    </w:pPr>
    <w:rPr>
      <w:b/>
    </w:rPr>
  </w:style>
  <w:style w:type="paragraph" w:customStyle="1" w:styleId="Typedudocument">
    <w:name w:val="Type du document"/>
    <w:basedOn w:val="Normal"/>
    <w:next w:val="Titreobjet"/>
    <w:pPr>
      <w:spacing w:before="360" w:after="0"/>
      <w:jc w:val="center"/>
    </w:pPr>
    <w:rPr>
      <w:b/>
    </w:rPr>
  </w:style>
  <w:style w:type="character" w:customStyle="1" w:styleId="Added">
    <w:name w:val="Added"/>
    <w:basedOn w:val="DefaultParagraphFont"/>
    <w:rPr>
      <w:b/>
      <w:u w:val="single"/>
      <w:shd w:val="clear" w:color="auto" w:fill="auto"/>
    </w:rPr>
  </w:style>
  <w:style w:type="character" w:customStyle="1" w:styleId="Deleted">
    <w:name w:val="Deleted"/>
    <w:basedOn w:val="DefaultParagraphFont"/>
    <w:rPr>
      <w:strike/>
      <w:dstrike w:val="0"/>
      <w:shd w:val="clear" w:color="auto" w:fill="auto"/>
    </w:rPr>
  </w:style>
  <w:style w:type="paragraph" w:customStyle="1" w:styleId="Address">
    <w:name w:val="Address"/>
    <w:basedOn w:val="Normal"/>
    <w:next w:val="Normal"/>
    <w:pPr>
      <w:keepLines/>
      <w:spacing w:line="360" w:lineRule="auto"/>
      <w:ind w:left="3402"/>
      <w:jc w:val="left"/>
    </w:pPr>
  </w:style>
  <w:style w:type="paragraph" w:customStyle="1" w:styleId="Objetexterne">
    <w:name w:val="Objet externe"/>
    <w:basedOn w:val="Normal"/>
    <w:next w:val="Normal"/>
    <w:rPr>
      <w:i/>
      <w:caps/>
    </w:rPr>
  </w:style>
  <w:style w:type="paragraph" w:customStyle="1" w:styleId="Pagedecouverture">
    <w:name w:val="Page de couverture"/>
    <w:basedOn w:val="Normal"/>
    <w:next w:val="Normal"/>
    <w:pPr>
      <w:spacing w:before="0" w:after="0"/>
    </w:pPr>
  </w:style>
  <w:style w:type="paragraph" w:customStyle="1" w:styleId="Supertitre">
    <w:name w:val="Supertitre"/>
    <w:basedOn w:val="Normal"/>
    <w:next w:val="Normal"/>
    <w:pPr>
      <w:spacing w:before="0" w:after="600"/>
      <w:jc w:val="center"/>
    </w:pPr>
    <w:rPr>
      <w:b/>
    </w:rPr>
  </w:style>
  <w:style w:type="paragraph" w:customStyle="1" w:styleId="Languesfaisantfoi">
    <w:name w:val="Langues faisant foi"/>
    <w:basedOn w:val="Normal"/>
    <w:next w:val="Normal"/>
    <w:pPr>
      <w:spacing w:before="360" w:after="0"/>
      <w:jc w:val="center"/>
    </w:pPr>
  </w:style>
  <w:style w:type="paragraph" w:customStyle="1" w:styleId="Rfrencecroise">
    <w:name w:val="Référence croisée"/>
    <w:basedOn w:val="Normal"/>
    <w:pPr>
      <w:spacing w:before="0" w:after="0"/>
      <w:jc w:val="center"/>
    </w:pPr>
  </w:style>
  <w:style w:type="paragraph" w:customStyle="1" w:styleId="Fichefinanciretitre">
    <w:name w:val="Fiche financière titre"/>
    <w:basedOn w:val="Normal"/>
    <w:next w:val="Normal"/>
    <w:pPr>
      <w:jc w:val="center"/>
    </w:pPr>
    <w:rPr>
      <w:b/>
      <w:u w:val="single"/>
    </w:rPr>
  </w:style>
  <w:style w:type="paragraph" w:customStyle="1" w:styleId="DatedadoptionPagedecouverture">
    <w:name w:val="Date d'adoption (Page de couverture)"/>
    <w:basedOn w:val="Datedadoption"/>
    <w:next w:val="TitreobjetPagedecouverture"/>
  </w:style>
  <w:style w:type="paragraph" w:customStyle="1" w:styleId="RfrenceinterinstitutionnellePagedecouverture">
    <w:name w:val="Référence interinstitutionnelle (Page de couverture)"/>
    <w:basedOn w:val="Rfrenceinterinstitutionnelle"/>
    <w:next w:val="Confidentialit"/>
  </w:style>
  <w:style w:type="paragraph" w:customStyle="1" w:styleId="Sous-titreobjetPagedecouverture">
    <w:name w:val="Sous-titre objet (Page de couverture)"/>
    <w:basedOn w:val="Sous-titreobjet"/>
  </w:style>
  <w:style w:type="paragraph" w:customStyle="1" w:styleId="StatutPagedecouverture">
    <w:name w:val="Statut (Page de couverture)"/>
    <w:basedOn w:val="Statut"/>
    <w:next w:val="TypedudocumentPagedecouverture"/>
  </w:style>
  <w:style w:type="paragraph" w:customStyle="1" w:styleId="TitreobjetPagedecouverture">
    <w:name w:val="Titre objet (Page de couverture)"/>
    <w:basedOn w:val="Titreobjet"/>
    <w:next w:val="Sous-titreobjetPagedecouverture"/>
  </w:style>
  <w:style w:type="paragraph" w:customStyle="1" w:styleId="TypedudocumentPagedecouverture">
    <w:name w:val="Type du document (Page de couverture)"/>
    <w:basedOn w:val="Typedudocument"/>
    <w:next w:val="TitreobjetPagedecouverture"/>
  </w:style>
  <w:style w:type="paragraph" w:customStyle="1" w:styleId="Volume">
    <w:name w:val="Volume"/>
    <w:basedOn w:val="Normal"/>
    <w:next w:val="Confidentialit"/>
    <w:pPr>
      <w:spacing w:before="0" w:after="240"/>
      <w:ind w:left="5103"/>
      <w:jc w:val="left"/>
    </w:pPr>
  </w:style>
  <w:style w:type="paragraph" w:customStyle="1" w:styleId="IntrtEEE">
    <w:name w:val="Intérêt EEE"/>
    <w:basedOn w:val="Languesfaisantfoi"/>
    <w:next w:val="Normal"/>
    <w:pPr>
      <w:spacing w:after="240"/>
    </w:pPr>
  </w:style>
  <w:style w:type="paragraph" w:customStyle="1" w:styleId="Accompagnant">
    <w:name w:val="Accompagnant"/>
    <w:basedOn w:val="Normal"/>
    <w:next w:val="Typeacteprincipal"/>
    <w:pPr>
      <w:spacing w:before="0" w:after="240"/>
      <w:jc w:val="center"/>
    </w:pPr>
    <w:rPr>
      <w:b/>
      <w:i/>
    </w:rPr>
  </w:style>
  <w:style w:type="paragraph" w:customStyle="1" w:styleId="Typeacteprincipal">
    <w:name w:val="Type acte principal"/>
    <w:basedOn w:val="Normal"/>
    <w:next w:val="Objetacteprincipal"/>
    <w:pPr>
      <w:spacing w:before="0" w:after="240"/>
      <w:jc w:val="center"/>
    </w:pPr>
    <w:rPr>
      <w:b/>
    </w:rPr>
  </w:style>
  <w:style w:type="paragraph" w:customStyle="1" w:styleId="Objetacteprincipal">
    <w:name w:val="Objet acte principal"/>
    <w:basedOn w:val="Normal"/>
    <w:next w:val="Titrearticle"/>
    <w:pPr>
      <w:spacing w:before="0" w:after="360"/>
      <w:jc w:val="center"/>
    </w:pPr>
    <w:rPr>
      <w:b/>
    </w:rPr>
  </w:style>
  <w:style w:type="paragraph" w:customStyle="1" w:styleId="IntrtEEEPagedecouverture">
    <w:name w:val="Intérêt EEE (Page de couverture)"/>
    <w:basedOn w:val="IntrtEEE"/>
    <w:next w:val="Rfrencecroise"/>
  </w:style>
  <w:style w:type="paragraph" w:customStyle="1" w:styleId="AccompagnantPagedecouverture">
    <w:name w:val="Accompagnant (Page de couverture)"/>
    <w:basedOn w:val="Accompagnant"/>
    <w:next w:val="TypeacteprincipalPagedecouverture"/>
  </w:style>
  <w:style w:type="paragraph" w:customStyle="1" w:styleId="TypeacteprincipalPagedecouverture">
    <w:name w:val="Type acte principal (Page de couverture)"/>
    <w:basedOn w:val="Typeacteprincipal"/>
    <w:next w:val="ObjetacteprincipalPagedecouverture"/>
  </w:style>
  <w:style w:type="paragraph" w:customStyle="1" w:styleId="ObjetacteprincipalPagedecouverture">
    <w:name w:val="Objet acte principal (Page de couverture)"/>
    <w:basedOn w:val="Objetacteprincipal"/>
    <w:next w:val="Rfrencecroise"/>
  </w:style>
  <w:style w:type="paragraph" w:customStyle="1" w:styleId="LanguesfaisantfoiPagedecouverture">
    <w:name w:val="Langues faisant foi (Page de couverture)"/>
    <w:basedOn w:val="Normal"/>
    <w:next w:val="Normal"/>
    <w:pPr>
      <w:spacing w:before="360" w:after="0"/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841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theme" Target="theme/theme1.xml"/></Relationships>
</file>

<file path=word/_rels/footnotes.xml.rels><?xml version='1.0' encoding='UTF-8' standalone='yes'?>
<Relationships xmlns="http://schemas.openxmlformats.org/package/2006/relationships"><Relationship Id="rId1" Type="http://schemas.openxmlformats.org/officeDocument/2006/relationships/hyperlink" Target="http://ec.europa.eu/food/safety/food_improvement_agents/additives/eu_rules_en" TargetMode="External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file:///C:\Users\Public\Documents\Templates\COM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7AFD43-1B8B-4D25-B527-F941DF566E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COM.dotm</Template>
  <TotalTime>1</TotalTime>
  <Pages>3</Pages>
  <Words>465</Words>
  <Characters>3564</Characters>
  <Application>Microsoft Office Word</Application>
  <DocSecurity>0</DocSecurity>
  <Lines>64</Lines>
  <Paragraphs>29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SANTE/11716/2016-EN</vt:lpstr>
      <vt:lpstr>SANTE/11284/2015-EN</vt:lpstr>
    </vt:vector>
  </TitlesOfParts>
  <Manager/>
  <Company/>
  <LinksUpToDate>false</LinksUpToDate>
  <CharactersWithSpaces>4000</CharactersWithSpaces>
  <SharedDoc>false</SharedDoc>
  <HLinks>
    <vt:vector size="6" baseType="variant">
      <vt:variant>
        <vt:i4>1114133</vt:i4>
      </vt:variant>
      <vt:variant>
        <vt:i4>0</vt:i4>
      </vt:variant>
      <vt:variant>
        <vt:i4>0</vt:i4>
      </vt:variant>
      <vt:variant>
        <vt:i4>5</vt:i4>
      </vt:variant>
      <vt:variant>
        <vt:lpwstr>http://ec.europa.eu/food/safety/food_improvement_agents/additives/eu_rules_en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SANTE/11716/2016-EN</dc:title>
  <dc:subject>commission regulation</dc:subject>
  <dc:creator/>
  <cp:keywords>11716</cp:keywords>
  <dc:description>Outlook 9,2,2017</dc:description>
  <cp:lastModifiedBy/>
  <cp:revision>19</cp:revision>
  <cp:lastPrinted>2016-12-02T14:27:00Z</cp:lastPrinted>
  <dcterms:created xsi:type="dcterms:W3CDTF">2017-03-01T15:49:00Z</dcterms:created>
  <dcterms:modified xsi:type="dcterms:W3CDTF">2017-05-17T12:50:00Z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tegory">
    <vt:lpwstr>COM/AA</vt:lpwstr>
  </property>
  <property fmtid="{D5CDD505-2E9C-101B-9397-08002B2CF9AE}" pid="3" name="Classification">
    <vt:lpwstr> </vt:lpwstr>
  </property>
  <property fmtid="{D5CDD505-2E9C-101B-9397-08002B2CF9AE}" pid="4" name="Version">
    <vt:lpwstr>5.8.86.0</vt:lpwstr>
  </property>
  <property fmtid="{D5CDD505-2E9C-101B-9397-08002B2CF9AE}" pid="5" name="Last edited using">
    <vt:lpwstr>LW 5.8.4, Build 20150407</vt:lpwstr>
  </property>
  <property fmtid="{D5CDD505-2E9C-101B-9397-08002B2CF9AE}" pid="6" name="Created using">
    <vt:lpwstr>LW 5.8.3, Build 20140113</vt:lpwstr>
  </property>
  <property fmtid="{D5CDD505-2E9C-101B-9397-08002B2CF9AE}" pid="7" name="Part">
    <vt:lpwstr>1</vt:lpwstr>
  </property>
  <property fmtid="{D5CDD505-2E9C-101B-9397-08002B2CF9AE}" pid="8" name="Total parts">
    <vt:lpwstr>1</vt:lpwstr>
  </property>
  <property fmtid="{D5CDD505-2E9C-101B-9397-08002B2CF9AE}" pid="9" name="LWTemplateID">
    <vt:lpwstr>SJ-001</vt:lpwstr>
  </property>
  <property fmtid="{D5CDD505-2E9C-101B-9397-08002B2CF9AE}" pid="10" name="DQCStatus">
    <vt:lpwstr>Yellow (DQC version 03)</vt:lpwstr>
  </property>
  <property name="OP_sanitized" fmtid="{D5CDD505-2E9C-101B-9397-08002B2CF9AE}" pid="11">
    <vt:lpwstr>True</vt:lpwstr>
  </property>
</Properties>
</file>