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42" type="#_x0000_t75" alt="EDF0F285090C432FA15AE3DCDF12B5EE" style="width:450.75pt;height:397.5pt">
            <v:imagedata r:id="rId9" o:title=""/>
          </v:shape>
        </w:pict>
      </w:r>
    </w:p>
    <w:p>
      <w:pPr>
        <w:rPr>
          <w:noProof/>
        </w:rPr>
        <w:sectPr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7" w:h="16839"/>
          <w:pgMar w:top="1134" w:right="1417" w:bottom="1134" w:left="1417" w:header="709" w:footer="709" w:gutter="0"/>
          <w:pgNumType w:start="1"/>
          <w:cols w:space="720"/>
          <w:docGrid w:linePitch="360"/>
        </w:sectPr>
      </w:pPr>
    </w:p>
    <w:p>
      <w:pPr>
        <w:pStyle w:val="Annexetitre"/>
        <w:rPr>
          <w:noProof/>
        </w:rPr>
      </w:pPr>
      <w:bookmarkStart w:id="0" w:name="_GoBack"/>
      <w:bookmarkEnd w:id="0"/>
      <w:r>
        <w:rPr>
          <w:noProof/>
        </w:rPr>
        <w:lastRenderedPageBreak/>
        <w:t>ANNEXE</w:t>
      </w:r>
    </w:p>
    <w:p>
      <w:pPr>
        <w:rPr>
          <w:noProof/>
        </w:rPr>
      </w:pPr>
      <w:r>
        <w:rPr>
          <w:noProof/>
        </w:rPr>
        <w:t xml:space="preserve">À l’annexe II, partie E, du règlement (CE) nº 1333/2008, dans la catégorie de denrées alimentaires 08.2 «Préparations de viandes au sens du règlement (CE) nº 853/2004», l’entrée concernant les nitrites (E 249-250) est remplacée par le texte suivant: </w:t>
      </w:r>
    </w:p>
    <w:p>
      <w:pPr>
        <w:rPr>
          <w:rFonts w:cs="EUAlbertina"/>
          <w:noProof/>
        </w:rPr>
      </w:pPr>
      <w:r>
        <w:rPr>
          <w:noProof/>
        </w:rPr>
        <w:t>«</w:t>
      </w:r>
    </w:p>
    <w:tbl>
      <w:tblPr>
        <w:tblW w:w="1478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851"/>
        <w:gridCol w:w="1532"/>
        <w:gridCol w:w="3652"/>
        <w:gridCol w:w="1336"/>
        <w:gridCol w:w="1205"/>
        <w:gridCol w:w="6212"/>
      </w:tblGrid>
      <w:tr>
        <w:trPr>
          <w:trHeight w:val="256"/>
        </w:trPr>
        <w:tc>
          <w:tcPr>
            <w:tcW w:w="851" w:type="dxa"/>
            <w:shd w:val="clear" w:color="auto" w:fill="auto"/>
            <w:noWrap/>
          </w:tcPr>
          <w:p>
            <w:pPr>
              <w:spacing w:before="40" w:after="40"/>
              <w:jc w:val="left"/>
              <w:rPr>
                <w:noProof/>
                <w:sz w:val="20"/>
                <w:highlight w:val="yellow"/>
              </w:rPr>
            </w:pPr>
          </w:p>
        </w:tc>
        <w:tc>
          <w:tcPr>
            <w:tcW w:w="1532" w:type="dxa"/>
            <w:shd w:val="clear" w:color="auto" w:fill="auto"/>
            <w:noWrap/>
          </w:tcPr>
          <w:p>
            <w:pPr>
              <w:spacing w:before="40" w:after="40"/>
              <w:jc w:val="left"/>
              <w:rPr>
                <w:noProof/>
                <w:sz w:val="20"/>
                <w:highlight w:val="yellow"/>
              </w:rPr>
            </w:pPr>
            <w:r>
              <w:rPr>
                <w:noProof/>
                <w:sz w:val="20"/>
              </w:rPr>
              <w:t>E 249-250</w:t>
            </w:r>
          </w:p>
        </w:tc>
        <w:tc>
          <w:tcPr>
            <w:tcW w:w="3652" w:type="dxa"/>
            <w:shd w:val="clear" w:color="auto" w:fill="auto"/>
            <w:noWrap/>
          </w:tcPr>
          <w:p>
            <w:pPr>
              <w:spacing w:before="40" w:after="40"/>
              <w:jc w:val="left"/>
              <w:rPr>
                <w:noProof/>
                <w:sz w:val="20"/>
                <w:highlight w:val="yellow"/>
              </w:rPr>
            </w:pPr>
            <w:r>
              <w:rPr>
                <w:noProof/>
                <w:sz w:val="20"/>
              </w:rPr>
              <w:t>Nitrites</w:t>
            </w:r>
          </w:p>
        </w:tc>
        <w:tc>
          <w:tcPr>
            <w:tcW w:w="1336" w:type="dxa"/>
            <w:shd w:val="clear" w:color="auto" w:fill="auto"/>
            <w:noWrap/>
          </w:tcPr>
          <w:p>
            <w:pPr>
              <w:spacing w:before="40" w:after="40"/>
              <w:jc w:val="left"/>
              <w:rPr>
                <w:noProof/>
                <w:sz w:val="20"/>
                <w:highlight w:val="yellow"/>
              </w:rPr>
            </w:pPr>
            <w:r>
              <w:rPr>
                <w:noProof/>
                <w:sz w:val="20"/>
              </w:rPr>
              <w:t>150</w:t>
            </w:r>
          </w:p>
        </w:tc>
        <w:tc>
          <w:tcPr>
            <w:tcW w:w="1205" w:type="dxa"/>
            <w:shd w:val="clear" w:color="auto" w:fill="auto"/>
            <w:noWrap/>
          </w:tcPr>
          <w:p>
            <w:pPr>
              <w:spacing w:before="40" w:after="40"/>
              <w:jc w:val="left"/>
              <w:rPr>
                <w:noProof/>
                <w:sz w:val="20"/>
                <w:highlight w:val="yellow"/>
              </w:rPr>
            </w:pPr>
            <w:r>
              <w:rPr>
                <w:noProof/>
                <w:sz w:val="20"/>
              </w:rPr>
              <w:t>(7)</w:t>
            </w:r>
          </w:p>
        </w:tc>
        <w:tc>
          <w:tcPr>
            <w:tcW w:w="6212" w:type="dxa"/>
            <w:shd w:val="clear" w:color="auto" w:fill="auto"/>
          </w:tcPr>
          <w:p>
            <w:pPr>
              <w:spacing w:before="40" w:after="40"/>
              <w:jc w:val="left"/>
              <w:rPr>
                <w:noProof/>
                <w:sz w:val="20"/>
                <w:highlight w:val="yellow"/>
              </w:rPr>
            </w:pPr>
            <w:r>
              <w:rPr>
                <w:noProof/>
                <w:sz w:val="20"/>
              </w:rPr>
              <w:t xml:space="preserve">Uniquement </w:t>
            </w:r>
            <w:r>
              <w:rPr>
                <w:i/>
                <w:noProof/>
                <w:sz w:val="20"/>
              </w:rPr>
              <w:t xml:space="preserve">lomo de cerdo adobado, pincho moruno, careta de cerdo adobada, costilla de cerdo adobada, Kasseler, Bräte, Surfleisch, toorvorst, šašlõkk, ahjupraad, kiełbasa surowa biała, kiełbasa surowa metka, tatar wołowy (danie tatarskie) </w:t>
            </w:r>
            <w:r>
              <w:rPr>
                <w:noProof/>
                <w:sz w:val="20"/>
              </w:rPr>
              <w:t>et</w:t>
            </w:r>
            <w:r>
              <w:rPr>
                <w:i/>
                <w:noProof/>
                <w:sz w:val="20"/>
              </w:rPr>
              <w:t xml:space="preserve"> golonka peklowana</w:t>
            </w:r>
            <w:r>
              <w:rPr>
                <w:noProof/>
                <w:sz w:val="20"/>
              </w:rPr>
              <w:t xml:space="preserve"> </w:t>
            </w:r>
          </w:p>
        </w:tc>
      </w:tr>
    </w:tbl>
    <w:p>
      <w:pPr>
        <w:jc w:val="right"/>
        <w:rPr>
          <w:rFonts w:cs="EUAlbertina"/>
          <w:noProof/>
        </w:rPr>
      </w:pPr>
      <w:r>
        <w:rPr>
          <w:noProof/>
        </w:rPr>
        <w:t>»</w:t>
      </w:r>
    </w:p>
    <w:sectPr>
      <w:headerReference w:type="default" r:id="rId16"/>
      <w:footerReference w:type="default" r:id="rId17"/>
      <w:headerReference w:type="first" r:id="rId18"/>
      <w:footerReference w:type="first" r:id="rId19"/>
      <w:pgSz w:w="16839" w:h="11907" w:orient="landscape"/>
      <w:pgMar w:top="1417" w:right="1134" w:bottom="1417" w:left="1134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>
      <w:pPr>
        <w:spacing w:before="0" w:after="0"/>
      </w:pPr>
      <w:r>
        <w:separator/>
      </w:r>
    </w:p>
  </w:endnote>
  <w:endnote w:type="continuationSeparator" w:id="0">
    <w:p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FR</w:t>
    </w:r>
    <w:r>
      <w:rPr>
        <w:rFonts w:ascii="Arial" w:hAnsi="Arial" w:cs="Arial"/>
        <w:b/>
        <w:sz w:val="48"/>
      </w:rPr>
      <w:tab/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FR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andscape"/>
      <w:rPr>
        <w:rFonts w:ascii="Arial" w:hAnsi="Arial" w:cs="Arial"/>
        <w:b/>
        <w:sz w:val="48"/>
      </w:rPr>
    </w:pPr>
    <w:r>
      <w:rPr>
        <w:rFonts w:ascii="Arial" w:hAnsi="Arial" w:cs="Arial"/>
        <w:b/>
        <w:sz w:val="48"/>
      </w:rPr>
      <w:t>FR</w:t>
    </w:r>
    <w:r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>
      <w:rPr>
        <w:noProof/>
      </w:rPr>
      <w:t>1</w:t>
    </w:r>
    <w:r>
      <w:fldChar w:fldCharType="end"/>
    </w:r>
    <w:r>
      <w:tab/>
    </w:r>
    <w:r>
      <w:fldChar w:fldCharType="begin"/>
    </w:r>
    <w:r>
      <w:instrText xml:space="preserve"> DOCVARIABLE "LW_Confidence" \* MERGEFORMAT </w:instrText>
    </w:r>
    <w:r>
      <w:fldChar w:fldCharType="separate"/>
    </w:r>
    <w:r>
      <w:t xml:space="preserve"> </w:t>
    </w:r>
    <w:r>
      <w:fldChar w:fldCharType="end"/>
    </w:r>
    <w:r>
      <w:tab/>
    </w:r>
    <w:r>
      <w:rPr>
        <w:rFonts w:ascii="Arial" w:hAnsi="Arial" w:cs="Arial"/>
        <w:b/>
        <w:sz w:val="48"/>
      </w:rPr>
      <w:t>FR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FooterLandscap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>
      <w:pPr>
        <w:spacing w:before="0" w:after="0"/>
      </w:pPr>
      <w:r>
        <w:separator/>
      </w:r>
    </w:p>
  </w:footnote>
  <w:footnote w:type="continuationSeparator" w:id="0">
    <w:p>
      <w:pPr>
        <w:spacing w:before="0"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andscape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>
    <w:pPr>
      <w:pStyle w:val="HeaderLandscap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D"/>
    <w:multiLevelType w:val="singleLevel"/>
    <w:tmpl w:val="ADA634E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1">
    <w:nsid w:val="FFFFFF7E"/>
    <w:multiLevelType w:val="singleLevel"/>
    <w:tmpl w:val="8D6260A0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2">
    <w:nsid w:val="FFFFFF7F"/>
    <w:multiLevelType w:val="singleLevel"/>
    <w:tmpl w:val="D5165A2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3">
    <w:nsid w:val="FFFFFF81"/>
    <w:multiLevelType w:val="singleLevel"/>
    <w:tmpl w:val="B91A9846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4">
    <w:nsid w:val="FFFFFF82"/>
    <w:multiLevelType w:val="singleLevel"/>
    <w:tmpl w:val="021C24B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5">
    <w:nsid w:val="FFFFFF83"/>
    <w:multiLevelType w:val="singleLevel"/>
    <w:tmpl w:val="F3BC0B94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6">
    <w:nsid w:val="FFFFFF88"/>
    <w:multiLevelType w:val="singleLevel"/>
    <w:tmpl w:val="0A56D7F2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FFFFFF89"/>
    <w:multiLevelType w:val="singleLevel"/>
    <w:tmpl w:val="415498B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9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11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12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13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4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5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6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7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8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9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21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7"/>
  </w:num>
  <w:num w:numId="2">
    <w:abstractNumId w:val="5"/>
  </w:num>
  <w:num w:numId="3">
    <w:abstractNumId w:val="4"/>
  </w:num>
  <w:num w:numId="4">
    <w:abstractNumId w:val="3"/>
  </w:num>
  <w:num w:numId="5">
    <w:abstractNumId w:val="6"/>
  </w:num>
  <w:num w:numId="6">
    <w:abstractNumId w:val="2"/>
  </w:num>
  <w:num w:numId="7">
    <w:abstractNumId w:val="1"/>
  </w:num>
  <w:num w:numId="8">
    <w:abstractNumId w:val="0"/>
  </w:num>
  <w:num w:numId="9">
    <w:abstractNumId w:val="18"/>
  </w:num>
  <w:num w:numId="10">
    <w:abstractNumId w:val="12"/>
  </w:num>
  <w:num w:numId="11">
    <w:abstractNumId w:val="20"/>
  </w:num>
  <w:num w:numId="12">
    <w:abstractNumId w:val="11"/>
  </w:num>
  <w:num w:numId="13">
    <w:abstractNumId w:val="13"/>
  </w:num>
  <w:num w:numId="14">
    <w:abstractNumId w:val="9"/>
  </w:num>
  <w:num w:numId="15">
    <w:abstractNumId w:val="19"/>
  </w:num>
  <w:num w:numId="16">
    <w:abstractNumId w:val="8"/>
  </w:num>
  <w:num w:numId="17">
    <w:abstractNumId w:val="14"/>
  </w:num>
  <w:num w:numId="18">
    <w:abstractNumId w:val="16"/>
  </w:num>
  <w:num w:numId="19">
    <w:abstractNumId w:val="17"/>
  </w:num>
  <w:num w:numId="20">
    <w:abstractNumId w:val="10"/>
  </w:num>
  <w:num w:numId="21">
    <w:abstractNumId w:val="15"/>
  </w:num>
  <w:num w:numId="22">
    <w:abstractNumId w:val="21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zoom w:percent="120"/>
  <w:displayBackgroundShape/>
  <w:hideSpellingErrors/>
  <w:hideGrammaticalErrors/>
  <w:attachedTemplate r:id="rId1"/>
  <w:revisionView w:markup="0"/>
  <w:doNotTrackMoves/>
  <w:defaultTabStop w:val="720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overrideTableStyleFontSizeAndJustification" w:uri="http://schemas.microsoft.com/office/word" w:val="1"/>
  </w:compat>
  <w:docVars>
    <w:docVar w:name="COVERPAGE_EXISTS" w:val="True"/>
    <w:docVar w:name="DQCDateTime" w:val="2017-02-28 16:51:06"/>
    <w:docVar w:name="DQCResult_Distribution" w:val="0;0"/>
    <w:docVar w:name="DQCResult_DocumentContent" w:val="0;0"/>
    <w:docVar w:name="DQCResult_DocumentSize" w:val="0;0"/>
    <w:docVar w:name="DQCResult_DocumentVersions" w:val="0;0"/>
    <w:docVar w:name="DQCResult_ExistenceOfMacros" w:val="0;0"/>
    <w:docVar w:name="DQCResult_InvalidFootnotes" w:val="0;0"/>
    <w:docVar w:name="DQCResult_LinkedStyles" w:val="0;0"/>
    <w:docVar w:name="DQCResult_ModifiedMargins" w:val="0;0"/>
    <w:docVar w:name="DQCResult_ModifiedMarkers" w:val="0;0"/>
    <w:docVar w:name="DQCResult_ModifiedNumbering" w:val="0;0"/>
    <w:docVar w:name="DQCResult_Objects" w:val="0;0"/>
    <w:docVar w:name="DQCResult_Sections" w:val="0;0"/>
    <w:docVar w:name="DQCResult_StructureCheck" w:val="0;0"/>
    <w:docVar w:name="DQCResult_SuperfluousWhitespace" w:val="0;0"/>
    <w:docVar w:name="DQCResult_UnknownFonts" w:val="0;0"/>
    <w:docVar w:name="DQCResult_UnknownStyles" w:val="0;0"/>
    <w:docVar w:name="DQCStatus" w:val="Yellow"/>
    <w:docVar w:name="DQCVersion" w:val="3"/>
    <w:docVar w:name="DQCWithWarnings" w:val="0"/>
    <w:docVar w:name="LW_ACCOMPAGNANT.CP" w:val="au"/>
    <w:docVar w:name="LW_ANNEX_NBR_FIRST" w:val="1"/>
    <w:docVar w:name="LW_ANNEX_NBR_LAST" w:val="1"/>
    <w:docVar w:name="LW_CONFIDENCE" w:val=" "/>
    <w:docVar w:name="LW_CONST_RESTREINT_UE" w:val="RESTREINT UE"/>
    <w:docVar w:name="LW_CORRIGENDUM" w:val="&lt;UNUSED&gt;"/>
    <w:docVar w:name="LW_COVERPAGE_GUID" w:val="EDF0F285090C432FA15AE3DCDF12B5EE"/>
    <w:docVar w:name="LW_CROSSREFERENCE" w:val="&lt;UNUSED&gt;"/>
    <w:docVar w:name="LW_DocType" w:val="ANNEX"/>
    <w:docVar w:name="LW_EMISSION" w:val="17.5.2017"/>
    <w:docVar w:name="LW_EMISSION_ISODATE" w:val="2017-05-17"/>
    <w:docVar w:name="LW_EMISSION_LOCATION" w:val="BRX"/>
    <w:docVar w:name="LW_EMISSION_PREFIX" w:val="Bruxelles, le "/>
    <w:docVar w:name="LW_EMISSION_SUFFIX" w:val=" "/>
    <w:docVar w:name="LW_ID_DOCSTRUCTURE" w:val="COM/ANNEX"/>
    <w:docVar w:name="LW_ID_DOCTYPE" w:val="SG-068"/>
    <w:docVar w:name="LW_LANGUE" w:val="FR"/>
    <w:docVar w:name="LW_MARKING" w:val="&lt;UNUSED&gt;"/>
    <w:docVar w:name="LW_NOM.INST" w:val="COMMISSION EUROPÉENNE"/>
    <w:docVar w:name="LW_NOM.INST_JOINTDOC" w:val="&lt;EMPTY&gt;"/>
    <w:docVar w:name="LW_OBJETACTEPRINCIPAL" w:val="_x000b_modifiant l\u8217?annexe&lt;LWCR:NBS&gt;II du règlement (CE) nº&lt;LWCR:NBS&gt;1333/2008 du Parlement européen et du Conseil en ce qui concerne l\u8217?utilisation de nitrites (E 249-250) dans la golonka peklowana _x0009__x000b__x000b_"/>
    <w:docVar w:name="LW_OBJETACTEPRINCIPAL.CP" w:val="modifiant l\u8217?annexe II du règlement (CE) nº 1333/2008 du Parlement européen et du Conseil en ce qui concerne l\u8217?utilisation de nitrites (E 249-250) dans la golonka peklowana"/>
    <w:docVar w:name="LW_OBJETACTEPRINCIPAL_CONTENT_FMTD" w:val="modifiant l\u8217?annexe II du règlement (CE) nº 1333/2008 du Parlement européen et du Conseil en ce qui concerne l\u8217?utilisation de nitrites (E 249-250) dans la golonka peklowana"/>
    <w:docVar w:name="LW_OBJETACTEPRINCIPAL_USEMAINTEXTFORCP" w:val="1"/>
    <w:docVar w:name="LW_PART_NBR" w:val="1"/>
    <w:docVar w:name="LW_PART_NBR_TOTAL" w:val="1"/>
    <w:docVar w:name="LW_REF.INST.NEW" w:val="C"/>
    <w:docVar w:name="LW_REF.INST.NEW_ADOPTED" w:val="final"/>
    <w:docVar w:name="LW_REF.INST.NEW_TEXT" w:val="(2017) 3165"/>
    <w:docVar w:name="LW_REF.INTERNE" w:val="&lt;UNUSED&gt;"/>
    <w:docVar w:name="LW_SUPERTITRE" w:val="&lt;UNUSED&gt;"/>
    <w:docVar w:name="LW_TITRE.OBJ.CP" w:val="&lt;UNUSED&gt;"/>
    <w:docVar w:name="LW_TYPE.DOC.CP" w:val="ANNEXE"/>
    <w:docVar w:name="LW_TYPEACTEPRINCIPAL.CP" w:val="RÈGLEMENT (UE) \u8230?/\u8230? DE LA COMMISSION"/>
  </w:docVar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fr-FR" w:eastAsia="fr-FR" w:bidi="fr-FR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/>
      <w:sz w:val="24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15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15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15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15"/>
      </w:numPr>
      <w:outlineLvl w:val="3"/>
    </w:pPr>
    <w:rPr>
      <w:rFonts w:eastAsiaTheme="majorEastAsia"/>
      <w:bCs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Bullet">
    <w:name w:val="List Bullet"/>
    <w:basedOn w:val="Normal"/>
    <w:uiPriority w:val="99"/>
    <w:semiHidden/>
    <w:unhideWhenUsed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pPr>
      <w:numPr>
        <w:numId w:val="4"/>
      </w:numPr>
      <w:contextualSpacing/>
    </w:pPr>
  </w:style>
  <w:style w:type="paragraph" w:styleId="Caption">
    <w:name w:val="caption"/>
    <w:basedOn w:val="Normal"/>
    <w:next w:val="Normal"/>
    <w:uiPriority w:val="35"/>
    <w:semiHidden/>
    <w:unhideWhenUsed/>
    <w:qFormat/>
    <w:rPr>
      <w:b/>
      <w:bCs/>
      <w:sz w:val="20"/>
      <w:szCs w:val="20"/>
    </w:rPr>
  </w:style>
  <w:style w:type="paragraph" w:styleId="TableofFigures">
    <w:name w:val="table of figures"/>
    <w:basedOn w:val="Normal"/>
    <w:next w:val="Normal"/>
    <w:uiPriority w:val="99"/>
    <w:semiHidden/>
    <w:unhideWhenUsed/>
  </w:style>
  <w:style w:type="paragraph" w:styleId="ListNumber">
    <w:name w:val="List Number"/>
    <w:basedOn w:val="Normal"/>
    <w:uiPriority w:val="99"/>
    <w:semiHidden/>
    <w:unhideWhenUsed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semiHidden/>
    <w:unhideWhenUsed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semiHidden/>
    <w:unhideWhenUsed/>
    <w:pPr>
      <w:numPr>
        <w:numId w:val="7"/>
      </w:numPr>
      <w:contextualSpacing/>
    </w:pPr>
  </w:style>
  <w:style w:type="paragraph" w:styleId="ListNumber4">
    <w:name w:val="List Number 4"/>
    <w:basedOn w:val="Normal"/>
    <w:uiPriority w:val="99"/>
    <w:semiHidden/>
    <w:unhideWhenUsed/>
    <w:pPr>
      <w:numPr>
        <w:numId w:val="8"/>
      </w:numPr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pPr>
      <w:spacing w:before="0"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Pr>
      <w:rFonts w:ascii="Tahoma" w:hAnsi="Tahoma" w:cs="Tahoma"/>
      <w:sz w:val="16"/>
      <w:szCs w:val="16"/>
    </w:rPr>
  </w:style>
  <w:style w:type="character" w:styleId="CommentReference">
    <w:name w:val="annotation reference"/>
    <w:uiPriority w:val="99"/>
    <w:semiHidden/>
    <w:unhideWhenUsed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Pr>
      <w:rFonts w:ascii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Pr>
      <w:rFonts w:ascii="Times New Roman" w:hAnsi="Times New Roman"/>
      <w:b/>
      <w:bCs/>
    </w:rPr>
  </w:style>
  <w:style w:type="character" w:styleId="Hyperlink">
    <w:name w:val="Hyperlink"/>
    <w:uiPriority w:val="99"/>
    <w:unhideWhenUsed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35"/>
        <w:tab w:val="right" w:pos="9071"/>
      </w:tabs>
      <w:spacing w:before="0"/>
    </w:pPr>
    <w:rPr>
      <w:lang w:eastAsia="en-US" w:bidi="ar-SA"/>
    </w:rPr>
  </w:style>
  <w:style w:type="character" w:customStyle="1" w:styleId="HeaderChar">
    <w:name w:val="Header Char"/>
    <w:link w:val="Header"/>
    <w:uiPriority w:val="99"/>
    <w:rPr>
      <w:rFonts w:ascii="Times New Roman" w:hAnsi="Times New Roman"/>
      <w:sz w:val="24"/>
      <w:lang w:eastAsia="en-US" w:bidi="ar-SA"/>
    </w:rPr>
  </w:style>
  <w:style w:type="paragraph" w:styleId="Footer">
    <w:name w:val="footer"/>
    <w:basedOn w:val="Normal"/>
    <w:link w:val="FooterChar"/>
    <w:uiPriority w:val="99"/>
    <w:unhideWhenUsed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character" w:customStyle="1" w:styleId="FooterChar">
    <w:name w:val="Footer Char"/>
    <w:basedOn w:val="DefaultParagraphFont"/>
    <w:link w:val="Footer"/>
    <w:uiPriority w:val="99"/>
    <w:rPr>
      <w:rFonts w:ascii="Times New Roman" w:hAnsi="Times New Roman" w:cs="Times New Roman"/>
      <w:sz w:val="24"/>
      <w:shd w:val="clear" w:color="auto" w:fill="auto"/>
      <w:lang w:val="en-GB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/>
      <w:b/>
      <w:bCs/>
      <w:smallCaps/>
      <w:sz w:val="24"/>
      <w:szCs w:val="28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/>
      <w:b/>
      <w:bCs/>
      <w:sz w:val="24"/>
      <w:szCs w:val="26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/>
      <w:bCs/>
      <w:i/>
      <w:sz w:val="24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/>
      <w:bCs/>
      <w:iCs/>
      <w:sz w:val="24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</w:pPr>
  </w:style>
  <w:style w:type="paragraph" w:customStyle="1" w:styleId="HeaderLandscape">
    <w:name w:val="HeaderLandscape"/>
    <w:basedOn w:val="Normal"/>
    <w:pPr>
      <w:tabs>
        <w:tab w:val="center" w:pos="7285"/>
        <w:tab w:val="right" w:pos="14003"/>
      </w:tabs>
      <w:spacing w:before="0"/>
    </w:pPr>
    <w:rPr>
      <w:lang w:eastAsia="en-US" w:bidi="ar-SA"/>
    </w:rPr>
  </w:style>
  <w:style w:type="paragraph" w:customStyle="1" w:styleId="FooterLandscape">
    <w:name w:val="FooterLandscape"/>
    <w:basedOn w:val="Normal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Tiret0">
    <w:name w:val="Tiret 0"/>
    <w:basedOn w:val="Point0"/>
    <w:pPr>
      <w:numPr>
        <w:numId w:val="9"/>
      </w:numPr>
    </w:pPr>
  </w:style>
  <w:style w:type="paragraph" w:customStyle="1" w:styleId="Tiret1">
    <w:name w:val="Tiret 1"/>
    <w:basedOn w:val="Point1"/>
    <w:pPr>
      <w:numPr>
        <w:numId w:val="10"/>
      </w:numPr>
    </w:pPr>
  </w:style>
  <w:style w:type="paragraph" w:customStyle="1" w:styleId="Tiret2">
    <w:name w:val="Tiret 2"/>
    <w:basedOn w:val="Point2"/>
    <w:pPr>
      <w:numPr>
        <w:numId w:val="11"/>
      </w:numPr>
    </w:pPr>
  </w:style>
  <w:style w:type="paragraph" w:customStyle="1" w:styleId="Tiret3">
    <w:name w:val="Tiret 3"/>
    <w:basedOn w:val="Point3"/>
    <w:pPr>
      <w:numPr>
        <w:numId w:val="12"/>
      </w:numPr>
    </w:pPr>
  </w:style>
  <w:style w:type="paragraph" w:customStyle="1" w:styleId="Tiret4">
    <w:name w:val="Tiret 4"/>
    <w:basedOn w:val="Point4"/>
    <w:pPr>
      <w:numPr>
        <w:numId w:val="13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14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14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14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14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16"/>
      </w:numPr>
    </w:pPr>
  </w:style>
  <w:style w:type="paragraph" w:customStyle="1" w:styleId="Point1number">
    <w:name w:val="Point 1 (number)"/>
    <w:basedOn w:val="Normal"/>
    <w:pPr>
      <w:numPr>
        <w:ilvl w:val="2"/>
        <w:numId w:val="16"/>
      </w:numPr>
    </w:pPr>
  </w:style>
  <w:style w:type="paragraph" w:customStyle="1" w:styleId="Point2number">
    <w:name w:val="Point 2 (number)"/>
    <w:basedOn w:val="Normal"/>
    <w:pPr>
      <w:numPr>
        <w:ilvl w:val="4"/>
        <w:numId w:val="16"/>
      </w:numPr>
    </w:pPr>
  </w:style>
  <w:style w:type="paragraph" w:customStyle="1" w:styleId="Point3number">
    <w:name w:val="Point 3 (number)"/>
    <w:basedOn w:val="Normal"/>
    <w:pPr>
      <w:numPr>
        <w:ilvl w:val="6"/>
        <w:numId w:val="16"/>
      </w:numPr>
    </w:pPr>
  </w:style>
  <w:style w:type="paragraph" w:customStyle="1" w:styleId="Point0letter">
    <w:name w:val="Point 0 (letter)"/>
    <w:basedOn w:val="Normal"/>
    <w:pPr>
      <w:numPr>
        <w:ilvl w:val="1"/>
        <w:numId w:val="16"/>
      </w:numPr>
    </w:pPr>
  </w:style>
  <w:style w:type="paragraph" w:customStyle="1" w:styleId="Point1letter">
    <w:name w:val="Point 1 (letter)"/>
    <w:basedOn w:val="Normal"/>
    <w:pPr>
      <w:numPr>
        <w:ilvl w:val="3"/>
        <w:numId w:val="16"/>
      </w:numPr>
    </w:pPr>
  </w:style>
  <w:style w:type="paragraph" w:customStyle="1" w:styleId="Point2letter">
    <w:name w:val="Point 2 (letter)"/>
    <w:basedOn w:val="Normal"/>
    <w:pPr>
      <w:numPr>
        <w:ilvl w:val="5"/>
        <w:numId w:val="16"/>
      </w:numPr>
    </w:pPr>
  </w:style>
  <w:style w:type="paragraph" w:customStyle="1" w:styleId="Point3letter">
    <w:name w:val="Point 3 (letter)"/>
    <w:basedOn w:val="Normal"/>
    <w:pPr>
      <w:numPr>
        <w:ilvl w:val="7"/>
        <w:numId w:val="16"/>
      </w:numPr>
    </w:pPr>
  </w:style>
  <w:style w:type="paragraph" w:customStyle="1" w:styleId="Point4letter">
    <w:name w:val="Point 4 (letter)"/>
    <w:basedOn w:val="Normal"/>
    <w:pPr>
      <w:numPr>
        <w:ilvl w:val="8"/>
        <w:numId w:val="16"/>
      </w:numPr>
    </w:pPr>
  </w:style>
  <w:style w:type="paragraph" w:customStyle="1" w:styleId="Bullet0">
    <w:name w:val="Bullet 0"/>
    <w:basedOn w:val="Normal"/>
    <w:pPr>
      <w:numPr>
        <w:numId w:val="17"/>
      </w:numPr>
    </w:pPr>
  </w:style>
  <w:style w:type="paragraph" w:customStyle="1" w:styleId="Bullet1">
    <w:name w:val="Bullet 1"/>
    <w:basedOn w:val="Normal"/>
    <w:pPr>
      <w:numPr>
        <w:numId w:val="18"/>
      </w:numPr>
    </w:pPr>
  </w:style>
  <w:style w:type="paragraph" w:customStyle="1" w:styleId="Bullet2">
    <w:name w:val="Bullet 2"/>
    <w:basedOn w:val="Normal"/>
    <w:pPr>
      <w:numPr>
        <w:numId w:val="19"/>
      </w:numPr>
    </w:pPr>
  </w:style>
  <w:style w:type="paragraph" w:customStyle="1" w:styleId="Bullet3">
    <w:name w:val="Bullet 3"/>
    <w:basedOn w:val="Normal"/>
    <w:pPr>
      <w:numPr>
        <w:numId w:val="20"/>
      </w:numPr>
    </w:pPr>
  </w:style>
  <w:style w:type="paragraph" w:customStyle="1" w:styleId="Bullet4">
    <w:name w:val="Bullet 4"/>
    <w:basedOn w:val="Normal"/>
    <w:pPr>
      <w:numPr>
        <w:numId w:val="21"/>
      </w:numPr>
    </w:p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22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ous-titreobjet">
    <w:name w:val="Sous-titre objet"/>
    <w:basedOn w:val="Normal"/>
    <w:pPr>
      <w:spacing w:before="0" w:after="0"/>
      <w:jc w:val="center"/>
    </w:pPr>
    <w:rPr>
      <w:b/>
    </w:r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Sous-titreobjet"/>
    <w:pPr>
      <w:spacing w:before="180" w:after="18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18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ous-titreobjetPagedecouverture">
    <w:name w:val="Sous-titre objet (Page de couverture)"/>
    <w:basedOn w:val="Sous-titreobje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Sous-titreobjet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180" w:after="240"/>
      <w:jc w:val="center"/>
    </w:pPr>
    <w:rPr>
      <w:b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1409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50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header" Target="header5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footer" Target="footer4.xml"/><Relationship Id="rId2" Type="http://schemas.openxmlformats.org/officeDocument/2006/relationships/numbering" Target="numbering.xml"/><Relationship Id="rId16" Type="http://schemas.openxmlformats.org/officeDocument/2006/relationships/header" Target="header4.xm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19" Type="http://schemas.openxmlformats.org/officeDocument/2006/relationships/footer" Target="footer5.xml"/><Relationship Id="rId4" Type="http://schemas.microsoft.com/office/2007/relationships/stylesWithEffects" Target="stylesWithEffects.xml"/><Relationship Id="rId9" Type="http://schemas.openxmlformats.org/officeDocument/2006/relationships/image" Target="media/image1.emf"/><Relationship Id="rId14" Type="http://schemas.openxmlformats.org/officeDocument/2006/relationships/header" Target="header3.xm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ANNEX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DCE8AF-049C-4AFE-A8D1-5608E0D0BB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ANNEX.dotm</Template>
  <TotalTime>2</TotalTime>
  <Pages>2</Pages>
  <Words>82</Words>
  <Characters>472</Characters>
  <Application>Microsoft Office Word</Application>
  <DocSecurity>0</DocSecurity>
  <Lines>16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SANTE/11716/2016-EN</vt:lpstr>
    </vt:vector>
  </TitlesOfParts>
  <Manager/>
  <Company/>
  <LinksUpToDate>false</LinksUpToDate>
  <CharactersWithSpaces>544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SANTE/11716/2016-EN</dc:title>
  <dc:subject>ANNEX</dc:subject>
  <dc:creator/>
  <cp:keywords>11716</cp:keywords>
  <dc:description>Outlook 9,2,2017</dc:description>
  <cp:lastModifiedBy/>
  <cp:revision>16</cp:revision>
  <cp:lastPrinted>2016-03-07T07:48:00Z</cp:lastPrinted>
  <dcterms:created xsi:type="dcterms:W3CDTF">2017-02-28T15:50:00Z</dcterms:created>
  <dcterms:modified xsi:type="dcterms:W3CDTF">2017-05-17T12:51:00Z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COM/ANNEX</vt:lpwstr>
  </property>
  <property fmtid="{D5CDD505-2E9C-101B-9397-08002B2CF9AE}" pid="3" name="Classification">
    <vt:lpwstr> </vt:lpwstr>
  </property>
  <property fmtid="{D5CDD505-2E9C-101B-9397-08002B2CF9AE}" pid="4" name="Version">
    <vt:lpwstr>5.8.86.0</vt:lpwstr>
  </property>
  <property fmtid="{D5CDD505-2E9C-101B-9397-08002B2CF9AE}" pid="5" name="Last edited using">
    <vt:lpwstr>LW 5.8.4, Build 20150407</vt:lpwstr>
  </property>
  <property fmtid="{D5CDD505-2E9C-101B-9397-08002B2CF9AE}" pid="6" name="Created using">
    <vt:lpwstr>LW 5.8.4, Build 20141001</vt:lpwstr>
  </property>
  <property fmtid="{D5CDD505-2E9C-101B-9397-08002B2CF9AE}" pid="7" name="First annex">
    <vt:lpwstr>1</vt:lpwstr>
  </property>
  <property fmtid="{D5CDD505-2E9C-101B-9397-08002B2CF9AE}" pid="8" name="Last annex">
    <vt:lpwstr>1</vt:lpwstr>
  </property>
  <property fmtid="{D5CDD505-2E9C-101B-9397-08002B2CF9AE}" pid="9" name="Part">
    <vt:lpwstr>1</vt:lpwstr>
  </property>
  <property fmtid="{D5CDD505-2E9C-101B-9397-08002B2CF9AE}" pid="10" name="Total parts">
    <vt:lpwstr>1</vt:lpwstr>
  </property>
  <property fmtid="{D5CDD505-2E9C-101B-9397-08002B2CF9AE}" pid="11" name="LWTemplateID">
    <vt:lpwstr>SG-068</vt:lpwstr>
  </property>
  <property fmtid="{D5CDD505-2E9C-101B-9397-08002B2CF9AE}" pid="12" name="DQCStatus">
    <vt:lpwstr>Yellow (DQC version 03)</vt:lpwstr>
  </property>
  <property name="OP_sanitized" fmtid="{D5CDD505-2E9C-101B-9397-08002B2CF9AE}" pid="13">
    <vt:lpwstr>True</vt:lpwstr>
  </property>
</Properties>
</file>