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documenttasks/documenttasks1.xml" ContentType="application/vnd.ms-office.documenttasks+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295" w:rsidRPr="009A0BE4" w:rsidRDefault="00252EFB" w:rsidP="00252EFB">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B2513E39-9A66-4B72-B0C5-B31334876F62" style="width:455.25pt;height:396.75pt">
            <v:imagedata r:id="rId11" o:title=""/>
          </v:shape>
        </w:pict>
      </w:r>
    </w:p>
    <w:p w:rsidR="00EF4D82" w:rsidRPr="009A0BE4" w:rsidRDefault="00EF4D82" w:rsidP="00EF4D82">
      <w:pPr>
        <w:pStyle w:val="Pagedecouverture"/>
        <w:rPr>
          <w:noProof/>
        </w:rPr>
        <w:sectPr w:rsidR="00EF4D82" w:rsidRPr="009A0BE4" w:rsidSect="00252EFB">
          <w:footerReference w:type="even" r:id="rId12"/>
          <w:footerReference w:type="default" r:id="rId13"/>
          <w:pgSz w:w="11907" w:h="16839"/>
          <w:pgMar w:top="1134" w:right="1417" w:bottom="1134" w:left="1417" w:header="709" w:footer="709" w:gutter="0"/>
          <w:pgNumType w:start="0"/>
          <w:cols w:space="720"/>
          <w:docGrid w:linePitch="360"/>
        </w:sectPr>
      </w:pPr>
    </w:p>
    <w:p w:rsidR="00B769C8" w:rsidRPr="009A0BE4" w:rsidRDefault="00B769C8" w:rsidP="00B769C8">
      <w:pPr>
        <w:pStyle w:val="Exposdesmotifstitre"/>
        <w:rPr>
          <w:noProof/>
        </w:rPr>
      </w:pPr>
      <w:bookmarkStart w:id="0" w:name="_GoBack"/>
      <w:bookmarkEnd w:id="0"/>
    </w:p>
    <w:p w:rsidR="00B769C8" w:rsidRPr="009A0BE4" w:rsidRDefault="00B769C8" w:rsidP="00B769C8">
      <w:pPr>
        <w:rPr>
          <w:noProof/>
        </w:rPr>
      </w:pPr>
    </w:p>
    <w:p w:rsidR="009417C0" w:rsidRDefault="00013FE0">
      <w:pPr>
        <w:pStyle w:val="Rfrenceinterinstitutionnelle"/>
        <w:rPr>
          <w:noProof/>
        </w:rPr>
      </w:pPr>
      <w:r>
        <w:rPr>
          <w:noProof/>
        </w:rPr>
        <w:t>2024/0205 (NLE)</w:t>
      </w:r>
    </w:p>
    <w:p w:rsidR="00B30295" w:rsidRPr="009A0BE4" w:rsidRDefault="009A0BE4" w:rsidP="009A0BE4">
      <w:pPr>
        <w:pStyle w:val="Statut"/>
        <w:rPr>
          <w:noProof/>
        </w:rPr>
      </w:pPr>
      <w:r w:rsidRPr="009A0BE4">
        <w:rPr>
          <w:noProof/>
        </w:rPr>
        <w:t>Πρόταση</w:t>
      </w:r>
    </w:p>
    <w:p w:rsidR="00B30295" w:rsidRPr="009A0BE4" w:rsidRDefault="009A0BE4" w:rsidP="009A0BE4">
      <w:pPr>
        <w:pStyle w:val="Typedudocument"/>
        <w:rPr>
          <w:noProof/>
        </w:rPr>
      </w:pPr>
      <w:r w:rsidRPr="009A0BE4">
        <w:rPr>
          <w:noProof/>
        </w:rPr>
        <w:t>ΕΚΤΕΛΕΣΤΙΚΗ ΑΠΟΦΑΣΗ ΤΟΥ ΣΥΜΒΟΥΛΙΟΥ</w:t>
      </w:r>
    </w:p>
    <w:p w:rsidR="00B30295" w:rsidRPr="009A0BE4" w:rsidRDefault="009A0BE4" w:rsidP="009A0BE4">
      <w:pPr>
        <w:pStyle w:val="Titreobjet"/>
        <w:rPr>
          <w:noProof/>
        </w:rPr>
      </w:pPr>
      <w:r w:rsidRPr="009A0BE4">
        <w:rPr>
          <w:noProof/>
        </w:rPr>
        <w:t>για την τροποποίηση της εκτελεστικής απόφασης (ΕΕ) (ST 10155/21 INIT· ST 10155/21 ADD 1), της 13ης Ιουλίου 2021, για την έγκριση της αξιολόγησης του σχεδίου ανάκαμψης και ανθεκτικότητας του Λουξεμβούργου</w:t>
      </w:r>
      <w:r w:rsidRPr="009A0BE4">
        <w:rPr>
          <w:noProof/>
        </w:rPr>
        <w:br/>
      </w:r>
    </w:p>
    <w:p w:rsidR="00B30295" w:rsidRPr="009A0BE4" w:rsidRDefault="00962D47">
      <w:pPr>
        <w:pStyle w:val="Institutionquiagit"/>
        <w:rPr>
          <w:rFonts w:eastAsia="Times New Roman"/>
          <w:noProof/>
        </w:rPr>
      </w:pPr>
      <w:r w:rsidRPr="009A0BE4">
        <w:rPr>
          <w:noProof/>
        </w:rPr>
        <w:t>ΤΟ ΣΥΜΒΟΥΛΙΟ ΤΗΣ ΕΥΡΩΠΑΪΚΗΣ ΕΝΩΣΗΣ,</w:t>
      </w:r>
    </w:p>
    <w:p w:rsidR="00B30295" w:rsidRPr="009A0BE4" w:rsidRDefault="00962D47">
      <w:pPr>
        <w:rPr>
          <w:rFonts w:eastAsia="Times New Roman"/>
          <w:noProof/>
        </w:rPr>
      </w:pPr>
      <w:r w:rsidRPr="009A0BE4">
        <w:rPr>
          <w:noProof/>
        </w:rPr>
        <w:t xml:space="preserve">Έχοντας υπόψη τη Συνθήκη για τη λειτουργία της Ευρωπαϊκής Ένωσης, </w:t>
      </w:r>
    </w:p>
    <w:p w:rsidR="00B30295" w:rsidRPr="009A0BE4" w:rsidRDefault="00962D47">
      <w:pPr>
        <w:rPr>
          <w:rFonts w:eastAsia="Times New Roman"/>
          <w:noProof/>
        </w:rPr>
      </w:pPr>
      <w:r w:rsidRPr="009A0BE4">
        <w:rPr>
          <w:noProof/>
        </w:rPr>
        <w:t>Έχοντας υπόψη τον κανονισμό (ΕΕ) 2021/241 του Ευρωπαϊκού Κοινοβουλίου και του Συμβουλίου, της 12ης Φεβρουαρίου 2021, για τη θέσπιση του μηχανισμού ανάκαμψης και ανθεκτικότητας</w:t>
      </w:r>
      <w:r w:rsidRPr="009A0BE4">
        <w:rPr>
          <w:rStyle w:val="FootnoteReference"/>
          <w:rFonts w:eastAsia="Times New Roman"/>
          <w:noProof/>
        </w:rPr>
        <w:footnoteReference w:id="2"/>
      </w:r>
      <w:r w:rsidRPr="009A0BE4">
        <w:rPr>
          <w:noProof/>
        </w:rPr>
        <w:t>, και ιδίως το άρθρο 20 παράγραφος 1,</w:t>
      </w:r>
    </w:p>
    <w:p w:rsidR="00B30295" w:rsidRPr="009A0BE4" w:rsidRDefault="00962D47">
      <w:pPr>
        <w:rPr>
          <w:rFonts w:eastAsia="Times New Roman"/>
          <w:noProof/>
        </w:rPr>
      </w:pPr>
      <w:r w:rsidRPr="009A0BE4">
        <w:rPr>
          <w:noProof/>
        </w:rPr>
        <w:t>Έχοντας υπόψη την πρόταση της Ευρωπαϊκής Επιτροπής,</w:t>
      </w:r>
    </w:p>
    <w:p w:rsidR="00B30295" w:rsidRPr="009A0BE4" w:rsidRDefault="00962D47">
      <w:pPr>
        <w:rPr>
          <w:rFonts w:eastAsia="Times New Roman"/>
          <w:noProof/>
        </w:rPr>
      </w:pPr>
      <w:r w:rsidRPr="009A0BE4">
        <w:rPr>
          <w:noProof/>
        </w:rPr>
        <w:t>Εκτιμώντας τα ακόλουθα:</w:t>
      </w:r>
    </w:p>
    <w:p w:rsidR="00B30295" w:rsidRPr="009A0BE4" w:rsidRDefault="00FA635E" w:rsidP="00FA635E">
      <w:pPr>
        <w:pStyle w:val="ManualConsidrant"/>
        <w:rPr>
          <w:rFonts w:eastAsia="Times New Roman"/>
          <w:noProof/>
          <w:color w:val="000000" w:themeColor="text1"/>
        </w:rPr>
      </w:pPr>
      <w:r w:rsidRPr="00FA635E">
        <w:rPr>
          <w:noProof/>
        </w:rPr>
        <w:t>(1)</w:t>
      </w:r>
      <w:r w:rsidRPr="00FA635E">
        <w:rPr>
          <w:noProof/>
        </w:rPr>
        <w:tab/>
      </w:r>
      <w:r w:rsidR="00962D47" w:rsidRPr="009A0BE4">
        <w:rPr>
          <w:noProof/>
        </w:rPr>
        <w:t>Μετά την υποβολή του εθνικού σχεδίου ανάκαμψης και ανθεκτικότητας (στο εξής: ΣΑΑ) από το</w:t>
      </w:r>
      <w:r w:rsidR="00962D47" w:rsidRPr="009A0BE4">
        <w:rPr>
          <w:noProof/>
          <w:shd w:val="clear" w:color="auto" w:fill="FFFFFF"/>
        </w:rPr>
        <w:t xml:space="preserve"> </w:t>
      </w:r>
      <w:r w:rsidR="00962D47" w:rsidRPr="009A0BE4">
        <w:rPr>
          <w:noProof/>
        </w:rPr>
        <w:t xml:space="preserve">Λουξεμβούργο </w:t>
      </w:r>
      <w:r w:rsidR="00962D47" w:rsidRPr="009A0BE4">
        <w:rPr>
          <w:noProof/>
          <w:shd w:val="clear" w:color="auto" w:fill="FFFFFF"/>
        </w:rPr>
        <w:t>στις</w:t>
      </w:r>
      <w:r w:rsidR="00962D47" w:rsidRPr="009A0BE4">
        <w:rPr>
          <w:noProof/>
        </w:rPr>
        <w:t xml:space="preserve"> 30 Απριλίου 2021, η Επιτροπή πρότεινε στο Συμβούλιο τη θετική αξιολόγησή του. Το Συμβούλιο ενέκρινε τη θετική αξιολόγηση με την εκτελεστική απόφαση του Συμβουλίου της 13ης Ιουλίου 2021</w:t>
      </w:r>
      <w:r w:rsidR="00962D47" w:rsidRPr="009A0BE4">
        <w:rPr>
          <w:rStyle w:val="FootnoteReference"/>
          <w:rFonts w:eastAsia="Times New Roman"/>
          <w:noProof/>
        </w:rPr>
        <w:footnoteReference w:id="3"/>
      </w:r>
      <w:r w:rsidR="00962D47" w:rsidRPr="009A0BE4">
        <w:rPr>
          <w:noProof/>
        </w:rPr>
        <w:t>. Η εν λόγω εκτελεστική απόφαση του Συμβουλίου τροποποιήθηκε στις 17 Ιανουαρίου 2023</w:t>
      </w:r>
      <w:r w:rsidR="006E1BD1" w:rsidRPr="009A0BE4">
        <w:rPr>
          <w:rStyle w:val="FootnoteReference"/>
          <w:rFonts w:eastAsia="Times New Roman"/>
          <w:noProof/>
        </w:rPr>
        <w:footnoteReference w:id="4"/>
      </w:r>
      <w:r w:rsidR="00962D47" w:rsidRPr="009A0BE4">
        <w:rPr>
          <w:noProof/>
        </w:rPr>
        <w:t>.</w:t>
      </w:r>
    </w:p>
    <w:p w:rsidR="00B30295" w:rsidRPr="009A0BE4" w:rsidRDefault="00FA635E" w:rsidP="00FA635E">
      <w:pPr>
        <w:pStyle w:val="ManualConsidrant"/>
        <w:rPr>
          <w:rFonts w:eastAsia="Times New Roman"/>
          <w:noProof/>
        </w:rPr>
      </w:pPr>
      <w:r w:rsidRPr="00FA635E">
        <w:rPr>
          <w:noProof/>
        </w:rPr>
        <w:t>(2)</w:t>
      </w:r>
      <w:r w:rsidRPr="00FA635E">
        <w:rPr>
          <w:noProof/>
        </w:rPr>
        <w:tab/>
      </w:r>
      <w:r w:rsidR="00962D47" w:rsidRPr="009A0BE4">
        <w:rPr>
          <w:noProof/>
        </w:rPr>
        <w:t xml:space="preserve">Στις 16 Μαΐου 2024 το Λουξεμβούργο υπέβαλε στην Επιτροπή τροποποιημένο εθνικό ΣΑΑ, το οποίο περιλαμβάνει κεφάλαιο για το REPowerEU σύμφωνα με το άρθρο 21γ του κανονισμού (ΕΕ) 2021/241. </w:t>
      </w:r>
      <w:bookmarkStart w:id="1" w:name="_Hlk130805569"/>
    </w:p>
    <w:p w:rsidR="00B30295" w:rsidRPr="009A0BE4" w:rsidRDefault="00FA635E" w:rsidP="00FA635E">
      <w:pPr>
        <w:pStyle w:val="ManualConsidrant"/>
        <w:rPr>
          <w:rFonts w:eastAsia="Times New Roman"/>
          <w:noProof/>
          <w:color w:val="000000" w:themeColor="text1"/>
        </w:rPr>
      </w:pPr>
      <w:bookmarkStart w:id="2" w:name="_Hlk130805678"/>
      <w:bookmarkEnd w:id="1"/>
      <w:r w:rsidRPr="00FA635E">
        <w:rPr>
          <w:noProof/>
        </w:rPr>
        <w:t>(3)</w:t>
      </w:r>
      <w:r w:rsidRPr="00FA635E">
        <w:rPr>
          <w:noProof/>
        </w:rPr>
        <w:tab/>
      </w:r>
      <w:r w:rsidR="00962D47" w:rsidRPr="009A0BE4">
        <w:rPr>
          <w:noProof/>
        </w:rPr>
        <w:t>Το τροποποιημένο ΣΑΑ περιλαμβάνει αιτιολογημένο αίτημα στην Επιτροπή για την τροποποίηση της εκτελεστικής απόφασης του Συμβουλίου σύμφωνα με το άρθρο 21 παράγραφος 1 του κανονισμού (ΕΕ) 2021/241, δεδομένου ότι η επίτευξη του ΣΑΑ θεωρείται ότι εν μέρει δεν είναι πλέον εφικτή λόγω αντικειμενικών περιστάσεων. Οι τροποποιήσεις του ΣΑΑ που υπέβαλε το Λουξεμβούργο αφορούν τέσσερα μέτρα.</w:t>
      </w:r>
      <w:bookmarkEnd w:id="2"/>
    </w:p>
    <w:p w:rsidR="00B30295" w:rsidRPr="009A0BE4" w:rsidRDefault="00FA635E" w:rsidP="00FA635E">
      <w:pPr>
        <w:pStyle w:val="ManualConsidrant"/>
        <w:rPr>
          <w:rFonts w:eastAsia="Times New Roman"/>
          <w:noProof/>
        </w:rPr>
      </w:pPr>
      <w:r w:rsidRPr="00FA635E">
        <w:rPr>
          <w:noProof/>
        </w:rPr>
        <w:t>(4)</w:t>
      </w:r>
      <w:r w:rsidRPr="00FA635E">
        <w:rPr>
          <w:noProof/>
        </w:rPr>
        <w:tab/>
      </w:r>
      <w:r w:rsidR="00962D47" w:rsidRPr="009A0BE4">
        <w:rPr>
          <w:noProof/>
        </w:rPr>
        <w:t xml:space="preserve">Στις 14 Ιουλίου 2023 το Συμβούλιο απηύθυνε συστάσεις προς το Λουξεμβούργο στο πλαίσιο του Ευρωπαϊκού Εξαμήνου. Το Συμβούλιο συνέστησε στο Λουξεμβούργο να καταργήσει σταδιακά τα μέτρα στήριξης στον τομέα της ενέργειας· να ακολουθήσει συνετή δημοσιονομική πολιτική· να διατηρήσει τις εθνικά χρηματοδοτούμενες δημόσιες επενδύσεις και να διασφαλίσει την αποτελεσματική απορρόφηση των επιχορηγήσεων του ΜΑΑ και άλλων ταμείων της ΕΕ· να συνεχίσει να εφαρμόζει μεσοπρόθεσμη δημοσιονομική στρατηγική σταδιακής και βιώσιμης εξυγίανσης μετά το 2024, σε συνδυασμό με επενδύσεις και μεταρρυθμίσεις για την επίτευξη υψηλότερης βιώσιμης ανάπτυξης· να μειώσει τους κινδύνους που σχετίζονται με τη στεγαστική αγορά· να ασχοληθεί με τη μακροπρόθεσμη βιωσιμότητα του συνταξιοδοτικού συστήματος· να αυξήσει τα μέτρα για την αποτελεσματική αντιμετώπιση του επιθετικού φορολογικού σχεδιασμού· να βελτιώσει τις επιδόσεις και την ισότητα του σχολικού εκπαιδευτικού συστήματος. Όσον αφορά την ενέργεια, το Συμβούλιο συνέστησε στο Λουξεμβούργο να μειώσει την εξάρτηση από τα ορυκτά καύσιμα επιταχύνοντας την ανάπτυξη των ανανεώσιμων πηγών ενέργειας, την ικανότητα μεταφοράς ηλεκτρικής ενέργειας, διευκολύνοντας τις διαδικασίες αδειοδότησης και επενδύοντας στην ενεργειακή απόδοση· να στηρίξει τους δήμους στην κατάρτιση λεπτομερών τοπικών σχεδίων για τις ανανεώσιμες πηγές ενέργειας και τα συστήματα τηλεθέρμανσης και τηλεψύξης· να προωθήσει τον εξηλεκτρισμό των μεταφορών και να επενδύσει στις δημόσιες μεταφορές· και να εντείνει τις προσπάθειες πολιτικής όσον αφορά τις δεξιότητες που απαιτούνται για την πράσινη μετάβαση. </w:t>
      </w:r>
    </w:p>
    <w:p w:rsidR="00B30295" w:rsidRPr="009A0BE4" w:rsidRDefault="00FA635E" w:rsidP="00FA635E">
      <w:pPr>
        <w:pStyle w:val="ManualConsidrant"/>
        <w:rPr>
          <w:rFonts w:eastAsia="Times New Roman"/>
          <w:noProof/>
        </w:rPr>
      </w:pPr>
      <w:r w:rsidRPr="00FA635E">
        <w:rPr>
          <w:noProof/>
        </w:rPr>
        <w:t>(5)</w:t>
      </w:r>
      <w:r w:rsidRPr="00FA635E">
        <w:rPr>
          <w:noProof/>
        </w:rPr>
        <w:tab/>
      </w:r>
      <w:r w:rsidR="003E2903" w:rsidRPr="009A0BE4">
        <w:rPr>
          <w:noProof/>
        </w:rPr>
        <w:t xml:space="preserve">Αφού αξιολόγησε την πρόοδο ως προς την εφαρμογή όλων των σχετικών ειδικών ανά χώρα συστάσεων κατά τον χρόνο υποβολής του τροποποιημένου εθνικού ΣΑΑ, η Επιτροπή διαπιστώνει ότι έχει επιτευχθεί σημαντική πρόοδος όσον αφορά τις συστάσεις του 2023 για την επιτάχυνση της ανάπτυξης ανανεώσιμων πηγών ενέργειας και τη σύσταση του 2020 για τον μετριασμό των επιπτώσεων της κρίσης COVID-19 στην απασχόληση. </w:t>
      </w:r>
    </w:p>
    <w:p w:rsidR="00B30295" w:rsidRPr="009A0BE4" w:rsidRDefault="00FA635E" w:rsidP="00FA635E">
      <w:pPr>
        <w:pStyle w:val="ManualConsidrant"/>
        <w:rPr>
          <w:rFonts w:eastAsia="Times New Roman"/>
          <w:noProof/>
        </w:rPr>
      </w:pPr>
      <w:r w:rsidRPr="00FA635E">
        <w:rPr>
          <w:noProof/>
        </w:rPr>
        <w:t>(6)</w:t>
      </w:r>
      <w:r w:rsidRPr="00FA635E">
        <w:rPr>
          <w:noProof/>
        </w:rPr>
        <w:tab/>
      </w:r>
      <w:r w:rsidR="003E2903" w:rsidRPr="009A0BE4">
        <w:rPr>
          <w:noProof/>
        </w:rPr>
        <w:t>Πριν από την υποβολή του τροποποιημένου ΣΑΑ διενεργήθηκε διαδικασία διαβούλευσης σύμφωνα με το εθνικό νομικό πλαίσιο, με τη συμμετοχή των αρχών και των κοινωνικών εταίρων.  Η σύνοψη των διαβουλεύσεων υποβλήθηκε μαζί με το τροποποιημένο εθνικό ΣΑΑ. Δυνάμει του άρθρου 19 του κανονισμού (ΕΕ) 2021/241, η Επιτροπή αξιολόγησε τη συνάφεια, την αποτελεσματικότητα, την αποδοτικότητα και τη συνοχή του τροποποιημένου ΣΑΑ, σύμφωνα με τις κατευθυντήριες γραμμές αξιολόγησης που καθορίζονται στο παράρτημα V του εν λόγω κανονισμού.</w:t>
      </w:r>
    </w:p>
    <w:p w:rsidR="00B202F0" w:rsidRPr="009A0BE4" w:rsidRDefault="00B202F0" w:rsidP="00D562D1">
      <w:pPr>
        <w:rPr>
          <w:b/>
          <w:bCs/>
          <w:i/>
          <w:iCs/>
          <w:noProof/>
        </w:rPr>
      </w:pPr>
      <w:r w:rsidRPr="009A0BE4">
        <w:rPr>
          <w:b/>
          <w:i/>
          <w:noProof/>
        </w:rPr>
        <w:t xml:space="preserve">Τροποποιήσεις βάσει του άρθρου 21 του κανονισμού (ΕΕ) 2021/241 </w:t>
      </w:r>
    </w:p>
    <w:p w:rsidR="00B202F0" w:rsidRPr="009A0BE4" w:rsidRDefault="00FA635E" w:rsidP="00FA635E">
      <w:pPr>
        <w:pStyle w:val="ManualConsidrant"/>
        <w:rPr>
          <w:rFonts w:eastAsia="Times New Roman"/>
          <w:noProof/>
        </w:rPr>
      </w:pPr>
      <w:r w:rsidRPr="00FA635E">
        <w:rPr>
          <w:noProof/>
        </w:rPr>
        <w:t>(7)</w:t>
      </w:r>
      <w:r w:rsidRPr="00FA635E">
        <w:rPr>
          <w:noProof/>
        </w:rPr>
        <w:tab/>
      </w:r>
      <w:r w:rsidR="00B202F0" w:rsidRPr="009A0BE4">
        <w:rPr>
          <w:noProof/>
        </w:rPr>
        <w:t xml:space="preserve">Οι τροποποιήσεις του ΣΑΑ που υπέβαλε το Λουξεμβούργο λόγω αντικειμενικών περιστάσεων αφορούν τέσσερα μέτρα. </w:t>
      </w:r>
    </w:p>
    <w:p w:rsidR="00B202F0" w:rsidRPr="009A0BE4" w:rsidRDefault="00FA635E" w:rsidP="00FA635E">
      <w:pPr>
        <w:pStyle w:val="ManualConsidrant"/>
        <w:rPr>
          <w:noProof/>
        </w:rPr>
      </w:pPr>
      <w:bookmarkStart w:id="3" w:name="_Hlk158894031"/>
      <w:r w:rsidRPr="00FA635E">
        <w:rPr>
          <w:noProof/>
        </w:rPr>
        <w:t>(8)</w:t>
      </w:r>
      <w:r w:rsidRPr="00FA635E">
        <w:rPr>
          <w:noProof/>
        </w:rPr>
        <w:tab/>
      </w:r>
      <w:r w:rsidR="006A677E" w:rsidRPr="009A0BE4">
        <w:rPr>
          <w:noProof/>
        </w:rPr>
        <w:t xml:space="preserve">Το Λουξεμβούργο εξήγησε ότι ένα μέτρο, το «Έργο “Neischmelz” στο Dudelange — Ανανεώσιμη ενέργεια» δεν είναι πλέον εφικτό κατά τη διάρκεια ζωής του ΜΑΑ, λόγω απρόβλεπτων καθυστερήσεων στις κατασκευαστικές εργασίες, δεδομένου ότι εντοπίστηκε σπάνιος βιότοπος στο εργοτάξιο. Αυτό αφορά, αντίστοιχα, το ορόσημο 1C-4, το ορόσημο 1C-5, το ορόσημο 1C-6, τον στόχο 1C-7 και το ορόσημο 1C-8 στο πλαίσιο της συνιστώσας «1C — Αύξηση της προσφοράς οικονομικά προσιτών και βιώσιμων δημόσιων κατοικιών». Επιπλέον, ένα άλλο μέτρο, «Επένδυση 2: Λύση τηλεϊατρικής για την εξ αποστάσεως ιατρική παρακολούθηση ασθενών», δεν είναι πλέον εφικτό με τον ίδιο τρόπο λόγω της μη διαθεσιμότητας της ιδιόκτητης λύσης ΤΠ που είχε αρχικά προβλεφθεί και της μεταβολής των συνθηκών μετά το τέλος της κρίσης COVID-19. Αυτό αφορά, αντίστοιχα, το ορόσημο 1B-8 στο πλαίσιο της συνιστώσας «1Β: Ενίσχυση της ανθεκτικότητας του συστήματος υγείας». Σε αυτή τη βάση, το Λουξεμβούργο ζήτησε να αφαιρεθεί η επένδυση στο πλαίσιο της συνιστώσας 1C και να τροποποιηθεί η επένδυση 2 στο πλαίσιο της συνιστώσας 1Β. Η εκτελεστική απόφαση του Συμβουλίου της 13ης Ιουλίου 2021 θα πρέπει να τροποποιηθεί αναλόγως. </w:t>
      </w:r>
    </w:p>
    <w:bookmarkEnd w:id="3"/>
    <w:p w:rsidR="00B202F0" w:rsidRPr="009A0BE4" w:rsidRDefault="00FA635E" w:rsidP="00FA635E">
      <w:pPr>
        <w:pStyle w:val="ManualConsidrant"/>
        <w:rPr>
          <w:noProof/>
        </w:rPr>
      </w:pPr>
      <w:r w:rsidRPr="00FA635E">
        <w:rPr>
          <w:noProof/>
        </w:rPr>
        <w:t>(9)</w:t>
      </w:r>
      <w:r w:rsidRPr="00FA635E">
        <w:rPr>
          <w:noProof/>
        </w:rPr>
        <w:tab/>
      </w:r>
      <w:r w:rsidR="47A4198E" w:rsidRPr="009A0BE4">
        <w:rPr>
          <w:noProof/>
        </w:rPr>
        <w:t xml:space="preserve">Το Λουξεμβούργο ζήτησε επίσης να χρησιμοποιηθούν οι πόροι που απελευθερώθηκαν με την κατάργηση της επένδυσης στο πλαίσιο της συνιστώσας 1C και την τροποποίηση της επένδυσης 2 στο πλαίσιο της συνιστώσας 1Β σύμφωνα με το άρθρο 21 του κανονισμού (ΕΕ) 2021/241, για συνολικό ποσό ύψους </w:t>
      </w:r>
      <w:r w:rsidR="47A4198E" w:rsidRPr="009A0BE4">
        <w:rPr>
          <w:noProof/>
          <w:color w:val="000000" w:themeColor="text1"/>
        </w:rPr>
        <w:t>18 884 883 EUR</w:t>
      </w:r>
      <w:r w:rsidR="47A4198E" w:rsidRPr="009A0BE4">
        <w:rPr>
          <w:noProof/>
        </w:rPr>
        <w:t>, ώστε να αυξηθεί το επίπεδο υλοποίησης της «Επένδυσης 2: Προώθηση της ενεργού κινητικότητας μηδενικών εκπομπών» του κεφαλαίου για το REPowerEU. Η εκτελεστική απόφαση του Συμβουλίου της 13ης Ιουλίου 2021 θα πρέπει να τροποποιηθεί αναλόγως.</w:t>
      </w:r>
    </w:p>
    <w:p w:rsidR="007C3F3A" w:rsidRPr="009A0BE4" w:rsidRDefault="00FA635E" w:rsidP="00FA635E">
      <w:pPr>
        <w:pStyle w:val="ManualConsidrant"/>
        <w:rPr>
          <w:noProof/>
        </w:rPr>
      </w:pPr>
      <w:r w:rsidRPr="00FA635E">
        <w:rPr>
          <w:noProof/>
        </w:rPr>
        <w:t>(10)</w:t>
      </w:r>
      <w:r w:rsidRPr="00FA635E">
        <w:rPr>
          <w:noProof/>
        </w:rPr>
        <w:tab/>
      </w:r>
      <w:r w:rsidR="1180DB14" w:rsidRPr="009A0BE4">
        <w:rPr>
          <w:noProof/>
        </w:rPr>
        <w:t>Το Λουξεμβούργο εξήγησε ότι τρία μέτρα θα πρέπει να τροποποιηθούν προκειμένου να εφαρμοστούν καλύτερες εναλλακτικές λύσεις, ώστε να επιτευχθεί η αρχική τους επιδίωξη. Αυτό αφορά τα ορόσημα 3B-5 και 3B-6 της «Επένδυσης 2: Ανάπτυξη του MyGuichet — Έργο 1/3 — Εικονικά ραντεβού» καθώς και τα ορόσημα 3B-11 και 3B-12 της «Επένδυσης 3: eADEM» στο πλαίσιο της συνιστώσας «3B: Εκσυγχρονισμός της δημόσιας διοίκησης». Οι τροποποιήσεις καταργούν τις περιττές λεπτομέρειες των περιγραφών των μέτρων, οι οποίες δεν συμβάλλουν στην επίτευξη των στόχων των εν λόγω μέτρων, προκειμένου να μειωθεί ο αδικαιολόγητος διοικητικός φόρτος.</w:t>
      </w:r>
    </w:p>
    <w:p w:rsidR="00615074" w:rsidRPr="009A0BE4" w:rsidRDefault="00FA635E" w:rsidP="00FA635E">
      <w:pPr>
        <w:pStyle w:val="ManualConsidrant"/>
        <w:rPr>
          <w:rFonts w:eastAsia="Times New Roman"/>
          <w:noProof/>
        </w:rPr>
      </w:pPr>
      <w:r w:rsidRPr="00FA635E">
        <w:rPr>
          <w:noProof/>
        </w:rPr>
        <w:t>(11)</w:t>
      </w:r>
      <w:r w:rsidRPr="00FA635E">
        <w:rPr>
          <w:noProof/>
        </w:rPr>
        <w:tab/>
      </w:r>
      <w:r w:rsidR="00615074" w:rsidRPr="009A0BE4">
        <w:rPr>
          <w:noProof/>
        </w:rPr>
        <w:t>Η Επιτροπή θεωρεί ότι οι λόγοι που προέβαλε το Λουξεμβούργο δικαιολογούν τις τροποποιήσεις σύμφωνα με το άρθρο 21 παράγραφος 2 του κανονισμού (ΕΕ) 2021/241.</w:t>
      </w:r>
    </w:p>
    <w:p w:rsidR="00B30295" w:rsidRPr="009A0BE4" w:rsidRDefault="00962D47" w:rsidP="00D562D1">
      <w:pPr>
        <w:rPr>
          <w:b/>
          <w:bCs/>
          <w:i/>
          <w:iCs/>
          <w:noProof/>
        </w:rPr>
      </w:pPr>
      <w:r w:rsidRPr="009A0BE4">
        <w:rPr>
          <w:b/>
          <w:i/>
          <w:noProof/>
        </w:rPr>
        <w:t>Το κεφάλαιο για το REPowerEU βάσει του άρθρου 21γ του κανονισμού (ΕΕ) 2021/241</w:t>
      </w:r>
    </w:p>
    <w:p w:rsidR="00B30295" w:rsidRPr="009A0BE4" w:rsidRDefault="00FA635E" w:rsidP="00FA635E">
      <w:pPr>
        <w:pStyle w:val="ManualConsidrant"/>
        <w:rPr>
          <w:noProof/>
        </w:rPr>
      </w:pPr>
      <w:r w:rsidRPr="00FA635E">
        <w:rPr>
          <w:noProof/>
        </w:rPr>
        <w:t>(12)</w:t>
      </w:r>
      <w:r w:rsidRPr="00FA635E">
        <w:rPr>
          <w:noProof/>
        </w:rPr>
        <w:tab/>
      </w:r>
      <w:r w:rsidR="15C355F8" w:rsidRPr="009A0BE4">
        <w:rPr>
          <w:noProof/>
        </w:rPr>
        <w:t xml:space="preserve">Το κεφάλαιο για το REPowerEU περιλαμβάνει μία νέα μεταρρύθμιση και τρεις νέες επενδύσεις.  Η μεταρρύθμιση «Εθνική στρατηγική για το βιοαέριο» αναθεωρεί το καθεστώς στήριξης του Λουξεμβούργου για την παραγωγή ηλεκτρικής ενέργειας και βιοαερίου και συμβάλλει στον στόχο της αύξησης της παραγωγής και της χρήσης βιώσιμου βιομεθανίου.  Η επένδυση 1 αποτελεί καθεστώς χρηματοδοτικής στήριξης για έργα ενεργειακής ανακαίνισης και κατασκευής κατοικιών. Αποσκοπεί στην ενίσχυση της ενεργειακής απόδοσης των κτιρίων και στην αύξηση του μεριδίου των ανανεώσιμων πηγών ενέργειας και στην επιτάχυνση της ανάπτυξής τους. Η επένδυση 2 αποτελεί καθεστώς χρηματοδοτικής στήριξης για την αγορά οχημάτων και ποδηλάτων μηδενικών εκπομπών, το οποίο συμβάλλει στον στόχο της στήριξης των μεταφορών μηδενικών εκπομπών. Η επένδυση 3 αποτελεί καθεστώς χρηματοδοτικής στήριξης για επιχειρήσεις που εγκαθιστούν φωτοβολταϊκούς σταθμούς ηλεκτροπαραγωγής για ιδιοκατανάλωση, διευκολύνοντας την ανάπτυξη ανανεώσιμων πηγών ενέργειας. Η ανάπτυξη ανανεώσιμων πηγών ενέργειας και η βελτίωση της ενεργειακής απόδοσης συμβάλλουν στη μείωση των τρωτών σημείων κατά τις προσεχείς χειμερινές περιόδους. </w:t>
      </w:r>
    </w:p>
    <w:p w:rsidR="00B30295" w:rsidRPr="009A0BE4" w:rsidRDefault="00FA635E" w:rsidP="00FA635E">
      <w:pPr>
        <w:pStyle w:val="ManualConsidrant"/>
        <w:rPr>
          <w:rFonts w:eastAsia="Times New Roman"/>
          <w:noProof/>
        </w:rPr>
      </w:pPr>
      <w:r w:rsidRPr="00FA635E">
        <w:rPr>
          <w:noProof/>
        </w:rPr>
        <w:t>(13)</w:t>
      </w:r>
      <w:r w:rsidRPr="00FA635E">
        <w:rPr>
          <w:noProof/>
        </w:rPr>
        <w:tab/>
      </w:r>
      <w:r w:rsidR="00962D47" w:rsidRPr="009A0BE4">
        <w:rPr>
          <w:noProof/>
        </w:rPr>
        <w:t>Η Επιτροπή αξιολόγησε το τροποποιημένο ΣΑΑ, συμπεριλαμβανομένου του κεφαλαίου για το REPowerEU, με βάση τα κριτήρια αξιολόγησης που ορίζονται στο άρθρο 19 παράγραφος 3 του κανονισμού (ΕΕ) 2021/241.</w:t>
      </w:r>
    </w:p>
    <w:p w:rsidR="11721AA3" w:rsidRPr="009A0BE4" w:rsidRDefault="00FA635E" w:rsidP="00FA635E">
      <w:pPr>
        <w:pStyle w:val="ManualConsidrant"/>
        <w:rPr>
          <w:rFonts w:eastAsia="Times New Roman"/>
          <w:noProof/>
        </w:rPr>
      </w:pPr>
      <w:r w:rsidRPr="00FA635E">
        <w:rPr>
          <w:noProof/>
        </w:rPr>
        <w:t>(14)</w:t>
      </w:r>
      <w:r w:rsidRPr="00FA635E">
        <w:rPr>
          <w:noProof/>
        </w:rPr>
        <w:tab/>
      </w:r>
      <w:r w:rsidR="11721AA3" w:rsidRPr="009A0BE4">
        <w:rPr>
          <w:noProof/>
        </w:rPr>
        <w:t>Η κατανομή των οροσήμων και των στόχων σε δόσεις θα πρέπει να τροποποιηθεί ώστε να ληφθούν υπόψη η νέα κατανομή του REPowerEU, οι τροποποιήσεις του σχεδίου και το ενδεικτικό χρονοδιάγραμμα που παρουσίασε το Λουξεμβούργο.</w:t>
      </w:r>
    </w:p>
    <w:p w:rsidR="00B30295" w:rsidRPr="009A0BE4" w:rsidRDefault="00B47B0B">
      <w:pPr>
        <w:jc w:val="left"/>
        <w:rPr>
          <w:rFonts w:eastAsia="Times New Roman"/>
          <w:b/>
          <w:bCs/>
          <w:noProof/>
          <w:szCs w:val="24"/>
        </w:rPr>
      </w:pPr>
      <w:r w:rsidRPr="009A0BE4">
        <w:rPr>
          <w:i/>
          <w:noProof/>
        </w:rPr>
        <w:t xml:space="preserve"> </w:t>
      </w:r>
      <w:r w:rsidRPr="009A0BE4">
        <w:rPr>
          <w:b/>
          <w:i/>
          <w:noProof/>
        </w:rPr>
        <w:t>Ισορροπημένη απάντηση που συμβάλλει στους έξι πυλώνες</w:t>
      </w:r>
    </w:p>
    <w:p w:rsidR="00B30295" w:rsidRPr="009A0BE4" w:rsidRDefault="00FA635E" w:rsidP="00FA635E">
      <w:pPr>
        <w:pStyle w:val="ManualConsidrant"/>
        <w:rPr>
          <w:noProof/>
        </w:rPr>
      </w:pPr>
      <w:r w:rsidRPr="00FA635E">
        <w:rPr>
          <w:noProof/>
        </w:rPr>
        <w:t>(15)</w:t>
      </w:r>
      <w:r w:rsidRPr="00FA635E">
        <w:rPr>
          <w:noProof/>
        </w:rPr>
        <w:tab/>
      </w:r>
      <w:r w:rsidR="00962D47" w:rsidRPr="009A0BE4">
        <w:rPr>
          <w:noProof/>
        </w:rPr>
        <w:t>Σύμφωνα με το άρθρο 19 παράγραφος 3 στοιχείο α) και το κριτήριο 2.1 του παραρτήματος V του κανονισμού (ΕΕ) 2021/241, το τροποποιημένο ΣΑΑ, συμπεριλαμβανομένου του κεφαλαίου για το REPowerEU, αντιπροσωπεύει, σε μεγάλο βαθμό (βαθμολόγηση Α), μια ολοκληρωμένη και επαρκώς ισορροπημένη απάντηση στην οικονομική και κοινωνική κατάσταση και συμβάλλει έτσι κατάλληλα και στους έξι πυλώνες που αναφέρονται στο άρθρο 3 του εν λόγω κανονισμού, λαμβανομένων υπόψη των ιδιαίτερων προκλήσεων και της χρηματοδοτικής κατανομής για το οικείο κράτος μέλος.</w:t>
      </w:r>
    </w:p>
    <w:p w:rsidR="00B30295" w:rsidRPr="009A0BE4" w:rsidRDefault="00FA635E" w:rsidP="00FA635E">
      <w:pPr>
        <w:pStyle w:val="ManualConsidrant"/>
        <w:rPr>
          <w:rFonts w:eastAsia="Times New Roman"/>
          <w:noProof/>
        </w:rPr>
      </w:pPr>
      <w:r w:rsidRPr="00FA635E">
        <w:rPr>
          <w:noProof/>
        </w:rPr>
        <w:t>(16)</w:t>
      </w:r>
      <w:r w:rsidRPr="00FA635E">
        <w:rPr>
          <w:noProof/>
        </w:rPr>
        <w:tab/>
      </w:r>
      <w:r w:rsidR="00B47B0B" w:rsidRPr="009A0BE4">
        <w:rPr>
          <w:noProof/>
        </w:rPr>
        <w:t>Το αρχικό ΣΑΑ αντιπροσώπευε μια ολοκληρωμένη και επαρκώς ισορροπημένη απάντηση (βαθμολόγηση Α) στην τότε οικονομική και κοινωνική κατάσταση, συμβάλλοντας κατάλληλα και στους έξι πυλώνες που αναφέρονται στο άρθρο 3 του κανονισμού (ΕΕ) 2021/241.</w:t>
      </w:r>
    </w:p>
    <w:p w:rsidR="00B30295" w:rsidRPr="009A0BE4" w:rsidRDefault="00FA635E" w:rsidP="00FA635E">
      <w:pPr>
        <w:pStyle w:val="ManualConsidrant"/>
        <w:rPr>
          <w:rFonts w:eastAsia="Times New Roman"/>
          <w:noProof/>
        </w:rPr>
      </w:pPr>
      <w:r w:rsidRPr="00FA635E">
        <w:rPr>
          <w:noProof/>
        </w:rPr>
        <w:t>(17)</w:t>
      </w:r>
      <w:r w:rsidRPr="00FA635E">
        <w:rPr>
          <w:noProof/>
        </w:rPr>
        <w:tab/>
      </w:r>
      <w:r w:rsidR="00B47B0B" w:rsidRPr="009A0BE4">
        <w:rPr>
          <w:noProof/>
        </w:rPr>
        <w:t>Το τροποποιημένο ΣΑΑ, συμπεριλαμβανομένου του κεφαλαίου για το REPowerEU, εξακολουθεί να καλύπτει με ολοκληρωμένο τρόπο τους έξι πυλώνες και περιλαμβάνει σημαντικό αριθμό συνιστωσών που στηρίζουν περισσότερους από έναν πυλώνες. Παρά την επένδυση που αφαιρέθηκε από το αρχικό ΣΑΑ βάσει του άρθρου 21 του κανονισμού (ΕΕ) 2021/241, το φάσμα των δράσεων του τροποποιημένου ΣΑΑ, συμπεριλαμβανομένου του κεφαλαίου για το REPowerEU, αντιστοιχεί στους στόχους του μηχανισμού ανάκαμψης και ανθεκτικότητας (στο εξής: μηχανισμός) που θεσπίστηκε με τον εν λόγω κανονισμό με κατάλληλη συνολική ισορροπία μεταξύ των πυλώνων λόγω των μέτρων που εισήχθησαν εκ νέου στο κεφάλαιο για το REPowerEU δυνάμει του άρθρου 21γ παράγραφος 3 του εν λόγω κανονισμού. Ειδικότερα, τα μέτρα που περιλαμβάνονται στο κεφάλαιο για το REPowerEU συμβάλλουν στους πυλώνες της πράσινης μετάβασης, της έξυπνης, βιώσιμης και χωρίς αποκλεισμούς ανάπτυξης και της κοινωνικής και εδαφικής συνοχής.</w:t>
      </w:r>
    </w:p>
    <w:p w:rsidR="00B30295" w:rsidRPr="009A0BE4" w:rsidRDefault="00962D47">
      <w:pPr>
        <w:rPr>
          <w:rFonts w:eastAsia="Times New Roman"/>
          <w:b/>
          <w:bCs/>
          <w:noProof/>
        </w:rPr>
      </w:pPr>
      <w:r w:rsidRPr="009A0BE4">
        <w:rPr>
          <w:b/>
          <w:i/>
          <w:noProof/>
        </w:rPr>
        <w:t>Αντιμετώπιση του συνόλου ή σημαντικού υποσυνόλου των προκλήσεων που εντοπίζονται στις σχετικές ειδικές ανά χώρα συστάσεις</w:t>
      </w:r>
    </w:p>
    <w:p w:rsidR="00B202F0" w:rsidRPr="009A0BE4" w:rsidRDefault="00FA635E" w:rsidP="00FA635E">
      <w:pPr>
        <w:pStyle w:val="ManualConsidrant"/>
        <w:rPr>
          <w:rFonts w:eastAsia="Times New Roman"/>
          <w:noProof/>
        </w:rPr>
      </w:pPr>
      <w:r w:rsidRPr="00FA635E">
        <w:rPr>
          <w:noProof/>
        </w:rPr>
        <w:t>(18)</w:t>
      </w:r>
      <w:r w:rsidRPr="00FA635E">
        <w:rPr>
          <w:noProof/>
        </w:rPr>
        <w:tab/>
      </w:r>
      <w:r w:rsidR="00B202F0" w:rsidRPr="009A0BE4">
        <w:rPr>
          <w:noProof/>
        </w:rPr>
        <w:t xml:space="preserve">Σύμφωνα με το άρθρο 19 παράγραφος 3 στοιχείο β) και το κριτήριο 2.2 του παραρτήματος V του κανονισμού (ΕΕ) 2021/241, το τροποποιημένο ΣΑΑ αναμένεται να συμβάλει στην αποτελεσματική αντιμετώπιση του συνόλου ή σημαντικού υποσυνόλου των προκλήσεων (βαθμολόγηση Α) που εντοπίζονται στις σχετικές ειδικές ανά χώρα συστάσεις προς το Λουξεμβούργο, συμπεριλαμβανομένων των δημοσιονομικών πτυχών τους ή των προκλήσεων που εντοπίζονται σε άλλα σχετικά έγγραφα που έχουν εγκριθεί επίσημα από την Επιτροπή στο πλαίσιο του Ευρωπαϊκού Εξαμήνου. </w:t>
      </w:r>
    </w:p>
    <w:p w:rsidR="00B202F0" w:rsidRPr="009A0BE4" w:rsidRDefault="00FA635E" w:rsidP="00FA635E">
      <w:pPr>
        <w:pStyle w:val="ManualConsidrant"/>
        <w:rPr>
          <w:rFonts w:eastAsia="Times New Roman"/>
          <w:noProof/>
        </w:rPr>
      </w:pPr>
      <w:r w:rsidRPr="00FA635E">
        <w:rPr>
          <w:noProof/>
        </w:rPr>
        <w:t>(19)</w:t>
      </w:r>
      <w:r w:rsidRPr="00FA635E">
        <w:rPr>
          <w:noProof/>
        </w:rPr>
        <w:tab/>
      </w:r>
      <w:r w:rsidR="00B202F0" w:rsidRPr="009A0BE4">
        <w:rPr>
          <w:noProof/>
        </w:rPr>
        <w:t xml:space="preserve">Αφού αξιολόγησε την πρόοδο ως προς την εφαρμογή όλων των σχετικών ειδικών ανά χώρα συστάσεων στο πλαίσιο του Ευρωπαϊκού Εξαμήνου του 2024, η Επιτροπή διαπιστώνει ότι έχει επιτευχθεί σημαντική πρόοδος όσον αφορά τη σύσταση του 2023 για την επιτάχυνση της ανάπτυξης ανανεώσιμων πηγών ενέργειας και τη σύσταση του 2020 για τον μετριασμό των επιπτώσεων της κρίσης COVID-19 στην απασχόληση. </w:t>
      </w:r>
    </w:p>
    <w:p w:rsidR="00B202F0" w:rsidRPr="009A0BE4" w:rsidRDefault="00FA635E" w:rsidP="00FA635E">
      <w:pPr>
        <w:pStyle w:val="ManualConsidrant"/>
        <w:rPr>
          <w:rFonts w:eastAsia="Times New Roman"/>
          <w:noProof/>
        </w:rPr>
      </w:pPr>
      <w:r w:rsidRPr="00FA635E">
        <w:rPr>
          <w:noProof/>
        </w:rPr>
        <w:t>(20)</w:t>
      </w:r>
      <w:r w:rsidRPr="00FA635E">
        <w:rPr>
          <w:noProof/>
        </w:rPr>
        <w:tab/>
      </w:r>
      <w:r w:rsidR="00B202F0" w:rsidRPr="009A0BE4">
        <w:rPr>
          <w:noProof/>
        </w:rPr>
        <w:t xml:space="preserve">Το τροποποιημένο ΣΑΑ περιλαμβάνει ένα εκτενές σύνολο αλληλοενισχυόμενων μεταρρυθμίσεων και επενδύσεων που συμβάλλουν στην αποτελεσματική αντιμετώπιση του συνόλου ή σημαντικού υποσυνόλου των οικονομικών και κοινωνικών προκλήσεων οι οποίες περιγράφονται στις ειδικές ανά χώρα συστάσεις που απηύθυνε το Συμβούλιο στο Λουξεμβούργο στο πλαίσιο του Ευρωπαϊκού Εξαμήνου, ιδίως όσον αφορά τη στεγαστική αγορά, το ποσοστό απασχόλησης των εργαζομένων μεγαλύτερης ηλικίας, τις βιώσιμες μεταφορές και τις δεξιότητες που απαιτούνται για την πράσινη μετάβαση. </w:t>
      </w:r>
    </w:p>
    <w:p w:rsidR="000A5C40" w:rsidRPr="009A0BE4" w:rsidRDefault="00FA635E" w:rsidP="00FA635E">
      <w:pPr>
        <w:pStyle w:val="ManualConsidrant"/>
        <w:rPr>
          <w:rFonts w:eastAsia="Times New Roman"/>
          <w:noProof/>
        </w:rPr>
      </w:pPr>
      <w:r w:rsidRPr="00FA635E">
        <w:rPr>
          <w:noProof/>
        </w:rPr>
        <w:t>(21)</w:t>
      </w:r>
      <w:r w:rsidRPr="00FA635E">
        <w:rPr>
          <w:noProof/>
        </w:rPr>
        <w:tab/>
      </w:r>
      <w:r w:rsidR="000A5C40" w:rsidRPr="009A0BE4">
        <w:rPr>
          <w:noProof/>
        </w:rPr>
        <w:t>Το κεφάλαιο για το REPowerEU εξετάζει τις προκλήσεις που προσδιορίζονται στις ειδικές ανά χώρα συστάσεις σχετικά με την ενεργειακή πολιτική και την πράσινη μετάβαση. Ειδικότερα, τα μέτρα του κεφαλαίου για το REPowerEU —η μεταρρύθμιση του πλαισίου για το βιώσιμο βιοαέριο και οι επενδύσεις που παρέχουν χρηματοδοτική στήριξη για έργα ενεργειακής απόδοσης και ανανεώσιμων πηγών ενέργειας στον τομέα της στέγασης, της κινητικότητας μηδενικών εκπομπών και των φωτοβολταϊκών εγκαταστάσεων μικρής κλίμακας— ανταποκρίνονται άμεσα στη σύσταση 4 του 2023 όσον αφορά την ανάγκη μείωσης της συνολικής εξάρτησης από τα ορυκτά καύσιμα, τις συγκεκριμένες υποενότητες σχετικά με τις επενδύσεις στην ενεργειακή απόδοση και την προώθηση του εξηλεκτρισμού των μεταφορών.</w:t>
      </w:r>
    </w:p>
    <w:p w:rsidR="00B30295" w:rsidRPr="009A0BE4" w:rsidRDefault="00962D47">
      <w:pPr>
        <w:jc w:val="left"/>
        <w:rPr>
          <w:rFonts w:eastAsia="Times New Roman"/>
          <w:b/>
          <w:bCs/>
          <w:noProof/>
          <w:szCs w:val="24"/>
        </w:rPr>
      </w:pPr>
      <w:r w:rsidRPr="009A0BE4">
        <w:rPr>
          <w:b/>
          <w:i/>
          <w:noProof/>
        </w:rPr>
        <w:t>Συμβολή στο αναπτυξιακό δυναμικό, τη δημιουργία θέσεων εργασίας και την οικονομική, κοινωνική και θεσμική ανθεκτικότητα</w:t>
      </w:r>
    </w:p>
    <w:p w:rsidR="00B30295" w:rsidRPr="009A0BE4" w:rsidRDefault="00FA635E" w:rsidP="00FA635E">
      <w:pPr>
        <w:pStyle w:val="ManualConsidrant"/>
        <w:rPr>
          <w:rFonts w:eastAsia="Times New Roman"/>
          <w:noProof/>
        </w:rPr>
      </w:pPr>
      <w:r w:rsidRPr="00FA635E">
        <w:rPr>
          <w:noProof/>
        </w:rPr>
        <w:t>(22)</w:t>
      </w:r>
      <w:r w:rsidRPr="00FA635E">
        <w:rPr>
          <w:noProof/>
        </w:rPr>
        <w:tab/>
      </w:r>
      <w:r w:rsidR="00962D47" w:rsidRPr="009A0BE4">
        <w:rPr>
          <w:noProof/>
        </w:rPr>
        <w:t>Σύμφωνα με το άρθρο 19 παράγραφος 3 στοιχείο γ) και το κριτήριο 2.3 του παραρτήματος V του κανονισμού (ΕΕ) 2021/241, το τροποποιημένο ΣΑΑ, συμπεριλαμβανομένου του κεφαλαίου για το REPowerEU, αναμένεται να έχει σημαντικό αντίκτυπο (βαθμολόγηση Α) στην ενίσχυση του αναπτυξιακού δυναμικού, τη δημιουργία θέσεων εργασίας και την οικονομική, κοινωνική και θεσμική ανθεκτικότητα του Λουξεμβούργου, συμβάλλοντας στην υλοποίηση του ευρωπαϊκού πυλώνα κοινωνικών δικαιωμάτων, μεταξύ άλλων μέσω της προώθησης πολιτικών για τα παιδιά και τους νέους, καθώς και στον μετριασμό του οικονομικού και κοινωνικού αντικτύπου της κρίσης της COVID-19, ενισχύοντας κατ’ αυτόν τον τρόπο την οικονομική, κοινωνική και εδαφική συνοχή και τη σύγκλιση στην Ένωση.</w:t>
      </w:r>
    </w:p>
    <w:p w:rsidR="00B30295" w:rsidRPr="009A0BE4" w:rsidRDefault="00FA635E" w:rsidP="00FA635E">
      <w:pPr>
        <w:pStyle w:val="ManualConsidrant"/>
        <w:rPr>
          <w:rFonts w:eastAsia="Times New Roman"/>
          <w:noProof/>
        </w:rPr>
      </w:pPr>
      <w:r w:rsidRPr="00FA635E">
        <w:rPr>
          <w:noProof/>
        </w:rPr>
        <w:t>(23)</w:t>
      </w:r>
      <w:r w:rsidRPr="00FA635E">
        <w:rPr>
          <w:noProof/>
        </w:rPr>
        <w:tab/>
      </w:r>
      <w:r w:rsidR="00522613" w:rsidRPr="009A0BE4">
        <w:rPr>
          <w:noProof/>
        </w:rPr>
        <w:t>Κατά την αξιολόγηση του αρχικού ΣΑΑ, σύμφωνα με το άρθρο 19 παράγραφος 3 στοιχείο γ) και το κριτήριο 2.3 του παραρτήματος V του κανονισμού (ΕΕ) 2021/241, διαπιστώθηκε ότι το αρχικό ΣΑΑ αναμενόταν να έχει σημαντικό αντίκτυπο στην ενίσχυση του αναπτυξιακού δυναμικού, στη δημιουργία θέσεων εργασίας και στην οικονομική, κοινωνική και θεσμική ανθεκτικότητα (βαθμολόγηση Α).</w:t>
      </w:r>
    </w:p>
    <w:p w:rsidR="00B30295" w:rsidRPr="009A0BE4" w:rsidRDefault="00FA635E" w:rsidP="00FA635E">
      <w:pPr>
        <w:pStyle w:val="ManualConsidrant"/>
        <w:rPr>
          <w:rFonts w:eastAsia="Times New Roman"/>
          <w:noProof/>
        </w:rPr>
      </w:pPr>
      <w:r w:rsidRPr="00FA635E">
        <w:rPr>
          <w:noProof/>
        </w:rPr>
        <w:t>(24)</w:t>
      </w:r>
      <w:r w:rsidRPr="00FA635E">
        <w:rPr>
          <w:noProof/>
        </w:rPr>
        <w:tab/>
      </w:r>
      <w:r w:rsidR="00522613" w:rsidRPr="009A0BE4">
        <w:rPr>
          <w:noProof/>
        </w:rPr>
        <w:t xml:space="preserve">Το τροποποιημένο ΣΑΑ εξακολουθεί να περιλαμβάνει σημαντικές επενδύσεις και μεταρρυθμίσεις για την αντιμετώπιση των τρωτών σημείων της οικονομίας και της οικονομικής συνοχής. Αυτό περιλαμβάνει μεταρρύθμιση για τη βελτίωση της προσβασιμότητας στη στέγαση· μεταρρυθμίσεις και επενδύσεις σε ένα αποτελεσματικότερο σύστημα ιατροφαρμακευτικής περίθαλψης· μέτρα για την αύξηση της συμμετοχής στην αγορά εργασίας· και επενδύσεις στην ψηφιοποίηση της δημόσιας διοίκησης. </w:t>
      </w:r>
    </w:p>
    <w:p w:rsidR="00B30295" w:rsidRPr="009A0BE4" w:rsidRDefault="00FA635E" w:rsidP="00FA635E">
      <w:pPr>
        <w:pStyle w:val="ManualConsidrant"/>
        <w:rPr>
          <w:rFonts w:eastAsia="Times New Roman"/>
          <w:noProof/>
        </w:rPr>
      </w:pPr>
      <w:r w:rsidRPr="00FA635E">
        <w:rPr>
          <w:noProof/>
        </w:rPr>
        <w:t>(25)</w:t>
      </w:r>
      <w:r w:rsidRPr="00FA635E">
        <w:rPr>
          <w:noProof/>
        </w:rPr>
        <w:tab/>
      </w:r>
      <w:r w:rsidR="00522613" w:rsidRPr="009A0BE4">
        <w:rPr>
          <w:noProof/>
        </w:rPr>
        <w:t>Η κοινωνική συνοχή ενισχύεται μέσω των μέτρων αναβάθμισης των δεξιοτήτων και επανειδίκευσης, ιδίως των επενδύσεων που στοχεύουν τους εργαζομένους μεγαλύτερης ηλικίας, και της αντιμετώπισης των κενών στην πρόσβαση στην ιατροφαρμακευτική περίθαλψη, συμβάλλοντας έτσι στην υλοποίηση του ευρωπαϊκού πυλώνα κοινωνικών δικαιωμάτων.</w:t>
      </w:r>
    </w:p>
    <w:p w:rsidR="00B30295" w:rsidRPr="009A0BE4" w:rsidRDefault="00962D47">
      <w:pPr>
        <w:rPr>
          <w:rFonts w:eastAsia="Times New Roman"/>
          <w:b/>
          <w:bCs/>
          <w:i/>
          <w:iCs/>
          <w:noProof/>
        </w:rPr>
      </w:pPr>
      <w:r w:rsidRPr="009A0BE4">
        <w:rPr>
          <w:b/>
          <w:i/>
          <w:noProof/>
        </w:rPr>
        <w:t>Αρχή της «μη πρόκλησης σημαντικής βλάβης»</w:t>
      </w:r>
    </w:p>
    <w:p w:rsidR="00B30295" w:rsidRPr="009A0BE4" w:rsidRDefault="00FA635E" w:rsidP="00FA635E">
      <w:pPr>
        <w:pStyle w:val="ManualConsidrant"/>
        <w:rPr>
          <w:rFonts w:eastAsia="Times New Roman"/>
          <w:noProof/>
        </w:rPr>
      </w:pPr>
      <w:r w:rsidRPr="00FA635E">
        <w:rPr>
          <w:noProof/>
        </w:rPr>
        <w:t>(26)</w:t>
      </w:r>
      <w:r w:rsidRPr="00FA635E">
        <w:rPr>
          <w:noProof/>
        </w:rPr>
        <w:tab/>
      </w:r>
      <w:r w:rsidR="00962D47" w:rsidRPr="009A0BE4">
        <w:rPr>
          <w:noProof/>
        </w:rPr>
        <w:t>Σύμφωνα με το άρθρο 19 παράγραφος 3 στοιχείο δ) και το κριτήριο 2.4 του παραρτήματος V του κανονισμού (ΕΕ) 2021/241, το τροποποιημένο ΣΑΑ, συμπεριλαμβανομένου του κεφαλαίου για το REPowerEU, αναμένεται να διασφαλίσει ότι κανένα μέτρο (βαθμολόγηση Α) για την υλοποίηση μεταρρυθμίσεων και επενδυτικών έργων που περιλαμβάνονται στο εν λόγω ΣΑΑ δεν βλάπτει σημαντικά τους περιβαλλοντικούς στόχους κατά την έννοια του άρθρου 17 του κανονισμού (ΕΕ) 2020/852 του Ευρωπαϊκού Κοινοβουλίου και του Συμβουλίου</w:t>
      </w:r>
      <w:r w:rsidR="00962D47" w:rsidRPr="009A0BE4">
        <w:rPr>
          <w:rStyle w:val="FootnoteReference"/>
          <w:rFonts w:eastAsia="Times New Roman"/>
          <w:noProof/>
        </w:rPr>
        <w:footnoteReference w:id="5"/>
      </w:r>
      <w:r w:rsidR="00962D47" w:rsidRPr="009A0BE4">
        <w:rPr>
          <w:noProof/>
        </w:rPr>
        <w:t xml:space="preserve"> (αρχή της «μη πρόκλησης σημαντικής βλάβης»). </w:t>
      </w:r>
    </w:p>
    <w:p w:rsidR="365D7941" w:rsidRPr="009A0BE4" w:rsidRDefault="00FA635E" w:rsidP="00FA635E">
      <w:pPr>
        <w:pStyle w:val="ManualConsidrant"/>
        <w:rPr>
          <w:rFonts w:eastAsia="Times New Roman"/>
          <w:noProof/>
        </w:rPr>
      </w:pPr>
      <w:r w:rsidRPr="00FA635E">
        <w:rPr>
          <w:noProof/>
        </w:rPr>
        <w:t>(27)</w:t>
      </w:r>
      <w:r w:rsidRPr="00FA635E">
        <w:rPr>
          <w:noProof/>
        </w:rPr>
        <w:tab/>
      </w:r>
      <w:r w:rsidR="00ED28A4" w:rsidRPr="009A0BE4">
        <w:rPr>
          <w:noProof/>
        </w:rPr>
        <w:t>Οι τροποποιήσεις των μέτρων που περιλαμβάνονται στο αρχικό ΣΑΑ δεν έχουν αντίκτυπο στην αξιολόγηση της αρχής της «μη πρόκλησης σημαντικής βλάβης», η οποία παραμένει πανομοιότυπη.</w:t>
      </w:r>
    </w:p>
    <w:p w:rsidR="00ED28A4" w:rsidRPr="009A0BE4" w:rsidRDefault="00FA635E" w:rsidP="00FA635E">
      <w:pPr>
        <w:pStyle w:val="ManualConsidrant"/>
        <w:rPr>
          <w:rFonts w:eastAsia="Times New Roman"/>
          <w:noProof/>
        </w:rPr>
      </w:pPr>
      <w:r w:rsidRPr="00FA635E">
        <w:rPr>
          <w:noProof/>
        </w:rPr>
        <w:t>(28)</w:t>
      </w:r>
      <w:r w:rsidRPr="00FA635E">
        <w:rPr>
          <w:noProof/>
        </w:rPr>
        <w:tab/>
      </w:r>
      <w:r w:rsidR="00662D37" w:rsidRPr="009A0BE4">
        <w:rPr>
          <w:noProof/>
        </w:rPr>
        <w:t xml:space="preserve">Το τροποποιημένο ΣΑΑ, συμπεριλαμβανομένου του κεφαλαίου για το REPowerEU, εκτιμάται ότι συμμορφώνεται με την αρχή της «μη πρόκλησης σημαντικής βλάβης» σύμφωνα με τη μεθοδολογία που ορίζεται στην τεχνική καθοδήγηση στην ανακοίνωση της Επιτροπής (2021/C58/01). Η αξιολόγηση καταλήγει στο συμπέρασμα ότι για όλα τα νέα μέτρα που περιλαμβάνονται στο κεφάλαιο για το REPowerEU είτε δεν υπάρχει κίνδυνος σημαντικής βλάβης είτε, όταν εντοπίζεται κίνδυνος, διενεργείται λεπτομερέστερη αξιολόγηση που αποδεικνύει την απουσία σημαντικής βλάβης. Όταν είναι απαραίτητο, οι απαιτήσεις της συμμόρφωσης με την αρχή της «μη πρόκλησης σημαντικής βλάβης» κατοχυρώνονται στον σχεδιασμό του μέτρου. </w:t>
      </w:r>
    </w:p>
    <w:p w:rsidR="00B30295" w:rsidRPr="009A0BE4" w:rsidRDefault="00962D47" w:rsidP="00D562D1">
      <w:pPr>
        <w:rPr>
          <w:b/>
          <w:bCs/>
          <w:i/>
          <w:iCs/>
          <w:noProof/>
        </w:rPr>
      </w:pPr>
      <w:r w:rsidRPr="009A0BE4">
        <w:rPr>
          <w:b/>
          <w:i/>
          <w:noProof/>
        </w:rPr>
        <w:t>Συμβολή στην επίτευξη των στόχων του REPowerEU</w:t>
      </w:r>
    </w:p>
    <w:p w:rsidR="00B30295" w:rsidRPr="009A0BE4" w:rsidRDefault="00FA635E" w:rsidP="00FA635E">
      <w:pPr>
        <w:pStyle w:val="ManualConsidrant"/>
        <w:rPr>
          <w:rFonts w:eastAsia="Times New Roman"/>
          <w:noProof/>
        </w:rPr>
      </w:pPr>
      <w:r w:rsidRPr="00FA635E">
        <w:rPr>
          <w:noProof/>
        </w:rPr>
        <w:t>(29)</w:t>
      </w:r>
      <w:r w:rsidRPr="00FA635E">
        <w:rPr>
          <w:noProof/>
        </w:rPr>
        <w:tab/>
      </w:r>
      <w:r w:rsidR="00962D47" w:rsidRPr="009A0BE4">
        <w:rPr>
          <w:noProof/>
        </w:rPr>
        <w:t xml:space="preserve">Σύμφωνα με το άρθρο 19 παράγραφος 3 στοιχείο δα) και το κριτήριο 2.12 του παραρτήματος V του κανονισμού (ΕΕ) 2021/241, το κεφάλαιο για το REPowerEU αναμένεται να συμβάλει αποτελεσματικά σε μεγάλο βαθμό (βαθμολόγηση Α) στην ενεργειακή ασφάλεια, στη διαφοροποίηση του ενεργειακού εφοδιασμού της Ένωσης, στην ενίσχυση της χρήσης ανανεώσιμων πηγών ενέργειας και της ενεργειακής απόδοσης, στην αύξηση των ικανοτήτων αποθήκευσης ενέργειας ή στην αναγκαία μείωση της εξάρτησης από τα ορυκτά καύσιμα πριν από το 2030. </w:t>
      </w:r>
    </w:p>
    <w:p w:rsidR="00B30295" w:rsidRPr="009A0BE4" w:rsidRDefault="00FA635E" w:rsidP="00FA635E">
      <w:pPr>
        <w:pStyle w:val="ManualConsidrant"/>
        <w:rPr>
          <w:noProof/>
        </w:rPr>
      </w:pPr>
      <w:r w:rsidRPr="00FA635E">
        <w:rPr>
          <w:noProof/>
        </w:rPr>
        <w:t>(30)</w:t>
      </w:r>
      <w:r w:rsidRPr="00FA635E">
        <w:rPr>
          <w:noProof/>
        </w:rPr>
        <w:tab/>
      </w:r>
      <w:r w:rsidR="00ED28A4" w:rsidRPr="009A0BE4">
        <w:rPr>
          <w:noProof/>
        </w:rPr>
        <w:t>Η εφαρμογή των προβλεπόμενων μέτρων αναμένεται να συμβάλει αποτελεσματικά στην ενεργειακή απόδοση, στην ανάπτυξη ανανεώσιμων πηγών ενέργειας και στις μεταφορές μηδενικών εκπομπών. Η μεταρρύθμιση της στρατηγικής για το βιώσιμο βιοαέριο ανταποκρίνεται στον στόχο της αύξησης της παραγωγής και της χρήσης βιώσιμου βιομεθανίου. Η ενεργειακή ανακαίνιση κατοικιών αποσκοπεί στην ενίσχυση της ενεργειακής απόδοσης των κτιρίων και στην αύξηση του μεριδίου των ανανεώσιμων πηγών ενέργειας και στην επιτάχυνση της ανάπτυξής τους. Η ανάπτυξη ανανεώσιμων πηγών ενέργειας αποτελεί επίσης στόχο της επένδυσης σε φωτοβολταϊκές εγκαταστάσεις σε επιχειρήσεις για ιδιοκατανάλωση. Η επένδυση που παρέχει χρηματοδοτική στήριξη σε άτομα που αγοράζουν οχήματα μηδενικών εκπομπών συμβάλλει στον στόχο της στήριξης των μεταφορών μηδενικών εκπομπών. </w:t>
      </w:r>
    </w:p>
    <w:p w:rsidR="00B30295" w:rsidRPr="009A0BE4" w:rsidRDefault="00FA635E" w:rsidP="00FA635E">
      <w:pPr>
        <w:pStyle w:val="ManualConsidrant"/>
        <w:rPr>
          <w:rFonts w:eastAsia="Times New Roman"/>
          <w:noProof/>
        </w:rPr>
      </w:pPr>
      <w:r w:rsidRPr="00FA635E">
        <w:rPr>
          <w:noProof/>
        </w:rPr>
        <w:t>(31)</w:t>
      </w:r>
      <w:r w:rsidRPr="00FA635E">
        <w:rPr>
          <w:noProof/>
        </w:rPr>
        <w:tab/>
      </w:r>
      <w:r w:rsidR="00ED28A4" w:rsidRPr="009A0BE4">
        <w:rPr>
          <w:noProof/>
        </w:rPr>
        <w:t>Το κεφάλαιο για το REPowerEU συνάδει με τη δέσμευση του Λουξεμβούργου για μείωση των εκπομπών αερίων του θερμοκηπίου. Τα μέτρα για τη βιώσιμη στέγαση και τις μεταφορές ενισχύουν εκείνα που περιλαμβάνονται στο αρχικό ΣΑΑ.</w:t>
      </w:r>
    </w:p>
    <w:p w:rsidR="00B30295" w:rsidRPr="009A0BE4" w:rsidRDefault="00FA635E" w:rsidP="00FA635E">
      <w:pPr>
        <w:pStyle w:val="ManualConsidrant"/>
        <w:rPr>
          <w:rFonts w:eastAsia="Times New Roman"/>
          <w:noProof/>
        </w:rPr>
      </w:pPr>
      <w:r w:rsidRPr="00FA635E">
        <w:rPr>
          <w:noProof/>
        </w:rPr>
        <w:t>(32)</w:t>
      </w:r>
      <w:r w:rsidRPr="00FA635E">
        <w:rPr>
          <w:noProof/>
        </w:rPr>
        <w:tab/>
      </w:r>
      <w:r w:rsidR="00ED28A4" w:rsidRPr="009A0BE4">
        <w:rPr>
          <w:noProof/>
        </w:rPr>
        <w:t>Το κεφάλαιο για το REPowerEU ανταποκρίνεται επίσης στην ανάγκη διαφοροποίησης από τα ορυκτά καύσιμα μέσω της επιτάχυνσης της ανάπτυξης ανανεώσιμων πηγών ενέργειας, αυξάνοντας έτσι την ασφάλεια του ενεργειακού εφοδιασμού του Λουξεμβούργου.</w:t>
      </w:r>
    </w:p>
    <w:p w:rsidR="00B30295" w:rsidRPr="009A0BE4" w:rsidRDefault="00962D47" w:rsidP="00D562D1">
      <w:pPr>
        <w:rPr>
          <w:b/>
          <w:bCs/>
          <w:i/>
          <w:iCs/>
          <w:noProof/>
        </w:rPr>
      </w:pPr>
      <w:r w:rsidRPr="009A0BE4">
        <w:rPr>
          <w:b/>
          <w:i/>
          <w:noProof/>
        </w:rPr>
        <w:t>Μέτρα με διασυνοριακή ή πολυκρατική διάσταση ή επίδραση</w:t>
      </w:r>
    </w:p>
    <w:p w:rsidR="00B30295" w:rsidRPr="009A0BE4" w:rsidRDefault="00FA635E" w:rsidP="00FA635E">
      <w:pPr>
        <w:pStyle w:val="ManualConsidrant"/>
        <w:rPr>
          <w:rFonts w:eastAsia="Times New Roman"/>
          <w:noProof/>
        </w:rPr>
      </w:pPr>
      <w:r w:rsidRPr="00FA635E">
        <w:rPr>
          <w:noProof/>
        </w:rPr>
        <w:t>(33)</w:t>
      </w:r>
      <w:r w:rsidRPr="00FA635E">
        <w:rPr>
          <w:noProof/>
        </w:rPr>
        <w:tab/>
      </w:r>
      <w:r w:rsidR="00962D47" w:rsidRPr="009A0BE4">
        <w:rPr>
          <w:noProof/>
        </w:rPr>
        <w:t xml:space="preserve">Σύμφωνα με το άρθρο 19 παράγραφος 3 στοιχείο δβ) και το κριτήριο 2.13 του παραρτήματος V του κανονισμού (ΕΕ) 2021/241, τα μέτρα που περιλαμβάνονται στο κεφάλαιο για το REPowerEU αναμένεται, σε μεγάλο βαθμό (βαθμολόγηση Α), να έχουν διασυνοριακή ή πολυκρατική διάσταση ή επίδραση.  </w:t>
      </w:r>
    </w:p>
    <w:p w:rsidR="00B30295" w:rsidRPr="009A0BE4" w:rsidRDefault="00FA635E" w:rsidP="00FA635E">
      <w:pPr>
        <w:pStyle w:val="ManualConsidrant"/>
        <w:rPr>
          <w:rFonts w:eastAsia="Times New Roman"/>
          <w:noProof/>
        </w:rPr>
      </w:pPr>
      <w:r w:rsidRPr="00FA635E">
        <w:rPr>
          <w:noProof/>
        </w:rPr>
        <w:t>(34)</w:t>
      </w:r>
      <w:r w:rsidRPr="00FA635E">
        <w:rPr>
          <w:noProof/>
        </w:rPr>
        <w:tab/>
      </w:r>
      <w:r w:rsidR="00BA2EE4" w:rsidRPr="009A0BE4">
        <w:rPr>
          <w:noProof/>
        </w:rPr>
        <w:t>Το κεφάλαιο για το REPowerEU συμβάλλει στη διασφάλιση του ενεργειακού εφοδιασμού της Ένωσης στο σύνολό της, μεταξύ άλλων με την αντιμετώπιση των προκλήσεων που προσδιορίστηκαν στην πλέον πρόσφατη εκτίμηση αναγκών της Επιτροπής, σύμφωνα με τους στόχους που καθορίζονται στο άρθρο 21γ παράγραφος 3, λαμβάνοντας υπόψη τη χρηματοδοτική συνεισφορά που διατίθεται στο Λουξεμβούργο. Τα μέτρα που περιλαμβάνονται στο κεφάλαιο για το REPowerEU συμβάλλουν στη μείωση της εξάρτησης του Λουξεμβούργου από τις εισαγωγές ενέργειας και ορυκτών καυσίμων μέσω της ανάπτυξης πρόσθετης δυναμικότητας ανανεώσιμης ενέργειας.  Το κεφάλαιο για το REPowerEU συμβάλλει επίσης στη μείωση της εξάρτησης από τα ορυκτά καύσιμα και στη μείωση της ζήτησης ενέργειας μέσω της στήριξης της ενεργειακής ανακαίνισης οικιστικών κτιρίων και της περαιτέρω διευκόλυνσης των βιώσιμων μεταφορών.</w:t>
      </w:r>
    </w:p>
    <w:p w:rsidR="00B30295" w:rsidRPr="009A0BE4" w:rsidRDefault="00FA635E" w:rsidP="00FA635E">
      <w:pPr>
        <w:pStyle w:val="ManualConsidrant"/>
        <w:rPr>
          <w:rFonts w:eastAsia="Times New Roman"/>
          <w:noProof/>
        </w:rPr>
      </w:pPr>
      <w:r w:rsidRPr="00FA635E">
        <w:rPr>
          <w:noProof/>
        </w:rPr>
        <w:t>(35)</w:t>
      </w:r>
      <w:r w:rsidRPr="00FA635E">
        <w:rPr>
          <w:noProof/>
        </w:rPr>
        <w:tab/>
      </w:r>
      <w:r w:rsidR="00181FE6" w:rsidRPr="009A0BE4">
        <w:rPr>
          <w:noProof/>
        </w:rPr>
        <w:t>Το συνολικό εκτιμώμενο κόστος των εν λόγω μέτρων ανέρχεται συνολικά σε 94 εκατ. EUR, ποσό που αντιστοιχεί στο 53 % του εκτιμώμενου κόστους του κεφαλαίου για το REPowerEU, υπερβαίνοντας τον ενδεικτικό στόχο του 30 %.</w:t>
      </w:r>
    </w:p>
    <w:p w:rsidR="00B30295" w:rsidRPr="009A0BE4" w:rsidRDefault="00962D47">
      <w:pPr>
        <w:rPr>
          <w:rFonts w:eastAsia="Times New Roman"/>
          <w:b/>
          <w:bCs/>
          <w:i/>
          <w:iCs/>
          <w:noProof/>
        </w:rPr>
      </w:pPr>
      <w:r w:rsidRPr="009A0BE4">
        <w:rPr>
          <w:b/>
          <w:i/>
          <w:noProof/>
        </w:rPr>
        <w:t>Συμβολή στην πράσινη μετάβαση, συμπεριλαμβανομένης της βιοποικιλότητας</w:t>
      </w:r>
    </w:p>
    <w:p w:rsidR="00B30295" w:rsidRPr="009A0BE4" w:rsidRDefault="00FA635E" w:rsidP="00FA635E">
      <w:pPr>
        <w:pStyle w:val="ManualConsidrant"/>
        <w:rPr>
          <w:rFonts w:eastAsia="Times New Roman"/>
          <w:noProof/>
        </w:rPr>
      </w:pPr>
      <w:r w:rsidRPr="00FA635E">
        <w:rPr>
          <w:noProof/>
        </w:rPr>
        <w:t>(36)</w:t>
      </w:r>
      <w:r w:rsidRPr="00FA635E">
        <w:rPr>
          <w:noProof/>
        </w:rPr>
        <w:tab/>
      </w:r>
      <w:r w:rsidR="00962D47" w:rsidRPr="009A0BE4">
        <w:rPr>
          <w:noProof/>
        </w:rPr>
        <w:t xml:space="preserve">Σύμφωνα με το άρθρο 19 παράγραφος 3 στοιχείο ε) και το κριτήριο 2.5 του παραρτήματος V του κανονισμού (ΕΕ) 2021/241, το τροποποιημένο ΣΑΑ, συμπεριλαμβανομένου του κεφαλαίου για το REPowerEU, περιλαμβάνει μέτρα που συμβάλλουν σε μεγάλο βαθμό (βαθμολόγηση Α) στην πράσινη μετάβαση, συμπεριλαμβανομένης της βιοποικιλότητας, ή στην αντιμετώπιση των προκλήσεων που απορρέουν από αυτήν. Τα μέτρα για τη στήριξη των κλιματικών στόχων αντιπροσωπεύουν ποσό που αντιστοιχεί στο 80,1 % των συνολικών πιστώσεων του ΣΑΑ και στο 90,3 % του συνολικού εκτιμώμενου κόστους των μέτρων του κεφαλαίου για το REPowerEU, όπως υπολογίζεται σύμφωνα με τη μεθοδολογία του παραρτήματος VI του εν λόγω κανονισμού. Σύμφωνα με το άρθρο 17 του κανονισμού (ΕΕ) 2021/241, το τροποποιημένο ΣΑΑ, συμπεριλαμβανομένου του κεφαλαίου για το REPowerEU, συνάδει με τις πληροφορίες που περιλαμβάνονται στο εθνικό σχέδιο για την ενέργεια και το κλίμα 2021-2030 και στο προσχέδιο επικαιροποίησής του που καταρτίστηκε το 2023. </w:t>
      </w:r>
    </w:p>
    <w:p w:rsidR="00B30295" w:rsidRPr="009A0BE4" w:rsidRDefault="00FA635E" w:rsidP="00FA635E">
      <w:pPr>
        <w:pStyle w:val="ManualConsidrant"/>
        <w:rPr>
          <w:rFonts w:eastAsia="Times New Roman"/>
          <w:noProof/>
        </w:rPr>
      </w:pPr>
      <w:r w:rsidRPr="00FA635E">
        <w:rPr>
          <w:noProof/>
        </w:rPr>
        <w:t>(37)</w:t>
      </w:r>
      <w:r w:rsidRPr="00FA635E">
        <w:rPr>
          <w:noProof/>
        </w:rPr>
        <w:tab/>
      </w:r>
      <w:r w:rsidR="00181FE6" w:rsidRPr="009A0BE4">
        <w:rPr>
          <w:noProof/>
        </w:rPr>
        <w:t>Ο αντίκτυπος των μέτρων που καταργούνται ή τροποποιούνται στη συνολική φιλοδοξία του ΣΑΑ όσον αφορά την πράσινη μετάβαση είναι περιορισμένος, δεδομένου ότι η κατανομή του μέτρου που καταργείται χρησιμοποιείται για τα μέτρα του κεφαλαίου για το REPowerEU. Το κεφάλαιο για το REPowerEU συμβάλλει σημαντικά στην περαιτέρω στήριξη της πράσινης μετάβασης του Λουξεμβούργου, καθώς όλες οι νέες μεταρρυθμίσεις και επενδύσεις συμβάλλουν στην επίτευξη αυτού του στόχου. Η μεταρρύθμιση και οι επενδύσεις αποσκοπούν στη μείωση της εξάρτησης από τα ορυκτά καύσιμα, στην αύξηση της ενεργειακής απόδοσης, στην επιτάχυνση της ανάπτυξης ανανεώσιμων πηγών ενέργειας και στη στήριξη των μεταφορών μηδενικών εκπομπών.</w:t>
      </w:r>
    </w:p>
    <w:p w:rsidR="00B30295" w:rsidRPr="009A0BE4" w:rsidRDefault="00FA635E" w:rsidP="00FA635E">
      <w:pPr>
        <w:pStyle w:val="ManualConsidrant"/>
        <w:rPr>
          <w:rFonts w:eastAsia="Times New Roman"/>
          <w:noProof/>
        </w:rPr>
      </w:pPr>
      <w:r w:rsidRPr="00FA635E">
        <w:rPr>
          <w:noProof/>
        </w:rPr>
        <w:t>(38)</w:t>
      </w:r>
      <w:r w:rsidRPr="00FA635E">
        <w:rPr>
          <w:noProof/>
        </w:rPr>
        <w:tab/>
      </w:r>
      <w:r w:rsidR="00181FE6" w:rsidRPr="009A0BE4">
        <w:rPr>
          <w:noProof/>
        </w:rPr>
        <w:t>Το τροποποιημένο ΣΑΑ, συμπεριλαμβανομένου του κεφαλαίου για το REPowerEU, εξακολουθεί να συμβάλλει σημαντικά στην πράσινη μετάβαση, συμπεριλαμβανομένης της βιοποικιλότητας, καθώς και στην επίτευξη των στόχων της Ένωσης για το κλίμα με ορίζοντα το 2030, ενώ παράλληλα συμμορφώνεται με τον στόχο της κλιματικής ουδετερότητας της ΕΕ έως το 2050.</w:t>
      </w:r>
    </w:p>
    <w:p w:rsidR="00B30295" w:rsidRPr="009A0BE4" w:rsidRDefault="00962D47">
      <w:pPr>
        <w:rPr>
          <w:rFonts w:eastAsia="Times New Roman"/>
          <w:b/>
          <w:bCs/>
          <w:i/>
          <w:iCs/>
          <w:noProof/>
        </w:rPr>
      </w:pPr>
      <w:r w:rsidRPr="009A0BE4">
        <w:rPr>
          <w:b/>
          <w:i/>
          <w:noProof/>
        </w:rPr>
        <w:t>Συμβολή στην ψηφιακή μετάβαση</w:t>
      </w:r>
    </w:p>
    <w:p w:rsidR="00B30295" w:rsidRPr="009A0BE4" w:rsidRDefault="00FA635E" w:rsidP="00FA635E">
      <w:pPr>
        <w:pStyle w:val="ManualConsidrant"/>
        <w:rPr>
          <w:rFonts w:eastAsia="Times New Roman"/>
          <w:noProof/>
        </w:rPr>
      </w:pPr>
      <w:r w:rsidRPr="00FA635E">
        <w:rPr>
          <w:noProof/>
        </w:rPr>
        <w:t>(39)</w:t>
      </w:r>
      <w:r w:rsidRPr="00FA635E">
        <w:rPr>
          <w:noProof/>
        </w:rPr>
        <w:tab/>
      </w:r>
      <w:r w:rsidR="00962D47" w:rsidRPr="009A0BE4">
        <w:rPr>
          <w:noProof/>
        </w:rPr>
        <w:t xml:space="preserve">Σύμφωνα με το άρθρο 19 παράγραφος 3 στοιχείο στ) και το κριτήριο 2.6 του παραρτήματος V του κανονισμού (ΕΕ) 2021/241, το τροποποιημένο ΣΑΑ περιλαμβάνει μέτρα που συμβάλλουν σε μεγάλο βαθμό στην ψηφιακή μετάβαση ή στην αντιμετώπιση των προκλήσεων που απορρέουν από αυτήν. Τα μέτρα για τη στήριξη των ψηφιακών στόχων αντιπροσωπεύουν ποσό που αντιστοιχεί στο 37,5 % των συνολικών πιστώσεων του τροποποιημένου ΣΑΑ, όπως υπολογίζεται σύμφωνα με τη μεθοδολογία του παραρτήματος VII του εν λόγω κανονισμού. </w:t>
      </w:r>
    </w:p>
    <w:p w:rsidR="00B30295" w:rsidRPr="009A0BE4" w:rsidRDefault="00FA635E" w:rsidP="00FA635E">
      <w:pPr>
        <w:pStyle w:val="ManualConsidrant"/>
        <w:rPr>
          <w:rFonts w:eastAsia="Times New Roman"/>
          <w:noProof/>
        </w:rPr>
      </w:pPr>
      <w:r w:rsidRPr="00FA635E">
        <w:rPr>
          <w:noProof/>
        </w:rPr>
        <w:t>(40)</w:t>
      </w:r>
      <w:r w:rsidRPr="00FA635E">
        <w:rPr>
          <w:noProof/>
        </w:rPr>
        <w:tab/>
      </w:r>
      <w:r w:rsidR="00181FE6" w:rsidRPr="009A0BE4">
        <w:rPr>
          <w:noProof/>
        </w:rPr>
        <w:t>Το τροποποιημένο ΣΑΑ εξακολουθεί να συμβάλλει σημαντικά στην ψηφιακή μετάβαση μέσω διαφόρων επενδύσεων στην ψηφιοποίηση της δημόσιας διοίκησης και της ιατροφαρμακευτικής περίθαλψης, καθώς και μέσω της ανάπτυξης εξαιρετικά ασφαλούς υποδομής επικοινωνιών που βασίζεται σε κβαντική τεχνολογία.</w:t>
      </w:r>
    </w:p>
    <w:p w:rsidR="00B30295" w:rsidRPr="009A0BE4" w:rsidRDefault="00181FE6" w:rsidP="00D562D1">
      <w:pPr>
        <w:rPr>
          <w:b/>
          <w:bCs/>
          <w:i/>
          <w:iCs/>
          <w:noProof/>
        </w:rPr>
      </w:pPr>
      <w:r w:rsidRPr="009A0BE4">
        <w:rPr>
          <w:b/>
          <w:i/>
          <w:noProof/>
        </w:rPr>
        <w:t xml:space="preserve"> Διαρκής αντίκτυπος</w:t>
      </w:r>
    </w:p>
    <w:p w:rsidR="00B30295" w:rsidRPr="009A0BE4" w:rsidRDefault="00FA635E" w:rsidP="00FA635E">
      <w:pPr>
        <w:pStyle w:val="ManualConsidrant"/>
        <w:rPr>
          <w:rFonts w:eastAsia="Times New Roman"/>
          <w:noProof/>
        </w:rPr>
      </w:pPr>
      <w:r w:rsidRPr="00FA635E">
        <w:rPr>
          <w:noProof/>
        </w:rPr>
        <w:t>(41)</w:t>
      </w:r>
      <w:r w:rsidRPr="00FA635E">
        <w:rPr>
          <w:noProof/>
        </w:rPr>
        <w:tab/>
      </w:r>
      <w:r w:rsidR="00962D47" w:rsidRPr="009A0BE4">
        <w:rPr>
          <w:noProof/>
        </w:rPr>
        <w:t>Σύμφωνα με το άρθρο 19 παράγραφος 3 στοιχείο ζ) και το κριτήριο 2.7 του παραρτήματος V του κανονισμού (ΕΕ) 2021/241, το τροποποιημένο ΣΑΑ, συμπεριλαμβανομένου του κεφαλαίου για το REPowerEU, αναμένεται να έχει, σε μεγάλο βαθμό, διαρκή αντίκτυπο στο Λουξεμβούργο (βαθμολόγηση Α).</w:t>
      </w:r>
    </w:p>
    <w:p w:rsidR="00B30295" w:rsidRPr="009A0BE4" w:rsidRDefault="00FA635E" w:rsidP="00FA635E">
      <w:pPr>
        <w:pStyle w:val="ManualConsidrant"/>
        <w:rPr>
          <w:rFonts w:eastAsia="Times New Roman"/>
          <w:noProof/>
        </w:rPr>
      </w:pPr>
      <w:r w:rsidRPr="00FA635E">
        <w:rPr>
          <w:noProof/>
        </w:rPr>
        <w:t>(42)</w:t>
      </w:r>
      <w:r w:rsidRPr="00FA635E">
        <w:rPr>
          <w:noProof/>
        </w:rPr>
        <w:tab/>
      </w:r>
      <w:r w:rsidR="00181FE6" w:rsidRPr="009A0BE4">
        <w:rPr>
          <w:noProof/>
        </w:rPr>
        <w:t xml:space="preserve">Κατά την αξιολόγηση του αρχικού ΣΑΑ, σύμφωνα με το άρθρο 19 παράγραφος 3 στοιχείο ζ) και το κριτήριο 2.7 του παραρτήματος V του κανονισμού (ΕΕ) 2021/241, διαπιστώθηκε ότι το αρχικό ΣΑΑ αναμενόταν να έχει, σε μεγάλο βαθμό, διαρκή αντίκτυπο στο Λουξεμβούργο (βαθμολόγηση Α). </w:t>
      </w:r>
    </w:p>
    <w:p w:rsidR="00181FE6" w:rsidRPr="009A0BE4" w:rsidRDefault="00FA635E" w:rsidP="00FA635E">
      <w:pPr>
        <w:pStyle w:val="ManualConsidrant"/>
        <w:rPr>
          <w:noProof/>
        </w:rPr>
      </w:pPr>
      <w:r w:rsidRPr="00FA635E">
        <w:rPr>
          <w:noProof/>
        </w:rPr>
        <w:t>(43)</w:t>
      </w:r>
      <w:r w:rsidRPr="00FA635E">
        <w:rPr>
          <w:noProof/>
        </w:rPr>
        <w:tab/>
      </w:r>
      <w:r w:rsidR="00181FE6" w:rsidRPr="009A0BE4">
        <w:rPr>
          <w:noProof/>
        </w:rPr>
        <w:t>Το τροποποιημένο ΣΑΑ εξακολουθεί να επικεντρώνεται σε καινοτόμες και βιώσιμες οικονομικές δραστηριότητες με σημαντικό δυναμικό εκμετάλλευσης. Το κεφάλαιο για το REPowerEU, σε συνδυασμό με τα υφιστάμενα μέτρα, αναμένεται επίσης να έχει μακροχρόνιες θετικές επιπτώσεις στην οικονομία του Λουξεμβούργου και να τονώσει περαιτέρω την πράσινη μετάβασή της. Οι επενδύσεις στις ανανεώσιμες πηγές ενέργειας, στην ενεργειακή απόδοση και στον εξηλεκτρισμό των μεταφορών αναμένεται να έχουν διαρκή αντίκτυπο στη μείωση των εκπομπών αερίων του θερμοκηπίου και στην εξάρτηση από τα ορυκτά καύσιμα. Η μεταρρύθμιση θα έχει διαρκή αντίκτυπο με τη βελτίωση του πλαισίου συνθηκών για τη βιώσιμη παραγωγή βιοαερίου.</w:t>
      </w:r>
    </w:p>
    <w:p w:rsidR="00B30295" w:rsidRPr="009A0BE4" w:rsidRDefault="00181FE6" w:rsidP="00D562D1">
      <w:pPr>
        <w:rPr>
          <w:b/>
          <w:bCs/>
          <w:i/>
          <w:iCs/>
          <w:noProof/>
        </w:rPr>
      </w:pPr>
      <w:r w:rsidRPr="009A0BE4">
        <w:rPr>
          <w:b/>
          <w:i/>
          <w:noProof/>
        </w:rPr>
        <w:t xml:space="preserve"> Παρακολούθηση και εφαρμογή</w:t>
      </w:r>
    </w:p>
    <w:p w:rsidR="00B30295" w:rsidRPr="009A0BE4" w:rsidRDefault="00FA635E" w:rsidP="00FA635E">
      <w:pPr>
        <w:pStyle w:val="ManualConsidrant"/>
        <w:rPr>
          <w:rFonts w:eastAsia="Times New Roman"/>
          <w:noProof/>
        </w:rPr>
      </w:pPr>
      <w:r w:rsidRPr="00FA635E">
        <w:rPr>
          <w:noProof/>
        </w:rPr>
        <w:t>(44)</w:t>
      </w:r>
      <w:r w:rsidRPr="00FA635E">
        <w:rPr>
          <w:noProof/>
        </w:rPr>
        <w:tab/>
      </w:r>
      <w:r w:rsidR="00962D47" w:rsidRPr="009A0BE4">
        <w:rPr>
          <w:noProof/>
        </w:rPr>
        <w:t xml:space="preserve">Σύμφωνα με το άρθρο 19 παράγραφος 3 στοιχείο η) και το κριτήριο 2.8 του παραρτήματος V του κανονισμού (ΕΕ) 2021/241, οι ρυθμίσεις που προτείνονται στο τροποποιημένο ΣΑΑ, συμπεριλαμβανομένου του κεφαλαίου για το REPowerEU, είναι επαρκείς (βαθμολόγηση Α) για να εξασφαλίσουν την αποτελεσματική παρακολούθηση και υλοποίηση του ΣΑΑ, συμπεριλαμβανομένων τόσο του προβλεπόμενου χρονοδιαγράμματος όσο και των οροσήμων και στόχων, καθώς και των σχετικών δεικτών. </w:t>
      </w:r>
    </w:p>
    <w:p w:rsidR="00B30295" w:rsidRPr="009A0BE4" w:rsidRDefault="00FA635E" w:rsidP="00FA635E">
      <w:pPr>
        <w:pStyle w:val="ManualConsidrant"/>
        <w:rPr>
          <w:rFonts w:eastAsia="Times New Roman"/>
          <w:noProof/>
        </w:rPr>
      </w:pPr>
      <w:r w:rsidRPr="00FA635E">
        <w:rPr>
          <w:noProof/>
        </w:rPr>
        <w:t>(45)</w:t>
      </w:r>
      <w:r w:rsidRPr="00FA635E">
        <w:rPr>
          <w:noProof/>
        </w:rPr>
        <w:tab/>
      </w:r>
      <w:r w:rsidR="00181FE6" w:rsidRPr="009A0BE4">
        <w:rPr>
          <w:noProof/>
        </w:rPr>
        <w:t>Κατά την αξιολόγηση του αρχικού ΣΑΑ, σύμφωνα με το άρθρο 19 παράγραφος 3 στοιχείο η) και το κριτήριο 2.8 του παραρτήματος V του κανονισμού (ΕΕ) 2021/241, διαπιστώθηκε ότι το αρχικό ΣΑΑ ήταν επαρκές (βαθμολόγηση Α) για να εξασφαλίσει την αποτελεσματική παρακολούθηση και υλοποίηση του ΣΑΑ, συμπεριλαμβανομένων τόσο του προβλεπόμενου χρονοδιαγράμματος όσο και των οροσήμων και στόχων, καθώς και των σχετικών δεικτών.</w:t>
      </w:r>
    </w:p>
    <w:p w:rsidR="00B30295" w:rsidRPr="009A0BE4" w:rsidRDefault="00FA635E" w:rsidP="00FA635E">
      <w:pPr>
        <w:pStyle w:val="ManualConsidrant"/>
        <w:rPr>
          <w:rFonts w:eastAsia="Times New Roman"/>
          <w:noProof/>
        </w:rPr>
      </w:pPr>
      <w:r w:rsidRPr="00FA635E">
        <w:rPr>
          <w:noProof/>
        </w:rPr>
        <w:t>(46)</w:t>
      </w:r>
      <w:r w:rsidRPr="00FA635E">
        <w:rPr>
          <w:noProof/>
        </w:rPr>
        <w:tab/>
      </w:r>
      <w:r w:rsidR="00181FE6" w:rsidRPr="009A0BE4">
        <w:rPr>
          <w:noProof/>
        </w:rPr>
        <w:t>Η φύση και η έκταση των προτεινόμενων τροποποιήσεων στο ΣΑΑ του Λουξεμβούργου δεν έχουν αντίκτυπο στην προηγούμενη αξιολόγηση της αποτελεσματικής παρακολούθησης και υλοποίησης του ΣΑΑ. Ειδικότερα, τα ορόσημα και οι στόχοι που συνοδεύουν τα τροποποιημένα και τα νέα μέτρα, συμπεριλαμβανομένων εκείνων που περιλαμβάνονται στο κεφάλαιο για το REPowerEU, είναι σαφή και ρεαλιστικά, και οι προτεινόμενοι δείκτες για τα εν λόγω ορόσημα και τους εν λόγω στόχους είναι συναφείς, αποδεκτοί και άρτιοι. Τα ορόσημα και οι στόχοι αφορούν επίσης μέτρα που έχουν ήδη ολοκληρωθεί και είναι επιλέξιμα σύμφωνα με το άρθρο 17 παράγραφος 2 του κανονισμού (ΕΕ) 2021/241. Προκειμένου να αιτιολογηθεί ένα αίτημα εκταμίευσης, απαιτείται η ικανοποιητική εκπλήρωση αυτών των οροσήμων και στόχων με την πάροδο του χρόνου.</w:t>
      </w:r>
    </w:p>
    <w:p w:rsidR="00B30295" w:rsidRPr="009A0BE4" w:rsidRDefault="00962D47" w:rsidP="00D562D1">
      <w:pPr>
        <w:rPr>
          <w:b/>
          <w:bCs/>
          <w:i/>
          <w:iCs/>
          <w:noProof/>
        </w:rPr>
      </w:pPr>
      <w:r w:rsidRPr="009A0BE4">
        <w:rPr>
          <w:b/>
          <w:i/>
          <w:noProof/>
        </w:rPr>
        <w:t>Υπολογισμός του κόστους</w:t>
      </w:r>
    </w:p>
    <w:p w:rsidR="00B30295" w:rsidRPr="009A0BE4" w:rsidRDefault="00FA635E" w:rsidP="00FA635E">
      <w:pPr>
        <w:pStyle w:val="ManualConsidrant"/>
        <w:rPr>
          <w:rFonts w:eastAsia="Times New Roman"/>
          <w:noProof/>
        </w:rPr>
      </w:pPr>
      <w:r w:rsidRPr="00FA635E">
        <w:rPr>
          <w:noProof/>
        </w:rPr>
        <w:t>(47)</w:t>
      </w:r>
      <w:r w:rsidRPr="00FA635E">
        <w:rPr>
          <w:noProof/>
        </w:rPr>
        <w:tab/>
      </w:r>
      <w:r w:rsidR="00962D47" w:rsidRPr="009A0BE4">
        <w:rPr>
          <w:noProof/>
        </w:rPr>
        <w:t>Σύμφωνα με το άρθρο 19 παράγραφος 3 στοιχείο θ) και το κριτήριο 2.9 του παραρτήματος V του κανονισμού (ΕΕ) 2021/241, η αιτιολόγηση που παρέχεται στο τροποποιημένο ΣΑΑ, συμπεριλαμβανομένου του κεφαλαίου για το REPowerEU, σχετικά με το ύψος του εκτιμώμενου συνολικού κόστους του ΣΑΑ είναι, σε μέτριο βαθμό (βαθμολόγηση Β), εύλογη και βάσιμη, σύμφωνη με την αρχή της οικονομικής αποδοτικότητας και ανάλογη προς τον αναμενόμενο εθνικό οικονομικό και κοινωνικό αντίκτυπο.</w:t>
      </w:r>
    </w:p>
    <w:p w:rsidR="00B30295" w:rsidRPr="009A0BE4" w:rsidRDefault="00FA635E" w:rsidP="00FA635E">
      <w:pPr>
        <w:pStyle w:val="ManualConsidrant"/>
        <w:rPr>
          <w:rFonts w:eastAsia="Times New Roman"/>
          <w:noProof/>
        </w:rPr>
      </w:pPr>
      <w:r w:rsidRPr="00FA635E">
        <w:rPr>
          <w:noProof/>
        </w:rPr>
        <w:t>(48)</w:t>
      </w:r>
      <w:r w:rsidRPr="00FA635E">
        <w:rPr>
          <w:noProof/>
        </w:rPr>
        <w:tab/>
      </w:r>
      <w:r w:rsidR="00EE1C7E" w:rsidRPr="009A0BE4">
        <w:rPr>
          <w:rStyle w:val="normaltextrun"/>
          <w:noProof/>
          <w:color w:val="000000" w:themeColor="text1"/>
        </w:rPr>
        <w:t>Για την εκτίμηση του κόστους του αναθεωρημένου σχεδίου, η αιτιολόγηση που παρέχει το Λουξεμβούργο για το ύψος των τροποποιήσεων του κόστους του σχεδίου ανάκαμψης και ανθεκτικότητας είναι, σε εύλογο βαθμό, βάσιμη, σύμφωνη με την αρχή της οικονομικής αποδοτικότητας και ανάλογη προς τον αναμενόμενο εθνικό οικονομικό και κοινωνικό αντίκτυπο.</w:t>
      </w:r>
    </w:p>
    <w:p w:rsidR="00B30295" w:rsidRPr="009A0BE4" w:rsidDel="006756D4" w:rsidRDefault="00FA635E" w:rsidP="00FA635E">
      <w:pPr>
        <w:pStyle w:val="ManualConsidrant"/>
        <w:rPr>
          <w:rFonts w:eastAsia="Times New Roman"/>
          <w:noProof/>
        </w:rPr>
      </w:pPr>
      <w:r w:rsidRPr="00FA635E">
        <w:rPr>
          <w:noProof/>
        </w:rPr>
        <w:t>(49)</w:t>
      </w:r>
      <w:r w:rsidRPr="00FA635E">
        <w:rPr>
          <w:noProof/>
        </w:rPr>
        <w:tab/>
      </w:r>
      <w:r w:rsidR="008B1521" w:rsidRPr="009A0BE4">
        <w:rPr>
          <w:rStyle w:val="normaltextrun"/>
          <w:noProof/>
          <w:color w:val="000000" w:themeColor="text1"/>
        </w:rPr>
        <w:t>Όσον αφορά τα μέτρα στο κεφάλαιο για το REPowerEU, από την αξιολόγηση των εκτιμήσεων κόστους και των δικαιολογητικών εγγράφων προκύπτει ότι το μεγαλύτερο μέρος του κόστους είναι εύλογο και βάσιμο. Για τα νέα μέτρα παρασχέθηκε πλήρης απόδειξη του κόστους. Τέλος, το ύψος του εκτιμώμενου συνολικού κόστους του ΣΑΑ συνάδει με την αρχή της οικονομικής αποδοτικότητας και είναι ανάλογο προς τον αναμενόμενο εθνικό οικονομικό και κοινωνικό αντίκτυπο.</w:t>
      </w:r>
      <w:r w:rsidR="008B1521" w:rsidRPr="009A0BE4">
        <w:rPr>
          <w:rStyle w:val="eop"/>
          <w:noProof/>
          <w:color w:val="000000" w:themeColor="text1"/>
        </w:rPr>
        <w:t> </w:t>
      </w:r>
      <w:r w:rsidR="008B1521" w:rsidRPr="009A0BE4">
        <w:rPr>
          <w:noProof/>
        </w:rPr>
        <w:t xml:space="preserve"> </w:t>
      </w:r>
    </w:p>
    <w:p w:rsidR="00B30295" w:rsidRPr="009A0BE4" w:rsidRDefault="00962D47" w:rsidP="00D562D1">
      <w:pPr>
        <w:rPr>
          <w:b/>
          <w:bCs/>
          <w:i/>
          <w:iCs/>
          <w:noProof/>
        </w:rPr>
      </w:pPr>
      <w:r w:rsidRPr="009A0BE4">
        <w:rPr>
          <w:b/>
          <w:i/>
          <w:noProof/>
        </w:rPr>
        <w:t>Προστασία των οικονομικών συμφερόντων της Ένωσης</w:t>
      </w:r>
    </w:p>
    <w:p w:rsidR="00B30295" w:rsidRPr="009A0BE4" w:rsidRDefault="00FA635E" w:rsidP="00FA635E">
      <w:pPr>
        <w:pStyle w:val="ManualConsidrant"/>
        <w:rPr>
          <w:rFonts w:eastAsia="Times New Roman"/>
          <w:noProof/>
        </w:rPr>
      </w:pPr>
      <w:r w:rsidRPr="00FA635E">
        <w:rPr>
          <w:noProof/>
        </w:rPr>
        <w:t>(50)</w:t>
      </w:r>
      <w:r w:rsidRPr="00FA635E">
        <w:rPr>
          <w:noProof/>
        </w:rPr>
        <w:tab/>
      </w:r>
      <w:r w:rsidR="00461D5B" w:rsidRPr="009A0BE4">
        <w:rPr>
          <w:noProof/>
        </w:rPr>
        <w:t>Σύμφωνα με το άρθρο 19 παράγραφος 3 στοιχείο ι) και το κριτήριο 2.10 του παραρτήματος V του κανονισμού (ΕΕ) 2021/241, οι ρυθμίσεις που προτείνονται στο τροποποιημένο ΣΑΑ, συμπεριλαμβανομένου του κεφαλαίου για το REPowerEU, επαρκούν (βαθμολόγηση Α) για την πρόληψη, τον εντοπισμό και την αντιμετώπιση της διαφθοράς, της απάτης και των συγκρούσεων συμφερόντων κατά τη χρήση των κονδυλίων που παρέχονται στο πλαίσιο του εν λόγω κανονισμού, και αναμένεται ότι θα συμβάλουν αποτελεσματικά στην αποφυγή της διπλής χρηματοδότησης στο πλαίσιο του εν λόγω κανονισμού και άλλων προγραμμάτων της Ένωσης. Αυτό δεν θίγει την εφαρμογή άλλων μέσων και εργαλείων για την προώθηση και την επιβολή της συμμόρφωσης με το ενωσιακό δίκαιο, μεταξύ άλλων για την πρόληψη, τον εντοπισμό και την αντιμετώπιση της διαφθοράς, της απάτης και των συγκρούσεων συμφερόντων, καθώς και για την προστασία του προϋπολογισμού της Ένωσης σύμφωνα με τον κανονισμό (ΕΕ, Ευρατόμ) 2020/2092 του Ευρωπαϊκού Κοινοβουλίου και του Συμβουλίου</w:t>
      </w:r>
      <w:r w:rsidR="00962D47" w:rsidRPr="009A0BE4">
        <w:rPr>
          <w:rStyle w:val="FootnoteReference"/>
          <w:rFonts w:eastAsia="Times New Roman"/>
          <w:noProof/>
        </w:rPr>
        <w:footnoteReference w:id="6"/>
      </w:r>
      <w:r w:rsidR="00461D5B" w:rsidRPr="009A0BE4">
        <w:rPr>
          <w:noProof/>
        </w:rPr>
        <w:t>.</w:t>
      </w:r>
    </w:p>
    <w:p w:rsidR="005A0DD2" w:rsidRPr="009A0BE4" w:rsidRDefault="00FA635E" w:rsidP="00FA635E">
      <w:pPr>
        <w:pStyle w:val="ManualConsidrant"/>
        <w:rPr>
          <w:rFonts w:eastAsia="Times New Roman"/>
          <w:noProof/>
        </w:rPr>
      </w:pPr>
      <w:r w:rsidRPr="00FA635E">
        <w:rPr>
          <w:noProof/>
        </w:rPr>
        <w:t>(51)</w:t>
      </w:r>
      <w:r w:rsidRPr="00FA635E">
        <w:rPr>
          <w:noProof/>
        </w:rPr>
        <w:tab/>
      </w:r>
      <w:r w:rsidR="00461D5B" w:rsidRPr="009A0BE4">
        <w:rPr>
          <w:noProof/>
        </w:rPr>
        <w:t xml:space="preserve">Η αρχική αξιολόγηση είχε καταλήξει στο συμπέρασμα ότι οι ρυθμίσεις ελέγχων και δικλίδων που πρότεινε το Λουξεμβούργο ήταν επαρκείς (βαθμολόγηση Α) βάσει του κριτηρίου 2.10 του παραρτήματος V του κανονισμού ΜΑΑ, </w:t>
      </w:r>
      <w:bookmarkStart w:id="4" w:name="_Hlk169898044"/>
      <w:r w:rsidR="00461D5B" w:rsidRPr="009A0BE4">
        <w:rPr>
          <w:noProof/>
        </w:rPr>
        <w:t>με την επιφύλαξη της έγκαιρης εκπλήρωσης δύο οροσήμων που αφορούν ένα σύστημα αποθετηρίου για την παρακολούθηση της εφαρμογής του ΜΑΑ και της ολοκλήρωσης της εφαρμογής περαιτέρω διαδικασιών για την προστασία των οικονομικών συμφερόντων της ΕΕ, οι οποίες αξιολογήθηκαν θετικά με την επιφύλαξη δέσμευσης κατά την έγκριση του πρώτου αιτήματος πληρωμής.</w:t>
      </w:r>
      <w:bookmarkEnd w:id="4"/>
      <w:r w:rsidR="00461D5B" w:rsidRPr="009A0BE4">
        <w:rPr>
          <w:noProof/>
        </w:rPr>
        <w:t xml:space="preserve"> Η Διεύθυνση Οικονομικών και Προϋπολογισμού του Υπουργείου Οικονομικών έχει τη συνολική ευθύνη για την υλοποίηση του ΣΑΑ και είναι υπεύθυνη εξ ονόματος όλων των φορέων υλοποίησης για τις επιχειρησιακές και διοικητικές πτυχές του ΣΑΑ. Η ελεγκτική αρχή για τον ΜΑΑ, η Γενική Επιθεώρηση Οικονομικών (IGF), είναι υπεύθυνη για τη διενέργεια ελέγχων συστημάτων για την επαλήθευση της αποτελεσματικής λειτουργίας του συστήματος ελέγχων, καθώς και ελέγχων πράξεων για την παροχή διασφάλισης σχετικά με την επίτευξη των οροσήμων και των στόχων.  </w:t>
      </w:r>
    </w:p>
    <w:p w:rsidR="00461D5B" w:rsidRPr="009A0BE4" w:rsidRDefault="00FA635E" w:rsidP="00FA635E">
      <w:pPr>
        <w:pStyle w:val="ManualConsidrant"/>
        <w:rPr>
          <w:rFonts w:eastAsia="Times New Roman"/>
          <w:noProof/>
        </w:rPr>
      </w:pPr>
      <w:r w:rsidRPr="00FA635E">
        <w:rPr>
          <w:noProof/>
        </w:rPr>
        <w:t>(52)</w:t>
      </w:r>
      <w:r w:rsidRPr="00FA635E">
        <w:rPr>
          <w:noProof/>
        </w:rPr>
        <w:tab/>
      </w:r>
      <w:r w:rsidR="00461D5B" w:rsidRPr="009A0BE4">
        <w:rPr>
          <w:noProof/>
        </w:rPr>
        <w:t>Από την αρχική αξιολόγηση, η Επιτροπή είχε πρόσβαση σε πληροφορίες σχετικά με την πραγματική εφαρμογή του συστήματος ελέγχων και δικλίδων του Λουξεμβούργου. Στις πληροφορίες αυτές περιλαμβάνονται τα πορίσματα του ελέγχου σχετικά με την προστασία των οικονομικών συμφερόντων της Ένωσης που διενήργησε η Επιτροπή στο Λουξεμβούργο.</w:t>
      </w:r>
    </w:p>
    <w:p w:rsidR="00461D5B" w:rsidRPr="009A0BE4" w:rsidRDefault="00FA635E" w:rsidP="00FA635E">
      <w:pPr>
        <w:pStyle w:val="ManualConsidrant"/>
        <w:rPr>
          <w:rFonts w:eastAsia="Times New Roman"/>
          <w:noProof/>
        </w:rPr>
      </w:pPr>
      <w:r w:rsidRPr="00FA635E">
        <w:rPr>
          <w:noProof/>
        </w:rPr>
        <w:t>(53)</w:t>
      </w:r>
      <w:r w:rsidRPr="00FA635E">
        <w:rPr>
          <w:noProof/>
        </w:rPr>
        <w:tab/>
      </w:r>
      <w:r w:rsidR="00461D5B" w:rsidRPr="009A0BE4">
        <w:rPr>
          <w:noProof/>
        </w:rPr>
        <w:t>Με βάση τις πληροφορίες αυτές, η Επιτροπή θεωρεί ότι το σύστημα εσωτερικού ελέγχου του ΣΑΑ του Λουξεμβούργου είναι συνολικά επαρκές. Το Λουξεμβούργο α) αναθεώρησε τις οικείες διαδικασίες σχετικά με τη σύγκρουση συμφερόντων, τον εντοπισμό παρατυπιών, την παρακολούθηση των δαπανών, τη διπλή χρηματοδότηση, τις δημόσιες συμβάσεις και τις επιχορηγήσεις· και β) επικαιροποίησε τις εσωτερικές διαδικασίες του συντονιστικού φορέα, υπό το πρίσμα των παρατηρήσεων που διατυπώθηκαν κατά τη διάρκεια των ελέγχων, ώστε να καταστούν περισσότερο κατάλληλες και αναλογικές προς την προστασία των οικονομικών συμφερόντων της ΕΕ. Επιπλέον, ο ελεγκτικός φορέας του Λουξεμβούργου αναθεώρησε τη στρατηγική ελέγχου του.</w:t>
      </w:r>
    </w:p>
    <w:p w:rsidR="00B30295" w:rsidRPr="009A0BE4" w:rsidRDefault="00962D47">
      <w:pPr>
        <w:rPr>
          <w:rFonts w:eastAsia="Times New Roman"/>
          <w:b/>
          <w:bCs/>
          <w:noProof/>
          <w:szCs w:val="24"/>
        </w:rPr>
      </w:pPr>
      <w:r w:rsidRPr="009A0BE4">
        <w:rPr>
          <w:b/>
          <w:i/>
          <w:noProof/>
        </w:rPr>
        <w:t>Συνοχή του ΣΑΑ</w:t>
      </w:r>
    </w:p>
    <w:p w:rsidR="00B30295" w:rsidRPr="009A0BE4" w:rsidRDefault="00FA635E" w:rsidP="00FA635E">
      <w:pPr>
        <w:pStyle w:val="ManualConsidrant"/>
        <w:rPr>
          <w:rFonts w:eastAsia="Times New Roman"/>
          <w:noProof/>
        </w:rPr>
      </w:pPr>
      <w:r w:rsidRPr="00FA635E">
        <w:rPr>
          <w:noProof/>
        </w:rPr>
        <w:t>(54)</w:t>
      </w:r>
      <w:r w:rsidRPr="00FA635E">
        <w:rPr>
          <w:noProof/>
        </w:rPr>
        <w:tab/>
      </w:r>
      <w:r w:rsidR="00962D47" w:rsidRPr="009A0BE4">
        <w:rPr>
          <w:noProof/>
        </w:rPr>
        <w:t xml:space="preserve">Σύμφωνα με το άρθρο 19 παράγραφος 3 στοιχείο ια) και το κριτήριο 2.11 του παραρτήματος V του κανονισμού (ΕΕ) 2021/241, το τροποποιημένο ΣΑΑ, συμπεριλαμβανομένου του κεφαλαίου για το REPowerEU, περιλαμβάνει, σε μεγάλο βαθμό (βαθμολόγηση Α), μέτρα για την υλοποίηση μεταρρυθμίσεων και έργων δημόσιων επενδύσεων που αντιπροσωπεύουν συνεκτικές δράσεις. </w:t>
      </w:r>
    </w:p>
    <w:p w:rsidR="00B30295" w:rsidRPr="009A0BE4" w:rsidRDefault="00FA635E" w:rsidP="00FA635E">
      <w:pPr>
        <w:pStyle w:val="ManualConsidrant"/>
        <w:rPr>
          <w:rFonts w:eastAsia="Times New Roman"/>
          <w:noProof/>
        </w:rPr>
      </w:pPr>
      <w:r w:rsidRPr="00FA635E">
        <w:rPr>
          <w:noProof/>
        </w:rPr>
        <w:t>(55)</w:t>
      </w:r>
      <w:r w:rsidRPr="00FA635E">
        <w:rPr>
          <w:noProof/>
        </w:rPr>
        <w:tab/>
      </w:r>
      <w:r w:rsidR="00181FE6" w:rsidRPr="009A0BE4">
        <w:rPr>
          <w:noProof/>
        </w:rPr>
        <w:t>Η αξιολόγηση του αρχικού ΣΑΑ, σύμφωνα με το άρθρο 19 παράγραφος 3 στοιχείο ια) και το κριτήριο 2.11 του παραρτήματος V του κανονισμού (ΕΕ) 2021/241, έκρινε ότι το αρχικό ΣΑΑ περιλάμβανε, σε μεγάλο βαθμό (βαθμολόγηση Α), μέτρα για την υλοποίηση μεταρρυθμίσεων και έργων δημόσιων επενδύσεων που αντιπροσωπεύουν συνεκτικές δράσεις.</w:t>
      </w:r>
    </w:p>
    <w:p w:rsidR="009A1E0D" w:rsidRPr="009A0BE4" w:rsidRDefault="00FA635E" w:rsidP="00FA635E">
      <w:pPr>
        <w:pStyle w:val="ManualConsidrant"/>
        <w:rPr>
          <w:rFonts w:eastAsia="Times New Roman"/>
          <w:noProof/>
        </w:rPr>
      </w:pPr>
      <w:r w:rsidRPr="00FA635E">
        <w:rPr>
          <w:noProof/>
        </w:rPr>
        <w:t>(56)</w:t>
      </w:r>
      <w:r w:rsidRPr="00FA635E">
        <w:rPr>
          <w:noProof/>
        </w:rPr>
        <w:tab/>
      </w:r>
      <w:r w:rsidR="009A1E0D" w:rsidRPr="009A0BE4">
        <w:rPr>
          <w:noProof/>
        </w:rPr>
        <w:t>Οι τροποποιήσεις που επήλθαν στις υφιστάμενες συνιστώσες του ΣΑΑ δεν μεταβάλλουν τη συνολική συνοχή του ΣΑΑ, λαμβανομένου υπόψη του τρόπου με τον οποίο τα μέτρα αλληλοενισχύονται και αλληλοσυμπληρώνονται. Το πρόσθετο κεφάλαιο για το REPowerEU συνάδει με τα μέτρα που εφαρμόζονται στο πλαίσιο του αρχικού ΣΑΑ για τη στήριξη της πράσινης μετάβασης και ενισχύει περαιτέρω τη φιλοδοξία των μέτρων που σχετίζονται με τη βιώσιμη στέγαση και τον εξηλεκτρισμό των μεταφορών. Το κεφάλαιο για το REPowerEU περιλαμβάνει ένα συνεκτικό μείγμα αλληλοενισχυόμενων και αλληλοσυμπληρωματικών μεταρρυθμίσεων και τριών επενδύσεων.</w:t>
      </w:r>
    </w:p>
    <w:p w:rsidR="00B30295" w:rsidRPr="009A0BE4" w:rsidRDefault="00962D47" w:rsidP="00B41582">
      <w:pPr>
        <w:rPr>
          <w:b/>
          <w:bCs/>
          <w:i/>
          <w:iCs/>
          <w:noProof/>
        </w:rPr>
      </w:pPr>
      <w:bookmarkStart w:id="5" w:name="_Hlk140507403"/>
      <w:r w:rsidRPr="009A0BE4">
        <w:rPr>
          <w:b/>
          <w:i/>
          <w:noProof/>
        </w:rPr>
        <w:t>Διαδικασία διαβούλευσης</w:t>
      </w:r>
    </w:p>
    <w:bookmarkEnd w:id="5"/>
    <w:p w:rsidR="00B30295" w:rsidRPr="009A0BE4" w:rsidRDefault="00FA635E" w:rsidP="00FA635E">
      <w:pPr>
        <w:pStyle w:val="ManualConsidrant"/>
        <w:rPr>
          <w:rFonts w:eastAsia="Times New Roman"/>
          <w:noProof/>
        </w:rPr>
      </w:pPr>
      <w:r w:rsidRPr="00FA635E">
        <w:rPr>
          <w:noProof/>
        </w:rPr>
        <w:t>(57)</w:t>
      </w:r>
      <w:r w:rsidRPr="00FA635E">
        <w:rPr>
          <w:noProof/>
        </w:rPr>
        <w:tab/>
      </w:r>
      <w:r w:rsidR="006203E8" w:rsidRPr="009A0BE4">
        <w:rPr>
          <w:noProof/>
        </w:rPr>
        <w:t>Το Λουξεμβούργο διεξήγαγε πρόσθετες διαβουλεύσεις με τα ενδιαφερόμενα μέρη στο πλαίσιο της τροποποίησης του ΣΑΑ και για την κατάρτιση του κεφαλαίου για το REPowerEU, με τη συμμετοχή των κοινωνικών εταίρων.</w:t>
      </w:r>
    </w:p>
    <w:p w:rsidR="00B30295" w:rsidRPr="009A0BE4" w:rsidRDefault="00962D47">
      <w:pPr>
        <w:rPr>
          <w:rFonts w:eastAsia="Times New Roman"/>
          <w:b/>
          <w:bCs/>
          <w:i/>
          <w:iCs/>
          <w:noProof/>
        </w:rPr>
      </w:pPr>
      <w:r w:rsidRPr="009A0BE4">
        <w:rPr>
          <w:b/>
          <w:i/>
          <w:noProof/>
        </w:rPr>
        <w:t>Θετική αξιολόγηση</w:t>
      </w:r>
    </w:p>
    <w:p w:rsidR="00B30295" w:rsidRPr="009A0BE4" w:rsidRDefault="00FA635E" w:rsidP="00FA635E">
      <w:pPr>
        <w:pStyle w:val="ManualConsidrant"/>
        <w:rPr>
          <w:rFonts w:eastAsia="Times New Roman"/>
          <w:noProof/>
        </w:rPr>
      </w:pPr>
      <w:r w:rsidRPr="00FA635E">
        <w:rPr>
          <w:noProof/>
        </w:rPr>
        <w:t>(58)</w:t>
      </w:r>
      <w:r w:rsidRPr="00FA635E">
        <w:rPr>
          <w:noProof/>
        </w:rPr>
        <w:tab/>
      </w:r>
      <w:r w:rsidR="00962D47" w:rsidRPr="009A0BE4">
        <w:rPr>
          <w:noProof/>
        </w:rPr>
        <w:t>Σε συνέχεια της θετικής αξιολόγησης της Επιτροπής σχετικά με το τροποποιημένο ΣΑΑ, συμπεριλαμβανομένου του κεφαλαίου για το REPowerEU, κατά την οποία διαπιστώθηκε ότι το σχέδιο συμμορφώνεται ικανοποιητικά με τα κριτήρια αξιολόγησης του κανονισμού (ΕΕ) 2021/241, σύμφωνα με το άρθρο 20 παράγραφος 2 και το παράρτημα V του εν λόγω κανονισμού, θα πρέπει να καθοριστούν οι μεταρρυθμίσεις και τα επενδυτικά έργα που απαιτούνται για την υλοποίηση του τροποποιημένου ΣΑΑ, συμπεριλαμβανομένου του κεφαλαίου για το REPowerEU, τα σχετικά ορόσημα, οι στόχοι και οι δείκτες, καθώς και το ποσό που διατίθεται από την Ένωση, υπό μορφή μη επιστρεπτέας χρηματοδοτικής στήριξης, για την υλοποίηση του τροποποιημένου ΣΑΑ, συμπεριλαμβανομένου του κεφαλαίου για το REPowerEU.</w:t>
      </w:r>
    </w:p>
    <w:p w:rsidR="00B30295" w:rsidRPr="009A0BE4" w:rsidRDefault="00962D47">
      <w:pPr>
        <w:rPr>
          <w:rFonts w:eastAsia="Times New Roman"/>
          <w:b/>
          <w:bCs/>
          <w:i/>
          <w:iCs/>
          <w:noProof/>
        </w:rPr>
      </w:pPr>
      <w:r w:rsidRPr="009A0BE4">
        <w:rPr>
          <w:b/>
          <w:i/>
          <w:noProof/>
        </w:rPr>
        <w:t>Χρηματοδοτική συνεισφορά</w:t>
      </w:r>
    </w:p>
    <w:p w:rsidR="00B30295" w:rsidRPr="009A0BE4" w:rsidRDefault="00FA635E" w:rsidP="00FA635E">
      <w:pPr>
        <w:pStyle w:val="ManualConsidrant"/>
        <w:rPr>
          <w:noProof/>
        </w:rPr>
      </w:pPr>
      <w:r w:rsidRPr="00FA635E">
        <w:rPr>
          <w:noProof/>
        </w:rPr>
        <w:t>(59)</w:t>
      </w:r>
      <w:r w:rsidRPr="00FA635E">
        <w:rPr>
          <w:noProof/>
        </w:rPr>
        <w:tab/>
      </w:r>
      <w:r w:rsidR="00962D47" w:rsidRPr="009A0BE4">
        <w:rPr>
          <w:noProof/>
        </w:rPr>
        <w:t>Το εκτιμώμενο συνολικό κόστος του τροποποιημένου ΣΑΑ του Λουξεμβούργου, συμπεριλαμβανομένου του κεφαλαίου για το REPowerEU, ανέρχεται σε 241 100 776 EUR. Δεδομένου ότι το ποσό του εκτιμώμενου συνολικού κόστους του τροποποιημένου ΣΑΑ είναι υψηλότερο από την επικαιροποιημένη μέγιστη χρηματοδοτική συνεισφορά που διατίθεται για το Λουξεμβούργο, η χρηματοδοτική συνεισφορά που υπολογίζεται σύμφωνα με το άρθρο 11 και διατίθεται για το τροποποιημένο ΣΑΑ του Λουξεμβούργου, συμπεριλαμβανομένου του κεφαλαίου για το REPowerEU, θα πρέπει να ισούται με το συνολικό ποσό της χρηματοδοτικής συνεισφοράς που διατίθεται για το τροποποιημένο ΣΑΑ του Λουξεμβούργου, συμπεριλαμβανομένου του κεφαλαίου για το REPowerEU. Το ποσό αυτό ισούται με 82 670 643 EUR.</w:t>
      </w:r>
    </w:p>
    <w:p w:rsidR="00B30295" w:rsidRPr="009A0BE4" w:rsidRDefault="00FA635E" w:rsidP="00FA635E">
      <w:pPr>
        <w:pStyle w:val="ManualConsidrant"/>
        <w:rPr>
          <w:rStyle w:val="normaltextrun"/>
          <w:noProof/>
        </w:rPr>
      </w:pPr>
      <w:r w:rsidRPr="00FA635E">
        <w:rPr>
          <w:rStyle w:val="normaltextrun"/>
          <w:noProof/>
        </w:rPr>
        <w:t>(60)</w:t>
      </w:r>
      <w:r w:rsidRPr="00FA635E">
        <w:rPr>
          <w:rStyle w:val="normaltextrun"/>
          <w:noProof/>
        </w:rPr>
        <w:tab/>
      </w:r>
      <w:r w:rsidR="00962D47" w:rsidRPr="009A0BE4">
        <w:rPr>
          <w:noProof/>
        </w:rPr>
        <w:t>Στις 16 Μαΐου 2024 το Λουξεμβούργο υπέβαλε αίτημα, δυνάμει του άρθρου 21α παράγραφος 5 του κανονισμού (ΕΕ) 2021/241, για την κατανομή των εσόδων που αναφέρονται στο άρθρο 21α παράγραφος 1 του εν λόγω κανονισμού μεταξύ των κρατών μελών με βάση τους δείκτες που καθορίζονται στη μεθοδολογία του παραρτήματος IVα του κανονισμού (ΕΕ) 2021/241. Το εκτιμώμενο συνολικό κόστος των μέτρων που αναφέρονται στο άρθρο 21γ παράγραφος 3 στοιχεία β) έως στ) και περιλαμβάνονται στο κεφάλαιο για το REPowerEU ανέρχεται σε 176 746 699 EUR. Δεδομένου ότι το ποσό αυτό είναι υψηλότερο από το μερίδιο κατανομής που διατίθεται για το Λουξεμβούργο, η πρόσθετη μη επιστρεπτέα χρηματοδοτική στήριξη που διατίθεται για το Λουξεμβούργο θα πρέπει να ισούται με το μερίδιο κατανομής. Το ποσό αυτό ισούται με 29 955 009 EUR.</w:t>
      </w:r>
    </w:p>
    <w:p w:rsidR="00B30295" w:rsidRPr="009A0BE4" w:rsidRDefault="00FA635E" w:rsidP="00FA635E">
      <w:pPr>
        <w:pStyle w:val="ManualConsidrant"/>
        <w:rPr>
          <w:rStyle w:val="normaltextrun"/>
          <w:rFonts w:eastAsia="Times New Roman"/>
          <w:noProof/>
        </w:rPr>
      </w:pPr>
      <w:r w:rsidRPr="00FA635E">
        <w:rPr>
          <w:rStyle w:val="normaltextrun"/>
          <w:noProof/>
        </w:rPr>
        <w:t>(61)</w:t>
      </w:r>
      <w:r w:rsidRPr="00FA635E">
        <w:rPr>
          <w:rStyle w:val="normaltextrun"/>
          <w:noProof/>
        </w:rPr>
        <w:tab/>
      </w:r>
      <w:r w:rsidR="00962D47" w:rsidRPr="009A0BE4">
        <w:rPr>
          <w:rStyle w:val="normaltextrun"/>
          <w:noProof/>
        </w:rPr>
        <w:t>Επιπλέον, στις 28 Φεβρουαρίου 2024 το Λουξεμβούργο υπέβαλε αιτιολογημένο αίτημα, δυνάμει του άρθρου 4α του κανονισμού (ΕΕ) 2021/1755</w:t>
      </w:r>
      <w:r w:rsidR="00962D47" w:rsidRPr="009A0BE4">
        <w:rPr>
          <w:rStyle w:val="FootnoteReference"/>
          <w:rFonts w:eastAsia="Times New Roman"/>
          <w:noProof/>
        </w:rPr>
        <w:footnoteReference w:id="7"/>
      </w:r>
      <w:r w:rsidR="00962D47" w:rsidRPr="009A0BE4">
        <w:rPr>
          <w:rStyle w:val="normaltextrun"/>
          <w:noProof/>
        </w:rPr>
        <w:t>, για τη μεταφορά στον μηχανισμό του συνόλου του υπολοίπου της προσωρινής του κατανομής από τους πόρους του αποθεματικού προσαρμογής στο Brexit, ύψους 128 475 124 EUR. Το ποσό αυτό</w:t>
      </w:r>
      <w:r w:rsidR="00962D47" w:rsidRPr="009A0BE4">
        <w:rPr>
          <w:noProof/>
        </w:rPr>
        <w:t xml:space="preserve"> θα πρέπει να διατεθεί για τη στήριξη των μεταρρυθμίσεων και των επενδύσεων στο κεφάλαιο για το REPowerEU ως πρόσθετη μη επιστρεπτέα χρηματοδοτική στήριξη.</w:t>
      </w:r>
    </w:p>
    <w:p w:rsidR="00B30295" w:rsidRPr="009A0BE4" w:rsidRDefault="00FA635E" w:rsidP="00FA635E">
      <w:pPr>
        <w:pStyle w:val="ManualConsidrant"/>
        <w:rPr>
          <w:rStyle w:val="normaltextrun"/>
          <w:rFonts w:eastAsia="Times New Roman"/>
          <w:noProof/>
        </w:rPr>
      </w:pPr>
      <w:r w:rsidRPr="00FA635E">
        <w:rPr>
          <w:rStyle w:val="normaltextrun"/>
          <w:noProof/>
        </w:rPr>
        <w:t>(62)</w:t>
      </w:r>
      <w:r w:rsidRPr="00FA635E">
        <w:rPr>
          <w:rStyle w:val="normaltextrun"/>
          <w:noProof/>
        </w:rPr>
        <w:tab/>
      </w:r>
      <w:r w:rsidR="00962D47" w:rsidRPr="009A0BE4">
        <w:rPr>
          <w:rStyle w:val="normaltextrun"/>
          <w:noProof/>
        </w:rPr>
        <w:t>Η συνολική χρηματοδοτική συνεισφορά που διατίθεται στο Λουξεμβούργο θα πρέπει να ανέλθει σε 241 100 776 EUR.</w:t>
      </w:r>
    </w:p>
    <w:p w:rsidR="00B30295" w:rsidRPr="009A0BE4" w:rsidRDefault="00FA635E" w:rsidP="00FA635E">
      <w:pPr>
        <w:pStyle w:val="ManualConsidrant"/>
        <w:rPr>
          <w:rFonts w:eastAsia="Times New Roman"/>
          <w:noProof/>
        </w:rPr>
      </w:pPr>
      <w:r w:rsidRPr="00FA635E">
        <w:rPr>
          <w:noProof/>
        </w:rPr>
        <w:t>(63)</w:t>
      </w:r>
      <w:r w:rsidRPr="00FA635E">
        <w:rPr>
          <w:noProof/>
        </w:rPr>
        <w:tab/>
      </w:r>
      <w:r w:rsidR="00962D47" w:rsidRPr="009A0BE4">
        <w:rPr>
          <w:noProof/>
        </w:rPr>
        <w:t>Επομένως, η εκτελεστική απόφαση του Συμβουλίου, της 13ης Ιουλίου 2021, για την έγκριση της αξιολόγησης του ΣΑΑ του Λουξεμβούργου θα πρέπει να τροποποιηθεί αναλόγως. Για λόγους σαφήνειας, το παράρτημα της εν λόγω εκτελεστικής απόφασης θα πρέπει να αντικατασταθεί εξ ολοκλήρου,</w:t>
      </w:r>
    </w:p>
    <w:p w:rsidR="00B30295" w:rsidRPr="009A0BE4" w:rsidRDefault="00962D47">
      <w:pPr>
        <w:pStyle w:val="Formuledadoption"/>
        <w:rPr>
          <w:rFonts w:eastAsia="Times New Roman"/>
          <w:noProof/>
        </w:rPr>
      </w:pPr>
      <w:r w:rsidRPr="009A0BE4">
        <w:rPr>
          <w:noProof/>
        </w:rPr>
        <w:t xml:space="preserve">ΕΞΕΔΩΣΕ ΤΗΝ ΠΑΡΟΥΣΑ ΑΠΟΦΑΣΗ: </w:t>
      </w:r>
    </w:p>
    <w:p w:rsidR="00B30295" w:rsidRPr="009A0BE4" w:rsidRDefault="00962D47">
      <w:pPr>
        <w:pStyle w:val="Titrearticle"/>
        <w:rPr>
          <w:rFonts w:eastAsia="Times New Roman"/>
          <w:noProof/>
        </w:rPr>
      </w:pPr>
      <w:r w:rsidRPr="009A0BE4">
        <w:rPr>
          <w:noProof/>
        </w:rPr>
        <w:t>Άρθρο 1</w:t>
      </w:r>
    </w:p>
    <w:p w:rsidR="00B30295" w:rsidRPr="009A0BE4" w:rsidRDefault="00962D47">
      <w:pPr>
        <w:rPr>
          <w:rFonts w:eastAsia="Times New Roman"/>
          <w:noProof/>
        </w:rPr>
      </w:pPr>
      <w:r w:rsidRPr="009A0BE4">
        <w:rPr>
          <w:noProof/>
        </w:rPr>
        <w:t xml:space="preserve">Η εκτελεστική απόφαση, της 13ης Ιουλίου 2021, για την έγκριση της αξιολόγησης του σχεδίου ανάκαμψης και ανθεκτικότητας του Λουξεμβούργου τροποποιείται ως εξής: </w:t>
      </w:r>
    </w:p>
    <w:p w:rsidR="00B30295" w:rsidRPr="009A0BE4" w:rsidRDefault="00962D47" w:rsidP="00B41582">
      <w:pPr>
        <w:rPr>
          <w:noProof/>
        </w:rPr>
      </w:pPr>
      <w:r w:rsidRPr="009A0BE4">
        <w:rPr>
          <w:noProof/>
        </w:rPr>
        <w:t xml:space="preserve">1) το άρθρο 1 αντικαθίσταται από το ακόλουθο κείμενο: </w:t>
      </w:r>
    </w:p>
    <w:p w:rsidR="00B30295" w:rsidRPr="009A0BE4" w:rsidRDefault="00962D47">
      <w:pPr>
        <w:rPr>
          <w:rFonts w:eastAsia="Times New Roman"/>
          <w:i/>
          <w:noProof/>
        </w:rPr>
      </w:pPr>
      <w:r w:rsidRPr="009A0BE4">
        <w:rPr>
          <w:noProof/>
        </w:rPr>
        <w:t>«</w:t>
      </w:r>
      <w:r w:rsidRPr="009A0BE4">
        <w:rPr>
          <w:i/>
          <w:noProof/>
        </w:rPr>
        <w:t>Άρθρο 1</w:t>
      </w:r>
    </w:p>
    <w:p w:rsidR="00B30295" w:rsidRPr="009A0BE4" w:rsidRDefault="00962D47">
      <w:pPr>
        <w:rPr>
          <w:i/>
          <w:iCs/>
          <w:noProof/>
          <w:szCs w:val="24"/>
        </w:rPr>
      </w:pPr>
      <w:r w:rsidRPr="009A0BE4">
        <w:rPr>
          <w:i/>
          <w:noProof/>
        </w:rPr>
        <w:t>Έγκριση της αξιολόγησης του ΣΑΑ</w:t>
      </w:r>
    </w:p>
    <w:p w:rsidR="00B30295" w:rsidRPr="009A0BE4" w:rsidRDefault="00962D47">
      <w:pPr>
        <w:rPr>
          <w:rFonts w:eastAsia="Times New Roman"/>
          <w:noProof/>
        </w:rPr>
      </w:pPr>
      <w:r w:rsidRPr="009A0BE4">
        <w:rPr>
          <w:noProof/>
        </w:rPr>
        <w:t>Εγκρίνεται η αξιολόγηση του τροποποιημένου ΣΑΑ του Λουξεμβούργου με βάση τα κριτήρια που ορίζονται στο άρθρο 19 παράγραφος 3 του κανονισμού (ΕΕ) 2021/241. Οι μεταρρυθμίσεις και τα επενδυτικά έργα στο πλαίσιο του ΣΑΑ, οι ρυθμίσεις και το χρονοδιάγραμμα παρακολούθησης και υλοποίησης του ΣΑΑ, συμπεριλαμβανομένων των σχετικών οροσήμων και στόχων, οι σχετικοί δείκτες εκπλήρωσης των προβλεπόμενων οροσήμων και στόχων, καθώς και οι ρυθμίσεις για την παροχή πλήρους πρόσβασης της Επιτροπής στα σχετικά δεδομένα τεκμηρίωσης καθορίζονται στο παράρτημα της παρούσας απόφασης.»·</w:t>
      </w:r>
    </w:p>
    <w:p w:rsidR="00B30295" w:rsidRPr="009A0BE4" w:rsidRDefault="00962D47">
      <w:pPr>
        <w:rPr>
          <w:rFonts w:eastAsia="Times New Roman"/>
          <w:noProof/>
        </w:rPr>
      </w:pPr>
      <w:r w:rsidRPr="009A0BE4">
        <w:rPr>
          <w:noProof/>
        </w:rPr>
        <w:t>2) στο άρθρο 2, οι παράγραφοι 1 και 2 αντικαθίστανται από το ακόλουθο κείμενο:</w:t>
      </w:r>
    </w:p>
    <w:p w:rsidR="00B30295" w:rsidRPr="009A0BE4" w:rsidRDefault="00962D47" w:rsidP="00B41582">
      <w:pPr>
        <w:rPr>
          <w:noProof/>
        </w:rPr>
      </w:pPr>
      <w:r w:rsidRPr="009A0BE4">
        <w:rPr>
          <w:noProof/>
        </w:rPr>
        <w:t xml:space="preserve"> «1. Η Ένωση θέτει στη διάθεση του </w:t>
      </w:r>
      <w:bookmarkStart w:id="6" w:name="_Hlk168659540"/>
      <w:r w:rsidRPr="009A0BE4">
        <w:rPr>
          <w:noProof/>
        </w:rPr>
        <w:t>Λουξεμβούργου</w:t>
      </w:r>
      <w:bookmarkEnd w:id="6"/>
      <w:r w:rsidRPr="009A0BE4">
        <w:rPr>
          <w:noProof/>
        </w:rPr>
        <w:t xml:space="preserve"> χρηματοδοτική συνεισφορά ύψους 241 100 776 EUR με τη μορφή μη επιστρεπτέας στήριξης</w:t>
      </w:r>
      <w:r w:rsidR="00C70910" w:rsidRPr="009A0BE4">
        <w:rPr>
          <w:rStyle w:val="FootnoteReference"/>
          <w:noProof/>
        </w:rPr>
        <w:footnoteReference w:id="8"/>
      </w:r>
      <w:r w:rsidRPr="009A0BE4">
        <w:rPr>
          <w:noProof/>
        </w:rPr>
        <w:t>. Η συνεισφορά αυτή περιλαμβάνει:</w:t>
      </w:r>
    </w:p>
    <w:p w:rsidR="00300E90" w:rsidRDefault="00300E90" w:rsidP="00300E90">
      <w:pPr>
        <w:ind w:left="1134" w:hanging="425"/>
        <w:rPr>
          <w:noProof/>
        </w:rPr>
      </w:pPr>
      <w:r>
        <w:rPr>
          <w:noProof/>
        </w:rPr>
        <w:t>α)</w:t>
      </w:r>
      <w:r>
        <w:rPr>
          <w:noProof/>
        </w:rPr>
        <w:tab/>
        <w:t xml:space="preserve">ποσό ύψους 76 625 886 EUR που διατίθεται για νομική δέσμευση έως τις 31 Δεκεμβρίου 2022· </w:t>
      </w:r>
    </w:p>
    <w:p w:rsidR="00300E90" w:rsidRDefault="00300E90" w:rsidP="00300E90">
      <w:pPr>
        <w:ind w:left="1134" w:hanging="425"/>
        <w:rPr>
          <w:noProof/>
        </w:rPr>
      </w:pPr>
      <w:r>
        <w:rPr>
          <w:noProof/>
        </w:rPr>
        <w:t>β)</w:t>
      </w:r>
      <w:r>
        <w:rPr>
          <w:noProof/>
        </w:rPr>
        <w:tab/>
        <w:t xml:space="preserve">ποσό ύψους 6 044 757 EUR που διατίθεται για νομική δέσμευση από την 1η Ιανουαρίου 2023 έως τις 31 Δεκεμβρίου 2023· </w:t>
      </w:r>
    </w:p>
    <w:p w:rsidR="00300E90" w:rsidRDefault="00300E90" w:rsidP="00300E90">
      <w:pPr>
        <w:ind w:left="1134" w:hanging="425"/>
        <w:rPr>
          <w:noProof/>
        </w:rPr>
      </w:pPr>
      <w:r>
        <w:rPr>
          <w:noProof/>
        </w:rPr>
        <w:t>γ)</w:t>
      </w:r>
      <w:r>
        <w:rPr>
          <w:noProof/>
        </w:rPr>
        <w:tab/>
        <w:t xml:space="preserve">ποσό ύψους 29 955 009 EUR, σύμφωνα με το άρθρο 21α παράγραφος 6 του κανονισμού (ΕΕ) 2021/241, αποκλειστικά για τα μέτρα που αναφέρονται στο άρθρο 21γ του εν λόγω κανονισμού, με εξαίρεση τα μέτρα που αναφέρονται στο άρθρο 21γ παράγραφος 3 στοιχείο α)· </w:t>
      </w:r>
    </w:p>
    <w:p w:rsidR="00300E90" w:rsidRDefault="00300E90" w:rsidP="00300E90">
      <w:pPr>
        <w:ind w:left="1134" w:hanging="425"/>
        <w:rPr>
          <w:noProof/>
        </w:rPr>
      </w:pPr>
      <w:r>
        <w:rPr>
          <w:noProof/>
        </w:rPr>
        <w:t>δ)</w:t>
      </w:r>
      <w:r>
        <w:rPr>
          <w:noProof/>
        </w:rPr>
        <w:tab/>
        <w:t>ποσό ύψους 128 475 124 EUR, το οποίο μεταφέρεται στον μηχανισμό από το αποθεματικό προσαρμογής στο Brexit.</w:t>
      </w:r>
    </w:p>
    <w:p w:rsidR="00B30295" w:rsidRPr="009A0BE4" w:rsidRDefault="00B41582" w:rsidP="00300E90">
      <w:pPr>
        <w:rPr>
          <w:noProof/>
        </w:rPr>
      </w:pPr>
      <w:r w:rsidRPr="009A0BE4">
        <w:rPr>
          <w:noProof/>
        </w:rPr>
        <w:t xml:space="preserve">2. Η χρηματοδοτική συνεισφορά της Ένωσης διατίθεται από την Επιτροπή στο Λουξεμβούργο σε δόσεις σύμφωνα με το παράρτημα της παρούσας απόφασης. Ποσό ύψους 12 136 030 EUR διατίθεται ως προχρηματοδότηση, σύμφωνα με το άρθρο 13 του κανονισμού (ΕΕ) 2021/241.   </w:t>
      </w:r>
    </w:p>
    <w:p w:rsidR="00B30295" w:rsidRPr="009A0BE4" w:rsidRDefault="00962D47" w:rsidP="00B41582">
      <w:pPr>
        <w:rPr>
          <w:noProof/>
        </w:rPr>
      </w:pPr>
      <w:r w:rsidRPr="009A0BE4">
        <w:rPr>
          <w:noProof/>
        </w:rPr>
        <w:t>Η προχρηματοδότηση και οι δόσεις μπορούν να εκταμιευθούν από την Επιτροπή εφάπαξ ή σε περισσότερες τμηματικές καταβολές. Το ύψος των τμηματικών καταβολών εξαρτάται από τη διαθεσιμότητα χρηματοδότησης.»·</w:t>
      </w:r>
    </w:p>
    <w:p w:rsidR="00B30295" w:rsidRPr="009A0BE4" w:rsidRDefault="00962D47">
      <w:pPr>
        <w:rPr>
          <w:rFonts w:eastAsia="Times New Roman"/>
          <w:noProof/>
        </w:rPr>
      </w:pPr>
      <w:r w:rsidRPr="009A0BE4">
        <w:rPr>
          <w:noProof/>
        </w:rPr>
        <w:t>3) το παράρτημα αντικαθίσταται από το κείμενο του παραρτήματος της παρούσας απόφασης.</w:t>
      </w:r>
    </w:p>
    <w:p w:rsidR="00B30295" w:rsidRPr="009A0BE4" w:rsidRDefault="00962D47" w:rsidP="00A66EE3">
      <w:pPr>
        <w:pStyle w:val="Titrearticle"/>
        <w:rPr>
          <w:noProof/>
        </w:rPr>
      </w:pPr>
      <w:r w:rsidRPr="009A0BE4">
        <w:rPr>
          <w:noProof/>
        </w:rPr>
        <w:t>Άρθρο 2</w:t>
      </w:r>
      <w:r w:rsidRPr="009A0BE4">
        <w:rPr>
          <w:noProof/>
        </w:rPr>
        <w:br/>
        <w:t>Αποδέκτης</w:t>
      </w:r>
    </w:p>
    <w:p w:rsidR="00B30295" w:rsidRPr="009A0BE4" w:rsidRDefault="00962D47">
      <w:pPr>
        <w:rPr>
          <w:noProof/>
        </w:rPr>
      </w:pPr>
      <w:r w:rsidRPr="009A0BE4">
        <w:rPr>
          <w:noProof/>
        </w:rPr>
        <w:t>Η παρούσα απόφαση απευθύνεται στο Μεγάλο Δουκάτο του Λουξεμβούργου.</w:t>
      </w:r>
    </w:p>
    <w:p w:rsidR="00B30295" w:rsidRPr="009A0BE4" w:rsidRDefault="009A0BE4" w:rsidP="00A66EE3">
      <w:pPr>
        <w:pStyle w:val="Fait"/>
        <w:rPr>
          <w:noProof/>
        </w:rPr>
      </w:pPr>
      <w:r>
        <w:rPr>
          <w:noProof/>
        </w:rPr>
        <w:t>Βρυξέλλες,</w:t>
      </w:r>
    </w:p>
    <w:p w:rsidR="00B30295" w:rsidRPr="009A0BE4" w:rsidRDefault="00962D47" w:rsidP="00A66EE3">
      <w:pPr>
        <w:pStyle w:val="Institutionquisigne"/>
        <w:rPr>
          <w:noProof/>
        </w:rPr>
      </w:pPr>
      <w:r w:rsidRPr="009A0BE4">
        <w:rPr>
          <w:noProof/>
        </w:rPr>
        <w:tab/>
        <w:t>Για το Συμβούλιο</w:t>
      </w:r>
    </w:p>
    <w:p w:rsidR="00B30295" w:rsidRPr="009A0BE4" w:rsidRDefault="00962D47" w:rsidP="00C70910">
      <w:pPr>
        <w:pStyle w:val="Personnequisigne"/>
        <w:rPr>
          <w:noProof/>
        </w:rPr>
      </w:pPr>
      <w:r w:rsidRPr="009A0BE4">
        <w:rPr>
          <w:noProof/>
        </w:rPr>
        <w:tab/>
        <w:t>Ο Πρόεδρος</w:t>
      </w:r>
    </w:p>
    <w:sectPr w:rsidR="00B30295" w:rsidRPr="009A0BE4" w:rsidSect="00252EFB">
      <w:headerReference w:type="even" r:id="rId14"/>
      <w:footerReference w:type="even" r:id="rId15"/>
      <w:footerReference w:type="default" r:id="rId16"/>
      <w:headerReference w:type="first" r:id="rId17"/>
      <w:footerReference w:type="first" r:id="rId18"/>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5A92" w:rsidRDefault="003E5A92">
      <w:pPr>
        <w:spacing w:before="0" w:after="0"/>
      </w:pPr>
      <w:r>
        <w:separator/>
      </w:r>
    </w:p>
  </w:endnote>
  <w:endnote w:type="continuationSeparator" w:id="0">
    <w:p w:rsidR="003E5A92" w:rsidRDefault="003E5A92">
      <w:pPr>
        <w:spacing w:before="0" w:after="0"/>
      </w:pPr>
      <w:r>
        <w:continuationSeparator/>
      </w:r>
    </w:p>
  </w:endnote>
  <w:endnote w:type="continuationNotice" w:id="1">
    <w:p w:rsidR="003E5A92" w:rsidRDefault="003E5A9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EFB" w:rsidRPr="00252EFB" w:rsidRDefault="00252EFB" w:rsidP="00252EFB">
    <w:pPr>
      <w:pStyle w:val="Footer"/>
      <w:rPr>
        <w:rFonts w:ascii="Arial" w:hAnsi="Arial" w:cs="Arial"/>
        <w:b/>
        <w:sz w:val="48"/>
      </w:rPr>
    </w:pPr>
    <w:r w:rsidRPr="00252EFB">
      <w:rPr>
        <w:rFonts w:ascii="Arial" w:hAnsi="Arial" w:cs="Arial"/>
        <w:b/>
        <w:sz w:val="48"/>
      </w:rPr>
      <w:t>EL</w:t>
    </w:r>
    <w:r w:rsidRPr="00252EFB">
      <w:rPr>
        <w:rFonts w:ascii="Arial" w:hAnsi="Arial" w:cs="Arial"/>
        <w:b/>
        <w:sz w:val="48"/>
      </w:rPr>
      <w:tab/>
    </w:r>
    <w:r w:rsidRPr="00252EFB">
      <w:rPr>
        <w:rFonts w:ascii="Arial" w:hAnsi="Arial" w:cs="Arial"/>
        <w:b/>
        <w:sz w:val="48"/>
      </w:rPr>
      <w:tab/>
    </w:r>
    <w:r w:rsidRPr="00252EFB">
      <w:tab/>
    </w:r>
    <w:r w:rsidRPr="00252EFB">
      <w:rPr>
        <w:rFonts w:ascii="Arial" w:hAnsi="Arial" w:cs="Arial"/>
        <w:b/>
        <w:sz w:val="48"/>
      </w:rPr>
      <w:t>EL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EFB" w:rsidRPr="00252EFB" w:rsidRDefault="00252EFB" w:rsidP="00252EFB">
    <w:pPr>
      <w:pStyle w:val="Footer"/>
      <w:rPr>
        <w:rFonts w:ascii="Arial" w:hAnsi="Arial" w:cs="Arial"/>
        <w:b/>
        <w:sz w:val="48"/>
      </w:rPr>
    </w:pPr>
    <w:r w:rsidRPr="00252EFB">
      <w:rPr>
        <w:rFonts w:ascii="Arial" w:hAnsi="Arial" w:cs="Arial"/>
        <w:b/>
        <w:sz w:val="48"/>
      </w:rPr>
      <w:t>EL</w:t>
    </w:r>
    <w:r w:rsidRPr="00252EFB">
      <w:rPr>
        <w:rFonts w:ascii="Arial" w:hAnsi="Arial" w:cs="Arial"/>
        <w:b/>
        <w:sz w:val="48"/>
      </w:rPr>
      <w:tab/>
    </w:r>
    <w:r w:rsidRPr="00252EFB">
      <w:rPr>
        <w:rFonts w:ascii="Arial" w:hAnsi="Arial" w:cs="Arial"/>
        <w:b/>
        <w:sz w:val="48"/>
      </w:rPr>
      <w:tab/>
    </w:r>
    <w:r w:rsidRPr="00252EFB">
      <w:tab/>
    </w:r>
    <w:r w:rsidRPr="00252EFB">
      <w:rPr>
        <w:rFonts w:ascii="Arial" w:hAnsi="Arial" w:cs="Arial"/>
        <w:b/>
        <w:sz w:val="48"/>
      </w:rPr>
      <w:t>EL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EFB" w:rsidRDefault="00252EF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EFB" w:rsidRPr="00252EFB" w:rsidRDefault="00252EFB" w:rsidP="00252EFB">
    <w:pPr>
      <w:pStyle w:val="Footer"/>
      <w:rPr>
        <w:rFonts w:ascii="Arial" w:hAnsi="Arial" w:cs="Arial"/>
        <w:b/>
        <w:sz w:val="48"/>
      </w:rPr>
    </w:pPr>
    <w:r w:rsidRPr="00252EFB">
      <w:rPr>
        <w:rFonts w:ascii="Arial" w:hAnsi="Arial" w:cs="Arial"/>
        <w:b/>
        <w:sz w:val="48"/>
      </w:rPr>
      <w:t>EL</w:t>
    </w:r>
    <w:r w:rsidRPr="00252EFB">
      <w:rPr>
        <w:rFonts w:ascii="Arial" w:hAnsi="Arial" w:cs="Arial"/>
        <w:b/>
        <w:sz w:val="48"/>
      </w:rPr>
      <w:tab/>
    </w:r>
    <w:r>
      <w:fldChar w:fldCharType="begin"/>
    </w:r>
    <w:r>
      <w:instrText xml:space="preserve"> PAGE  \* MERGEFORMAT </w:instrText>
    </w:r>
    <w:r>
      <w:fldChar w:fldCharType="separate"/>
    </w:r>
    <w:r w:rsidR="00A66EE3">
      <w:rPr>
        <w:noProof/>
      </w:rPr>
      <w:t>13</w:t>
    </w:r>
    <w:r>
      <w:fldChar w:fldCharType="end"/>
    </w:r>
    <w:r>
      <w:tab/>
    </w:r>
    <w:r w:rsidRPr="00252EFB">
      <w:tab/>
    </w:r>
    <w:r w:rsidRPr="00252EFB">
      <w:rPr>
        <w:rFonts w:ascii="Arial" w:hAnsi="Arial" w:cs="Arial"/>
        <w:b/>
        <w:sz w:val="48"/>
      </w:rPr>
      <w:t>EL</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EFB" w:rsidRDefault="00252EFB" w:rsidP="00252E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5A92" w:rsidRDefault="003E5A92">
      <w:pPr>
        <w:spacing w:before="0" w:after="0"/>
      </w:pPr>
      <w:r>
        <w:separator/>
      </w:r>
    </w:p>
  </w:footnote>
  <w:footnote w:type="continuationSeparator" w:id="0">
    <w:p w:rsidR="003E5A92" w:rsidRDefault="003E5A92">
      <w:pPr>
        <w:spacing w:before="0" w:after="0"/>
      </w:pPr>
      <w:r>
        <w:continuationSeparator/>
      </w:r>
    </w:p>
  </w:footnote>
  <w:footnote w:type="continuationNotice" w:id="1">
    <w:p w:rsidR="003E5A92" w:rsidRDefault="003E5A92">
      <w:pPr>
        <w:spacing w:before="0" w:after="0"/>
      </w:pPr>
    </w:p>
  </w:footnote>
  <w:footnote w:id="2">
    <w:p w:rsidR="006E1BD1" w:rsidRPr="0081405E" w:rsidRDefault="006E1BD1">
      <w:pPr>
        <w:pStyle w:val="FootnoteText"/>
        <w:rPr>
          <w:lang w:val="en-IE"/>
        </w:rPr>
      </w:pPr>
      <w:r>
        <w:rPr>
          <w:rStyle w:val="FootnoteReference"/>
        </w:rPr>
        <w:footnoteRef/>
      </w:r>
      <w:r w:rsidRPr="0081405E">
        <w:rPr>
          <w:lang w:val="en-IE"/>
        </w:rPr>
        <w:tab/>
      </w:r>
      <w:r>
        <w:t>ΕΕ</w:t>
      </w:r>
      <w:r w:rsidRPr="0081405E">
        <w:rPr>
          <w:lang w:val="en-IE"/>
        </w:rPr>
        <w:t xml:space="preserve"> L 57 </w:t>
      </w:r>
      <w:r>
        <w:t>της</w:t>
      </w:r>
      <w:r w:rsidRPr="0081405E">
        <w:rPr>
          <w:lang w:val="en-IE"/>
        </w:rPr>
        <w:t xml:space="preserve"> 18.2.2021, </w:t>
      </w:r>
      <w:r>
        <w:t>σ</w:t>
      </w:r>
      <w:r w:rsidRPr="0081405E">
        <w:rPr>
          <w:lang w:val="en-IE"/>
        </w:rPr>
        <w:t>. 17.</w:t>
      </w:r>
    </w:p>
  </w:footnote>
  <w:footnote w:id="3">
    <w:p w:rsidR="006E1BD1" w:rsidRPr="0081405E" w:rsidRDefault="006E1BD1">
      <w:pPr>
        <w:pStyle w:val="FootnoteText"/>
        <w:rPr>
          <w:lang w:val="en-IE"/>
        </w:rPr>
      </w:pPr>
      <w:r>
        <w:rPr>
          <w:rStyle w:val="FootnoteReference"/>
        </w:rPr>
        <w:footnoteRef/>
      </w:r>
      <w:r w:rsidRPr="0081405E">
        <w:rPr>
          <w:lang w:val="en-IE"/>
        </w:rPr>
        <w:tab/>
        <w:t>ST 10155/21</w:t>
      </w:r>
      <w:r>
        <w:t>·</w:t>
      </w:r>
      <w:r w:rsidRPr="0081405E">
        <w:rPr>
          <w:lang w:val="en-IE"/>
        </w:rPr>
        <w:t xml:space="preserve"> ST 10155/21 ADD 1.</w:t>
      </w:r>
    </w:p>
  </w:footnote>
  <w:footnote w:id="4">
    <w:p w:rsidR="006E1BD1" w:rsidRPr="009A0BE4" w:rsidRDefault="006E1BD1" w:rsidP="006E1BD1">
      <w:pPr>
        <w:pStyle w:val="FootnoteText"/>
      </w:pPr>
      <w:r>
        <w:rPr>
          <w:rStyle w:val="FootnoteReference"/>
        </w:rPr>
        <w:footnoteRef/>
      </w:r>
      <w:r w:rsidRPr="009A0BE4">
        <w:tab/>
      </w:r>
      <w:r>
        <w:t>ST</w:t>
      </w:r>
      <w:r w:rsidRPr="009A0BE4">
        <w:t xml:space="preserve"> 16022/22.</w:t>
      </w:r>
    </w:p>
  </w:footnote>
  <w:footnote w:id="5">
    <w:p w:rsidR="006E1BD1" w:rsidRPr="009A0BE4" w:rsidRDefault="006E1BD1">
      <w:pPr>
        <w:pStyle w:val="FootnoteText"/>
      </w:pPr>
      <w:r>
        <w:rPr>
          <w:rStyle w:val="FootnoteReference"/>
        </w:rPr>
        <w:footnoteRef/>
      </w:r>
      <w:r w:rsidRPr="009A0BE4">
        <w:tab/>
        <w:t>Κανονισμός (ΕΕ)</w:t>
      </w:r>
      <w:r>
        <w:t> </w:t>
      </w:r>
      <w:r w:rsidRPr="009A0BE4">
        <w:t>2020/852 του Ευρωπαϊκού Κοινοβουλίου και του Συμβουλίου, της 18ης</w:t>
      </w:r>
      <w:r>
        <w:t> </w:t>
      </w:r>
      <w:r w:rsidRPr="009A0BE4">
        <w:t>Ιουνίου</w:t>
      </w:r>
      <w:r>
        <w:t> </w:t>
      </w:r>
      <w:r w:rsidRPr="009A0BE4">
        <w:t>2020, σχετικά με τη θέσπιση πλαισίου για τη διευκόλυνση των βιώσιμων επενδύσεων και για την τροποποίηση του κανονισμού (ΕΕ)</w:t>
      </w:r>
      <w:r>
        <w:t> </w:t>
      </w:r>
      <w:r w:rsidRPr="009A0BE4">
        <w:t>2019/2088 (ΕΕ</w:t>
      </w:r>
      <w:r>
        <w:t> L </w:t>
      </w:r>
      <w:r w:rsidRPr="009A0BE4">
        <w:t>198 της</w:t>
      </w:r>
      <w:r>
        <w:t> </w:t>
      </w:r>
      <w:r w:rsidRPr="009A0BE4">
        <w:t>22.6.2020, σ.</w:t>
      </w:r>
      <w:r>
        <w:t> </w:t>
      </w:r>
      <w:r w:rsidRPr="009A0BE4">
        <w:t>13).</w:t>
      </w:r>
    </w:p>
  </w:footnote>
  <w:footnote w:id="6">
    <w:p w:rsidR="006E1BD1" w:rsidRPr="009A0BE4" w:rsidRDefault="006E1BD1">
      <w:pPr>
        <w:rPr>
          <w:rFonts w:eastAsia="Times New Roman"/>
          <w:b/>
          <w:bCs/>
          <w:i/>
          <w:iCs/>
          <w:szCs w:val="24"/>
        </w:rPr>
      </w:pPr>
      <w:r>
        <w:rPr>
          <w:rStyle w:val="FootnoteReference"/>
        </w:rPr>
        <w:footnoteRef/>
      </w:r>
      <w:r w:rsidRPr="009A0BE4">
        <w:tab/>
      </w:r>
      <w:r w:rsidRPr="009A0BE4">
        <w:rPr>
          <w:sz w:val="20"/>
        </w:rPr>
        <w:t>Κανονισμός (ΕΕ, Ευρατόμ) 2020/2092 του Ευρωπαϊκού Κοινοβουλίου και του Συμβουλίου, της 16ης Δεκεμβρίου 2020, περί γενικού καθεστώτος αιρεσιμότητος για την προστασία του προϋπολογισμού της Ένωσης (ΕΕ</w:t>
      </w:r>
      <w:r>
        <w:rPr>
          <w:sz w:val="20"/>
        </w:rPr>
        <w:t> L </w:t>
      </w:r>
      <w:r w:rsidRPr="009A0BE4">
        <w:rPr>
          <w:sz w:val="20"/>
        </w:rPr>
        <w:t xml:space="preserve">433 </w:t>
      </w:r>
      <w:r>
        <w:rPr>
          <w:sz w:val="20"/>
        </w:rPr>
        <w:t>I</w:t>
      </w:r>
      <w:r w:rsidRPr="009A0BE4">
        <w:rPr>
          <w:sz w:val="20"/>
        </w:rPr>
        <w:t xml:space="preserve"> της 22.12.2020, σ.</w:t>
      </w:r>
      <w:r>
        <w:rPr>
          <w:sz w:val="20"/>
        </w:rPr>
        <w:t> </w:t>
      </w:r>
      <w:r w:rsidRPr="009A0BE4">
        <w:rPr>
          <w:sz w:val="20"/>
        </w:rPr>
        <w:t>1).</w:t>
      </w:r>
    </w:p>
    <w:p w:rsidR="006E1BD1" w:rsidRPr="009A0BE4" w:rsidRDefault="006E1BD1">
      <w:pPr>
        <w:pStyle w:val="FootnoteText"/>
      </w:pPr>
    </w:p>
  </w:footnote>
  <w:footnote w:id="7">
    <w:p w:rsidR="006E1BD1" w:rsidRPr="009A0BE4" w:rsidRDefault="006E1BD1">
      <w:pPr>
        <w:pStyle w:val="FootnoteText"/>
      </w:pPr>
      <w:r>
        <w:rPr>
          <w:rStyle w:val="FootnoteReference"/>
        </w:rPr>
        <w:footnoteRef/>
      </w:r>
      <w:r w:rsidRPr="009A0BE4">
        <w:tab/>
        <w:t>Κανονισμός (ΕΕ) 2021/1755 του Ευρωπαϊκού Κοινοβουλίου και του Συμβουλίου, της 6ης</w:t>
      </w:r>
      <w:r>
        <w:t> </w:t>
      </w:r>
      <w:r w:rsidRPr="009A0BE4">
        <w:t xml:space="preserve">Οκτωβρίου 2021, για τη θέσπιση του αποθεματικού προσαρμογής στο </w:t>
      </w:r>
      <w:r>
        <w:t>Brexit</w:t>
      </w:r>
      <w:r w:rsidRPr="009A0BE4">
        <w:t xml:space="preserve"> (ΕΕ </w:t>
      </w:r>
      <w:r>
        <w:t>L</w:t>
      </w:r>
      <w:r w:rsidRPr="009A0BE4">
        <w:t xml:space="preserve"> 357 της 8.10.2021, σ. 1).</w:t>
      </w:r>
    </w:p>
  </w:footnote>
  <w:footnote w:id="8">
    <w:p w:rsidR="00C70910" w:rsidRPr="009A0BE4" w:rsidRDefault="00C70910" w:rsidP="00C70910">
      <w:pPr>
        <w:pStyle w:val="FootnoteText"/>
      </w:pPr>
      <w:r>
        <w:rPr>
          <w:rStyle w:val="FootnoteReference"/>
        </w:rPr>
        <w:footnoteRef/>
      </w:r>
      <w:r w:rsidRPr="009A0BE4">
        <w:tab/>
        <w:t>Το ποσό αυτό αντιστοιχεί στη χρηματοδοτική κατανομή μετά την αφαίρεση του αναλογικού μεριδίου του Λουξεμβούργου στις δαπάνες του άρθρου</w:t>
      </w:r>
      <w:r>
        <w:t> </w:t>
      </w:r>
      <w:r w:rsidRPr="009A0BE4">
        <w:t>6 παράγραφος</w:t>
      </w:r>
      <w:r>
        <w:t> </w:t>
      </w:r>
      <w:r w:rsidRPr="009A0BE4">
        <w:t>2 του κανονισμού (ΕΕ)</w:t>
      </w:r>
      <w:r>
        <w:t> </w:t>
      </w:r>
      <w:r w:rsidRPr="009A0BE4">
        <w:t>2021/241, που υπολογίζεται σύμφωνα με τη μεθοδολογία του άρθρου</w:t>
      </w:r>
      <w:r>
        <w:t> </w:t>
      </w:r>
      <w:r w:rsidRPr="009A0BE4">
        <w:t>11 του εν λόγω κανονισμού.</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EFB" w:rsidRDefault="00252E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EFB" w:rsidRDefault="00252E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730AB852"/>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443046DE"/>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94921034"/>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538C9B00"/>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6F377CE"/>
    <w:multiLevelType w:val="multilevel"/>
    <w:tmpl w:val="773C9EAA"/>
    <w:lvl w:ilvl="0">
      <w:start w:val="1"/>
      <w:numFmt w:val="decimal"/>
      <w:lvlRestart w:val="0"/>
      <w:lvlText w:val="(%1)"/>
      <w:lvlJc w:val="left"/>
      <w:pPr>
        <w:tabs>
          <w:tab w:val="num" w:pos="850"/>
        </w:tabs>
        <w:ind w:left="850" w:hanging="850"/>
      </w:pPr>
    </w:lvl>
    <w:lvl w:ilvl="1">
      <w:start w:val="1"/>
      <mc:AlternateContent>
        <mc:Choice Requires="w14">
          <w:numFmt w:val="custom" w:format="α, β, γ, ..."/>
        </mc:Choice>
        <mc:Fallback>
          <w:numFmt w:val="decimal"/>
        </mc:Fallback>
      </mc:AlternateContent>
      <w:lvlText w:val="%2)"/>
      <w:lvlJc w:val="left"/>
      <w:pPr>
        <w:ind w:left="360" w:hanging="360"/>
      </w:pPr>
      <w:rPr>
        <w:rFonts w:hint="default"/>
      </w:rPr>
    </w:lvl>
    <w:lvl w:ilvl="2">
      <w:start w:val="1"/>
      <w:numFmt w:val="decimal"/>
      <w:lvlText w:val="(%3)"/>
      <w:lvlJc w:val="left"/>
      <w:pPr>
        <w:tabs>
          <w:tab w:val="num" w:pos="1417"/>
        </w:tabs>
        <w:ind w:left="1417" w:hanging="567"/>
      </w:pPr>
    </w:lvl>
    <w:lvl w:ilvl="3">
      <w:start w:val="1"/>
      <mc:AlternateContent>
        <mc:Choice Requires="w14">
          <w:numFmt w:val="custom" w:format="α, β, γ, ..."/>
        </mc:Choice>
        <mc:Fallback>
          <w:numFmt w:val="decimal"/>
        </mc:Fallback>
      </mc:AlternateContent>
      <w:lvlText w:val="%4)"/>
      <w:lvlJc w:val="left"/>
      <w:pPr>
        <w:ind w:left="1210" w:hanging="360"/>
      </w:pPr>
      <w:rPr>
        <w:rFonts w:hint="default"/>
      </w:rPr>
    </w:lvl>
    <w:lvl w:ilvl="4">
      <w:start w:val="1"/>
      <w:numFmt w:val="decimal"/>
      <w:lvlText w:val="(%5)"/>
      <w:lvlJc w:val="left"/>
      <w:pPr>
        <w:tabs>
          <w:tab w:val="num" w:pos="1984"/>
        </w:tabs>
        <w:ind w:left="1984" w:hanging="567"/>
      </w:pPr>
    </w:lvl>
    <w:lvl w:ilvl="5">
      <w:start w:val="1"/>
      <w:numFmt w:val="lowerLetter"/>
      <w:lvlText w:val="(%6)"/>
      <w:lvlJc w:val="left"/>
      <w:pPr>
        <w:tabs>
          <w:tab w:val="num" w:pos="1984"/>
        </w:tabs>
        <w:ind w:left="1984" w:hanging="567"/>
      </w:pPr>
    </w:lvl>
    <w:lvl w:ilvl="6">
      <w:start w:val="1"/>
      <w:numFmt w:val="decimal"/>
      <w:lvlText w:val="(%7)"/>
      <w:lvlJc w:val="left"/>
      <w:pPr>
        <w:tabs>
          <w:tab w:val="num" w:pos="2551"/>
        </w:tabs>
        <w:ind w:left="2551" w:hanging="567"/>
      </w:pPr>
    </w:lvl>
    <w:lvl w:ilvl="7">
      <w:start w:val="1"/>
      <w:numFmt w:val="lowerLetter"/>
      <w:lvlText w:val="(%8)"/>
      <w:lvlJc w:val="left"/>
      <w:pPr>
        <w:tabs>
          <w:tab w:val="num" w:pos="2551"/>
        </w:tabs>
        <w:ind w:left="2551" w:hanging="567"/>
      </w:pPr>
    </w:lvl>
    <w:lvl w:ilvl="8">
      <w:start w:val="1"/>
      <w:numFmt w:val="lowerLetter"/>
      <w:lvlText w:val="(%9)"/>
      <w:lvlJc w:val="left"/>
      <w:pPr>
        <w:tabs>
          <w:tab w:val="num" w:pos="3118"/>
        </w:tabs>
        <w:ind w:left="3118" w:hanging="567"/>
      </w:pPr>
    </w:lvl>
  </w:abstractNum>
  <w:abstractNum w:abstractNumId="1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9"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19"/>
    <w:lvlOverride w:ilvl="0">
      <w:startOverride w:val="1"/>
    </w:lvlOverride>
  </w:num>
  <w:num w:numId="6">
    <w:abstractNumId w:val="16"/>
  </w:num>
  <w:num w:numId="7">
    <w:abstractNumId w:val="8"/>
  </w:num>
  <w:num w:numId="8">
    <w:abstractNumId w:val="18"/>
  </w:num>
  <w:num w:numId="9">
    <w:abstractNumId w:val="7"/>
  </w:num>
  <w:num w:numId="10">
    <w:abstractNumId w:val="9"/>
  </w:num>
  <w:num w:numId="11">
    <w:abstractNumId w:val="10"/>
  </w:num>
  <w:num w:numId="12">
    <w:abstractNumId w:val="5"/>
  </w:num>
  <w:num w:numId="13">
    <w:abstractNumId w:val="17"/>
  </w:num>
  <w:num w:numId="14">
    <w:abstractNumId w:val="4"/>
  </w:num>
  <w:num w:numId="15">
    <w:abstractNumId w:val="11"/>
  </w:num>
  <w:num w:numId="16">
    <w:abstractNumId w:val="14"/>
  </w:num>
  <w:num w:numId="17">
    <w:abstractNumId w:val="15"/>
  </w:num>
  <w:num w:numId="18">
    <w:abstractNumId w:val="6"/>
  </w:num>
  <w:num w:numId="19">
    <w:abstractNumId w:val="12"/>
  </w:num>
  <w:num w:numId="20">
    <w:abstractNumId w:val="19"/>
  </w:num>
  <w:num w:numId="21">
    <w:abstractNumId w:val="4"/>
  </w:num>
  <w:num w:numId="22">
    <w:abstractNumId w:val="13"/>
  </w:num>
  <w:num w:numId="23">
    <w:abstractNumId w:val="16"/>
  </w:num>
  <w:num w:numId="24">
    <w:abstractNumId w:val="8"/>
  </w:num>
  <w:num w:numId="25">
    <w:abstractNumId w:val="18"/>
  </w:num>
  <w:num w:numId="26">
    <w:abstractNumId w:val="7"/>
  </w:num>
  <w:num w:numId="27">
    <w:abstractNumId w:val="9"/>
  </w:num>
  <w:num w:numId="28">
    <w:abstractNumId w:val="10"/>
  </w:num>
  <w:num w:numId="29">
    <w:abstractNumId w:val="5"/>
  </w:num>
  <w:num w:numId="30">
    <w:abstractNumId w:val="17"/>
  </w:num>
  <w:num w:numId="31">
    <w:abstractNumId w:val="4"/>
  </w:num>
  <w:num w:numId="32">
    <w:abstractNumId w:val="11"/>
  </w:num>
  <w:num w:numId="33">
    <w:abstractNumId w:val="14"/>
  </w:num>
  <w:num w:numId="34">
    <w:abstractNumId w:val="15"/>
  </w:num>
  <w:num w:numId="35">
    <w:abstractNumId w:val="6"/>
  </w:num>
  <w:num w:numId="36">
    <w:abstractNumId w:val="12"/>
  </w:num>
  <w:num w:numId="37">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ctiveWritingStyle w:appName="MSWord" w:lang="en-IE" w:vendorID="64" w:dllVersion="6" w:nlCheck="1" w:checkStyle="1"/>
  <w:activeWritingStyle w:appName="MSWord" w:lang="en-GB" w:vendorID="64" w:dllVersion="0" w:nlCheck="1" w:checkStyle="0"/>
  <w:activeWritingStyle w:appName="MSWord" w:lang="en-IE" w:vendorID="64" w:dllVersion="0" w:nlCheck="1" w:checkStyle="0"/>
  <w:activeWritingStyle w:appName="MSWord" w:lang="en-US" w:vendorID="64" w:dllVersion="0" w:nlCheck="1" w:checkStyle="0"/>
  <w:activeWritingStyle w:appName="MSWord" w:lang="en-GB" w:vendorID="64" w:dllVersion="6" w:nlCheck="1" w:checkStyle="1"/>
  <w:activeWritingStyle w:appName="MSWord" w:lang="en-US" w:vendorID="64" w:dllVersion="6" w:nlCheck="1" w:checkStyle="1"/>
  <w:attachedTemplate r:id="rId1"/>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24-09-03 18:19:00"/>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B2513E39-9A66-4B72-B0C5-B31334876F62"/>
    <w:docVar w:name="LW_COVERPAGE_TYPE" w:val="1"/>
    <w:docVar w:name="LW_CROSSREFERENCE" w:val="{SWD(2024) 197 final}"/>
    <w:docVar w:name="LW_DocType" w:val="COM"/>
    <w:docVar w:name="LW_EMISSION" w:val="23.7.2024"/>
    <w:docVar w:name="LW_EMISSION_ISODATE" w:val="2024-07-23"/>
    <w:docVar w:name="LW_EMISSION_LOCATION" w:val="BRX"/>
    <w:docVar w:name="LW_EMISSION_PREFIX" w:val="\u914?\u961?\u965?\u958?\u941?\u955?\u955?\u949?\u962?, "/>
    <w:docVar w:name="LW_EMISSION_SUFFIX" w:val=" "/>
    <w:docVar w:name="LW_ID_DOCMODEL" w:val="SJ-020"/>
    <w:docVar w:name="LW_ID_DOCSIGNATURE" w:val="SJ-020"/>
    <w:docVar w:name="LW_ID_DOCSTRUCTURE" w:val="COM/PL/ORG"/>
    <w:docVar w:name="LW_ID_DOCTYPE" w:val="SJ-020"/>
    <w:docVar w:name="LW_ID_EXP.MOTIFS.NEW" w:val="EM_PL_"/>
    <w:docVar w:name="LW_ID_STATUT" w:val="SJ-020"/>
    <w:docVar w:name="LW_INTERETEEE.CP" w:val="&lt;UNUSED&gt;"/>
    <w:docVar w:name="LW_LANGUE" w:val="EL"/>
    <w:docVar w:name="LW_LEVEL_OF_SENSITIVITY" w:val="Standard treatment"/>
    <w:docVar w:name="LW_NOM.INST" w:val="\u917?\u933?\u929?\u937?\u928?\u913?\u938?\u922?\u919? \u917?\u928?\u921?\u932?\u929?\u927?\u928?\u919?"/>
    <w:docVar w:name="LW_NOM.INST_JOINTDOC" w:val="&lt;EMPTY&gt;"/>
    <w:docVar w:name="LW_PART_NBR" w:val="1"/>
    <w:docVar w:name="LW_PART_NBR_TOTAL" w:val="1"/>
    <w:docVar w:name="LW_REF.II.NEW.CP" w:val="NLE"/>
    <w:docVar w:name="LW_REF.II.NEW.CP_NUMBER" w:val="0205"/>
    <w:docVar w:name="LW_REF.II.NEW.CP_YEAR" w:val="2024"/>
    <w:docVar w:name="LW_REF.INST.NEW" w:val="COM"/>
    <w:docVar w:name="LW_REF.INST.NEW_ADOPTED" w:val="final"/>
    <w:docVar w:name="LW_REF.INST.NEW_TEXT" w:val="(2024) 347"/>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u928?\u961?\u972?\u964?\u945?\u963?\u951?"/>
    <w:docVar w:name="LW_SUPERTITRE" w:val="&lt;UNUSED&gt;"/>
    <w:docVar w:name="LW_TITRE.OBJ.CP" w:val="\u947?\u953?\u945? \u964?\u951?\u957? \u964?\u961?\u959?\u960?\u959?\u960?\u959?\u943?\u951?\u963?\u951? \u964?\u951?\u962? \u949?\u954?\u964?\u949?\u955?\u949?\u963?\u964?\u953?\u954?\u942?\u962? \u945?\u960?\u972?\u966?\u945?\u963?\u951?\u962? (\u917?\u917?) (ST 10155/21 INIT\u903? ST 10155/21 ADD 1), \u964?\u951?\u962? 13\u951?\u962? \u921?\u959?\u965?\u955?\u943?\u959?\u965? 2021, \u947?\u953?\u945? \u964?\u951?\u957? \u941?\u947?\u954?\u961?\u953?\u963?\u951? \u964?\u951?\u962? \u945?\u958?\u953?\u959?\u955?\u972?\u947?\u951?\u963?\u951?\u962? \u964?\u959?\u965? \u963?\u967?\u949?\u948?\u943?\u959?\u965? \u945?\u957?\u940?\u954?\u945?\u956?\u968?\u951?\u962? \u954?\u945?\u953? \u945?\u957?\u952?\u949?\u954?\u964?\u953?\u954?\u972?\u964?\u951?\u964?\u945?\u962? \u964?\u959?\u965? \u923?\u959?\u965?\u958?\u949?\u956?\u946?\u959?\u973?\u961?\u947?\u959?\u965?_x000b_"/>
    <w:docVar w:name="LW_TYPE.DOC.CP" w:val="\u917?\u922?\u932?\u917?\u923?\u917?\u931?\u932?\u921?\u922?\u919? \u913?\u928?\u927?\u934?\u913?\u931?\u919? \u932?\u927?\u933? \u931?\u933?\u924?\u914?\u927?\u933?\u923?\u921?\u927?\u933?"/>
    <w:docVar w:name="LwApiVersions" w:val="LW4CoDe 1.24.5.0; LW 9.0, Build 20240221"/>
  </w:docVars>
  <w:rsids>
    <w:rsidRoot w:val="00B30295"/>
    <w:rsid w:val="0000043C"/>
    <w:rsid w:val="00002C89"/>
    <w:rsid w:val="000148E8"/>
    <w:rsid w:val="000209ED"/>
    <w:rsid w:val="00035518"/>
    <w:rsid w:val="000379DE"/>
    <w:rsid w:val="0004769A"/>
    <w:rsid w:val="00050608"/>
    <w:rsid w:val="00050D8E"/>
    <w:rsid w:val="00062DC6"/>
    <w:rsid w:val="00063574"/>
    <w:rsid w:val="00063C13"/>
    <w:rsid w:val="00070D1B"/>
    <w:rsid w:val="00072D36"/>
    <w:rsid w:val="00074839"/>
    <w:rsid w:val="0008608C"/>
    <w:rsid w:val="00096229"/>
    <w:rsid w:val="00096E96"/>
    <w:rsid w:val="00097AC0"/>
    <w:rsid w:val="000A5C40"/>
    <w:rsid w:val="000C3AB1"/>
    <w:rsid w:val="000C4473"/>
    <w:rsid w:val="000C7330"/>
    <w:rsid w:val="000C7AD5"/>
    <w:rsid w:val="000E1EDF"/>
    <w:rsid w:val="000E2680"/>
    <w:rsid w:val="000E29AB"/>
    <w:rsid w:val="000E31B9"/>
    <w:rsid w:val="000E3C72"/>
    <w:rsid w:val="000E403B"/>
    <w:rsid w:val="000F15D8"/>
    <w:rsid w:val="000F2E3E"/>
    <w:rsid w:val="0010485A"/>
    <w:rsid w:val="0010519A"/>
    <w:rsid w:val="001054D1"/>
    <w:rsid w:val="00110299"/>
    <w:rsid w:val="00110606"/>
    <w:rsid w:val="001247EF"/>
    <w:rsid w:val="001339AB"/>
    <w:rsid w:val="00136C02"/>
    <w:rsid w:val="0013719F"/>
    <w:rsid w:val="00143503"/>
    <w:rsid w:val="00143B91"/>
    <w:rsid w:val="00143C80"/>
    <w:rsid w:val="00154B99"/>
    <w:rsid w:val="001655DA"/>
    <w:rsid w:val="00170767"/>
    <w:rsid w:val="00172351"/>
    <w:rsid w:val="00174828"/>
    <w:rsid w:val="00177740"/>
    <w:rsid w:val="00177854"/>
    <w:rsid w:val="0018190E"/>
    <w:rsid w:val="00181FE6"/>
    <w:rsid w:val="00182C11"/>
    <w:rsid w:val="0018377F"/>
    <w:rsid w:val="001A259A"/>
    <w:rsid w:val="001A56BB"/>
    <w:rsid w:val="001B0FF0"/>
    <w:rsid w:val="001C002D"/>
    <w:rsid w:val="001C0752"/>
    <w:rsid w:val="001D4F7E"/>
    <w:rsid w:val="001F1F25"/>
    <w:rsid w:val="001F40B2"/>
    <w:rsid w:val="001F7205"/>
    <w:rsid w:val="00200A4B"/>
    <w:rsid w:val="00202545"/>
    <w:rsid w:val="00207ECF"/>
    <w:rsid w:val="002127F2"/>
    <w:rsid w:val="00216B5C"/>
    <w:rsid w:val="00221AAE"/>
    <w:rsid w:val="002221AA"/>
    <w:rsid w:val="002240D0"/>
    <w:rsid w:val="002277FD"/>
    <w:rsid w:val="00227DF9"/>
    <w:rsid w:val="00230FE6"/>
    <w:rsid w:val="00235397"/>
    <w:rsid w:val="00247009"/>
    <w:rsid w:val="00252EFB"/>
    <w:rsid w:val="00263717"/>
    <w:rsid w:val="00265B77"/>
    <w:rsid w:val="002737D1"/>
    <w:rsid w:val="002801B9"/>
    <w:rsid w:val="00287B0F"/>
    <w:rsid w:val="0029150E"/>
    <w:rsid w:val="00291D2B"/>
    <w:rsid w:val="0029533D"/>
    <w:rsid w:val="00295A0C"/>
    <w:rsid w:val="002A0552"/>
    <w:rsid w:val="002A1E7D"/>
    <w:rsid w:val="002B09BD"/>
    <w:rsid w:val="002B7477"/>
    <w:rsid w:val="002C26BB"/>
    <w:rsid w:val="002C5DF0"/>
    <w:rsid w:val="002D5EA6"/>
    <w:rsid w:val="002D75F3"/>
    <w:rsid w:val="002E2D68"/>
    <w:rsid w:val="00300E90"/>
    <w:rsid w:val="003033C6"/>
    <w:rsid w:val="00305392"/>
    <w:rsid w:val="003105E8"/>
    <w:rsid w:val="00316DD0"/>
    <w:rsid w:val="00322453"/>
    <w:rsid w:val="003248CB"/>
    <w:rsid w:val="00327087"/>
    <w:rsid w:val="00330123"/>
    <w:rsid w:val="00330F8A"/>
    <w:rsid w:val="003314FE"/>
    <w:rsid w:val="00333764"/>
    <w:rsid w:val="0033476F"/>
    <w:rsid w:val="00340804"/>
    <w:rsid w:val="00343452"/>
    <w:rsid w:val="00343598"/>
    <w:rsid w:val="00350D7F"/>
    <w:rsid w:val="00350EEE"/>
    <w:rsid w:val="003518BC"/>
    <w:rsid w:val="003530F0"/>
    <w:rsid w:val="00355663"/>
    <w:rsid w:val="00356F7E"/>
    <w:rsid w:val="00376629"/>
    <w:rsid w:val="00377302"/>
    <w:rsid w:val="003800DD"/>
    <w:rsid w:val="003C4647"/>
    <w:rsid w:val="003D3E2D"/>
    <w:rsid w:val="003E2903"/>
    <w:rsid w:val="003E478A"/>
    <w:rsid w:val="003E59DF"/>
    <w:rsid w:val="003E5A92"/>
    <w:rsid w:val="003F2F9A"/>
    <w:rsid w:val="003F3769"/>
    <w:rsid w:val="00405E71"/>
    <w:rsid w:val="00410C0A"/>
    <w:rsid w:val="0041216B"/>
    <w:rsid w:val="00415DB9"/>
    <w:rsid w:val="00420908"/>
    <w:rsid w:val="0042441A"/>
    <w:rsid w:val="00427C5A"/>
    <w:rsid w:val="00440507"/>
    <w:rsid w:val="004447A9"/>
    <w:rsid w:val="00450E69"/>
    <w:rsid w:val="00451D31"/>
    <w:rsid w:val="00461D5B"/>
    <w:rsid w:val="004952E8"/>
    <w:rsid w:val="0049618D"/>
    <w:rsid w:val="00497AA9"/>
    <w:rsid w:val="004A02DE"/>
    <w:rsid w:val="004B1934"/>
    <w:rsid w:val="004B2BA4"/>
    <w:rsid w:val="004B6721"/>
    <w:rsid w:val="004C7C26"/>
    <w:rsid w:val="004D0468"/>
    <w:rsid w:val="004D0ADF"/>
    <w:rsid w:val="004E3E03"/>
    <w:rsid w:val="004E4E18"/>
    <w:rsid w:val="004E5225"/>
    <w:rsid w:val="004F254D"/>
    <w:rsid w:val="004F3322"/>
    <w:rsid w:val="004F49CF"/>
    <w:rsid w:val="004F6968"/>
    <w:rsid w:val="005056B3"/>
    <w:rsid w:val="0050623F"/>
    <w:rsid w:val="005139B5"/>
    <w:rsid w:val="0051507F"/>
    <w:rsid w:val="00522613"/>
    <w:rsid w:val="00523F3A"/>
    <w:rsid w:val="00530D83"/>
    <w:rsid w:val="00531CCB"/>
    <w:rsid w:val="00537E50"/>
    <w:rsid w:val="0054295D"/>
    <w:rsid w:val="0054600D"/>
    <w:rsid w:val="00553E07"/>
    <w:rsid w:val="00553ED9"/>
    <w:rsid w:val="00560465"/>
    <w:rsid w:val="00560513"/>
    <w:rsid w:val="005640E4"/>
    <w:rsid w:val="0057475A"/>
    <w:rsid w:val="00585D77"/>
    <w:rsid w:val="00587161"/>
    <w:rsid w:val="00587D4B"/>
    <w:rsid w:val="00594215"/>
    <w:rsid w:val="005A07B3"/>
    <w:rsid w:val="005A0DD2"/>
    <w:rsid w:val="005A3857"/>
    <w:rsid w:val="005B0BC8"/>
    <w:rsid w:val="005B13E0"/>
    <w:rsid w:val="005B2FC6"/>
    <w:rsid w:val="005B3415"/>
    <w:rsid w:val="005B402B"/>
    <w:rsid w:val="005B6730"/>
    <w:rsid w:val="005E3117"/>
    <w:rsid w:val="005E5C63"/>
    <w:rsid w:val="005F1B9C"/>
    <w:rsid w:val="005F5142"/>
    <w:rsid w:val="006057E0"/>
    <w:rsid w:val="006078D1"/>
    <w:rsid w:val="00614474"/>
    <w:rsid w:val="006147B2"/>
    <w:rsid w:val="00615074"/>
    <w:rsid w:val="006157BD"/>
    <w:rsid w:val="00617DF5"/>
    <w:rsid w:val="006203E8"/>
    <w:rsid w:val="00621BDC"/>
    <w:rsid w:val="00623334"/>
    <w:rsid w:val="00624D28"/>
    <w:rsid w:val="00651620"/>
    <w:rsid w:val="00662ADB"/>
    <w:rsid w:val="00662D37"/>
    <w:rsid w:val="006672A5"/>
    <w:rsid w:val="006756D4"/>
    <w:rsid w:val="006777FA"/>
    <w:rsid w:val="0068391C"/>
    <w:rsid w:val="00691699"/>
    <w:rsid w:val="006A1109"/>
    <w:rsid w:val="006A38C4"/>
    <w:rsid w:val="006A677E"/>
    <w:rsid w:val="006C2E76"/>
    <w:rsid w:val="006D254B"/>
    <w:rsid w:val="006D2C70"/>
    <w:rsid w:val="006D5DF0"/>
    <w:rsid w:val="006D705A"/>
    <w:rsid w:val="006E1BD1"/>
    <w:rsid w:val="006E236E"/>
    <w:rsid w:val="006F02AD"/>
    <w:rsid w:val="006F5698"/>
    <w:rsid w:val="0070621D"/>
    <w:rsid w:val="0072241A"/>
    <w:rsid w:val="00727C2F"/>
    <w:rsid w:val="00733528"/>
    <w:rsid w:val="00734083"/>
    <w:rsid w:val="00736EC4"/>
    <w:rsid w:val="00740231"/>
    <w:rsid w:val="00752177"/>
    <w:rsid w:val="00756C51"/>
    <w:rsid w:val="0076236D"/>
    <w:rsid w:val="00770EB8"/>
    <w:rsid w:val="00775B1C"/>
    <w:rsid w:val="00775C5E"/>
    <w:rsid w:val="00776D33"/>
    <w:rsid w:val="00777F1C"/>
    <w:rsid w:val="00777F64"/>
    <w:rsid w:val="0078203C"/>
    <w:rsid w:val="00784319"/>
    <w:rsid w:val="0079339B"/>
    <w:rsid w:val="00793966"/>
    <w:rsid w:val="007A76B0"/>
    <w:rsid w:val="007A7DF1"/>
    <w:rsid w:val="007B167F"/>
    <w:rsid w:val="007C20C5"/>
    <w:rsid w:val="007C3F3A"/>
    <w:rsid w:val="007C711A"/>
    <w:rsid w:val="007D03B1"/>
    <w:rsid w:val="007D7AC7"/>
    <w:rsid w:val="007E1EC3"/>
    <w:rsid w:val="007E2508"/>
    <w:rsid w:val="00800E69"/>
    <w:rsid w:val="008010C8"/>
    <w:rsid w:val="0081405E"/>
    <w:rsid w:val="00823926"/>
    <w:rsid w:val="00824306"/>
    <w:rsid w:val="00831E13"/>
    <w:rsid w:val="0083286F"/>
    <w:rsid w:val="008517FA"/>
    <w:rsid w:val="00852D72"/>
    <w:rsid w:val="00857413"/>
    <w:rsid w:val="00871885"/>
    <w:rsid w:val="008720CC"/>
    <w:rsid w:val="00873F48"/>
    <w:rsid w:val="00882771"/>
    <w:rsid w:val="0088617B"/>
    <w:rsid w:val="00893254"/>
    <w:rsid w:val="00895667"/>
    <w:rsid w:val="008A0E4F"/>
    <w:rsid w:val="008A279A"/>
    <w:rsid w:val="008A39C5"/>
    <w:rsid w:val="008A5469"/>
    <w:rsid w:val="008B1521"/>
    <w:rsid w:val="008B1A84"/>
    <w:rsid w:val="008B1B03"/>
    <w:rsid w:val="008B3908"/>
    <w:rsid w:val="008B6BA1"/>
    <w:rsid w:val="008B7BF7"/>
    <w:rsid w:val="008C0CD4"/>
    <w:rsid w:val="008D6ECB"/>
    <w:rsid w:val="008E2466"/>
    <w:rsid w:val="008E2BAF"/>
    <w:rsid w:val="008E2F18"/>
    <w:rsid w:val="008E755F"/>
    <w:rsid w:val="008F0E0C"/>
    <w:rsid w:val="008F1239"/>
    <w:rsid w:val="008F1843"/>
    <w:rsid w:val="008F3225"/>
    <w:rsid w:val="008F5826"/>
    <w:rsid w:val="00905DB8"/>
    <w:rsid w:val="0092039F"/>
    <w:rsid w:val="009279BB"/>
    <w:rsid w:val="00930EF2"/>
    <w:rsid w:val="00934C95"/>
    <w:rsid w:val="00935293"/>
    <w:rsid w:val="009413B4"/>
    <w:rsid w:val="009417C0"/>
    <w:rsid w:val="00942E22"/>
    <w:rsid w:val="00943325"/>
    <w:rsid w:val="0095668F"/>
    <w:rsid w:val="00962393"/>
    <w:rsid w:val="00962D47"/>
    <w:rsid w:val="00966D90"/>
    <w:rsid w:val="009674AB"/>
    <w:rsid w:val="009722C0"/>
    <w:rsid w:val="00976875"/>
    <w:rsid w:val="00981C12"/>
    <w:rsid w:val="00982F48"/>
    <w:rsid w:val="00984CEF"/>
    <w:rsid w:val="00991807"/>
    <w:rsid w:val="0099510B"/>
    <w:rsid w:val="009A0BE4"/>
    <w:rsid w:val="009A133B"/>
    <w:rsid w:val="009A1E0D"/>
    <w:rsid w:val="009A32A4"/>
    <w:rsid w:val="009A4DEF"/>
    <w:rsid w:val="009A501D"/>
    <w:rsid w:val="009B1877"/>
    <w:rsid w:val="009E182D"/>
    <w:rsid w:val="009E64D9"/>
    <w:rsid w:val="009E68D4"/>
    <w:rsid w:val="009E7284"/>
    <w:rsid w:val="009F2890"/>
    <w:rsid w:val="009F62A9"/>
    <w:rsid w:val="009F6EE4"/>
    <w:rsid w:val="00A17023"/>
    <w:rsid w:val="00A33AD6"/>
    <w:rsid w:val="00A3444A"/>
    <w:rsid w:val="00A3628F"/>
    <w:rsid w:val="00A376C8"/>
    <w:rsid w:val="00A601AB"/>
    <w:rsid w:val="00A60B05"/>
    <w:rsid w:val="00A66EE3"/>
    <w:rsid w:val="00A70BED"/>
    <w:rsid w:val="00A713CE"/>
    <w:rsid w:val="00A71F53"/>
    <w:rsid w:val="00A732A9"/>
    <w:rsid w:val="00A74A68"/>
    <w:rsid w:val="00A77B8B"/>
    <w:rsid w:val="00A917F1"/>
    <w:rsid w:val="00A940A2"/>
    <w:rsid w:val="00A96AF1"/>
    <w:rsid w:val="00AA0F53"/>
    <w:rsid w:val="00AA1CE5"/>
    <w:rsid w:val="00AB459F"/>
    <w:rsid w:val="00AC1512"/>
    <w:rsid w:val="00AC1CA4"/>
    <w:rsid w:val="00AC4BDD"/>
    <w:rsid w:val="00AD393A"/>
    <w:rsid w:val="00AE1F3E"/>
    <w:rsid w:val="00AF4FE5"/>
    <w:rsid w:val="00AF52E8"/>
    <w:rsid w:val="00AF5340"/>
    <w:rsid w:val="00B01DE5"/>
    <w:rsid w:val="00B1004D"/>
    <w:rsid w:val="00B1560A"/>
    <w:rsid w:val="00B202F0"/>
    <w:rsid w:val="00B239BA"/>
    <w:rsid w:val="00B30295"/>
    <w:rsid w:val="00B349DB"/>
    <w:rsid w:val="00B41582"/>
    <w:rsid w:val="00B47B0B"/>
    <w:rsid w:val="00B524BA"/>
    <w:rsid w:val="00B524D6"/>
    <w:rsid w:val="00B60A58"/>
    <w:rsid w:val="00B610DF"/>
    <w:rsid w:val="00B625C6"/>
    <w:rsid w:val="00B63BC1"/>
    <w:rsid w:val="00B7470E"/>
    <w:rsid w:val="00B7660F"/>
    <w:rsid w:val="00B768E4"/>
    <w:rsid w:val="00B769C8"/>
    <w:rsid w:val="00B819F1"/>
    <w:rsid w:val="00B905D0"/>
    <w:rsid w:val="00B92135"/>
    <w:rsid w:val="00B97B96"/>
    <w:rsid w:val="00B97D37"/>
    <w:rsid w:val="00BA2EE4"/>
    <w:rsid w:val="00BA44F2"/>
    <w:rsid w:val="00BA6AAA"/>
    <w:rsid w:val="00BB66C2"/>
    <w:rsid w:val="00BB68F1"/>
    <w:rsid w:val="00BB7BEC"/>
    <w:rsid w:val="00BC1AA1"/>
    <w:rsid w:val="00BD1665"/>
    <w:rsid w:val="00BD2AD8"/>
    <w:rsid w:val="00BD3EE7"/>
    <w:rsid w:val="00BD7988"/>
    <w:rsid w:val="00C160FD"/>
    <w:rsid w:val="00C367C1"/>
    <w:rsid w:val="00C4281F"/>
    <w:rsid w:val="00C42984"/>
    <w:rsid w:val="00C451A0"/>
    <w:rsid w:val="00C50AFB"/>
    <w:rsid w:val="00C70910"/>
    <w:rsid w:val="00C72229"/>
    <w:rsid w:val="00C818BB"/>
    <w:rsid w:val="00C869F0"/>
    <w:rsid w:val="00C90FAC"/>
    <w:rsid w:val="00CA0AB7"/>
    <w:rsid w:val="00CA0E12"/>
    <w:rsid w:val="00CB1596"/>
    <w:rsid w:val="00CC2A49"/>
    <w:rsid w:val="00CC7CC2"/>
    <w:rsid w:val="00CD29AE"/>
    <w:rsid w:val="00CD48A8"/>
    <w:rsid w:val="00CD4AC7"/>
    <w:rsid w:val="00CF1B72"/>
    <w:rsid w:val="00CF218F"/>
    <w:rsid w:val="00CF2A66"/>
    <w:rsid w:val="00CF7623"/>
    <w:rsid w:val="00CF795B"/>
    <w:rsid w:val="00D1160E"/>
    <w:rsid w:val="00D23B0C"/>
    <w:rsid w:val="00D2489B"/>
    <w:rsid w:val="00D261C9"/>
    <w:rsid w:val="00D26203"/>
    <w:rsid w:val="00D34266"/>
    <w:rsid w:val="00D34C10"/>
    <w:rsid w:val="00D3640C"/>
    <w:rsid w:val="00D553A2"/>
    <w:rsid w:val="00D55D07"/>
    <w:rsid w:val="00D562D1"/>
    <w:rsid w:val="00D57978"/>
    <w:rsid w:val="00D60211"/>
    <w:rsid w:val="00D622FF"/>
    <w:rsid w:val="00D62E06"/>
    <w:rsid w:val="00D635C2"/>
    <w:rsid w:val="00D7231E"/>
    <w:rsid w:val="00D72DF0"/>
    <w:rsid w:val="00D74999"/>
    <w:rsid w:val="00D92179"/>
    <w:rsid w:val="00D9339C"/>
    <w:rsid w:val="00DA260D"/>
    <w:rsid w:val="00DA367A"/>
    <w:rsid w:val="00DB06F1"/>
    <w:rsid w:val="00DB0DA0"/>
    <w:rsid w:val="00DB0F5A"/>
    <w:rsid w:val="00DB5D6B"/>
    <w:rsid w:val="00DC2C3A"/>
    <w:rsid w:val="00DD667B"/>
    <w:rsid w:val="00DD6E22"/>
    <w:rsid w:val="00DE2F9C"/>
    <w:rsid w:val="00DE6945"/>
    <w:rsid w:val="00DF1E2F"/>
    <w:rsid w:val="00E005C3"/>
    <w:rsid w:val="00E06037"/>
    <w:rsid w:val="00E114C0"/>
    <w:rsid w:val="00E209B5"/>
    <w:rsid w:val="00E30AE9"/>
    <w:rsid w:val="00E40A3A"/>
    <w:rsid w:val="00E42564"/>
    <w:rsid w:val="00E42A52"/>
    <w:rsid w:val="00E50174"/>
    <w:rsid w:val="00E56C1E"/>
    <w:rsid w:val="00E573EF"/>
    <w:rsid w:val="00E605F5"/>
    <w:rsid w:val="00E76878"/>
    <w:rsid w:val="00E82FF0"/>
    <w:rsid w:val="00E840C5"/>
    <w:rsid w:val="00E9236E"/>
    <w:rsid w:val="00E958CE"/>
    <w:rsid w:val="00EA3E73"/>
    <w:rsid w:val="00EA7C1D"/>
    <w:rsid w:val="00EB1DED"/>
    <w:rsid w:val="00EB39B2"/>
    <w:rsid w:val="00EB44F3"/>
    <w:rsid w:val="00EB4DE1"/>
    <w:rsid w:val="00EB6DF6"/>
    <w:rsid w:val="00EC2830"/>
    <w:rsid w:val="00EC29D8"/>
    <w:rsid w:val="00EC36AA"/>
    <w:rsid w:val="00EC3781"/>
    <w:rsid w:val="00EC59C0"/>
    <w:rsid w:val="00ED28A4"/>
    <w:rsid w:val="00ED4E81"/>
    <w:rsid w:val="00ED532E"/>
    <w:rsid w:val="00EE1159"/>
    <w:rsid w:val="00EE12D0"/>
    <w:rsid w:val="00EE1C7E"/>
    <w:rsid w:val="00EE306B"/>
    <w:rsid w:val="00EF32A4"/>
    <w:rsid w:val="00EF4D82"/>
    <w:rsid w:val="00EF7983"/>
    <w:rsid w:val="00F1505F"/>
    <w:rsid w:val="00F17783"/>
    <w:rsid w:val="00F230D9"/>
    <w:rsid w:val="00F26D9B"/>
    <w:rsid w:val="00F3010D"/>
    <w:rsid w:val="00F417B5"/>
    <w:rsid w:val="00F41D12"/>
    <w:rsid w:val="00F4206C"/>
    <w:rsid w:val="00F46A70"/>
    <w:rsid w:val="00F67341"/>
    <w:rsid w:val="00F71422"/>
    <w:rsid w:val="00F73DE9"/>
    <w:rsid w:val="00F75402"/>
    <w:rsid w:val="00F76153"/>
    <w:rsid w:val="00F76B1D"/>
    <w:rsid w:val="00F819F4"/>
    <w:rsid w:val="00F81E65"/>
    <w:rsid w:val="00F906A0"/>
    <w:rsid w:val="00F93B4A"/>
    <w:rsid w:val="00F95214"/>
    <w:rsid w:val="00FA151B"/>
    <w:rsid w:val="00FA635E"/>
    <w:rsid w:val="00FA655F"/>
    <w:rsid w:val="00FB5FC5"/>
    <w:rsid w:val="00FC0239"/>
    <w:rsid w:val="00FC5058"/>
    <w:rsid w:val="00FD6E46"/>
    <w:rsid w:val="00FE1C9C"/>
    <w:rsid w:val="00FE2BB5"/>
    <w:rsid w:val="02247BCD"/>
    <w:rsid w:val="02596679"/>
    <w:rsid w:val="035968C2"/>
    <w:rsid w:val="0373F6D2"/>
    <w:rsid w:val="042BF61C"/>
    <w:rsid w:val="04623BD8"/>
    <w:rsid w:val="05790A5C"/>
    <w:rsid w:val="05BC8D42"/>
    <w:rsid w:val="05D8B72B"/>
    <w:rsid w:val="06460752"/>
    <w:rsid w:val="07DB2CBB"/>
    <w:rsid w:val="09876D80"/>
    <w:rsid w:val="09C847D7"/>
    <w:rsid w:val="0A40E1FE"/>
    <w:rsid w:val="0B855399"/>
    <w:rsid w:val="0C641C03"/>
    <w:rsid w:val="0DD05DA7"/>
    <w:rsid w:val="0E2665B7"/>
    <w:rsid w:val="0EFFB138"/>
    <w:rsid w:val="0F140182"/>
    <w:rsid w:val="0FC1EED2"/>
    <w:rsid w:val="1051EFCA"/>
    <w:rsid w:val="11721AA3"/>
    <w:rsid w:val="1180DB14"/>
    <w:rsid w:val="14C257BF"/>
    <w:rsid w:val="15C355F8"/>
    <w:rsid w:val="15D5AAEB"/>
    <w:rsid w:val="1762534E"/>
    <w:rsid w:val="179BF24A"/>
    <w:rsid w:val="18097F70"/>
    <w:rsid w:val="188A9DC1"/>
    <w:rsid w:val="19553B7A"/>
    <w:rsid w:val="1D40F466"/>
    <w:rsid w:val="1EB198B3"/>
    <w:rsid w:val="1F8A9B59"/>
    <w:rsid w:val="1F931FFF"/>
    <w:rsid w:val="1FC0FDAA"/>
    <w:rsid w:val="1FE19EB3"/>
    <w:rsid w:val="20552324"/>
    <w:rsid w:val="2082A8F1"/>
    <w:rsid w:val="20962B4F"/>
    <w:rsid w:val="225338EA"/>
    <w:rsid w:val="22E84883"/>
    <w:rsid w:val="2515171F"/>
    <w:rsid w:val="27BEA8B6"/>
    <w:rsid w:val="27FB64AD"/>
    <w:rsid w:val="29470FC0"/>
    <w:rsid w:val="29D2E452"/>
    <w:rsid w:val="2B9E4D6A"/>
    <w:rsid w:val="2DC6FD33"/>
    <w:rsid w:val="2DE4C597"/>
    <w:rsid w:val="2F55EEF1"/>
    <w:rsid w:val="2FC84FFB"/>
    <w:rsid w:val="3089D2CD"/>
    <w:rsid w:val="3092DDEA"/>
    <w:rsid w:val="3097A2AC"/>
    <w:rsid w:val="30C20B5E"/>
    <w:rsid w:val="325052F5"/>
    <w:rsid w:val="335DF86F"/>
    <w:rsid w:val="33DEDF11"/>
    <w:rsid w:val="33F01AE2"/>
    <w:rsid w:val="34113D82"/>
    <w:rsid w:val="3436F2B0"/>
    <w:rsid w:val="34BE0C1A"/>
    <w:rsid w:val="3507B17E"/>
    <w:rsid w:val="365D7941"/>
    <w:rsid w:val="3678761A"/>
    <w:rsid w:val="391CF21C"/>
    <w:rsid w:val="39F47466"/>
    <w:rsid w:val="3A81A204"/>
    <w:rsid w:val="3ADBD52B"/>
    <w:rsid w:val="3BB08F8D"/>
    <w:rsid w:val="3C187B6C"/>
    <w:rsid w:val="3CAC2B92"/>
    <w:rsid w:val="3DE026A9"/>
    <w:rsid w:val="3E873676"/>
    <w:rsid w:val="42AE8C6E"/>
    <w:rsid w:val="430EFE64"/>
    <w:rsid w:val="432CEDB4"/>
    <w:rsid w:val="43761A52"/>
    <w:rsid w:val="4381206D"/>
    <w:rsid w:val="44DDFD59"/>
    <w:rsid w:val="452B38C9"/>
    <w:rsid w:val="46A3775D"/>
    <w:rsid w:val="46D5B4A1"/>
    <w:rsid w:val="4784A7F4"/>
    <w:rsid w:val="47A4198E"/>
    <w:rsid w:val="483A4FF6"/>
    <w:rsid w:val="48B2D465"/>
    <w:rsid w:val="4A723368"/>
    <w:rsid w:val="4C66C492"/>
    <w:rsid w:val="4D41ECE7"/>
    <w:rsid w:val="4DDBA2DA"/>
    <w:rsid w:val="4DDBFA4B"/>
    <w:rsid w:val="4E2E2C4B"/>
    <w:rsid w:val="4EF6BA82"/>
    <w:rsid w:val="4EFF71F4"/>
    <w:rsid w:val="4F57EA17"/>
    <w:rsid w:val="4F79266E"/>
    <w:rsid w:val="50C2BE61"/>
    <w:rsid w:val="5290F9D0"/>
    <w:rsid w:val="541055E6"/>
    <w:rsid w:val="56387433"/>
    <w:rsid w:val="572A3B4B"/>
    <w:rsid w:val="5765C10E"/>
    <w:rsid w:val="5789A968"/>
    <w:rsid w:val="58CB8B30"/>
    <w:rsid w:val="58EE46D9"/>
    <w:rsid w:val="5BADF9F4"/>
    <w:rsid w:val="5C38D288"/>
    <w:rsid w:val="5C9A5CF9"/>
    <w:rsid w:val="5E21EFA2"/>
    <w:rsid w:val="5E2F7501"/>
    <w:rsid w:val="6032D4FC"/>
    <w:rsid w:val="6083F2BA"/>
    <w:rsid w:val="61510F92"/>
    <w:rsid w:val="61AEBC88"/>
    <w:rsid w:val="6356CDED"/>
    <w:rsid w:val="64090A12"/>
    <w:rsid w:val="64142D96"/>
    <w:rsid w:val="648D04F9"/>
    <w:rsid w:val="650CC8F1"/>
    <w:rsid w:val="653300C2"/>
    <w:rsid w:val="664EAD5F"/>
    <w:rsid w:val="66E67708"/>
    <w:rsid w:val="6741D985"/>
    <w:rsid w:val="677120A9"/>
    <w:rsid w:val="67930447"/>
    <w:rsid w:val="67CB09E8"/>
    <w:rsid w:val="686EDA6E"/>
    <w:rsid w:val="697D0C99"/>
    <w:rsid w:val="69F3037A"/>
    <w:rsid w:val="6B558208"/>
    <w:rsid w:val="6BE49485"/>
    <w:rsid w:val="6DFEB4F2"/>
    <w:rsid w:val="6F02CCE0"/>
    <w:rsid w:val="70488212"/>
    <w:rsid w:val="707F9240"/>
    <w:rsid w:val="717C47EF"/>
    <w:rsid w:val="7269B4F5"/>
    <w:rsid w:val="7339D77E"/>
    <w:rsid w:val="759768B2"/>
    <w:rsid w:val="75D6B041"/>
    <w:rsid w:val="77FC0EB6"/>
    <w:rsid w:val="7893ADBC"/>
    <w:rsid w:val="799CC0F0"/>
    <w:rsid w:val="7AA95DB0"/>
    <w:rsid w:val="7AE18523"/>
    <w:rsid w:val="7B527809"/>
    <w:rsid w:val="7BB06056"/>
    <w:rsid w:val="7BFD75E8"/>
    <w:rsid w:val="7DF5EB8A"/>
    <w:rsid w:val="7E394A8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EEC31E83-65CA-4D05-8824-B56B0AC16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el-GR"/>
    </w:rPr>
  </w:style>
  <w:style w:type="paragraph" w:styleId="Heading1">
    <w:name w:val="heading 1"/>
    <w:basedOn w:val="Normal"/>
    <w:next w:val="Text1"/>
    <w:link w:val="Heading1Char"/>
    <w:uiPriority w:val="9"/>
    <w:qFormat/>
    <w:pPr>
      <w:keepNext/>
      <w:numPr>
        <w:numId w:val="3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0"/>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0"/>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0"/>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0"/>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pPr>
      <w:numPr>
        <w:numId w:val="1"/>
      </w:numPr>
    </w:pPr>
    <w:rPr>
      <w:rFonts w:eastAsia="Times New Roman"/>
      <w:lang w:eastAsia="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el-GR"/>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l-GR"/>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l-GR"/>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pPr>
      <w:ind w:left="720"/>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character" w:customStyle="1" w:styleId="eop">
    <w:name w:val="eop"/>
    <w:basedOn w:val="DefaultParagraphFont"/>
  </w:style>
  <w:style w:type="paragraph" w:styleId="Revision">
    <w:name w:val="Revision"/>
    <w:hidden/>
    <w:uiPriority w:val="99"/>
    <w:semiHidden/>
    <w:pPr>
      <w:spacing w:after="0" w:line="240" w:lineRule="auto"/>
    </w:pPr>
    <w:rPr>
      <w:rFonts w:ascii="Times New Roman" w:hAnsi="Times New Roman" w:cs="Times New Roman"/>
      <w:sz w:val="24"/>
    </w:rPr>
  </w:style>
  <w:style w:type="character" w:customStyle="1" w:styleId="normaltextrun">
    <w:name w:val="normaltextrun"/>
    <w:basedOn w:val="DefaultParagraphFont"/>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ui-provider">
    <w:name w:val="ui-provider"/>
    <w:basedOn w:val="DefaultParagraphFont"/>
  </w:style>
  <w:style w:type="character" w:styleId="Hyperlink">
    <w:name w:val="Hyperlink"/>
    <w:basedOn w:val="DefaultParagraphFont"/>
    <w:uiPriority w:val="99"/>
    <w:unhideWhenUsed/>
    <w:rPr>
      <w:color w:val="0000FF"/>
      <w:u w:val="single"/>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Mention2">
    <w:name w:val="Mention2"/>
    <w:basedOn w:val="DefaultParagraphFont"/>
    <w:uiPriority w:val="99"/>
    <w:unhideWhenUsed/>
    <w:rsid w:val="00A732A9"/>
    <w:rPr>
      <w:color w:val="2B579A"/>
      <w:shd w:val="clear" w:color="auto" w:fill="E1DFDD"/>
    </w:rPr>
  </w:style>
  <w:style w:type="character" w:customStyle="1" w:styleId="Mention3">
    <w:name w:val="Mention3"/>
    <w:basedOn w:val="DefaultParagraphFont"/>
    <w:uiPriority w:val="99"/>
    <w:unhideWhenUsed/>
    <w:rsid w:val="00177854"/>
    <w:rPr>
      <w:color w:val="2B579A"/>
      <w:shd w:val="clear" w:color="auto" w:fill="E1DFDD"/>
    </w:rPr>
  </w:style>
  <w:style w:type="character" w:customStyle="1" w:styleId="UnresolvedMention2">
    <w:name w:val="Unresolved Mention2"/>
    <w:basedOn w:val="DefaultParagraphFont"/>
    <w:uiPriority w:val="99"/>
    <w:unhideWhenUsed/>
    <w:rsid w:val="00982F48"/>
    <w:rPr>
      <w:color w:val="605E5C"/>
      <w:shd w:val="clear" w:color="auto" w:fill="E1DFDD"/>
    </w:rPr>
  </w:style>
  <w:style w:type="character" w:customStyle="1" w:styleId="Mention4">
    <w:name w:val="Mention4"/>
    <w:basedOn w:val="DefaultParagraphFont"/>
    <w:uiPriority w:val="99"/>
    <w:unhideWhenUsed/>
    <w:rsid w:val="00982F48"/>
    <w:rPr>
      <w:color w:val="2B579A"/>
      <w:shd w:val="clear" w:color="auto" w:fill="E1DFDD"/>
    </w:rPr>
  </w:style>
  <w:style w:type="character" w:customStyle="1" w:styleId="HeaderChar">
    <w:name w:val="Header Char"/>
    <w:basedOn w:val="DefaultParagraphFont"/>
    <w:link w:val="Header"/>
    <w:uiPriority w:val="99"/>
    <w:rsid w:val="00252EFB"/>
    <w:rPr>
      <w:rFonts w:ascii="Times New Roman" w:hAnsi="Times New Roman" w:cs="Times New Roman"/>
      <w:sz w:val="24"/>
      <w:lang w:val="el-GR"/>
    </w:rPr>
  </w:style>
  <w:style w:type="character" w:customStyle="1" w:styleId="FooterChar">
    <w:name w:val="Footer Char"/>
    <w:basedOn w:val="DefaultParagraphFont"/>
    <w:link w:val="Footer"/>
    <w:uiPriority w:val="99"/>
    <w:rsid w:val="00252EFB"/>
    <w:rPr>
      <w:rFonts w:ascii="Times New Roman" w:hAnsi="Times New Roman" w:cs="Times New Roman"/>
      <w:sz w:val="24"/>
      <w:lang w:val="el-GR"/>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252EFB"/>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252EFB"/>
    <w:pPr>
      <w:spacing w:before="0"/>
      <w:jc w:val="right"/>
    </w:pPr>
    <w:rPr>
      <w:sz w:val="28"/>
    </w:rPr>
  </w:style>
  <w:style w:type="paragraph" w:customStyle="1" w:styleId="FooterSensitivity">
    <w:name w:val="Footer Sensitivity"/>
    <w:basedOn w:val="Normal"/>
    <w:rsid w:val="00252EFB"/>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3"/>
      </w:numPr>
    </w:pPr>
  </w:style>
  <w:style w:type="paragraph" w:customStyle="1" w:styleId="Tiret1">
    <w:name w:val="Tiret 1"/>
    <w:basedOn w:val="Point1"/>
    <w:pPr>
      <w:numPr>
        <w:numId w:val="24"/>
      </w:numPr>
    </w:pPr>
  </w:style>
  <w:style w:type="paragraph" w:customStyle="1" w:styleId="Tiret2">
    <w:name w:val="Tiret 2"/>
    <w:basedOn w:val="Point2"/>
    <w:pPr>
      <w:numPr>
        <w:numId w:val="25"/>
      </w:numPr>
    </w:pPr>
  </w:style>
  <w:style w:type="paragraph" w:customStyle="1" w:styleId="Tiret3">
    <w:name w:val="Tiret 3"/>
    <w:basedOn w:val="Point3"/>
    <w:pPr>
      <w:numPr>
        <w:numId w:val="26"/>
      </w:numPr>
    </w:pPr>
  </w:style>
  <w:style w:type="paragraph" w:customStyle="1" w:styleId="Tiret4">
    <w:name w:val="Tiret 4"/>
    <w:basedOn w:val="Point4"/>
    <w:pPr>
      <w:numPr>
        <w:numId w:val="27"/>
      </w:numPr>
    </w:pPr>
  </w:style>
  <w:style w:type="paragraph" w:customStyle="1" w:styleId="Tiret5">
    <w:name w:val="Tiret 5"/>
    <w:basedOn w:val="Point5"/>
    <w:pPr>
      <w:numPr>
        <w:numId w:val="2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9"/>
      </w:numPr>
    </w:pPr>
  </w:style>
  <w:style w:type="paragraph" w:customStyle="1" w:styleId="NumPar2">
    <w:name w:val="NumPar 2"/>
    <w:basedOn w:val="Normal"/>
    <w:next w:val="Text1"/>
    <w:pPr>
      <w:numPr>
        <w:ilvl w:val="1"/>
        <w:numId w:val="29"/>
      </w:numPr>
    </w:pPr>
  </w:style>
  <w:style w:type="paragraph" w:customStyle="1" w:styleId="NumPar3">
    <w:name w:val="NumPar 3"/>
    <w:basedOn w:val="Normal"/>
    <w:next w:val="Text1"/>
    <w:pPr>
      <w:numPr>
        <w:ilvl w:val="2"/>
        <w:numId w:val="29"/>
      </w:numPr>
    </w:pPr>
  </w:style>
  <w:style w:type="paragraph" w:customStyle="1" w:styleId="NumPar4">
    <w:name w:val="NumPar 4"/>
    <w:basedOn w:val="Normal"/>
    <w:next w:val="Text1"/>
    <w:pPr>
      <w:numPr>
        <w:ilvl w:val="3"/>
        <w:numId w:val="29"/>
      </w:numPr>
    </w:pPr>
  </w:style>
  <w:style w:type="paragraph" w:customStyle="1" w:styleId="NumPar5">
    <w:name w:val="NumPar 5"/>
    <w:basedOn w:val="Normal"/>
    <w:next w:val="Text2"/>
    <w:pPr>
      <w:numPr>
        <w:ilvl w:val="4"/>
        <w:numId w:val="29"/>
      </w:numPr>
    </w:pPr>
  </w:style>
  <w:style w:type="paragraph" w:customStyle="1" w:styleId="NumPar6">
    <w:name w:val="NumPar 6"/>
    <w:basedOn w:val="Normal"/>
    <w:next w:val="Text2"/>
    <w:pPr>
      <w:numPr>
        <w:ilvl w:val="5"/>
        <w:numId w:val="29"/>
      </w:numPr>
    </w:pPr>
  </w:style>
  <w:style w:type="paragraph" w:customStyle="1" w:styleId="NumPar7">
    <w:name w:val="NumPar 7"/>
    <w:basedOn w:val="Normal"/>
    <w:next w:val="Text2"/>
    <w:pPr>
      <w:numPr>
        <w:ilvl w:val="6"/>
        <w:numId w:val="2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1"/>
      </w:numPr>
    </w:pPr>
  </w:style>
  <w:style w:type="paragraph" w:customStyle="1" w:styleId="Point1number">
    <w:name w:val="Point 1 (number)"/>
    <w:basedOn w:val="Normal"/>
    <w:pPr>
      <w:numPr>
        <w:ilvl w:val="2"/>
        <w:numId w:val="31"/>
      </w:numPr>
    </w:pPr>
  </w:style>
  <w:style w:type="paragraph" w:customStyle="1" w:styleId="Point2number">
    <w:name w:val="Point 2 (number)"/>
    <w:basedOn w:val="Normal"/>
    <w:pPr>
      <w:numPr>
        <w:ilvl w:val="4"/>
        <w:numId w:val="31"/>
      </w:numPr>
    </w:pPr>
  </w:style>
  <w:style w:type="paragraph" w:customStyle="1" w:styleId="Point3number">
    <w:name w:val="Point 3 (number)"/>
    <w:basedOn w:val="Normal"/>
    <w:pPr>
      <w:numPr>
        <w:ilvl w:val="6"/>
        <w:numId w:val="31"/>
      </w:numPr>
    </w:pPr>
  </w:style>
  <w:style w:type="paragraph" w:customStyle="1" w:styleId="Point0letter">
    <w:name w:val="Point 0 (letter)"/>
    <w:basedOn w:val="Normal"/>
    <w:pPr>
      <w:numPr>
        <w:ilvl w:val="1"/>
        <w:numId w:val="31"/>
      </w:numPr>
    </w:pPr>
  </w:style>
  <w:style w:type="paragraph" w:customStyle="1" w:styleId="Point1letter">
    <w:name w:val="Point 1 (letter)"/>
    <w:basedOn w:val="Normal"/>
    <w:pPr>
      <w:numPr>
        <w:ilvl w:val="3"/>
        <w:numId w:val="31"/>
      </w:numPr>
    </w:pPr>
  </w:style>
  <w:style w:type="paragraph" w:customStyle="1" w:styleId="Point2letter">
    <w:name w:val="Point 2 (letter)"/>
    <w:basedOn w:val="Normal"/>
    <w:pPr>
      <w:numPr>
        <w:ilvl w:val="5"/>
        <w:numId w:val="31"/>
      </w:numPr>
    </w:pPr>
  </w:style>
  <w:style w:type="paragraph" w:customStyle="1" w:styleId="Point3letter">
    <w:name w:val="Point 3 (letter)"/>
    <w:basedOn w:val="Normal"/>
    <w:pPr>
      <w:numPr>
        <w:ilvl w:val="7"/>
        <w:numId w:val="31"/>
      </w:numPr>
    </w:pPr>
  </w:style>
  <w:style w:type="paragraph" w:customStyle="1" w:styleId="Point4letter">
    <w:name w:val="Point 4 (letter)"/>
    <w:basedOn w:val="Normal"/>
    <w:pPr>
      <w:numPr>
        <w:ilvl w:val="8"/>
        <w:numId w:val="31"/>
      </w:numPr>
    </w:pPr>
  </w:style>
  <w:style w:type="paragraph" w:customStyle="1" w:styleId="Bullet0">
    <w:name w:val="Bullet 0"/>
    <w:basedOn w:val="Normal"/>
    <w:pPr>
      <w:numPr>
        <w:numId w:val="32"/>
      </w:numPr>
    </w:pPr>
  </w:style>
  <w:style w:type="paragraph" w:customStyle="1" w:styleId="Bullet1">
    <w:name w:val="Bullet 1"/>
    <w:basedOn w:val="Normal"/>
    <w:pPr>
      <w:numPr>
        <w:numId w:val="33"/>
      </w:numPr>
    </w:pPr>
  </w:style>
  <w:style w:type="paragraph" w:customStyle="1" w:styleId="Bullet2">
    <w:name w:val="Bullet 2"/>
    <w:basedOn w:val="Normal"/>
    <w:pPr>
      <w:numPr>
        <w:numId w:val="34"/>
      </w:numPr>
    </w:pPr>
  </w:style>
  <w:style w:type="paragraph" w:customStyle="1" w:styleId="Bullet3">
    <w:name w:val="Bullet 3"/>
    <w:basedOn w:val="Normal"/>
    <w:pPr>
      <w:numPr>
        <w:numId w:val="35"/>
      </w:numPr>
    </w:pPr>
  </w:style>
  <w:style w:type="paragraph" w:customStyle="1" w:styleId="Bullet4">
    <w:name w:val="Bullet 4"/>
    <w:basedOn w:val="Normal"/>
    <w:pPr>
      <w:numPr>
        <w:numId w:val="36"/>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252EFB"/>
    <w:pPr>
      <w:tabs>
        <w:tab w:val="center" w:pos="4535"/>
        <w:tab w:val="right" w:pos="9071"/>
      </w:tabs>
      <w:spacing w:before="0"/>
    </w:pPr>
  </w:style>
  <w:style w:type="paragraph" w:customStyle="1" w:styleId="HeaderLandscape">
    <w:name w:val="HeaderLandscape"/>
    <w:basedOn w:val="Normal"/>
    <w:rsid w:val="00252EFB"/>
    <w:pPr>
      <w:tabs>
        <w:tab w:val="center" w:pos="7285"/>
        <w:tab w:val="right" w:pos="14003"/>
      </w:tabs>
      <w:spacing w:before="0"/>
    </w:pPr>
  </w:style>
  <w:style w:type="paragraph" w:styleId="Footer">
    <w:name w:val="footer"/>
    <w:basedOn w:val="Normal"/>
    <w:link w:val="FooterChar"/>
    <w:uiPriority w:val="99"/>
    <w:unhideWhenUsed/>
    <w:rsid w:val="00252EFB"/>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252EFB"/>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738645">
      <w:bodyDiv w:val="1"/>
      <w:marLeft w:val="0"/>
      <w:marRight w:val="0"/>
      <w:marTop w:val="0"/>
      <w:marBottom w:val="0"/>
      <w:divBdr>
        <w:top w:val="none" w:sz="0" w:space="0" w:color="auto"/>
        <w:left w:val="none" w:sz="0" w:space="0" w:color="auto"/>
        <w:bottom w:val="none" w:sz="0" w:space="0" w:color="auto"/>
        <w:right w:val="none" w:sz="0" w:space="0" w:color="auto"/>
      </w:divBdr>
      <w:divsChild>
        <w:div w:id="798302481">
          <w:marLeft w:val="360"/>
          <w:marRight w:val="0"/>
          <w:marTop w:val="0"/>
          <w:marBottom w:val="160"/>
          <w:divBdr>
            <w:top w:val="none" w:sz="0" w:space="0" w:color="auto"/>
            <w:left w:val="none" w:sz="0" w:space="0" w:color="auto"/>
            <w:bottom w:val="none" w:sz="0" w:space="0" w:color="auto"/>
            <w:right w:val="none" w:sz="0" w:space="0" w:color="auto"/>
          </w:divBdr>
        </w:div>
      </w:divsChild>
    </w:div>
    <w:div w:id="1293251827">
      <w:bodyDiv w:val="1"/>
      <w:marLeft w:val="0"/>
      <w:marRight w:val="0"/>
      <w:marTop w:val="0"/>
      <w:marBottom w:val="0"/>
      <w:divBdr>
        <w:top w:val="none" w:sz="0" w:space="0" w:color="auto"/>
        <w:left w:val="none" w:sz="0" w:space="0" w:color="auto"/>
        <w:bottom w:val="none" w:sz="0" w:space="0" w:color="auto"/>
        <w:right w:val="none" w:sz="0" w:space="0" w:color="auto"/>
      </w:divBdr>
    </w:div>
    <w:div w:id="1543636083">
      <w:bodyDiv w:val="1"/>
      <w:marLeft w:val="0"/>
      <w:marRight w:val="0"/>
      <w:marTop w:val="0"/>
      <w:marBottom w:val="0"/>
      <w:divBdr>
        <w:top w:val="none" w:sz="0" w:space="0" w:color="auto"/>
        <w:left w:val="none" w:sz="0" w:space="0" w:color="auto"/>
        <w:bottom w:val="none" w:sz="0" w:space="0" w:color="auto"/>
        <w:right w:val="none" w:sz="0" w:space="0" w:color="auto"/>
      </w:divBdr>
      <w:divsChild>
        <w:div w:id="1033000835">
          <w:marLeft w:val="360"/>
          <w:marRight w:val="0"/>
          <w:marTop w:val="0"/>
          <w:marBottom w:val="160"/>
          <w:divBdr>
            <w:top w:val="none" w:sz="0" w:space="0" w:color="auto"/>
            <w:left w:val="none" w:sz="0" w:space="0" w:color="auto"/>
            <w:bottom w:val="none" w:sz="0" w:space="0" w:color="auto"/>
            <w:right w:val="none" w:sz="0" w:space="0" w:color="auto"/>
          </w:divBdr>
        </w:div>
      </w:divsChild>
    </w:div>
    <w:div w:id="1581792308">
      <w:bodyDiv w:val="1"/>
      <w:marLeft w:val="0"/>
      <w:marRight w:val="0"/>
      <w:marTop w:val="0"/>
      <w:marBottom w:val="0"/>
      <w:divBdr>
        <w:top w:val="none" w:sz="0" w:space="0" w:color="auto"/>
        <w:left w:val="none" w:sz="0" w:space="0" w:color="auto"/>
        <w:bottom w:val="none" w:sz="0" w:space="0" w:color="auto"/>
        <w:right w:val="none" w:sz="0" w:space="0" w:color="auto"/>
      </w:divBdr>
    </w:div>
    <w:div w:id="1781414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19/05/relationships/documenttasks" Target="documenttasks/documenttasks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documenttasks/documenttasks1.xml><?xml version="1.0" encoding="utf-8"?>
<t:Tasks xmlns:t="http://schemas.microsoft.com/office/tasks/2019/documenttasks" xmlns:oel="http://schemas.microsoft.com/office/2019/extlst">
  <t:Task id="{F2E26404-18F7-4CEB-A920-D0958651DBB5}">
    <t:Anchor>
      <t:Comment id="1810327585"/>
    </t:Anchor>
    <t:History>
      <t:Event id="{54052D89-3E8E-4DAF-B092-90B2EE81F7BB}" time="2023-03-27T09:18:00.794Z">
        <t:Attribution userId="S::francesco.perticari@ec.europa.eu::9ea59f4c-194c-4786-8066-5b3be293c07f" userProvider="AD" userName="PERTICARI Francesco (ECFIN)"/>
        <t:Anchor>
          <t:Comment id="1810327585"/>
        </t:Anchor>
        <t:Create/>
      </t:Event>
      <t:Event id="{3D73CAE8-DF4F-4303-A6CC-BA3A6A553DBE}" time="2023-03-27T09:18:00.794Z">
        <t:Attribution userId="S::francesco.perticari@ec.europa.eu::9ea59f4c-194c-4786-8066-5b3be293c07f" userProvider="AD" userName="PERTICARI Francesco (ECFIN)"/>
        <t:Anchor>
          <t:Comment id="1810327585"/>
        </t:Anchor>
        <t:Assign userId="S::Aurelia-Madalina.PLENICEANU@ec.europa.eu::a0fe7b1c-00a9-4040-b8af-b1eac3d78215" userProvider="AD" userName="PLENICEANU Aurelia-Madalina (ECFIN)"/>
      </t:Event>
      <t:Event id="{966A6B76-547D-4321-9F90-B655A8463F32}" time="2023-03-27T09:18:00.794Z">
        <t:Attribution userId="S::francesco.perticari@ec.europa.eu::9ea59f4c-194c-4786-8066-5b3be293c07f" userProvider="AD" userName="PERTICARI Francesco (ECFIN)"/>
        <t:Anchor>
          <t:Comment id="1810327585"/>
        </t:Anchor>
        <t:SetTitle title="@PLENICEANU Aurelia-Madalina (ECFIN) TBD"/>
      </t:Event>
    </t:History>
  </t:Task>
  <t:Task id="{A481E945-A52A-4B94-8D92-275DA360AF8B}">
    <t:Anchor>
      <t:Comment id="2133395610"/>
    </t:Anchor>
    <t:History>
      <t:Event id="{FF94924C-1DC0-482E-B6E8-AB975FCA48F3}" time="2023-03-27T09:18:00.794Z">
        <t:Attribution userId="S::francesco.perticari@ec.europa.eu::9ea59f4c-194c-4786-8066-5b3be293c07f" userProvider="AD" userName="PERTICARI Francesco (ECFIN)"/>
        <t:Anchor>
          <t:Comment id="2133395610"/>
        </t:Anchor>
        <t:Create/>
      </t:Event>
      <t:Event id="{4A1B0725-1774-4FE0-8176-865E865D86FB}" time="2023-03-27T09:18:00.794Z">
        <t:Attribution userId="S::francesco.perticari@ec.europa.eu::9ea59f4c-194c-4786-8066-5b3be293c07f" userProvider="AD" userName="PERTICARI Francesco (ECFIN)"/>
        <t:Anchor>
          <t:Comment id="2133395610"/>
        </t:Anchor>
        <t:Assign userId="S::Aurelia-Madalina.PLENICEANU@ec.europa.eu::a0fe7b1c-00a9-4040-b8af-b1eac3d78215" userProvider="AD" userName="PLENICEANU Aurelia-Madalina (ECFIN)"/>
      </t:Event>
      <t:Event id="{D4042AA4-2AF1-45EF-AADC-9112004E7D48}" time="2023-03-27T09:18:00.794Z">
        <t:Attribution userId="S::francesco.perticari@ec.europa.eu::9ea59f4c-194c-4786-8066-5b3be293c07f" userProvider="AD" userName="PERTICARI Francesco (ECFIN)"/>
        <t:Anchor>
          <t:Comment id="2133395610"/>
        </t:Anchor>
        <t:SetTitle title="@PLENICEANU Aurelia-Madalina (ECFIN) TBD"/>
      </t:Event>
      <t:Event id="{5BA26A37-965F-455C-9E23-9F434299E54E}" time="2023-03-27T09:43:30.267Z">
        <t:Attribution userId="S::aurelia-madalina.pleniceanu@ec.europa.eu::a0fe7b1c-00a9-4040-b8af-b1eac3d78215" userProvider="AD" userName="PLENICEANU Aurelia-Madalina (ECFIN)"/>
        <t:Progress percentComplete="100"/>
      </t:Event>
    </t:History>
  </t:Task>
  <t:Task id="{511B2260-564B-43A5-8C0C-03047D4EC1A4}">
    <t:Anchor>
      <t:Comment id="768345462"/>
    </t:Anchor>
    <t:History>
      <t:Event id="{38BA315E-BC1D-48FF-8C7C-62CD80DA4654}" time="2023-03-27T09:18:00.794Z">
        <t:Attribution userId="S::francesco.perticari@ec.europa.eu::9ea59f4c-194c-4786-8066-5b3be293c07f" userProvider="AD" userName="PERTICARI Francesco (ECFIN)"/>
        <t:Anchor>
          <t:Comment id="768345462"/>
        </t:Anchor>
        <t:Create/>
      </t:Event>
      <t:Event id="{5EA04A65-E919-4CE6-975F-6C9840C73AA5}" time="2023-03-27T09:18:00.794Z">
        <t:Attribution userId="S::francesco.perticari@ec.europa.eu::9ea59f4c-194c-4786-8066-5b3be293c07f" userProvider="AD" userName="PERTICARI Francesco (ECFIN)"/>
        <t:Anchor>
          <t:Comment id="768345462"/>
        </t:Anchor>
        <t:Assign userId="S::Aurelia-Madalina.PLENICEANU@ec.europa.eu::a0fe7b1c-00a9-4040-b8af-b1eac3d78215" userProvider="AD" userName="PLENICEANU Aurelia-Madalina (ECFIN)"/>
      </t:Event>
      <t:Event id="{4F6F27ED-2EAF-4A8D-8C89-8CF950FF9DB4}" time="2023-03-27T09:18:00.794Z">
        <t:Attribution userId="S::francesco.perticari@ec.europa.eu::9ea59f4c-194c-4786-8066-5b3be293c07f" userProvider="AD" userName="PERTICARI Francesco (ECFIN)"/>
        <t:Anchor>
          <t:Comment id="768345462"/>
        </t:Anchor>
        <t:SetTitle title="@PLENICEANU Aurelia-Madalina (ECFIN) TBD"/>
      </t:Event>
      <t:Event id="{1C0B8B13-D2F5-49C4-A446-5AF85003FD0A}" time="2023-03-27T09:33:45.541Z">
        <t:Attribution userId="S::aurelia-madalina.pleniceanu@ec.europa.eu::a0fe7b1c-00a9-4040-b8af-b1eac3d78215" userProvider="AD" userName="PLENICEANU Aurelia-Madalina (ECFIN)"/>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1198b08-d09d-409c-a169-ca1eb44fa897">
      <UserInfo>
        <DisplayName>PERTICARI Francesco (ECFIN)</DisplayName>
        <AccountId>256</AccountId>
        <AccountType/>
      </UserInfo>
      <UserInfo>
        <DisplayName>PUEL Marine (ECFIN)</DisplayName>
        <AccountId>222</AccountId>
        <AccountType/>
      </UserInfo>
      <UserInfo>
        <DisplayName>SCATURRO Francesca (ECFIN)</DisplayName>
        <AccountId>257</AccountId>
        <AccountType/>
      </UserInfo>
      <UserInfo>
        <DisplayName>SIDLAUSKAS Giedrius (ECFIN)</DisplayName>
        <AccountId>258</AccountId>
        <AccountType/>
      </UserInfo>
      <UserInfo>
        <DisplayName>DEMOEN Lukas (ECFIN)</DisplayName>
        <AccountId>103</AccountId>
        <AccountType/>
      </UserInfo>
      <UserInfo>
        <DisplayName>FABREGAS FERNANDEZ Maria Teresa (SG-RECOVER)</DisplayName>
        <AccountId>21</AccountId>
        <AccountType/>
      </UserInfo>
      <UserInfo>
        <DisplayName>FRIIS Jakob Wegener (ECFIN)</DisplayName>
        <AccountId>236</AccountId>
        <AccountType/>
      </UserInfo>
      <UserInfo>
        <DisplayName>STANCIU Andreea Victoria (ECFIN)</DisplayName>
        <AccountId>70</AccountId>
        <AccountType/>
      </UserInfo>
    </SharedWithUsers>
    <TaxCatchAll xmlns="41198b08-d09d-409c-a169-ca1eb44fa897" xsi:nil="true"/>
    <lcf76f155ced4ddcb4097134ff3c332f xmlns="69540217-dd4d-4552-b080-f316f8754f84">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04E1EBFBC69D4E9F6EFDF5C754386E" ma:contentTypeVersion="17" ma:contentTypeDescription="Create a new document." ma:contentTypeScope="" ma:versionID="7208db0d6cfe330da0874853174c6ade">
  <xsd:schema xmlns:xsd="http://www.w3.org/2001/XMLSchema" xmlns:xs="http://www.w3.org/2001/XMLSchema" xmlns:p="http://schemas.microsoft.com/office/2006/metadata/properties" xmlns:ns2="69540217-dd4d-4552-b080-f316f8754f84" xmlns:ns3="41198b08-d09d-409c-a169-ca1eb44fa897" targetNamespace="http://schemas.microsoft.com/office/2006/metadata/properties" ma:root="true" ma:fieldsID="d6b7b0f8a7873b04d72d44d7e7512db5" ns2:_="" ns3:_="">
    <xsd:import namespace="69540217-dd4d-4552-b080-f316f8754f84"/>
    <xsd:import namespace="41198b08-d09d-409c-a169-ca1eb44fa8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40217-dd4d-4552-b080-f316f8754f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198b08-d09d-409c-a169-ca1eb44fa89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1177653-4a32-4266-9c21-e66d53d2d26c}" ma:internalName="TaxCatchAll" ma:showField="CatchAllData" ma:web="41198b08-d09d-409c-a169-ca1eb44fa8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2379E-E59E-4A12-9FAA-58C4AD59449E}">
  <ds:schemaRefs>
    <ds:schemaRef ds:uri="http://schemas.microsoft.com/office/2006/metadata/properties"/>
    <ds:schemaRef ds:uri="http://schemas.microsoft.com/office/infopath/2007/PartnerControls"/>
    <ds:schemaRef ds:uri="41198b08-d09d-409c-a169-ca1eb44fa897"/>
    <ds:schemaRef ds:uri="69540217-dd4d-4552-b080-f316f8754f84"/>
  </ds:schemaRefs>
</ds:datastoreItem>
</file>

<file path=customXml/itemProps2.xml><?xml version="1.0" encoding="utf-8"?>
<ds:datastoreItem xmlns:ds="http://schemas.openxmlformats.org/officeDocument/2006/customXml" ds:itemID="{30DD6E6D-C28E-474B-9658-BB1AB5140FF7}">
  <ds:schemaRefs>
    <ds:schemaRef ds:uri="http://schemas.microsoft.com/sharepoint/v3/contenttype/forms"/>
  </ds:schemaRefs>
</ds:datastoreItem>
</file>

<file path=customXml/itemProps3.xml><?xml version="1.0" encoding="utf-8"?>
<ds:datastoreItem xmlns:ds="http://schemas.openxmlformats.org/officeDocument/2006/customXml" ds:itemID="{CD41EE10-58C2-4C71-B85B-64774A7927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40217-dd4d-4552-b080-f316f8754f84"/>
    <ds:schemaRef ds:uri="41198b08-d09d-409c-a169-ca1eb44fa8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CE3B51-5D17-43E3-A7DA-A95698A8B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95</TotalTime>
  <Pages>8</Pages>
  <Words>5527</Words>
  <Characters>31505</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75</cp:revision>
  <dcterms:created xsi:type="dcterms:W3CDTF">2024-07-04T06:33:00Z</dcterms:created>
  <dcterms:modified xsi:type="dcterms:W3CDTF">2024-09-03T16:19:00Z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Created using">
    <vt:lpwstr>LW 8.0.1, Build 20220429</vt:lpwstr>
  </property>
  <property fmtid="{D5CDD505-2E9C-101B-9397-08002B2CF9AE}" pid="5" name="Part">
    <vt:lpwstr>1</vt:lpwstr>
  </property>
  <property fmtid="{D5CDD505-2E9C-101B-9397-08002B2CF9AE}" pid="6" name="Total parts">
    <vt:lpwstr>1</vt:lpwstr>
  </property>
  <property fmtid="{D5CDD505-2E9C-101B-9397-08002B2CF9AE}" pid="7" name="Level of sensitivity">
    <vt:lpwstr>Standard treatment</vt:lpwstr>
  </property>
  <property fmtid="{D5CDD505-2E9C-101B-9397-08002B2CF9AE}" pid="8" name="LWTemplateID">
    <vt:lpwstr>SJ-020</vt:lpwstr>
  </property>
  <property fmtid="{D5CDD505-2E9C-101B-9397-08002B2CF9AE}" pid="9" name="MSIP_Label_6bd9ddd1-4d20-43f6-abfa-fc3c07406f94_Enabled">
    <vt:lpwstr>true</vt:lpwstr>
  </property>
  <property fmtid="{D5CDD505-2E9C-101B-9397-08002B2CF9AE}" pid="10" name="MSIP_Label_6bd9ddd1-4d20-43f6-abfa-fc3c07406f94_SetDate">
    <vt:lpwstr>2023-03-02T12:49:16Z</vt:lpwstr>
  </property>
  <property fmtid="{D5CDD505-2E9C-101B-9397-08002B2CF9AE}" pid="11" name="MSIP_Label_6bd9ddd1-4d20-43f6-abfa-fc3c07406f94_Method">
    <vt:lpwstr>Standard</vt:lpwstr>
  </property>
  <property fmtid="{D5CDD505-2E9C-101B-9397-08002B2CF9AE}" pid="12" name="MSIP_Label_6bd9ddd1-4d20-43f6-abfa-fc3c07406f94_Name">
    <vt:lpwstr>Commission Use</vt:lpwstr>
  </property>
  <property fmtid="{D5CDD505-2E9C-101B-9397-08002B2CF9AE}" pid="13" name="MSIP_Label_6bd9ddd1-4d20-43f6-abfa-fc3c07406f94_SiteId">
    <vt:lpwstr>b24c8b06-522c-46fe-9080-70926f8dddb1</vt:lpwstr>
  </property>
  <property fmtid="{D5CDD505-2E9C-101B-9397-08002B2CF9AE}" pid="14" name="MSIP_Label_6bd9ddd1-4d20-43f6-abfa-fc3c07406f94_ActionId">
    <vt:lpwstr>8f582852-c262-4eca-97ef-cdd4caf4869a</vt:lpwstr>
  </property>
  <property fmtid="{D5CDD505-2E9C-101B-9397-08002B2CF9AE}" pid="15" name="MSIP_Label_6bd9ddd1-4d20-43f6-abfa-fc3c07406f94_ContentBits">
    <vt:lpwstr>0</vt:lpwstr>
  </property>
  <property fmtid="{D5CDD505-2E9C-101B-9397-08002B2CF9AE}" pid="16" name="ContentTypeId">
    <vt:lpwstr>0x0101001904E1EBFBC69D4E9F6EFDF5C754386E</vt:lpwstr>
  </property>
  <property fmtid="{D5CDD505-2E9C-101B-9397-08002B2CF9AE}" pid="17" name="Last edited using">
    <vt:lpwstr>LW 9.0, Build 20230317</vt:lpwstr>
  </property>
  <property fmtid="{D5CDD505-2E9C-101B-9397-08002B2CF9AE}" pid="18" name="MediaServiceImageTags">
    <vt:lpwstr/>
  </property>
  <property fmtid="{D5CDD505-2E9C-101B-9397-08002B2CF9AE}" pid="19" name="DQCStatus">
    <vt:lpwstr>Green (DQC version 03)</vt:lpwstr>
  </property>
  <property name="OP_sanitized" fmtid="{D5CDD505-2E9C-101B-9397-08002B2CF9AE}" pid="20">
    <vt:lpwstr>True</vt:lpwstr>
  </property>
</Properties>
</file>