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AD9" w:rsidRPr="00D906C3" w:rsidRDefault="00B87AB2" w:rsidP="00B87AB2"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5A6DB4C9-2B7B-4186-808E-B9B1E9F71BA9" style="width:455.25pt;height:355.5pt">
            <v:imagedata r:id="rId8" o:title=""/>
          </v:shape>
        </w:pict>
      </w:r>
    </w:p>
    <w:p w:rsidR="00F32AD9" w:rsidRPr="00D906C3" w:rsidRDefault="00F32AD9" w:rsidP="00F32AD9">
      <w:pPr>
        <w:rPr>
          <w:noProof/>
        </w:rPr>
        <w:sectPr w:rsidR="00F32AD9" w:rsidRPr="00D906C3" w:rsidSect="00B87AB2">
          <w:footerReference w:type="even" r:id="rId9"/>
          <w:footerReference w:type="default" r:id="rId10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F32AD9" w:rsidRPr="00D906C3" w:rsidRDefault="00F32AD9" w:rsidP="00BB6B30">
      <w:pPr>
        <w:pStyle w:val="Exposdesmotifstitre"/>
        <w:rPr>
          <w:noProof/>
        </w:rPr>
      </w:pPr>
      <w:bookmarkStart w:id="0" w:name="_GoBack"/>
      <w:bookmarkEnd w:id="0"/>
      <w:r w:rsidRPr="00D906C3">
        <w:rPr>
          <w:noProof/>
        </w:rPr>
        <w:lastRenderedPageBreak/>
        <w:t>UZASADNIENIE</w:t>
      </w:r>
    </w:p>
    <w:p w:rsidR="00F32AD9" w:rsidRPr="00D906C3" w:rsidRDefault="00F32AD9" w:rsidP="00BB6B30">
      <w:pPr>
        <w:pStyle w:val="ManualHeading1"/>
        <w:rPr>
          <w:noProof/>
        </w:rPr>
      </w:pPr>
      <w:r w:rsidRPr="00D906C3">
        <w:rPr>
          <w:noProof/>
        </w:rPr>
        <w:t>1.</w:t>
      </w:r>
      <w:r w:rsidRPr="00D906C3">
        <w:rPr>
          <w:noProof/>
        </w:rPr>
        <w:tab/>
        <w:t>KONTEKST WNIOSKU</w:t>
      </w:r>
    </w:p>
    <w:p w:rsidR="00F32AD9" w:rsidRPr="00D906C3" w:rsidRDefault="00F32AD9" w:rsidP="00044058">
      <w:pPr>
        <w:pStyle w:val="ManualHeading2"/>
        <w:rPr>
          <w:rFonts w:eastAsia="Arial Unicode MS"/>
          <w:noProof/>
        </w:rPr>
      </w:pPr>
      <w:r w:rsidRPr="00D906C3">
        <w:rPr>
          <w:noProof/>
          <w:color w:val="000000"/>
          <w:u w:color="000000"/>
          <w:bdr w:val="nil"/>
        </w:rPr>
        <w:t>•</w:t>
      </w:r>
      <w:r w:rsidRPr="00D906C3">
        <w:rPr>
          <w:noProof/>
        </w:rPr>
        <w:tab/>
        <w:t>Przyczyny i cele wniosku</w:t>
      </w:r>
    </w:p>
    <w:p w:rsidR="00AC5BCB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W następstwie orzeczeń Trybunału Sprawiedliwości w sprawach dotyczących tzw. „otwartego nieba” w dniu 5 czerwca 2003 r. Rada upoważniła Komisję do podjęcia rokowań z państwami trzecimi w sprawie zastąpienia niektórych postanowień obowiązujących dwustronnych umów o komunikacji lotniczej umową na szczeblu Unii („mandat horyzontalny”).</w:t>
      </w:r>
    </w:p>
    <w:p w:rsidR="00061E90" w:rsidRPr="00D906C3" w:rsidRDefault="00F32AD9" w:rsidP="00061E90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Umowa między Unią Europejską a rządem Republiki Kazachstanu w sprawie niektórych aspektów przewozów lotniczych („Umowa”) opiera się na wspomnianym mandacie horyzontalnym i ma na celu zmianę obowiązujących dwustronnych umów o komunikacji lotniczej w celu dostosowania ich do prawa Unii poprzez zapewnienie wszystkim unijnym przewoźnikom lotniczym niedyskryminacyjnego dostępu do tras między Unią Europejską a państwami trzecimi.</w:t>
      </w:r>
    </w:p>
    <w:p w:rsidR="00E33576" w:rsidRPr="00D906C3" w:rsidRDefault="00D67AA4" w:rsidP="00D67AA4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Rokowania z Kazachstanem rozpoczęto w 2007 r. i parafowano z tym państwem pierwszy projekt umowy między Unią Europejską a Republiką Kazachstanu dotyczącej pewnych aspektów przewozów lotniczych („umowa z 2007 r.”). W 2008 r. Komisja przedłożyła wniosek dotyczący decyzji Rady w sprawie podpisania i tymczasowego stosowania tej pierwszej umowy (COM(2008) 92). Kazachstan odmówił jednak następnie podpisania umowy z 2007 r.</w:t>
      </w:r>
    </w:p>
    <w:p w:rsidR="00D67AA4" w:rsidRPr="00D906C3" w:rsidRDefault="00D67AA4" w:rsidP="00D67AA4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Rokowania z Kazachstanem wznowiono w 2022 r., a negocjatorzy parafowali zrewidowaną umowę w październiku 2024 r.</w:t>
      </w:r>
    </w:p>
    <w:p w:rsidR="00AC5BCB" w:rsidRPr="00D906C3" w:rsidRDefault="00D454B4" w:rsidP="00D67AA4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Niniejszy wniosek zastępuje wniosek dotyczący decyzji Rady w sprawie podpisania i tymczasowego stosowania pierwszej umowy (COM(2008) 92), który stał się nieaktualny i zostaje niniejszym wycofany. Obecna Umowa różni się znacznie od umowy z 2007 r. Nowy projekt umowy nie przewiduje tymczasowego stosowania, a różne inne postanowienia zmodyfikowano w celu uwzględnienia najlepszych praktyk wynikających z doświadczeń związanych z tego rodzaju umowami, jakie uzyskano w ciągu owych szesnastu lat.</w:t>
      </w:r>
    </w:p>
    <w:p w:rsidR="00F32AD9" w:rsidRPr="00D906C3" w:rsidRDefault="00F32AD9" w:rsidP="00044058">
      <w:pPr>
        <w:pStyle w:val="ManualHeading2"/>
        <w:rPr>
          <w:rFonts w:eastAsia="Arial Unicode MS"/>
          <w:noProof/>
          <w:color w:val="000000"/>
          <w:u w:color="000000"/>
          <w:bdr w:val="nil"/>
        </w:rPr>
      </w:pPr>
      <w:r w:rsidRPr="00D906C3">
        <w:rPr>
          <w:noProof/>
          <w:color w:val="000000"/>
          <w:u w:color="000000"/>
          <w:bdr w:val="nil"/>
        </w:rPr>
        <w:t>•</w:t>
      </w:r>
      <w:r w:rsidRPr="00D906C3">
        <w:rPr>
          <w:noProof/>
        </w:rPr>
        <w:tab/>
        <w:t>Spójność z przepisami obowiązującymi w tej dziedzinie polityki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Postanowienia Umowy zastępują lub uzupełniają obowiązujące postanowienia 17 dwustronnych umów o komunikacji lotniczej między państwami członkowskimi a Kazachstanem.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</w:rPr>
      </w:pPr>
      <w:r w:rsidRPr="00D906C3">
        <w:rPr>
          <w:noProof/>
          <w:color w:val="000000"/>
          <w:u w:color="000000"/>
          <w:bdr w:val="nil"/>
        </w:rPr>
        <w:t>•</w:t>
      </w:r>
      <w:r w:rsidRPr="00D906C3">
        <w:rPr>
          <w:noProof/>
        </w:rPr>
        <w:tab/>
        <w:t>Spójność z innymi politykami Unii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Umowa przyczyni się do realizacji głównego celu unijnej polityki w zakresie zewnętrznych stosunków w dziedzinie lotnictwa poprzez zapewnienie zgodności obowiązujących dwustronnych umów o komunikacji lotniczej z prawem Unii.</w:t>
      </w:r>
    </w:p>
    <w:p w:rsidR="00F32AD9" w:rsidRPr="00D906C3" w:rsidRDefault="00F32AD9" w:rsidP="00550536">
      <w:pPr>
        <w:pStyle w:val="ManualHeading1"/>
        <w:rPr>
          <w:noProof/>
        </w:rPr>
      </w:pPr>
      <w:r w:rsidRPr="00D906C3">
        <w:rPr>
          <w:noProof/>
        </w:rPr>
        <w:t>2.</w:t>
      </w:r>
      <w:r w:rsidRPr="00D906C3">
        <w:rPr>
          <w:noProof/>
        </w:rPr>
        <w:tab/>
        <w:t>PODSTAWA PRAWNA, POMOCNICZOŚĆ I PROPORCJONALNOŚĆ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>Podstawa prawna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Art. 100 ust. 2 w związku z art. 218 ust. 5 Traktatu o funkcjonowaniu Unii Europejskiej (TFUE).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 xml:space="preserve">Pomocniczość (w przypadku kompetencji niewyłącznych) 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Wniosek oparty jest w całości na udzielonym przez Radę mandacie horyzontalnym i uwzględnia kwestie objęte zakresem prawa Unii i dwustronnych umów o komunikacji lotniczej.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>Proporcjonalność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Umowa zmieni lub uzupełni postanowienia dwustronnych umów o komunikacji lotniczej jedynie w zakresie, w jakim jest to niezbędne do zapewnienia zgodności tych umów z prawem Unii.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>Wybór instrumentu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Umowa między Unią a Kazachstanem jest najbardziej skutecznym instrumentem umożliwiającym zapewnienie zgodności z prawem Unii wszystkich obowiązujących dwustronnych umów o komunikacji lotniczej między państwami członkowskimi a Kazachstanem.</w:t>
      </w:r>
    </w:p>
    <w:p w:rsidR="00F32AD9" w:rsidRPr="00D906C3" w:rsidRDefault="00F32AD9" w:rsidP="00550536">
      <w:pPr>
        <w:pStyle w:val="ManualHeading1"/>
        <w:rPr>
          <w:noProof/>
        </w:rPr>
      </w:pPr>
      <w:r w:rsidRPr="00D906C3">
        <w:rPr>
          <w:noProof/>
        </w:rPr>
        <w:t>3.</w:t>
      </w:r>
      <w:r w:rsidRPr="00D906C3">
        <w:rPr>
          <w:noProof/>
        </w:rPr>
        <w:tab/>
        <w:t xml:space="preserve">WYNIKI OCEN </w:t>
      </w:r>
      <w:r w:rsidRPr="00D906C3">
        <w:rPr>
          <w:i/>
          <w:iCs/>
          <w:noProof/>
        </w:rPr>
        <w:t>EX POST</w:t>
      </w:r>
      <w:r w:rsidRPr="00D906C3">
        <w:rPr>
          <w:noProof/>
        </w:rPr>
        <w:t>, KONSULTACJI Z ZAINTERESOWANYMI STRONAMI I OCEN SKUTKÓW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 xml:space="preserve">Oceny </w:t>
      </w:r>
      <w:r w:rsidRPr="00D906C3">
        <w:rPr>
          <w:i/>
          <w:iCs/>
          <w:noProof/>
          <w:u w:color="000000"/>
          <w:bdr w:val="nil"/>
        </w:rPr>
        <w:t>ex post</w:t>
      </w:r>
      <w:r w:rsidRPr="00D906C3">
        <w:rPr>
          <w:noProof/>
          <w:u w:color="000000"/>
          <w:bdr w:val="nil"/>
        </w:rPr>
        <w:t>/oceny adekwatności obowiązującego prawodawstwa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Nie dotyczy.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>Konsultacje z zainteresowanymi stronami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Zgodnie z art. 218 ust. 4 TFUE Komisja przeprowadziła rokowania w konsultacji ze specjalnym komitetem. W trakcie rokowań przeprowadzono również konsultacje z sektorem lotniczym. Uwagi zgłoszone podczas konsultacji zostały wzięte pod uwagę. Zainteresowane państwa członkowskie sprawdziły poprawność odesłań do dwustronnych umów o komunikacji lotniczej. Przedstawiciele sektora lotniczego podkreślili znaczenie solidnej podstawy prawnej dla swoich operacji zarobkowych.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>Gromadzenie i wykorzystanie wiedzy eksperckiej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Nie dotyczy.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>Ocena skutków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Nie dotyczy.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>Sprawność regulacyjna i uproszczenie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Wniosek przewiduje uproszczenie prawodawstwa. Odpowiednie postanowienia dwustronnych umów o komunikacji lotniczej między państwami członkowskimi a Kazachstanem zostaną zastąpione lub uzupełnione postanowieniami jednej umowy.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>Prawa podstawowe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Nie dotyczy.</w:t>
      </w:r>
    </w:p>
    <w:p w:rsidR="00F32AD9" w:rsidRPr="00D906C3" w:rsidRDefault="00F32AD9" w:rsidP="00550536">
      <w:pPr>
        <w:pStyle w:val="ManualHeading1"/>
        <w:rPr>
          <w:noProof/>
        </w:rPr>
      </w:pPr>
      <w:r w:rsidRPr="00D906C3">
        <w:rPr>
          <w:noProof/>
        </w:rPr>
        <w:t>4.</w:t>
      </w:r>
      <w:r w:rsidRPr="00D906C3">
        <w:rPr>
          <w:noProof/>
        </w:rPr>
        <w:tab/>
        <w:t>WPŁYW NA BUDŻET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Wniosek nie ma wpływu na budżet Unii.</w:t>
      </w:r>
    </w:p>
    <w:p w:rsidR="00F32AD9" w:rsidRPr="00D906C3" w:rsidRDefault="00F32AD9" w:rsidP="00550536">
      <w:pPr>
        <w:pStyle w:val="ManualHeading1"/>
        <w:rPr>
          <w:noProof/>
        </w:rPr>
      </w:pPr>
      <w:r w:rsidRPr="00D906C3">
        <w:rPr>
          <w:noProof/>
        </w:rPr>
        <w:t>5.</w:t>
      </w:r>
      <w:r w:rsidRPr="00D906C3">
        <w:rPr>
          <w:noProof/>
        </w:rPr>
        <w:tab/>
        <w:t>ELEMENTY FAKULTATYWNE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>Plany wdrożenia i monitorowanie, ocena i sprawozdania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Strony Umowy powiadamiają się wzajemnie na piśmie kanałami dyplomatycznymi o zakończeniu swoich procedur wewnętrznych niezbędnych do wejścia w życia Umowy. Umowa wchodzi w życie z dniem przekazania ostatniego powiadomienia.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>Dokumenty wyjaśniające (w przypadku dyrektyw)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Nie dotyczy.</w:t>
      </w:r>
    </w:p>
    <w:p w:rsidR="00F32AD9" w:rsidRPr="00D906C3" w:rsidRDefault="00F32AD9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D906C3">
        <w:rPr>
          <w:noProof/>
          <w:u w:color="000000"/>
          <w:bdr w:val="nil"/>
        </w:rPr>
        <w:t>•</w:t>
      </w:r>
      <w:r w:rsidRPr="00D906C3">
        <w:rPr>
          <w:noProof/>
        </w:rPr>
        <w:tab/>
      </w:r>
      <w:r w:rsidRPr="00D906C3">
        <w:rPr>
          <w:noProof/>
          <w:u w:color="000000"/>
          <w:bdr w:val="nil"/>
        </w:rPr>
        <w:t>Szczegółowe objaśnienia poszczególnych przepisów wniosku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Międzynarodowe stosunki w dziedzinie lotnictwa między państwami członkowskimi a państwami trzecimi są tradycyjnie regulowane dwustronnymi umowami o komunikacji lotniczej zawieranymi między państwami członkowskimi a państwami trzecimi, załącznikami do tych umów oraz innymi dwustronnymi lub wielostronnymi porozumieniami.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Tradycyjne klauzule dotyczące wyznaczania stosowane przez państwa członkowskie w dwustronnych umowach o komunikacji lotniczej są jednak niezgodne z prawem Unii. Umożliwiają one państwu trzeciemu odmowę udzielenia, cofnięcie lub zawieszenie zezwoleń lub pozwoleń udzielonych przewoźnikowi lotniczemu, który został wyznaczony przez państwo członkowskie, lecz w którym to państwo członkowskie ani jego obywatele nie posiadają przeważającej części udziałów i nad którym nie sprawują skutecznej kontroli. Taka możliwość uznana została za dyskryminację przewoźników lotniczych z UE mających siedzibę na terytorium jednego z państw członkowskich, ale będących własnością i pozostających pod kontrolą obywateli innych państw członkowskich. Jest ona sprzeczna z art. 49 Traktatu o funkcjonowaniu Unii Europejskiej, gwarantującym obywatelom państw członkowskich, którzy skorzystali ze swobody przedsiębiorczości w innym państwie członkowskim, traktowanie na równi z obywatelami tego państwa członkowskiego.</w:t>
      </w:r>
    </w:p>
    <w:p w:rsidR="00F32AD9" w:rsidRPr="00D906C3" w:rsidRDefault="00F32AD9" w:rsidP="00F32AD9">
      <w:pPr>
        <w:spacing w:before="0" w:after="240"/>
        <w:rPr>
          <w:rFonts w:eastAsia="Arial Unicode MS"/>
          <w:noProof/>
        </w:rPr>
      </w:pPr>
      <w:r w:rsidRPr="00D906C3">
        <w:rPr>
          <w:noProof/>
        </w:rPr>
        <w:t>Działając zgodnie z mechanizmami i wytycznymi określonymi w załączniku do mandatu horyzontalnego, Komisja wynegocjowała z Kazachstanem Umowę, która zastępuje pewne postanowienia obowiązujących dwustronnych umów o komunikacji lotniczej między państwami członkowskimi a Kazachstanem. Art. 2 Umowy zastępuje tradycyjnie stosowane klauzule dotyczące wyznaczania unijną klauzulą wyznaczania, umożliwiającą wszystkim przewoźnikom z UE korzystanie z prawa przedsiębiorczości.</w:t>
      </w:r>
    </w:p>
    <w:p w:rsidR="00F32AD9" w:rsidRPr="00D906C3" w:rsidRDefault="00F32AD9" w:rsidP="00F32AD9">
      <w:pPr>
        <w:spacing w:before="0" w:after="240"/>
        <w:rPr>
          <w:noProof/>
        </w:rPr>
      </w:pPr>
      <w:r w:rsidRPr="00D906C3">
        <w:rPr>
          <w:noProof/>
        </w:rPr>
        <w:t>Rokowania w sprawie Umowy zostały pomyślnie zakończone, a zatem powinna ona zostać podpisana w imieniu Unii Europejskiej. Projekt decyzji w tej sprawie zawarto w niniejszym wniosku.</w:t>
      </w:r>
    </w:p>
    <w:p w:rsidR="00F32AD9" w:rsidRPr="00D906C3" w:rsidRDefault="00F32AD9" w:rsidP="00FD40BA">
      <w:pPr>
        <w:rPr>
          <w:noProof/>
        </w:rPr>
        <w:sectPr w:rsidR="00F32AD9" w:rsidRPr="00D906C3" w:rsidSect="00B87AB2">
          <w:headerReference w:type="even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134" w:right="1417" w:bottom="1134" w:left="1417" w:header="709" w:footer="709" w:gutter="0"/>
          <w:cols w:space="708"/>
          <w:docGrid w:linePitch="360"/>
        </w:sectPr>
      </w:pPr>
    </w:p>
    <w:p w:rsidR="001D01C5" w:rsidRDefault="00830D07">
      <w:pPr>
        <w:pStyle w:val="Rfrenceinterinstitutionnelle"/>
        <w:rPr>
          <w:noProof/>
        </w:rPr>
      </w:pPr>
      <w:r>
        <w:rPr>
          <w:noProof/>
        </w:rPr>
        <w:t>2025/0080 (NLE)</w:t>
      </w:r>
    </w:p>
    <w:p w:rsidR="00F32AD9" w:rsidRPr="00D906C3" w:rsidRDefault="00A46999" w:rsidP="00A46999">
      <w:pPr>
        <w:pStyle w:val="Statut"/>
        <w:rPr>
          <w:noProof/>
        </w:rPr>
      </w:pPr>
      <w:r w:rsidRPr="00A46999">
        <w:rPr>
          <w:noProof/>
        </w:rPr>
        <w:t>Wniosek</w:t>
      </w:r>
    </w:p>
    <w:p w:rsidR="00F32AD9" w:rsidRPr="00D906C3" w:rsidRDefault="00A46999" w:rsidP="00A46999">
      <w:pPr>
        <w:pStyle w:val="Typedudocument"/>
        <w:rPr>
          <w:noProof/>
        </w:rPr>
      </w:pPr>
      <w:r w:rsidRPr="00A46999">
        <w:rPr>
          <w:noProof/>
        </w:rPr>
        <w:t>DECYZJA RADY</w:t>
      </w:r>
    </w:p>
    <w:p w:rsidR="00F32AD9" w:rsidRPr="00D906C3" w:rsidRDefault="00A46999" w:rsidP="00A46999">
      <w:pPr>
        <w:pStyle w:val="Titreobjet"/>
        <w:rPr>
          <w:noProof/>
        </w:rPr>
      </w:pPr>
      <w:r w:rsidRPr="00A46999">
        <w:rPr>
          <w:noProof/>
        </w:rPr>
        <w:t>w sprawie podpisania, w imieniu Unii Europejskiej, Umowy między Unią Europejską a rządem Republiki Kazachstanu w sprawie niektórych aspektów przewozów lotniczych</w:t>
      </w:r>
    </w:p>
    <w:p w:rsidR="00F32AD9" w:rsidRPr="00D906C3" w:rsidRDefault="00F32AD9" w:rsidP="00197315">
      <w:pPr>
        <w:pStyle w:val="Institutionquiagit"/>
        <w:rPr>
          <w:noProof/>
        </w:rPr>
      </w:pPr>
      <w:r w:rsidRPr="00D906C3">
        <w:rPr>
          <w:noProof/>
        </w:rPr>
        <w:t>RADA UNII EUROPEJSKIEJ,</w:t>
      </w:r>
    </w:p>
    <w:p w:rsidR="00F32AD9" w:rsidRPr="00D906C3" w:rsidRDefault="00F32AD9" w:rsidP="00197315">
      <w:pPr>
        <w:rPr>
          <w:noProof/>
        </w:rPr>
      </w:pPr>
      <w:r w:rsidRPr="00D906C3">
        <w:rPr>
          <w:noProof/>
        </w:rPr>
        <w:t>uwzględniając Traktat o funkcjonowaniu Unii Europejskiej, w szczególności jego art. 100 ust. 2 w związku z art. 218 ust. 5,</w:t>
      </w:r>
    </w:p>
    <w:p w:rsidR="00F32AD9" w:rsidRPr="00D906C3" w:rsidRDefault="00F32AD9" w:rsidP="00197315">
      <w:pPr>
        <w:rPr>
          <w:noProof/>
        </w:rPr>
      </w:pPr>
      <w:r w:rsidRPr="00D906C3">
        <w:rPr>
          <w:noProof/>
        </w:rPr>
        <w:t>uwzględniając wniosek Komisji Europejskiej,</w:t>
      </w:r>
    </w:p>
    <w:p w:rsidR="00F32AD9" w:rsidRPr="00D906C3" w:rsidRDefault="00F32AD9" w:rsidP="00197315">
      <w:pPr>
        <w:rPr>
          <w:noProof/>
        </w:rPr>
      </w:pPr>
      <w:r w:rsidRPr="00D906C3">
        <w:rPr>
          <w:noProof/>
        </w:rPr>
        <w:t>a także mając na uwadze, co następuje:</w:t>
      </w:r>
    </w:p>
    <w:p w:rsidR="00F32AD9" w:rsidRPr="00D906C3" w:rsidRDefault="0055210E" w:rsidP="0055210E">
      <w:pPr>
        <w:pStyle w:val="ManualConsidrant"/>
        <w:rPr>
          <w:noProof/>
        </w:rPr>
      </w:pPr>
      <w:r w:rsidRPr="0055210E">
        <w:rPr>
          <w:noProof/>
        </w:rPr>
        <w:t>(1)</w:t>
      </w:r>
      <w:r w:rsidRPr="0055210E">
        <w:rPr>
          <w:noProof/>
        </w:rPr>
        <w:tab/>
      </w:r>
      <w:r w:rsidR="00F32AD9" w:rsidRPr="00D906C3">
        <w:rPr>
          <w:noProof/>
        </w:rPr>
        <w:t>W dniu 5 czerwca 2003 r. Rada upoważniła Komisję do podjęcia rokowań z państwami trzecimi w sprawie zastąpienia niektórych postanowień obowiązujących umów dwustronnych umową na szczeblu Unii.</w:t>
      </w:r>
    </w:p>
    <w:p w:rsidR="00F32AD9" w:rsidRPr="00D906C3" w:rsidRDefault="0055210E" w:rsidP="0055210E">
      <w:pPr>
        <w:pStyle w:val="ManualConsidrant"/>
        <w:rPr>
          <w:noProof/>
        </w:rPr>
      </w:pPr>
      <w:r w:rsidRPr="0055210E">
        <w:rPr>
          <w:noProof/>
        </w:rPr>
        <w:t>(2)</w:t>
      </w:r>
      <w:r w:rsidRPr="0055210E">
        <w:rPr>
          <w:noProof/>
        </w:rPr>
        <w:tab/>
      </w:r>
      <w:r w:rsidR="009A2E9A" w:rsidRPr="00D906C3">
        <w:rPr>
          <w:noProof/>
        </w:rPr>
        <w:t>Na tej podstawie Komisja wynegocjowała w imieniu Unii Umowę z rządem Republiki Kazachstanu w sprawie niektórych aspektów przewozów lotniczych („Umowa”). Rokowania zostały pomyślnie zakończone parafowaniem Umowy w dniu 14 października 2024 r.</w:t>
      </w:r>
    </w:p>
    <w:p w:rsidR="002510D1" w:rsidRPr="00D906C3" w:rsidRDefault="0055210E" w:rsidP="0055210E">
      <w:pPr>
        <w:pStyle w:val="ManualConsidrant"/>
        <w:rPr>
          <w:noProof/>
        </w:rPr>
      </w:pPr>
      <w:r w:rsidRPr="0055210E">
        <w:rPr>
          <w:noProof/>
        </w:rPr>
        <w:t>(3)</w:t>
      </w:r>
      <w:r w:rsidRPr="0055210E">
        <w:rPr>
          <w:noProof/>
        </w:rPr>
        <w:tab/>
      </w:r>
      <w:r w:rsidR="00F32AD9" w:rsidRPr="00D906C3">
        <w:rPr>
          <w:noProof/>
        </w:rPr>
        <w:t>Celem Umowy jest zapewnienie zgodności dwustronnych umów o komunikacji lotniczej między 16 państwami członkowskimi a Kazachstanem z prawem Unii.</w:t>
      </w:r>
    </w:p>
    <w:p w:rsidR="00F32AD9" w:rsidRPr="00D906C3" w:rsidRDefault="0055210E" w:rsidP="0055210E">
      <w:pPr>
        <w:pStyle w:val="ManualConsidrant"/>
        <w:rPr>
          <w:noProof/>
        </w:rPr>
      </w:pPr>
      <w:r w:rsidRPr="0055210E">
        <w:rPr>
          <w:noProof/>
        </w:rPr>
        <w:t>(4)</w:t>
      </w:r>
      <w:r w:rsidRPr="0055210E">
        <w:rPr>
          <w:noProof/>
        </w:rPr>
        <w:tab/>
      </w:r>
      <w:r w:rsidR="00F32AD9" w:rsidRPr="00D906C3">
        <w:rPr>
          <w:noProof/>
        </w:rPr>
        <w:t>Umowę należy zatem podpisać,</w:t>
      </w:r>
    </w:p>
    <w:p w:rsidR="00F32AD9" w:rsidRPr="00D906C3" w:rsidRDefault="00F32AD9" w:rsidP="00197315">
      <w:pPr>
        <w:pStyle w:val="Formuledadoption"/>
        <w:rPr>
          <w:noProof/>
        </w:rPr>
      </w:pPr>
      <w:r w:rsidRPr="00D906C3">
        <w:rPr>
          <w:noProof/>
        </w:rPr>
        <w:t xml:space="preserve">PRZYJMUJE NINIEJSZĄ DECYZJĘ: </w:t>
      </w:r>
    </w:p>
    <w:p w:rsidR="00F32AD9" w:rsidRPr="00D906C3" w:rsidRDefault="00F32AD9" w:rsidP="00197315">
      <w:pPr>
        <w:pStyle w:val="Titrearticle"/>
        <w:rPr>
          <w:noProof/>
        </w:rPr>
      </w:pPr>
      <w:r w:rsidRPr="00D906C3">
        <w:rPr>
          <w:noProof/>
        </w:rPr>
        <w:t>Artykuł 1</w:t>
      </w:r>
    </w:p>
    <w:p w:rsidR="00F32AD9" w:rsidRPr="00D906C3" w:rsidRDefault="00F32AD9" w:rsidP="00F32AD9">
      <w:pPr>
        <w:rPr>
          <w:noProof/>
        </w:rPr>
      </w:pPr>
      <w:r w:rsidRPr="00D906C3">
        <w:rPr>
          <w:noProof/>
        </w:rPr>
        <w:t>Niniejszym zatwierdza się w imieniu Unii Europejskiej podpisanie Umowy między Unią Europejską a rządem Republiki Kazachstanu w sprawie niektórych aspektów przewozów lotniczych („Umowa”), z zastrzeżeniem zawarcia tejże Umowy</w:t>
      </w:r>
      <w:r w:rsidRPr="00D906C3">
        <w:rPr>
          <w:rStyle w:val="FootnoteReference"/>
          <w:noProof/>
        </w:rPr>
        <w:footnoteReference w:id="1"/>
      </w:r>
      <w:r w:rsidRPr="00D906C3">
        <w:rPr>
          <w:noProof/>
        </w:rPr>
        <w:t>.</w:t>
      </w:r>
    </w:p>
    <w:p w:rsidR="00F32AD9" w:rsidRPr="00D906C3" w:rsidRDefault="00F32AD9" w:rsidP="0088599C">
      <w:pPr>
        <w:pStyle w:val="Titrearticle"/>
        <w:rPr>
          <w:noProof/>
        </w:rPr>
      </w:pPr>
      <w:r w:rsidRPr="00D906C3">
        <w:rPr>
          <w:noProof/>
        </w:rPr>
        <w:t xml:space="preserve">Artykuł </w:t>
      </w:r>
      <w:bookmarkStart w:id="1" w:name="_Hlk126129799"/>
      <w:r w:rsidRPr="00D906C3">
        <w:rPr>
          <w:noProof/>
        </w:rPr>
        <w:t>2</w:t>
      </w:r>
    </w:p>
    <w:p w:rsidR="00F32AD9" w:rsidRPr="00D906C3" w:rsidRDefault="00F32AD9" w:rsidP="00F32AD9">
      <w:pPr>
        <w:rPr>
          <w:noProof/>
        </w:rPr>
      </w:pPr>
      <w:r w:rsidRPr="00D906C3">
        <w:rPr>
          <w:noProof/>
        </w:rPr>
        <w:t>Niniejsza decyzja wchodzi w życie z dniem przyjęcia.</w:t>
      </w:r>
    </w:p>
    <w:bookmarkEnd w:id="1"/>
    <w:p w:rsidR="00F32AD9" w:rsidRPr="00D906C3" w:rsidRDefault="00A46999" w:rsidP="0088599C">
      <w:pPr>
        <w:pStyle w:val="Fait"/>
        <w:rPr>
          <w:noProof/>
        </w:rPr>
      </w:pPr>
      <w:r>
        <w:rPr>
          <w:noProof/>
        </w:rPr>
        <w:t>Sporządzono w Brukseli dnia  r.</w:t>
      </w:r>
    </w:p>
    <w:p w:rsidR="00F32AD9" w:rsidRPr="00D906C3" w:rsidRDefault="00F32AD9" w:rsidP="0088599C">
      <w:pPr>
        <w:pStyle w:val="Institutionquisigne"/>
        <w:rPr>
          <w:noProof/>
        </w:rPr>
      </w:pPr>
      <w:r w:rsidRPr="00D906C3">
        <w:rPr>
          <w:noProof/>
        </w:rPr>
        <w:tab/>
        <w:t>W imieniu Rady</w:t>
      </w:r>
    </w:p>
    <w:p w:rsidR="00F32AD9" w:rsidRPr="00D906C3" w:rsidRDefault="00F32AD9" w:rsidP="00F32AD9">
      <w:pPr>
        <w:pStyle w:val="Personnequisigne"/>
        <w:rPr>
          <w:noProof/>
        </w:rPr>
      </w:pPr>
      <w:r w:rsidRPr="00D906C3">
        <w:rPr>
          <w:noProof/>
        </w:rPr>
        <w:tab/>
        <w:t>Przewodniczący</w:t>
      </w:r>
    </w:p>
    <w:sectPr w:rsidR="00F32AD9" w:rsidRPr="00D906C3" w:rsidSect="00B87AB2"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6F5" w:rsidRDefault="005326F5" w:rsidP="00F32AD9">
      <w:pPr>
        <w:spacing w:before="0" w:after="0"/>
      </w:pPr>
      <w:r>
        <w:separator/>
      </w:r>
    </w:p>
  </w:endnote>
  <w:endnote w:type="continuationSeparator" w:id="0">
    <w:p w:rsidR="005326F5" w:rsidRDefault="005326F5" w:rsidP="00F32AD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B2" w:rsidRPr="00B87AB2" w:rsidRDefault="00B87AB2" w:rsidP="00B87AB2">
    <w:pPr>
      <w:pStyle w:val="Footer"/>
      <w:rPr>
        <w:rFonts w:ascii="Arial" w:hAnsi="Arial" w:cs="Arial"/>
        <w:b/>
        <w:sz w:val="48"/>
      </w:rPr>
    </w:pPr>
    <w:r w:rsidRPr="00B87AB2">
      <w:rPr>
        <w:rFonts w:ascii="Arial" w:hAnsi="Arial" w:cs="Arial"/>
        <w:b/>
        <w:sz w:val="48"/>
      </w:rPr>
      <w:t>PL</w:t>
    </w:r>
    <w:r w:rsidRPr="00B87AB2">
      <w:rPr>
        <w:rFonts w:ascii="Arial" w:hAnsi="Arial" w:cs="Arial"/>
        <w:b/>
        <w:sz w:val="48"/>
      </w:rPr>
      <w:tab/>
    </w:r>
    <w:r w:rsidRPr="00B87AB2">
      <w:rPr>
        <w:rFonts w:ascii="Arial" w:hAnsi="Arial" w:cs="Arial"/>
        <w:b/>
        <w:sz w:val="48"/>
      </w:rPr>
      <w:tab/>
    </w:r>
    <w:r w:rsidRPr="00B87AB2">
      <w:tab/>
    </w:r>
    <w:r w:rsidRPr="00B87AB2">
      <w:rPr>
        <w:rFonts w:ascii="Arial" w:hAnsi="Arial" w:cs="Arial"/>
        <w:b/>
        <w:sz w:val="48"/>
      </w:rPr>
      <w:t>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B2" w:rsidRPr="00B87AB2" w:rsidRDefault="00B87AB2" w:rsidP="00B87AB2">
    <w:pPr>
      <w:pStyle w:val="Footer"/>
      <w:rPr>
        <w:rFonts w:ascii="Arial" w:hAnsi="Arial" w:cs="Arial"/>
        <w:b/>
        <w:sz w:val="48"/>
      </w:rPr>
    </w:pPr>
    <w:r w:rsidRPr="00B87AB2">
      <w:rPr>
        <w:rFonts w:ascii="Arial" w:hAnsi="Arial" w:cs="Arial"/>
        <w:b/>
        <w:sz w:val="48"/>
      </w:rPr>
      <w:t>PL</w:t>
    </w:r>
    <w:r w:rsidRPr="00B87AB2">
      <w:rPr>
        <w:rFonts w:ascii="Arial" w:hAnsi="Arial" w:cs="Arial"/>
        <w:b/>
        <w:sz w:val="48"/>
      </w:rPr>
      <w:tab/>
    </w:r>
    <w:r w:rsidRPr="00B87AB2">
      <w:rPr>
        <w:rFonts w:ascii="Arial" w:hAnsi="Arial" w:cs="Arial"/>
        <w:b/>
        <w:sz w:val="48"/>
      </w:rPr>
      <w:tab/>
    </w:r>
    <w:r w:rsidRPr="00B87AB2">
      <w:tab/>
    </w:r>
    <w:r w:rsidRPr="00B87AB2">
      <w:rPr>
        <w:rFonts w:ascii="Arial" w:hAnsi="Arial" w:cs="Arial"/>
        <w:b/>
        <w:sz w:val="48"/>
      </w:rPr>
      <w:t>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B2" w:rsidRDefault="00B87AB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B2" w:rsidRPr="00B87AB2" w:rsidRDefault="00B87AB2" w:rsidP="00B87AB2">
    <w:pPr>
      <w:pStyle w:val="Footer"/>
      <w:rPr>
        <w:rFonts w:ascii="Arial" w:hAnsi="Arial" w:cs="Arial"/>
        <w:b/>
        <w:sz w:val="48"/>
      </w:rPr>
    </w:pPr>
    <w:r w:rsidRPr="00B87AB2">
      <w:rPr>
        <w:rFonts w:ascii="Arial" w:hAnsi="Arial" w:cs="Arial"/>
        <w:b/>
        <w:sz w:val="48"/>
      </w:rPr>
      <w:t>PL</w:t>
    </w:r>
    <w:r w:rsidRPr="00B87AB2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88599C">
      <w:rPr>
        <w:noProof/>
      </w:rPr>
      <w:t>4</w:t>
    </w:r>
    <w:r>
      <w:fldChar w:fldCharType="end"/>
    </w:r>
    <w:r>
      <w:tab/>
    </w:r>
    <w:r w:rsidRPr="00B87AB2">
      <w:tab/>
    </w:r>
    <w:r w:rsidRPr="00B87AB2">
      <w:rPr>
        <w:rFonts w:ascii="Arial" w:hAnsi="Arial" w:cs="Arial"/>
        <w:b/>
        <w:sz w:val="48"/>
      </w:rPr>
      <w:t>PL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B2" w:rsidRDefault="00B87AB2" w:rsidP="00B87A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6F5" w:rsidRDefault="005326F5" w:rsidP="00F32AD9">
      <w:pPr>
        <w:spacing w:before="0" w:after="0"/>
      </w:pPr>
      <w:r>
        <w:separator/>
      </w:r>
    </w:p>
  </w:footnote>
  <w:footnote w:type="continuationSeparator" w:id="0">
    <w:p w:rsidR="005326F5" w:rsidRDefault="005326F5" w:rsidP="00F32AD9">
      <w:pPr>
        <w:spacing w:before="0" w:after="0"/>
      </w:pPr>
      <w:r>
        <w:continuationSeparator/>
      </w:r>
    </w:p>
  </w:footnote>
  <w:footnote w:id="1">
    <w:p w:rsidR="009A2E9A" w:rsidRPr="00D906C3" w:rsidRDefault="009A2E9A">
      <w:pPr>
        <w:pStyle w:val="FootnoteText"/>
      </w:pPr>
      <w:r>
        <w:rPr>
          <w:rStyle w:val="FootnoteReference"/>
        </w:rPr>
        <w:footnoteRef/>
      </w:r>
      <w:r w:rsidRPr="00D906C3">
        <w:tab/>
        <w:t>Tekst umowy zostanie opublikowany wraz z decyzją o jej zawarciu.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B2" w:rsidRDefault="00B87A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B2" w:rsidRDefault="00B87A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2F3C5AA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53A2C0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16BA2F8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1966B2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18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5"/>
  </w:num>
  <w:num w:numId="7">
    <w:abstractNumId w:val="8"/>
  </w:num>
  <w:num w:numId="8">
    <w:abstractNumId w:val="17"/>
  </w:num>
  <w:num w:numId="9">
    <w:abstractNumId w:val="7"/>
  </w:num>
  <w:num w:numId="10">
    <w:abstractNumId w:val="9"/>
  </w:num>
  <w:num w:numId="11">
    <w:abstractNumId w:val="10"/>
  </w:num>
  <w:num w:numId="12">
    <w:abstractNumId w:val="5"/>
  </w:num>
  <w:num w:numId="13">
    <w:abstractNumId w:val="16"/>
  </w:num>
  <w:num w:numId="14">
    <w:abstractNumId w:val="4"/>
  </w:num>
  <w:num w:numId="15">
    <w:abstractNumId w:val="11"/>
  </w:num>
  <w:num w:numId="16">
    <w:abstractNumId w:val="13"/>
  </w:num>
  <w:num w:numId="17">
    <w:abstractNumId w:val="14"/>
  </w:num>
  <w:num w:numId="18">
    <w:abstractNumId w:val="6"/>
  </w:num>
  <w:num w:numId="19">
    <w:abstractNumId w:val="12"/>
  </w:num>
  <w:num w:numId="20">
    <w:abstractNumId w:val="18"/>
  </w:num>
  <w:num w:numId="21">
    <w:abstractNumId w:val="15"/>
  </w:num>
  <w:num w:numId="22">
    <w:abstractNumId w:val="8"/>
  </w:num>
  <w:num w:numId="23">
    <w:abstractNumId w:val="17"/>
  </w:num>
  <w:num w:numId="24">
    <w:abstractNumId w:val="7"/>
  </w:num>
  <w:num w:numId="25">
    <w:abstractNumId w:val="9"/>
  </w:num>
  <w:num w:numId="26">
    <w:abstractNumId w:val="10"/>
  </w:num>
  <w:num w:numId="27">
    <w:abstractNumId w:val="5"/>
  </w:num>
  <w:num w:numId="28">
    <w:abstractNumId w:val="16"/>
  </w:num>
  <w:num w:numId="29">
    <w:abstractNumId w:val="4"/>
  </w:num>
  <w:num w:numId="30">
    <w:abstractNumId w:val="11"/>
  </w:num>
  <w:num w:numId="31">
    <w:abstractNumId w:val="13"/>
  </w:num>
  <w:num w:numId="32">
    <w:abstractNumId w:val="14"/>
  </w:num>
  <w:num w:numId="33">
    <w:abstractNumId w:val="6"/>
  </w:num>
  <w:num w:numId="34">
    <w:abstractNumId w:val="12"/>
  </w:num>
  <w:num w:numId="35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5-03-29 15:33:19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CORRIGENDUM" w:val="&lt;UNUSED&gt;"/>
    <w:docVar w:name="LW_COVERPAGE_EXISTS" w:val="True"/>
    <w:docVar w:name="LW_COVERPAGE_GUID" w:val="5A6DB4C9-2B7B-4186-808E-B9B1E9F71BA9"/>
    <w:docVar w:name="LW_COVERPAGE_TYPE" w:val="1"/>
    <w:docVar w:name="LW_CROSSREFERENCE" w:val="&lt;UNUSED&gt;"/>
    <w:docVar w:name="LW_DocType" w:val="COM"/>
    <w:docVar w:name="LW_EMISSION" w:val="4.4.2025"/>
    <w:docVar w:name="LW_EMISSION_ISODATE" w:val="2025-04-04"/>
    <w:docVar w:name="LW_EMISSION_LOCATION" w:val="BRX"/>
    <w:docVar w:name="LW_EMISSION_PREFIX" w:val="Bruksela, dnia "/>
    <w:docVar w:name="LW_EMISSION_SUFFIX" w:val=" r."/>
    <w:docVar w:name="LW_ID_DOCMODEL" w:val="SJ-019"/>
    <w:docVar w:name="LW_ID_DOCSIGNATURE" w:val="SJ-019"/>
    <w:docVar w:name="LW_ID_DOCSTRUCTURE" w:val="COM/PL/ORG"/>
    <w:docVar w:name="LW_ID_DOCTYPE" w:val="SJ-019"/>
    <w:docVar w:name="LW_ID_STATUT" w:val="SJ-019"/>
    <w:docVar w:name="LW_INSERT_EXP.MOTIFS.NEW" w:val="1"/>
    <w:docVar w:name="LW_INTERETEEE.CP" w:val="&lt;UNUSED&gt;"/>
    <w:docVar w:name="LW_LANGUE" w:val="PL"/>
    <w:docVar w:name="LW_LEVEL_OF_SENSITIVITY" w:val="Standard treatment"/>
    <w:docVar w:name="LW_NOM.INST" w:val="KOMISJA EUROPEJSKA"/>
    <w:docVar w:name="LW_NOM.INST_JOINTDOC" w:val="&lt;EMPTY&gt;"/>
    <w:docVar w:name="LW_PART_NBR" w:val="1"/>
    <w:docVar w:name="LW_PART_NBR_TOTAL" w:val="1"/>
    <w:docVar w:name="LW_REF.II.NEW.CP" w:val="NLE"/>
    <w:docVar w:name="LW_REF.II.NEW.CP_NUMBER" w:val="0080"/>
    <w:docVar w:name="LW_REF.II.NEW.CP_YEAR" w:val="2025"/>
    <w:docVar w:name="LW_REF.INST.NEW" w:val="COM"/>
    <w:docVar w:name="LW_REF.INST.NEW_ADOPTED" w:val="final"/>
    <w:docVar w:name="LW_REF.INST.NEW_TEXT" w:val="(2025) 153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TATUT.CP" w:val="Wniosek"/>
    <w:docVar w:name="LW_SUPERTITRE" w:val="&lt;UNUSED&gt;"/>
    <w:docVar w:name="LW_TITRE.OBJ.CP" w:val="w sprawie podpisania, w imieniu Unii Europejskiej, Umowy mi\u281?dzy Uni\u261? Europejsk\u261? a rz\u261?dem Republiki Kazachstanu w sprawie niektórych aspektów przewozów lotniczych"/>
    <w:docVar w:name="LW_TYPE.DOC.CP" w:val="DECYZJA RADY"/>
    <w:docVar w:name="LwApiVersions" w:val="LW4CoDe 1.24.5.0; LW 9.0, Build 20240221"/>
  </w:docVars>
  <w:rsids>
    <w:rsidRoot w:val="00F32AD9"/>
    <w:rsid w:val="00045018"/>
    <w:rsid w:val="0004683A"/>
    <w:rsid w:val="00047043"/>
    <w:rsid w:val="00061E90"/>
    <w:rsid w:val="00066C3E"/>
    <w:rsid w:val="0009070A"/>
    <w:rsid w:val="000B61CA"/>
    <w:rsid w:val="000C42BF"/>
    <w:rsid w:val="000D092E"/>
    <w:rsid w:val="001065F5"/>
    <w:rsid w:val="0011282B"/>
    <w:rsid w:val="0012054B"/>
    <w:rsid w:val="00122585"/>
    <w:rsid w:val="001238EF"/>
    <w:rsid w:val="00135F56"/>
    <w:rsid w:val="001416C1"/>
    <w:rsid w:val="00152260"/>
    <w:rsid w:val="001817F1"/>
    <w:rsid w:val="00184047"/>
    <w:rsid w:val="001914E3"/>
    <w:rsid w:val="00197613"/>
    <w:rsid w:val="001B2529"/>
    <w:rsid w:val="001D01C5"/>
    <w:rsid w:val="00223114"/>
    <w:rsid w:val="00231CFB"/>
    <w:rsid w:val="00233DC7"/>
    <w:rsid w:val="00247779"/>
    <w:rsid w:val="002510D1"/>
    <w:rsid w:val="002556C6"/>
    <w:rsid w:val="00260222"/>
    <w:rsid w:val="00285BEE"/>
    <w:rsid w:val="00286149"/>
    <w:rsid w:val="0029533F"/>
    <w:rsid w:val="002B30AF"/>
    <w:rsid w:val="002D7308"/>
    <w:rsid w:val="0033344A"/>
    <w:rsid w:val="003379AA"/>
    <w:rsid w:val="0037184A"/>
    <w:rsid w:val="003805C2"/>
    <w:rsid w:val="003C78EB"/>
    <w:rsid w:val="003D33AD"/>
    <w:rsid w:val="003F7BEC"/>
    <w:rsid w:val="0042648E"/>
    <w:rsid w:val="00435BDD"/>
    <w:rsid w:val="00461AE9"/>
    <w:rsid w:val="00470D82"/>
    <w:rsid w:val="0047154C"/>
    <w:rsid w:val="00492F55"/>
    <w:rsid w:val="004936D2"/>
    <w:rsid w:val="004A71AE"/>
    <w:rsid w:val="004C28DC"/>
    <w:rsid w:val="004C7298"/>
    <w:rsid w:val="004E1F47"/>
    <w:rsid w:val="004F2F09"/>
    <w:rsid w:val="00515754"/>
    <w:rsid w:val="00516126"/>
    <w:rsid w:val="0052541A"/>
    <w:rsid w:val="005326F5"/>
    <w:rsid w:val="0055210E"/>
    <w:rsid w:val="005604B7"/>
    <w:rsid w:val="00575F40"/>
    <w:rsid w:val="00596FFA"/>
    <w:rsid w:val="005B1EB6"/>
    <w:rsid w:val="005B3EFF"/>
    <w:rsid w:val="00616C86"/>
    <w:rsid w:val="00617D44"/>
    <w:rsid w:val="00626B07"/>
    <w:rsid w:val="0066523E"/>
    <w:rsid w:val="00670AD2"/>
    <w:rsid w:val="006924E9"/>
    <w:rsid w:val="00693CCC"/>
    <w:rsid w:val="006B325B"/>
    <w:rsid w:val="006E7F9D"/>
    <w:rsid w:val="006F1185"/>
    <w:rsid w:val="00713AE8"/>
    <w:rsid w:val="007175C9"/>
    <w:rsid w:val="0072737E"/>
    <w:rsid w:val="00737025"/>
    <w:rsid w:val="00752E76"/>
    <w:rsid w:val="00760488"/>
    <w:rsid w:val="00773331"/>
    <w:rsid w:val="0078419F"/>
    <w:rsid w:val="007932EF"/>
    <w:rsid w:val="007A78F7"/>
    <w:rsid w:val="007E05B0"/>
    <w:rsid w:val="007F6D74"/>
    <w:rsid w:val="008734ED"/>
    <w:rsid w:val="00874D22"/>
    <w:rsid w:val="0088599C"/>
    <w:rsid w:val="00890C37"/>
    <w:rsid w:val="008A177A"/>
    <w:rsid w:val="008A2914"/>
    <w:rsid w:val="008E4D8E"/>
    <w:rsid w:val="0093731F"/>
    <w:rsid w:val="00954CE2"/>
    <w:rsid w:val="00974441"/>
    <w:rsid w:val="0098126E"/>
    <w:rsid w:val="00987553"/>
    <w:rsid w:val="009A2E9A"/>
    <w:rsid w:val="009A7695"/>
    <w:rsid w:val="009B00E9"/>
    <w:rsid w:val="00A07AB2"/>
    <w:rsid w:val="00A07FA3"/>
    <w:rsid w:val="00A46999"/>
    <w:rsid w:val="00AA1F47"/>
    <w:rsid w:val="00AA21A7"/>
    <w:rsid w:val="00AC5BCB"/>
    <w:rsid w:val="00B1756F"/>
    <w:rsid w:val="00B82858"/>
    <w:rsid w:val="00B87AB2"/>
    <w:rsid w:val="00BB1146"/>
    <w:rsid w:val="00BB3269"/>
    <w:rsid w:val="00BD59E4"/>
    <w:rsid w:val="00C0436B"/>
    <w:rsid w:val="00C05210"/>
    <w:rsid w:val="00C06209"/>
    <w:rsid w:val="00C12301"/>
    <w:rsid w:val="00C756FD"/>
    <w:rsid w:val="00C84420"/>
    <w:rsid w:val="00CB7B94"/>
    <w:rsid w:val="00D20381"/>
    <w:rsid w:val="00D454B4"/>
    <w:rsid w:val="00D67AA4"/>
    <w:rsid w:val="00D701DC"/>
    <w:rsid w:val="00D876D5"/>
    <w:rsid w:val="00D906C3"/>
    <w:rsid w:val="00D970DF"/>
    <w:rsid w:val="00DA10BE"/>
    <w:rsid w:val="00DC3FF1"/>
    <w:rsid w:val="00DF69D0"/>
    <w:rsid w:val="00E33576"/>
    <w:rsid w:val="00E6476E"/>
    <w:rsid w:val="00E75749"/>
    <w:rsid w:val="00E75C37"/>
    <w:rsid w:val="00E84BED"/>
    <w:rsid w:val="00F11853"/>
    <w:rsid w:val="00F26A76"/>
    <w:rsid w:val="00F278D5"/>
    <w:rsid w:val="00F32AD9"/>
    <w:rsid w:val="00F33DF4"/>
    <w:rsid w:val="00F5376D"/>
    <w:rsid w:val="00F57D9A"/>
    <w:rsid w:val="00F63A43"/>
    <w:rsid w:val="00FC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FE241F8B-81CC-448E-AE43-8F12325B0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pl-PL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8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8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8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8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28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28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28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128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128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1282B"/>
    <w:rPr>
      <w:rFonts w:ascii="Times New Roman" w:hAnsi="Times New Roman" w:cs="Times New Roman"/>
      <w:sz w:val="20"/>
      <w:szCs w:val="20"/>
      <w:lang w:val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28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282B"/>
    <w:rPr>
      <w:rFonts w:ascii="Times New Roman" w:hAnsi="Times New Roman" w:cs="Times New Roman"/>
      <w:b/>
      <w:bCs/>
      <w:sz w:val="20"/>
      <w:szCs w:val="20"/>
      <w:lang w:val="pl-PL"/>
    </w:rPr>
  </w:style>
  <w:style w:type="character" w:styleId="Hyperlink">
    <w:name w:val="Hyperlink"/>
    <w:basedOn w:val="DefaultParagraphFont"/>
    <w:uiPriority w:val="99"/>
    <w:unhideWhenUsed/>
    <w:rsid w:val="0011282B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1282B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semiHidden/>
    <w:unhideWhenUsed/>
    <w:rsid w:val="00760488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760488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760488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760488"/>
    <w:pPr>
      <w:numPr>
        <w:numId w:val="5"/>
      </w:numPr>
      <w:contextualSpacing/>
    </w:pPr>
  </w:style>
  <w:style w:type="paragraph" w:styleId="Revision">
    <w:name w:val="Revision"/>
    <w:hidden/>
    <w:uiPriority w:val="99"/>
    <w:semiHidden/>
    <w:rsid w:val="005604B7"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87AB2"/>
    <w:rPr>
      <w:rFonts w:ascii="Times New Roman" w:hAnsi="Times New Roman" w:cs="Times New Roman"/>
      <w:sz w:val="24"/>
      <w:lang w:val="pl-PL"/>
    </w:rPr>
  </w:style>
  <w:style w:type="character" w:customStyle="1" w:styleId="FooterChar">
    <w:name w:val="Footer Char"/>
    <w:basedOn w:val="DefaultParagraphFont"/>
    <w:link w:val="Footer"/>
    <w:uiPriority w:val="99"/>
    <w:rsid w:val="00B87AB2"/>
    <w:rPr>
      <w:rFonts w:ascii="Times New Roman" w:hAnsi="Times New Roman" w:cs="Times New Roman"/>
      <w:sz w:val="24"/>
      <w:lang w:val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B87AB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B87AB2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B87AB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1"/>
      </w:numPr>
    </w:pPr>
  </w:style>
  <w:style w:type="paragraph" w:customStyle="1" w:styleId="Tiret1">
    <w:name w:val="Tiret 1"/>
    <w:basedOn w:val="Point1"/>
    <w:pPr>
      <w:numPr>
        <w:numId w:val="22"/>
      </w:numPr>
    </w:pPr>
  </w:style>
  <w:style w:type="paragraph" w:customStyle="1" w:styleId="Tiret2">
    <w:name w:val="Tiret 2"/>
    <w:basedOn w:val="Point2"/>
    <w:pPr>
      <w:numPr>
        <w:numId w:val="23"/>
      </w:numPr>
    </w:pPr>
  </w:style>
  <w:style w:type="paragraph" w:customStyle="1" w:styleId="Tiret3">
    <w:name w:val="Tiret 3"/>
    <w:basedOn w:val="Point3"/>
    <w:pPr>
      <w:numPr>
        <w:numId w:val="24"/>
      </w:numPr>
    </w:pPr>
  </w:style>
  <w:style w:type="paragraph" w:customStyle="1" w:styleId="Tiret4">
    <w:name w:val="Tiret 4"/>
    <w:basedOn w:val="Point4"/>
    <w:pPr>
      <w:numPr>
        <w:numId w:val="25"/>
      </w:numPr>
    </w:pPr>
  </w:style>
  <w:style w:type="paragraph" w:customStyle="1" w:styleId="Tiret5">
    <w:name w:val="Tiret 5"/>
    <w:basedOn w:val="Point5"/>
    <w:pPr>
      <w:numPr>
        <w:numId w:val="26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7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7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7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7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27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27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27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29"/>
      </w:numPr>
    </w:pPr>
  </w:style>
  <w:style w:type="paragraph" w:customStyle="1" w:styleId="Point1number">
    <w:name w:val="Point 1 (number)"/>
    <w:basedOn w:val="Normal"/>
    <w:pPr>
      <w:numPr>
        <w:ilvl w:val="2"/>
        <w:numId w:val="29"/>
      </w:numPr>
    </w:pPr>
  </w:style>
  <w:style w:type="paragraph" w:customStyle="1" w:styleId="Point2number">
    <w:name w:val="Point 2 (number)"/>
    <w:basedOn w:val="Normal"/>
    <w:pPr>
      <w:numPr>
        <w:ilvl w:val="4"/>
        <w:numId w:val="29"/>
      </w:numPr>
    </w:pPr>
  </w:style>
  <w:style w:type="paragraph" w:customStyle="1" w:styleId="Point3number">
    <w:name w:val="Point 3 (number)"/>
    <w:basedOn w:val="Normal"/>
    <w:pPr>
      <w:numPr>
        <w:ilvl w:val="6"/>
        <w:numId w:val="29"/>
      </w:numPr>
    </w:pPr>
  </w:style>
  <w:style w:type="paragraph" w:customStyle="1" w:styleId="Point0letter">
    <w:name w:val="Point 0 (letter)"/>
    <w:basedOn w:val="Normal"/>
    <w:pPr>
      <w:numPr>
        <w:ilvl w:val="1"/>
        <w:numId w:val="29"/>
      </w:numPr>
    </w:pPr>
  </w:style>
  <w:style w:type="paragraph" w:customStyle="1" w:styleId="Point1letter">
    <w:name w:val="Point 1 (letter)"/>
    <w:basedOn w:val="Normal"/>
    <w:pPr>
      <w:numPr>
        <w:ilvl w:val="3"/>
        <w:numId w:val="29"/>
      </w:numPr>
    </w:pPr>
  </w:style>
  <w:style w:type="paragraph" w:customStyle="1" w:styleId="Point2letter">
    <w:name w:val="Point 2 (letter)"/>
    <w:basedOn w:val="Normal"/>
    <w:pPr>
      <w:numPr>
        <w:ilvl w:val="5"/>
        <w:numId w:val="29"/>
      </w:numPr>
    </w:pPr>
  </w:style>
  <w:style w:type="paragraph" w:customStyle="1" w:styleId="Point3letter">
    <w:name w:val="Point 3 (letter)"/>
    <w:basedOn w:val="Normal"/>
    <w:pPr>
      <w:numPr>
        <w:ilvl w:val="7"/>
        <w:numId w:val="29"/>
      </w:numPr>
    </w:pPr>
  </w:style>
  <w:style w:type="paragraph" w:customStyle="1" w:styleId="Point4letter">
    <w:name w:val="Point 4 (letter)"/>
    <w:basedOn w:val="Normal"/>
    <w:pPr>
      <w:numPr>
        <w:ilvl w:val="8"/>
        <w:numId w:val="29"/>
      </w:numPr>
    </w:pPr>
  </w:style>
  <w:style w:type="paragraph" w:customStyle="1" w:styleId="Bullet0">
    <w:name w:val="Bullet 0"/>
    <w:basedOn w:val="Normal"/>
    <w:pPr>
      <w:numPr>
        <w:numId w:val="30"/>
      </w:numPr>
    </w:pPr>
  </w:style>
  <w:style w:type="paragraph" w:customStyle="1" w:styleId="Bullet1">
    <w:name w:val="Bullet 1"/>
    <w:basedOn w:val="Normal"/>
    <w:pPr>
      <w:numPr>
        <w:numId w:val="31"/>
      </w:numPr>
    </w:pPr>
  </w:style>
  <w:style w:type="paragraph" w:customStyle="1" w:styleId="Bullet2">
    <w:name w:val="Bullet 2"/>
    <w:basedOn w:val="Normal"/>
    <w:pPr>
      <w:numPr>
        <w:numId w:val="32"/>
      </w:numPr>
    </w:pPr>
  </w:style>
  <w:style w:type="paragraph" w:customStyle="1" w:styleId="Bullet3">
    <w:name w:val="Bullet 3"/>
    <w:basedOn w:val="Normal"/>
    <w:pPr>
      <w:numPr>
        <w:numId w:val="33"/>
      </w:numPr>
    </w:pPr>
  </w:style>
  <w:style w:type="paragraph" w:customStyle="1" w:styleId="Bullet4">
    <w:name w:val="Bullet 4"/>
    <w:basedOn w:val="Normal"/>
    <w:pPr>
      <w:numPr>
        <w:numId w:val="34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5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B87AB2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B87AB2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B87AB2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B87AB2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DD2A7-7EB5-4BD6-A8FB-5E22CF57D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9</TotalTime>
  <Pages>5</Pages>
  <Words>1215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33</cp:revision>
  <cp:lastPrinted>2025-02-11T15:05:00Z</cp:lastPrinted>
  <dcterms:created xsi:type="dcterms:W3CDTF">2025-02-28T09:57:00Z</dcterms:created>
  <dcterms:modified xsi:type="dcterms:W3CDTF">2025-03-29T14:33:00Z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COM/PL/ORG</vt:lpwstr>
  </property>
  <property fmtid="{D5CDD505-2E9C-101B-9397-08002B2CF9AE}" pid="3" name="Version">
    <vt:lpwstr>8.0.25.0</vt:lpwstr>
  </property>
  <property fmtid="{D5CDD505-2E9C-101B-9397-08002B2CF9AE}" pid="4" name="Last edited using">
    <vt:lpwstr>LW 9.1, Build 20240808</vt:lpwstr>
  </property>
  <property fmtid="{D5CDD505-2E9C-101B-9397-08002B2CF9AE}" pid="5" name="Created using">
    <vt:lpwstr>LW 9.0, Build 20230317</vt:lpwstr>
  </property>
  <property fmtid="{D5CDD505-2E9C-101B-9397-08002B2CF9AE}" pid="6" name="Part">
    <vt:lpwstr>1</vt:lpwstr>
  </property>
  <property fmtid="{D5CDD505-2E9C-101B-9397-08002B2CF9AE}" pid="7" name="Total parts">
    <vt:lpwstr>1</vt:lpwstr>
  </property>
  <property fmtid="{D5CDD505-2E9C-101B-9397-08002B2CF9AE}" pid="8" name="Level of sensitivity">
    <vt:lpwstr>Standard treatment</vt:lpwstr>
  </property>
  <property fmtid="{D5CDD505-2E9C-101B-9397-08002B2CF9AE}" pid="9" name="LWTemplateID">
    <vt:lpwstr>SJ-019</vt:lpwstr>
  </property>
  <property fmtid="{D5CDD505-2E9C-101B-9397-08002B2CF9AE}" pid="10" name="MSIP_Label_6bd9ddd1-4d20-43f6-abfa-fc3c07406f94_Enabled">
    <vt:lpwstr>true</vt:lpwstr>
  </property>
  <property fmtid="{D5CDD505-2E9C-101B-9397-08002B2CF9AE}" pid="11" name="MSIP_Label_6bd9ddd1-4d20-43f6-abfa-fc3c07406f94_SetDate">
    <vt:lpwstr>2024-11-07T11:52:32Z</vt:lpwstr>
  </property>
  <property fmtid="{D5CDD505-2E9C-101B-9397-08002B2CF9AE}" pid="12" name="MSIP_Label_6bd9ddd1-4d20-43f6-abfa-fc3c07406f94_Method">
    <vt:lpwstr>Standard</vt:lpwstr>
  </property>
  <property fmtid="{D5CDD505-2E9C-101B-9397-08002B2CF9AE}" pid="13" name="MSIP_Label_6bd9ddd1-4d20-43f6-abfa-fc3c07406f94_Name">
    <vt:lpwstr>Commission Use</vt:lpwstr>
  </property>
  <property fmtid="{D5CDD505-2E9C-101B-9397-08002B2CF9AE}" pid="14" name="MSIP_Label_6bd9ddd1-4d20-43f6-abfa-fc3c07406f94_SiteId">
    <vt:lpwstr>b24c8b06-522c-46fe-9080-70926f8dddb1</vt:lpwstr>
  </property>
  <property fmtid="{D5CDD505-2E9C-101B-9397-08002B2CF9AE}" pid="15" name="MSIP_Label_6bd9ddd1-4d20-43f6-abfa-fc3c07406f94_ActionId">
    <vt:lpwstr>24dba835-e917-4a6c-8560-8b2efc6d2a76</vt:lpwstr>
  </property>
  <property fmtid="{D5CDD505-2E9C-101B-9397-08002B2CF9AE}" pid="16" name="MSIP_Label_6bd9ddd1-4d20-43f6-abfa-fc3c07406f94_ContentBits">
    <vt:lpwstr>0</vt:lpwstr>
  </property>
  <property fmtid="{D5CDD505-2E9C-101B-9397-08002B2CF9AE}" pid="17" name="DQCStatus">
    <vt:lpwstr>Green (DQC version 03)</vt:lpwstr>
  </property>
  <property name="OP_sanitized" fmtid="{D5CDD505-2E9C-101B-9397-08002B2CF9AE}" pid="18">
    <vt:lpwstr>True</vt:lpwstr>
  </property>
</Properties>
</file>