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alt="8189A175-7EF1-41F3-AF37-59E68170067C" style="width:450.75pt;height:351.75pt">
            <v:imagedata r:id="rId9" o:title=""/>
          </v:shape>
        </w:pict>
      </w:r>
    </w:p>
    <w:p>
      <w:pPr>
        <w:rPr>
          <w:noProof/>
        </w:rPr>
        <w:sectPr>
          <w:headerReference w:type="even" r:id="rId10"/>
          <w:headerReference w:type="default" r:id="rId11"/>
          <w:footerReference w:type="even" r:id="rId12"/>
          <w:footerReference w:type="default" r:id="rId13"/>
          <w:headerReference w:type="first" r:id="rId14"/>
          <w:footerReference w:type="first" r:id="rId15"/>
          <w:pgSz w:w="11907" w:h="16839"/>
          <w:pgMar w:top="1134" w:right="1417" w:bottom="1134" w:left="1417" w:header="709" w:footer="709" w:gutter="0"/>
          <w:pgNumType w:start="0"/>
          <w:cols w:space="720"/>
          <w:docGrid w:linePitch="360"/>
        </w:sectPr>
      </w:pPr>
    </w:p>
    <w:p>
      <w:pPr>
        <w:pStyle w:val="Exposdesmotifstitre"/>
        <w:rPr>
          <w:noProof/>
        </w:rPr>
      </w:pPr>
      <w:bookmarkStart w:id="0" w:name="_GoBack"/>
      <w:bookmarkEnd w:id="0"/>
      <w:r>
        <w:rPr>
          <w:noProof/>
        </w:rPr>
        <w:lastRenderedPageBreak/>
        <w:t>ΑΙΤΙΟΛΟΓΙΚΗ ΕΚΘΕΣΗ</w:t>
      </w:r>
    </w:p>
    <w:p>
      <w:pPr>
        <w:pStyle w:val="ManualHeading1"/>
        <w:rPr>
          <w:noProof/>
        </w:rPr>
      </w:pPr>
      <w:r>
        <w:rPr>
          <w:noProof/>
        </w:rPr>
        <w:t>1.</w:t>
      </w:r>
      <w:r>
        <w:rPr>
          <w:noProof/>
        </w:rPr>
        <w:tab/>
        <w:t>ΠΛΑΙΣΙΟ ΤΗΣ ΠΡΟΤΑΣΗΣ</w:t>
      </w:r>
    </w:p>
    <w:p>
      <w:pPr>
        <w:rPr>
          <w:noProof/>
        </w:rPr>
      </w:pPr>
      <w:r>
        <w:rPr>
          <w:noProof/>
        </w:rPr>
        <w:t>Η ΕΕ οφείλει να θεσπίσει ένα επενδυτικό πρόγραμμα για το πολυετές δημοσιονομικό πλαίσιο (ΠΔΠ) από το 2021, το οποίο να προβλέπει εγκάρσιους στόχους αναφορικά με την απλούστευση, την ευελιξία, τις συνέργειες και τη συνοχή των σχετικών πολιτικών της Ευρωπαϊκής Ένωσης. Οι παράμετροι που αναφέρονται στο έγγραφο προβληματισμού της Επιτροπής για το μέλλον των οικονομικών της ΕΕ τονίζουν την ανάγκη επίτευξης περισσότερων αποτελεσμάτων με λιγότερα μέσα και μόχλευσης του προϋπολογισμού της ΕΕ σε μια περίοδο δημοσιονομικών περιορισμών. Προκειμένου να αντιμετωπιστεί το πρόβλημα της πληθώρας ενωσιακών χρηματοδοτικών μέσων, το έγγραφο προβληματισμού προτείνει ως πιθανή λύση την ένταξή τους στο πλαίσιο ενός ενιαίου ταμείου που θα παρέχει στήριξη μέσω ευρείας ποικιλίας χρηματοδοτικών προϊόντων, με παράλληλη αυξημένη έμφαση σε τομείς πολιτικής και στόχους. Συνιστά επίσης να καταστούν συμπληρωματικά τα χρηματοδοτικά μέσα σε επίπεδο ΕΕ προς εκείνα που διαχειρίζονται τα κράτη μέλη στο πλαίσιο της πολιτικής συνοχής.</w:t>
      </w:r>
    </w:p>
    <w:p>
      <w:pPr>
        <w:rPr>
          <w:noProof/>
        </w:rPr>
      </w:pPr>
      <w:r>
        <w:rPr>
          <w:noProof/>
        </w:rPr>
        <w:t xml:space="preserve">Στο πλαίσιο του παρόντος και του προηγούμενου ΠΔΠ, τα χρηματοδοτικά μέσα επεκτάθηκαν από μια ποικιλία προγραμμάτων. Κατά τη διάρκεια του ΠΔΠ 2014-2020, η Επιτροπή θέσπισε 16 χρηματοδοτικά μέσα που τελούν υπό κεντρική διαχείριση. Επί του παρόντος, τα κεφάλαια του προϋπολογισμού που έχουν διατεθεί για μέσα εσωτερικής δράσης ανέρχονται σε 5,2 δισ. ευρώ. Τα εν λόγω μέσα αποσκοπούν στη στήριξη επενδύσεων σε διάφορους τομείς πολιτικής όπως η έρευνα και η καινοτομία (Ε&amp;Κ), η χρηματοδότηση μικρομεσαίων επιχειρήσεων (ΜΜΕ), οι υποδομές, ο τομέας του πολιτισμού, καθώς και η προώθηση της περιβαλλοντικής και κοινωνικής αειφορίας. </w:t>
      </w:r>
    </w:p>
    <w:p>
      <w:pPr>
        <w:rPr>
          <w:noProof/>
        </w:rPr>
      </w:pPr>
      <w:r>
        <w:rPr>
          <w:noProof/>
        </w:rPr>
        <w:t xml:space="preserve">Χρησιμοποιούνται ήδη χρηματοδοτικά μέσα ως μηχανισμός υλοποίησης προγραμμάτων των ευρωπαϊκών διαρθρωτικών και επενδυτικών ταμείων (ΕΔΕΤ), τα οποία τελούν υπό την επιμερισμένη διαχείριση των διαχειριστικών αρχών. Ο συνολικός προϋπολογισμός που προγραμματίζεται να υλοποιηθεί με τη χρήση χρηματοδοτικών μέσων τα οποία τελούν υπό επιμερισμένη διαχείριση για το ΠΔΠ 2014-2020 ανέρχεται περίπου σε 21 δισ. ευρώ. </w:t>
      </w:r>
    </w:p>
    <w:p>
      <w:pPr>
        <w:rPr>
          <w:noProof/>
        </w:rPr>
      </w:pPr>
      <w:r>
        <w:rPr>
          <w:noProof/>
        </w:rPr>
        <w:t>Επιπλέον, στον απόηχο της χρηματοπιστωτικής κρίσης και της κρίσης του δημόσιου χρέους που διήρκεσαν από το 2008 έως το 2015, η ενίσχυση της απασχόλησης, της ανάπτυξης και των επενδύσεων είναι μία από τις 10 βασικές προτεραιότητες που έχει θέσει η Επιτροπή υπό τη μορφή του Επενδυτικού Σχεδίου για την Ευρώπη, το οποίο άρχισε να εφαρμόζεται το 2014 ως απάντηση στη μείωση των επενδύσεων. Στον πυρήνα του βρίσκεται το Ευρωπαϊκό Ταμείο Στρατηγικών Επενδύσεων (ΕΤΣΕ), που ιδρύθηκε το 2015 με στόχο την κινητοποίηση πρόσθετων επενδύσεων ύψους τουλάχιστον 315 δισ. EUR έως τα μέσα του 2018 με την στήριξη της ικανότητας ανάληψης κινδύνων του Ομίλου της Ευρωπαϊκής Τράπεζας Επενδύσεων μέσω ενωσιακής εγγύησης ύψους 16 δισ. EUR και με παράλληλη χρηματοδότηση ύψους 5 δισ. EUR από ίδιους πόρους του Ομίλου της Ευρωπαϊκής Τράπεζας Επενδύσεων. Αξιοποιώντας την επιτυχία του, το ΕΤΣΕ επεκτάθηκε και αυξήθηκε στα τέλη του 2017. Επί του παρόντος παρέχει εγγύηση από τον προϋπολογισμό ύψους 26 δισ. EUR, ενώ υποστηρίζεται μέσω τροφοδότησης πόρων του προϋπολογισμού ύψους 9,1 δισ. EUR. Επιπλέον, ο Όμιλος της Ευρωπαϊκής Τράπεζας Επενδύσεων παρέχει πρόσθετη ικανότητα ανάληψης κινδύνων ύψους 7,5 δισ. EUR. Ο στόχος είναι να κινητοποιήσει πρόσθετες επενδύσεις ύψους τουλάχιστον 500 δισ. EUR ως το τέλος του 2020. Το πρόγραμμα InvestEU θα βασίζεται στο ίδιο επιτυχημένο δημοσιονομικές μοντέλο, όπως το ΕΤΣΕ, διασφαλίζοντας ότι οι περιορισμένοι δημοσιονομικοί πόροι προσελκύουν όσο το δυνατόν περισσότερες ιδιωτικές επενδύσεις.</w:t>
      </w:r>
    </w:p>
    <w:p>
      <w:pPr>
        <w:rPr>
          <w:noProof/>
        </w:rPr>
      </w:pPr>
      <w:r>
        <w:rPr>
          <w:noProof/>
        </w:rPr>
        <w:lastRenderedPageBreak/>
        <w:t>Οι προϋποθέσεις για την αύξηση των επενδύσεων βελτιώθηκαν από το 2014 χάρη στη βελτίωση των οικονομικών συνθηκών και λόγω των δημόσιων παρεμβάσεων, όπως το ΕΤΣΕ. Παραμένουν, ωστόσο, σημαντικά επενδυτικά κενά σε διάφορους τομείς πολιτικής οι οποίοι συχνά επηρεάζονται αρνητικά από τις διαρκείς αστοχίες της αγοράς. Για να διασφαλιστεί η επίτευξη των φιλόδοξων στόχων πολιτικής της Ένωσης, παραμένει ουσιώδης η προσέλκυση ιδιωτικών κεφαλαίων για τη χρηματοδότηση των επενδύσεων, ενώ απαιτείται επίσης αναπροσαρμογή της σχετικής προσέγγισης ώστε να ενισχυθεί η συνάφειά της με τις πολιτικές. Το πρόγραμμα InvestEU θα συμβάλει στην επίτευξη των στόχων πολιτικής της Ένωσης, μεταξύ άλλων ιδίως στο πλαίσιο του προγράμματος για την ανταγωνιστικότητα των επιχειρήσεων και των μικρομεσαίων επιχειρήσεων (COSME) και του προγράμματος «Ορίζων Ευρώπη», οποτεδήποτε κρίνεται κατάλληλη η χρήση επιστρεφόμενης επενδυτικής στήριξης. Η πρόταση της Επιτροπής για «Ένα σύγχρονο προϋπολογισμό για την Ευρώπη» καθορίζει ότι 3,5 δισ. EUR από το κονδύλιο για το πρόγραμμα Ορίζων Ευρώπη διατίθεται μέσω του Ταμείου InvestEU, για να συνεισφέρει στο σκέλος πολιτικής για την έρευνα, την καινοτομία και την ψηφιοποίηση, με συνολικό ενδεικτικό ποσό της εγγύησης της ΕΕ ύψους 11,25 δισεκατ. EUR.</w:t>
      </w:r>
    </w:p>
    <w:p>
      <w:pPr>
        <w:rPr>
          <w:noProof/>
        </w:rPr>
      </w:pPr>
      <w:r>
        <w:rPr>
          <w:noProof/>
        </w:rPr>
        <w:t xml:space="preserve">Η δημιουργία του προγράμματος InvestEU παρέχει έναν ενιαίο ενωσιακό μηχανισμό στήριξης των επενδύσεων για εσωτερική δράση για το ΠΔΠ 2021-2027. Το πρόγραμμα InvestEU αξιοποιεί την επιτυχή εμπειρία από το ΕΤΣΕ και τα τρέχοντα χρηματοδοτικά μέσα για εσωτερικές πολιτικές. Αποτελείται από τέσσερα σκέλη: i) το ταμείο InvestEU που προβλέπει την ενωσιακή εγγύηση· ii) τον συμβουλευτικό κόμβο InvestEU, που παρέχει κυρίως τεχνική βοήθεια σχετική με την υλοποίηση έργων· iii) την πύλη InvestEU, που παρέχει μια προσιτή βάση δεδομένων για την προώθηση έργων για τα οποία αναζητείται χρηματοδότηση· και iv) τις συνδυαστικές δραστηριότητες. </w:t>
      </w:r>
    </w:p>
    <w:p>
      <w:pPr>
        <w:rPr>
          <w:noProof/>
        </w:rPr>
      </w:pPr>
      <w:r>
        <w:rPr>
          <w:noProof/>
        </w:rPr>
        <w:t>Το Ταμείο InvestEU θα λειτουργεί με γνώμονα τη ζήτηση όσον αφορά την προσέλκυση ιδιωτικών επενδύσεων. Θα προωθεί ειδικότερα την καινοτομία, την ψηφιοποίηση και τις επενδύσεις σε βιώσιμες υποδομές, αλλά θα καλύπτει ταυτόχρονα τις ανάγκες του κοινωνικού τομέα και των ΜΜΕ. Θα είναι επίσης σημαντική η κάλυψη έργων μικρότερου μεγέθους και τοπικού χαρακτήρα.</w:t>
      </w:r>
    </w:p>
    <w:p>
      <w:pPr>
        <w:rPr>
          <w:noProof/>
        </w:rPr>
      </w:pPr>
      <w:r>
        <w:rPr>
          <w:noProof/>
        </w:rPr>
        <w:t xml:space="preserve">Το ταμείο InvestEU συνίσταται από εγγύηση από τον προϋπολογισμό της ΕΕ για τη στήριξη των χρηματοδοτικών προϊόντων που παρέχουν οι εταίροι υλοποίησης. Στοχεύει σε έργα προστιθέμενης αξίας της ΕΕ και προωθεί μια συνεκτική προσέγγιση για τη χρηματοδότηση των στόχων πολιτικής της ΕΕ. Προσφέρει ένα αποτελεσματικό και αποδοτικό μείγμα ενωσιακών χρηματοδοτικών εργαλείων για συγκεκριμένους τομείς πολιτικής. </w:t>
      </w:r>
    </w:p>
    <w:p>
      <w:pPr>
        <w:rPr>
          <w:noProof/>
        </w:rPr>
      </w:pPr>
      <w:r>
        <w:rPr>
          <w:noProof/>
        </w:rPr>
        <w:t>Η παρούσα πρόταση προβλέπει ως ημερομηνία εφαρμογής την 1η Ιανουαρίου 2021 και υποβάλλεται για μια Ένωση 27 κρατών μελών, σύμφωνα με τη γνωστοποίηση της πρόθεσης του Ηνωμένου Βασιλείου να αποχωρήσει από την Ευρωπαϊκή Ένωση και την Ευρατόμ βάσει του άρθρου 50 της Συνθήκης για την Ευρωπαϊκή Ένωση την οποία έλαβε το Ευρωπαϊκό Συμβούλιο στις 29 Μαρτίου 2017.</w:t>
      </w:r>
    </w:p>
    <w:p>
      <w:pPr>
        <w:pStyle w:val="ManualHeading2"/>
        <w:rPr>
          <w:noProof/>
        </w:rPr>
      </w:pPr>
      <w:r>
        <w:rPr>
          <w:rStyle w:val="Aucun"/>
          <w:noProof/>
        </w:rPr>
        <w:t>•</w:t>
      </w:r>
      <w:r>
        <w:rPr>
          <w:noProof/>
        </w:rPr>
        <w:tab/>
        <w:t xml:space="preserve">Αιτιολόγηση και στόχοι </w:t>
      </w:r>
    </w:p>
    <w:p>
      <w:pPr>
        <w:rPr>
          <w:noProof/>
        </w:rPr>
      </w:pPr>
      <w:r>
        <w:rPr>
          <w:noProof/>
        </w:rPr>
        <w:t>Ως ενιαίος επενδυτικός μηχανισμός για τις εσωτερικές πολιτικές της Ένωσης, το πρόγραμμα InvestEU είναι ταυτόχρονα και μέσο πολιτικής και εργαλείο υλοποίησης.</w:t>
      </w:r>
    </w:p>
    <w:p>
      <w:pPr>
        <w:rPr>
          <w:noProof/>
        </w:rPr>
      </w:pPr>
      <w:r>
        <w:rPr>
          <w:noProof/>
        </w:rPr>
        <w:t xml:space="preserve">Ο γενικός στόχος του προγράμματος InvestEU ως μέσου πολιτικής είναι η υποστήριξη των στόχων πολιτικής της Ένωσης μέσω κινητοποίησης δημόσιων και ιδιωτικών επενδύσεων εντός της ΕΕ και της αντιμετώπισης, με τον τρόπο αυτό, των αστοχιών της αγοράς και των επενδυτικών κενών που παρεμποδίζουν την επίτευξη των στόχων της ΕΕ όσον αφορά τη βιωσιμότητα, την ανταγωνιστικότητα και τη χωρίς αποκλεισμούς ανάπτυξη. </w:t>
      </w:r>
    </w:p>
    <w:p>
      <w:pPr>
        <w:rPr>
          <w:noProof/>
        </w:rPr>
      </w:pPr>
      <w:r>
        <w:rPr>
          <w:noProof/>
        </w:rPr>
        <w:lastRenderedPageBreak/>
        <w:t xml:space="preserve">Σκοπός του είναι η παροχή χρηματοδότησης σε οικονομικούς φορείς με προφίλ κινδύνου το οποίο οι χρηματοδότες του ιδιωτικού τομέα δεν είναι πάντοτε ικανοί ή πρόθυμοι να αντιμετωπίσουν, προκειμένου να προωθηθεί η ανταγωνιστικότητα της οικονομίας της ΕΕ, η βιώσιμη ανάπτυξη, η κοινωνική αντοχή και ένταξη και η ενοποίηση των κεφαλαιαγορών της ΕΕ σύμφωνα με τους στόχους πολιτικής της ΕΕ σε διάφορους τομείς. Με τη στήριξη της εγγύησης της ΕΕ, το πρόγραμμα InvestEU θα συμβάλει στον εκσυγχρονισμό και την αύξηση της αποτελεσματικότητας του προϋπολογισμού της ΕΕ βάσει της αρχής περί </w:t>
      </w:r>
      <w:r>
        <w:rPr>
          <w:rStyle w:val="Aucun"/>
          <w:i/>
          <w:noProof/>
        </w:rPr>
        <w:t>επίτευξης περισσότερων αποτελεσμάτων με λιγότερα μέσα</w:t>
      </w:r>
      <w:r>
        <w:rPr>
          <w:noProof/>
        </w:rPr>
        <w:t>. Όταν πρόκειται για οικονομικώς βιώσιμα έργα που έχουν τη δυνατότητα δημιουργίας εσόδων, η συστηματικότερη χρήση εγγύησης από τον προϋπολογισμό μπορεί να συμβάλει στην αύξηση του αντίκτυπου των δημόσιων πόρων.</w:t>
      </w:r>
    </w:p>
    <w:p>
      <w:pPr>
        <w:rPr>
          <w:noProof/>
        </w:rPr>
      </w:pPr>
      <w:r>
        <w:rPr>
          <w:noProof/>
        </w:rPr>
        <w:t>Το πρόγραμμα InvestEU θα πρέπει να είναι σε θέση να διαμορφώνει τη στρατηγική της ΕΕ για την αντιμετώπιση της συνεχιζόμενης μειωμένης επενδυτικής δραστηριότητας στην Ένωση. Μέσω διαφοροποίησης των πηγών χρηματοδότησης και προώθησης της μακροπρόθεσμης και βιώσιμης χρηματοδότησης, το πρόγραμμα InvestEU θα συμβάλει στην ενοποίηση των ευρωπαϊκών κεφαλαιαγορών, στο πλαίσιο της Ένωσης Κεφαλαιαγορών, και στην ενίσχυση της Ενιαίας Αγοράς. Ως εργαλείο διασφάλισης εμπειρογνωμοσύνης σε επίπεδο χρηματοοικονομικό, αγοράς, τεχνικό και πολιτικής για τη συνένωση πόρων σε ολόκληρη την ΕΕ, το πρόγραμμα InvestEU θα πρέπει να αποτελέσει επίσης καταλύτη για τη χρηματοοικονομική καινοτομία με σκοπό την εξυπηρέτηση των στόχων πολιτικής.</w:t>
      </w:r>
    </w:p>
    <w:p>
      <w:pPr>
        <w:rPr>
          <w:noProof/>
        </w:rPr>
      </w:pPr>
      <w:r>
        <w:rPr>
          <w:noProof/>
        </w:rPr>
        <w:t>Ως εργαλείο υλοποίησης, το ταμείο InvestEU αποσκοπεί στην εκτέλεση του προϋπολογισμού της ΕΕ μέσω εγγύησης από τον προϋπολογισμό, με επίτευξη οικονομιών κλίμακας, αύξηση της προβολής της δράσης της ΕΕ και απλούστευση του πλαισίου υποβολής εκθέσεων και λογοδοσίας. Η προτεινόμενη διάρθρωση έχει ως στόχο την απλούστευση, την αύξηση της ευελιξίας και την εξάλειψη των πιθανών επικαλύψεων μεταξύ φαινομενικά παρόμοιων ενωσιακών μέσων στήριξης.</w:t>
      </w:r>
    </w:p>
    <w:p>
      <w:pPr>
        <w:rPr>
          <w:noProof/>
        </w:rPr>
      </w:pPr>
      <w:r>
        <w:rPr>
          <w:noProof/>
        </w:rPr>
        <w:t>Εκτός από την εγγύηση της ΕΕ σε ενωσιακό επίπεδο, η πρόταση προβλέπει τη δυνατότητα των κρατών μελών να χρησιμοποιούν μέρος των κεφαλαίων επιμερισμένης διαχείρισης μέσω μιας ειδικής συνιστώσας της εγγύησης της ΕΕ στο πλαίσιο του ταμείου InvestEU για την επίτευξη των ίδιων στόχων</w:t>
      </w:r>
      <w:r>
        <w:rPr>
          <w:rStyle w:val="Aucun"/>
          <w:noProof/>
          <w:color w:val="1F497D"/>
          <w:u w:color="1F497D"/>
        </w:rPr>
        <w:t xml:space="preserve"> </w:t>
      </w:r>
      <w:r>
        <w:rPr>
          <w:noProof/>
        </w:rPr>
        <w:t>όταν επικρατούν αστοχίες στην αγορά ή μη βέλτιστες επενδυτικές καταστάσεις σε εθνικό ή σε περιφερειακό επίπεδο.</w:t>
      </w:r>
    </w:p>
    <w:p>
      <w:pPr>
        <w:rPr>
          <w:noProof/>
        </w:rPr>
      </w:pPr>
      <w:r>
        <w:rPr>
          <w:noProof/>
        </w:rPr>
        <w:t>Επιπρόσθετα, ο συμβουλευτικός κόμβος InvestEU θα παρέχει συμβουλευτική στήριξη και συνοδευτικά μέτρα καθ’ όλη τη διάρκεια του επενδυτικού κύκλου, με σκοπό την προώθηση της δημιουργίας και ανάπτυξης έργων και της πρόσβασης σε χρηματοδότηση. Ο συμβουλευτικός κόμβος InvestEU θα παρέχεται στους τομείς πολιτικής του προγράμματος InvestEU και θα εξασφαλίζει επίσης ένα ενιαίο σημείο πρόσβασης για τους φορείς υλοποίησης των έργων και τους ενδιάμεσους φορείς. Ο συμβουλευτικός κόμβος InvestEU θα είναι συμπληρωματικός προς τις δραστηριότητες τεχνικής βοήθειας που εκτελούνται στο πλαίσιο των προγραμμάτων επιμερισμένης διαχείρισης.</w:t>
      </w:r>
    </w:p>
    <w:p>
      <w:pPr>
        <w:rPr>
          <w:noProof/>
        </w:rPr>
      </w:pPr>
      <w:r>
        <w:rPr>
          <w:noProof/>
        </w:rPr>
        <w:t>Τέλος, η πύλη InvestEU θα ενισχύσει την προβολή των επενδυτικών ευκαιριών στην Ένωση και, ως εκ τούτου, θα βοηθήσει τους φορείς υλοποίησης έργων στην αναζήτηση χρηματοδότησης.</w:t>
      </w:r>
    </w:p>
    <w:p>
      <w:pPr>
        <w:pStyle w:val="ManualHeading2"/>
        <w:rPr>
          <w:rStyle w:val="Aucun"/>
          <w:noProof/>
        </w:rPr>
      </w:pPr>
      <w:r>
        <w:rPr>
          <w:rStyle w:val="Aucun"/>
          <w:noProof/>
        </w:rPr>
        <w:t>•</w:t>
      </w:r>
      <w:r>
        <w:rPr>
          <w:noProof/>
        </w:rPr>
        <w:tab/>
        <w:t>Συνέπεια με τις υφιστάμενες διατάξεις πολιτικής</w:t>
      </w:r>
    </w:p>
    <w:p>
      <w:pPr>
        <w:rPr>
          <w:noProof/>
        </w:rPr>
      </w:pPr>
      <w:r>
        <w:rPr>
          <w:rStyle w:val="Aucun"/>
          <w:noProof/>
        </w:rPr>
        <w:t xml:space="preserve">Η πρόταση είναι πλήρως ευθυγραμμισμένη με τις ισχύουσες διατάξεις πολιτικής δεδομένου ότι το πρόγραμμα InvestEU παρέχει την εγγύηση της ΕΕ με σκοπό την αποδοτική χρήση των δημοσιονομικών πόρων της ΕΕ, όταν οι δραστηριότητες που έχουν τη δυνατότητα δημιουργίας εσόδων χρηματοδοτούνται σύμφωνα με τους στόχους πολιτικής της ΕΕ. Αυτές περιλαμβάνουν την Ένωση Κεφαλαιαγορών, τη στρατηγική για την ψηφιακή ενιαία αγορά, </w:t>
      </w:r>
      <w:r>
        <w:rPr>
          <w:rStyle w:val="Aucun"/>
          <w:noProof/>
        </w:rPr>
        <w:lastRenderedPageBreak/>
        <w:t>το πακέτο «Καθαρή ενέργεια για όλους τους Ευρωπαίους πολίτες», το σχέδιο δράσης της ΕΕ για την κυκλική οικονομία, τη στρατηγική για κινητικότητα χαμηλών εκπομπών και την αμυντική και διαστημική στρατηγική για την Ευρώπη. Στο πλαίσιο του πεδίου εφαρμογής του, το Ταμείο InvestEU υποστηρίζει από άποψη χρηματοδότησης αυτές τις αλληλοενισχυόμενες στρατηγικές</w:t>
      </w:r>
      <w:r>
        <w:rPr>
          <w:noProof/>
        </w:rPr>
        <w:t>.</w:t>
      </w:r>
    </w:p>
    <w:p>
      <w:pPr>
        <w:pStyle w:val="ManualHeading2"/>
        <w:rPr>
          <w:noProof/>
        </w:rPr>
      </w:pPr>
      <w:r>
        <w:rPr>
          <w:rStyle w:val="Aucun"/>
          <w:noProof/>
        </w:rPr>
        <w:t>•</w:t>
      </w:r>
      <w:r>
        <w:rPr>
          <w:noProof/>
        </w:rPr>
        <w:tab/>
        <w:t>Συνέπεια με άλλες πολιτικές της Ένωσης</w:t>
      </w:r>
    </w:p>
    <w:p>
      <w:pPr>
        <w:rPr>
          <w:noProof/>
        </w:rPr>
      </w:pPr>
      <w:r>
        <w:rPr>
          <w:rStyle w:val="Aucun"/>
          <w:noProof/>
        </w:rPr>
        <w:t>Το πρόγραμμα InvestEU είναι συμπληρωματικό της χρηματοδότησης επιχορηγήσεων και άλλων δράσεων στους τομείς πολιτικής που υποστηρίζει, όπως το πρόγραμμα «Ορίζων Ευρώπη», η διευκόλυνση «Συνδέοντας την Ευρώπη», το πρόγραμμα «Ψηφιακή Ευρώπη», το πρόγραμμα για την Ενιαία Αγορά, το πρόγραμμα για την Ανταγωνιστικότητα των ΜΜΕ και τις Ευρωπαϊκές Στατιστικές, το Ευρωπαϊκό Διαστημικό Πρόγραμμα, το Ευρωπαϊκό Κοινωνικό Ταμείο+, το πρόγραμμα «Δημιουργική Ευρώπη», το πρόγραμμα για το περιβάλλον και τη δράση για το κλίμα (LIFE) και το Ευρωπαϊκό Ταμείο Άμυνας. Οι συνέργειες με τα μέσα εξωτερικής πολιτικής θα διασφαλιστούν, κατά περίπτωση</w:t>
      </w:r>
      <w:r>
        <w:rPr>
          <w:noProof/>
        </w:rPr>
        <w:t>.</w:t>
      </w:r>
    </w:p>
    <w:p>
      <w:pPr>
        <w:rPr>
          <w:noProof/>
        </w:rPr>
      </w:pPr>
      <w:r>
        <w:rPr>
          <w:noProof/>
        </w:rPr>
        <w:t>Ο συνδυασμός με τη χρηματοδότηση επιχορηγήσεων θα διασφαλίσει τη συμπληρωματικότητα με άλλα προγράμματα δαπανών.</w:t>
      </w:r>
    </w:p>
    <w:p>
      <w:pPr>
        <w:rPr>
          <w:noProof/>
        </w:rPr>
      </w:pPr>
      <w:r>
        <w:rPr>
          <w:rStyle w:val="Aucun"/>
          <w:noProof/>
        </w:rPr>
        <w:t>Το πρόγραμμα InvestEU είναι επίσης συμπληρωματικό προς τα Ευρωπαϊκά Διαρθρωτικά και Επενδυτικά Ταμεία. Προκειμένου να διευκολυνθεί η ανάπτυξη ορισμένων Ταμείων στο πλαίσιο της επιμερισμένης διαχείρισης (</w:t>
      </w:r>
      <w:r>
        <w:rPr>
          <w:noProof/>
        </w:rPr>
        <w:t>Ευρωπαϊκό Ταμείο Περιφερειακής Ανάπτυξης (ΕΤΠΑ), το Ευρωπαϊκό Κοινωνικό Ταμείο (ΕΚΤ), το Ταμείο Συνοχής, το Ευρωπαϊκό Ταμείο Θάλασσας και Αλιείας (ΕΤΘΑ) και το Ευρωπαϊκό Γεωργικό Ταμείο Αγροτικής Ανάπτυξης (ΕΓΤΑΑ))</w:t>
      </w:r>
      <w:r>
        <w:rPr>
          <w:rStyle w:val="Aucun"/>
          <w:noProof/>
        </w:rPr>
        <w:t xml:space="preserve"> μέσω χρηματοδοτικών προϊόντων, τα κράτη μέλη θα έχουν τη δυνατότητα να στηριχθούν στο πρόγραμμα InvestEU. Αυτό αποτελεί σημαντική απλούστευση σε σύγκριση με τη σημερινή κατάσταση, εφόσον θα ισχύει μόνο μία δέσμη κανόνων στην περίπτωση αυτή</w:t>
      </w:r>
      <w:r>
        <w:rPr>
          <w:noProof/>
        </w:rPr>
        <w:t xml:space="preserve">. </w:t>
      </w:r>
    </w:p>
    <w:p>
      <w:pPr>
        <w:rPr>
          <w:noProof/>
        </w:rPr>
      </w:pPr>
      <w:r>
        <w:rPr>
          <w:noProof/>
        </w:rPr>
        <w:t>Οι δράσεις του προγράμματος InvestEU θα πρέπει να χρησιμοποιούνται για την αντιμετώπιση αδυναμιών της αγοράς ή καταστάσεων μη βέλτιστων επενδύσεων, κατά τρόπο αναλογικό, χωρίς να επικαλύπτει ή να παραγκωνίζεται η ιδιωτική χρηματοδότηση και να έχουν σαφή ευρωπαϊκή προστιθέμενη αξία. Με τον τρόπο αυτό θα εξασφαλιστεί η συνοχή μεταξύ των δράσεων του Προγράμματος και των κανόνων της ΕΕ για τις κρατικές ενισχύσεις, με την αποφυγή αδικαιολόγητων στρεβλώσεων του ανταγωνισμού στην εσωτερική αγορά.</w:t>
      </w:r>
    </w:p>
    <w:p>
      <w:pPr>
        <w:pStyle w:val="ManualHeading1"/>
        <w:rPr>
          <w:noProof/>
        </w:rPr>
      </w:pPr>
      <w:r>
        <w:rPr>
          <w:noProof/>
        </w:rPr>
        <w:t>2.</w:t>
      </w:r>
      <w:r>
        <w:rPr>
          <w:noProof/>
        </w:rPr>
        <w:tab/>
        <w:t>ΝΟΜΙΚΗ ΒΑΣΗ, ΕΠΙΚΟΥΡΙΚΟΤΗΤΑ ΚΑΙ ΑΝΑΛΟΓΙΚΟΤΗΤΑ</w:t>
      </w:r>
    </w:p>
    <w:p>
      <w:pPr>
        <w:pStyle w:val="ManualHeading2"/>
        <w:rPr>
          <w:rStyle w:val="Aucun"/>
          <w:noProof/>
        </w:rPr>
      </w:pPr>
      <w:r>
        <w:rPr>
          <w:rStyle w:val="Aucun"/>
          <w:noProof/>
        </w:rPr>
        <w:t>•</w:t>
      </w:r>
      <w:r>
        <w:rPr>
          <w:noProof/>
        </w:rPr>
        <w:tab/>
      </w:r>
      <w:r>
        <w:rPr>
          <w:rStyle w:val="Aucun"/>
          <w:noProof/>
        </w:rPr>
        <w:t>Νομική βάση</w:t>
      </w:r>
    </w:p>
    <w:p>
      <w:pPr>
        <w:rPr>
          <w:noProof/>
        </w:rPr>
      </w:pPr>
      <w:r>
        <w:rPr>
          <w:noProof/>
        </w:rPr>
        <w:t xml:space="preserve">Η πρόταση βασίζεται στο άρθρο 173 (Βιομηχανία) και στο άρθρο 175 τρίτο εδάφιο (Οικονομική, κοινωνική και εδαφική συνοχή) της Συνθήκης για τη λειτουργία της Ευρωπαϊκής Ένωσης (ΣΛΕΕ). </w:t>
      </w:r>
    </w:p>
    <w:p>
      <w:pPr>
        <w:rPr>
          <w:noProof/>
        </w:rPr>
      </w:pPr>
      <w:r>
        <w:rPr>
          <w:rStyle w:val="Aucun"/>
          <w:noProof/>
        </w:rPr>
        <w:t>Κατά πάγια νομολογία, η αναφερόμενη νομική βάση αντικατοπτρίζει το κύριο περιεχόμενο της πρότασης. Οι διαδικασίες που προβλέπονται και για τα δύο άρθρα αναφορικά με τη νομική βάση είναι οι ίδιες (συνήθης νομοθετική διαδικασία</w:t>
      </w:r>
      <w:r>
        <w:rPr>
          <w:noProof/>
        </w:rPr>
        <w:t xml:space="preserve">). </w:t>
      </w:r>
    </w:p>
    <w:p>
      <w:pPr>
        <w:pStyle w:val="ManualHeading2"/>
        <w:rPr>
          <w:rStyle w:val="Aucun"/>
          <w:noProof/>
        </w:rPr>
      </w:pPr>
      <w:r>
        <w:rPr>
          <w:rStyle w:val="Aucun"/>
          <w:noProof/>
        </w:rPr>
        <w:t>•</w:t>
      </w:r>
      <w:r>
        <w:rPr>
          <w:noProof/>
        </w:rPr>
        <w:tab/>
      </w:r>
      <w:r>
        <w:rPr>
          <w:rStyle w:val="Aucun"/>
          <w:noProof/>
        </w:rPr>
        <w:t xml:space="preserve">Επικουρικότητα (σε περίπτωση μη αποκλειστικής αρμοδιότητας) </w:t>
      </w:r>
    </w:p>
    <w:p>
      <w:pPr>
        <w:rPr>
          <w:noProof/>
        </w:rPr>
      </w:pPr>
      <w:r>
        <w:rPr>
          <w:noProof/>
        </w:rPr>
        <w:t xml:space="preserve">Το πρόγραμμα InvestEU θα καλύπτει επενδύσεις και θα παρέχει πρόσβαση σε χρηματοδότηση για τη στήριξη των προτεραιοτήτων πολιτικής της ΕΕ μέσω αντιμετώπισης των αστοχιών της αγοράς και των επενδυτικών κενών σε ολόκληρη την ΕΕ. Επίσης, υποστηρίζει τον σχεδιασμό, την ανάπτυξη και τη δοκιμή καινοτόμων χρηματοπιστωτικών </w:t>
      </w:r>
      <w:r>
        <w:rPr>
          <w:noProof/>
        </w:rPr>
        <w:lastRenderedPageBreak/>
        <w:t>προϊόντων σε ολόκληρη την ΕΕ, καθώς και συστημάτων για τη διάδοσή τους, με σκοπό την αντιμετώπιση αστοχιών της αγοράς και επενδυτικών κενών που είναι καινούργια ή περίπλοκα.</w:t>
      </w:r>
    </w:p>
    <w:p>
      <w:pPr>
        <w:rPr>
          <w:noProof/>
        </w:rPr>
      </w:pPr>
      <w:r>
        <w:rPr>
          <w:noProof/>
        </w:rPr>
        <w:t>Η εκούσια συνιστώσα για τα κράτη μέλη θα επέτρεπε την αντιμετώπιση αστοχιών της αγοράς και επενδυτικών κενών που αφορούν συγκεκριμένες χώρες, με παράλληλη αξιοποίηση χρηματοπιστωτικών προϊόντων που έχουν σχεδιαστεί σε κεντρικό επίπεδο, διασφαλίζοντας έτσι την αποδοτικότερη χρήση των πόρων από γεωγραφικής άποψης, όπου αυτό κρίνεται δικαιολογημένο. Θα επέτρεπε στα κράτη μέλη να χρησιμοποιούν μέρος των πόρων που εξασφαλίζουν στο πλαίσιο του Ευρωπαϊκού Ταμείου Περιφερειακής Ανάπτυξης (ΕΤΠΑ), του Ευρωπαϊκού Κοινωνικού Ταμείου+ (ΕΚΤ+), το Ταμείου Συνοχής, του Ευρωπαϊκού Ταμείου Θάλασσας και Αλιείας (ΕΤΘΑ) και του Ευρωπαϊκού Γεωργικού Ταμείου Αγροτικής Ανάπτυξης (ΕΓΤΑΑ) μέσω του ταμείου InvestEU.</w:t>
      </w:r>
    </w:p>
    <w:p>
      <w:pPr>
        <w:rPr>
          <w:noProof/>
        </w:rPr>
      </w:pPr>
      <w:r>
        <w:rPr>
          <w:noProof/>
        </w:rPr>
        <w:t xml:space="preserve">Η προτεινόμενη διάρθρωση, που προβλέπει δύο συνιστώσες, επιτρέπει σε κάθε σκέλος πολιτικής την αποτελεσματική εφαρμογή της αρχής της επικουρικότητας. Επιπρόσθετα, οι δύο συνιστώσες που ενυπάρχουν σε κάθε σκέλος υπόκεινται στους ίδιους κανόνες του ταμείου InvestEU, γεγονός που θα επιτρέψει τη δημιουργία ενός σαφέστερου και απλούστερου πλαισίου για τη χρήση διάφορων πόρων της ΕΕ. </w:t>
      </w:r>
    </w:p>
    <w:p>
      <w:pPr>
        <w:pStyle w:val="ManualHeading2"/>
        <w:rPr>
          <w:rStyle w:val="Aucun"/>
          <w:noProof/>
        </w:rPr>
      </w:pPr>
      <w:r>
        <w:rPr>
          <w:rStyle w:val="Aucun"/>
          <w:noProof/>
        </w:rPr>
        <w:t>•</w:t>
      </w:r>
      <w:r>
        <w:rPr>
          <w:noProof/>
        </w:rPr>
        <w:tab/>
      </w:r>
      <w:r>
        <w:rPr>
          <w:rStyle w:val="Aucun"/>
          <w:noProof/>
        </w:rPr>
        <w:t>Αναλογικότητα</w:t>
      </w:r>
    </w:p>
    <w:p>
      <w:pPr>
        <w:rPr>
          <w:noProof/>
        </w:rPr>
      </w:pPr>
      <w:r>
        <w:rPr>
          <w:noProof/>
        </w:rPr>
        <w:t xml:space="preserve">Οι μακροπρόθεσμοι στόχοι της ΕΕ για τη βιωσιμότητα, την ανταγωνιστικότητα και την ανάπτυξη χωρίς αποκλεισμούς απαιτούν σημαντικές επενδύσεις σε διάφορους τομείς πολιτικής. Αυτό περιλαμβάνει, μεταξύ άλλων, νέα μοντέλα σχετικά με την κινητικότητα, τις ανανεώσιμες πηγές ενέργειας, την ενεργειακή απόδοση, το φυσικό κεφάλαιο, την καινοτομία, την ψηφιοποίηση, τις δεξιότητες, την κοινωνική υποδομή, την κυκλική οικονομία, τη δράση για το κλίμα, τους ωκεανούς και τη δημιουργία και ανάπτυξη μικρών επιχειρήσεων. </w:t>
      </w:r>
    </w:p>
    <w:p>
      <w:pPr>
        <w:rPr>
          <w:noProof/>
        </w:rPr>
      </w:pPr>
      <w:r>
        <w:rPr>
          <w:noProof/>
        </w:rPr>
        <w:t>Απαιτούνται ανανεωμένες προσπάθειες για την αντιμετώπιση του συνεχούς κατακερματισμού της αγοράς και των διαρκών ανεπαρκειών της που προκαλούνται από την απροθυμία ανάληψης κινδύνων από μέρους των επενδυτών του ιδιωτικού τομέα, τη μειωμένη δυνατότητα χρηματοδότησης του δημόσιου τομέα και τις διαρθρωτικές αδυναμίες του επενδυτικού περιβάλλοντος. Τα κράτη μέλη δεν δύνανται να καλύψουν τα εν λόγω επενδυτικά κενά από μόνα τους.</w:t>
      </w:r>
    </w:p>
    <w:p>
      <w:pPr>
        <w:rPr>
          <w:noProof/>
        </w:rPr>
      </w:pPr>
      <w:r>
        <w:rPr>
          <w:noProof/>
        </w:rPr>
        <w:t>Η παρέμβαση σε επίπεδο ΕΕ διασφαλίζει τη μόχλευση μιας κρίσιμης μάζας πόρων με σκοπό τη μεγιστοποίηση των επιτόπιων επενδύσεων. Η πρόταση δεν αντικαθιστά τις επενδύσεις των κρατών μελών, αλλά αντιθέτως λειτουργεί συμπληρωματικά προς αυτές, εστιάζοντας στην παροχή στήριξης σε έργα που προσφέρουν προστιθέμενη αξία για την ΕΕ. Επιπλέον, με την παρέμβαση σε επίπεδο Ένωσης εξασφαλίζονται οικονομίες κλίμακας στη χρήση καινοτόμων χρηματοπιστωτικών προϊόντων, με την κινητοποίηση ιδιωτικών επενδύσεων σε ολόκληρη την ΕΕ και τη βέλτιστη χρήση της συμβολής των ευρωπαϊκών θεσμικών οργάνων και της εμπειρογνωμοσύνης τους για αυτόν τον σκοπό. Με την παρέμβαση της ΕΕ παρέχεται επίσης πρόσβαση σε διαφοροποιημένο χαρτοφυλάκιο ευρωπαϊκών έργων, γεγονός που κινητοποιεί ιδιωτικές επενδύσεις και επιτρέπει την ανάπτυξη καινοτόμων χρηματοδοτικών λύσεων, οι οποίες είναι δυνατό να αναβαθμιστούν ή να αναπαραχθούν, κατά περίπτωση, σε όλα τα κράτη μέλη.</w:t>
      </w:r>
    </w:p>
    <w:p>
      <w:pPr>
        <w:rPr>
          <w:noProof/>
        </w:rPr>
      </w:pPr>
      <w:r>
        <w:rPr>
          <w:noProof/>
        </w:rPr>
        <w:t xml:space="preserve">Η παρέμβαση σε επίπεδο ΕΕ είναι το μόνο εργαλείο που δύναται να αντιμετωπίσει αποτελεσματικά τις επενδυτικές ανάγκες οι οποίες συνδέονται με στόχους πολιτικής οι οποίοι αφορούν το σύνολο της ΕΕ. Επιπρόσθετα, οι διαρθρωτικές μεταρρυθμίσεις και η βελτίωση του ρυθμιστικού περιβάλλοντος θα συνεχίσουν να είναι απαραίτητες για την αντιμετώπιση των επενδυτικών κενών που απομένουν κατά την περίοδο 2021-2027. </w:t>
      </w:r>
    </w:p>
    <w:p>
      <w:pPr>
        <w:pStyle w:val="ManualHeading2"/>
        <w:rPr>
          <w:rStyle w:val="Aucun"/>
          <w:noProof/>
        </w:rPr>
      </w:pPr>
      <w:r>
        <w:rPr>
          <w:rStyle w:val="Aucun"/>
          <w:noProof/>
        </w:rPr>
        <w:lastRenderedPageBreak/>
        <w:t>•</w:t>
      </w:r>
      <w:r>
        <w:rPr>
          <w:noProof/>
        </w:rPr>
        <w:tab/>
      </w:r>
      <w:r>
        <w:rPr>
          <w:rStyle w:val="Aucun"/>
          <w:noProof/>
        </w:rPr>
        <w:t>Επιλογή μέσου</w:t>
      </w:r>
    </w:p>
    <w:p>
      <w:pPr>
        <w:rPr>
          <w:noProof/>
        </w:rPr>
      </w:pPr>
      <w:r>
        <w:rPr>
          <w:noProof/>
        </w:rPr>
        <w:t>Στόχος της πρόταση είναι να παράσχει ένα ενιαίο μέσο για τη χορήγηση εγγύησης από τον προϋπολογισμό της ΕΕ με σκοπό την υποστήριξη των χρηματοδοτικών και επενδυτικών δραστηριοτήτων των εταίρων υλοποίησης σύμφωνα με τα συμπεράσματα της εκτίμησης επιπτώσεων, προκειμένου να αξιοποιηθούν αφενός η επιτυχία του ΕΤΣΕ και προγενέστερων χρηματοδοτικών μέσων και αφετέρου τα διδάγματα που προέκυψαν όσον αφορά, μεταξύ άλλων, την αποφυγή του κατακερματισμού και των ενδεχόμενων επικαλύψεων. Επομένως, προτείνεται να θεσπιστεί κανονισμός.</w:t>
      </w:r>
    </w:p>
    <w:p>
      <w:pPr>
        <w:pStyle w:val="ManualHeading1"/>
        <w:rPr>
          <w:noProof/>
        </w:rPr>
      </w:pPr>
      <w:r>
        <w:rPr>
          <w:noProof/>
        </w:rPr>
        <w:t>3.</w:t>
      </w:r>
      <w:r>
        <w:rPr>
          <w:noProof/>
        </w:rPr>
        <w:tab/>
        <w:t>ΑΠΟΤΕΛΕΣΜΑΤΑ ΤΩΝ ΕΚ ΤΩΝ ΥΣΤΕΡΩΝ ΑΞΙΟΛΟΓΗΣΕΩΝ, ΤΩΝ ΔΙΑΒΟΥΛΕΥΣΕΩΝ ΜΕ ΤΑ ΕΝΔΙΑΦΕΡΟΜΕΝΑ ΜΕΡΗ ΚΑΙ ΤΩΝ ΕΚΤΙΜΗΣΕΩΝ ΕΠΙΠΤΩΣΕΩΝ</w:t>
      </w:r>
    </w:p>
    <w:p>
      <w:pPr>
        <w:pStyle w:val="ManualHeading2"/>
        <w:rPr>
          <w:rStyle w:val="Aucun"/>
          <w:noProof/>
        </w:rPr>
      </w:pPr>
      <w:r>
        <w:rPr>
          <w:rStyle w:val="Aucun"/>
          <w:noProof/>
        </w:rPr>
        <w:t>•</w:t>
      </w:r>
      <w:r>
        <w:rPr>
          <w:noProof/>
        </w:rPr>
        <w:tab/>
      </w:r>
      <w:r>
        <w:rPr>
          <w:rStyle w:val="Aucun"/>
          <w:noProof/>
        </w:rPr>
        <w:t>Εκ των υστέρων αξιολογήσεις / έλεγχοι καταλληλότητας της ισχύουσας νομοθεσίας</w:t>
      </w:r>
    </w:p>
    <w:p>
      <w:pPr>
        <w:rPr>
          <w:noProof/>
        </w:rPr>
      </w:pPr>
      <w:r>
        <w:rPr>
          <w:noProof/>
        </w:rPr>
        <w:t>Η πρόταση βασίζεται στα διδάγματα από τις αξιολογήσεις προγενέστερων χρηματοδοτικών μέσων και του ΕΤΣΕ. Πιο συγκεκριμένα, διενεργήθηκε ανεξάρτητη αξιολόγηση του ΕΤΣΕ [να εισαχθεί παραπομπή σε εξωτερική αξιολόγηση και σε υπηρεσιακό έγγραφο εργασίας] το 2018, εκτός από αρκετές άλλες αξιολογήσεις του ΕΤΣΕ που είχαν διενεργηθεί από την έναρξή του:</w:t>
      </w:r>
    </w:p>
    <w:p>
      <w:pPr>
        <w:pStyle w:val="Bullet0"/>
        <w:numPr>
          <w:ilvl w:val="0"/>
          <w:numId w:val="8"/>
        </w:numPr>
        <w:pBdr>
          <w:top w:val="nil"/>
          <w:left w:val="nil"/>
          <w:bottom w:val="nil"/>
          <w:right w:val="nil"/>
          <w:between w:val="nil"/>
          <w:bar w:val="nil"/>
        </w:pBdr>
        <w:tabs>
          <w:tab w:val="left" w:pos="850"/>
        </w:tabs>
        <w:rPr>
          <w:noProof/>
        </w:rPr>
      </w:pPr>
      <w:r>
        <w:rPr>
          <w:noProof/>
        </w:rPr>
        <w:t>Αξιολόγηση της χρήσης της εγγύησης της ΕΕ και της λειτουργίας του ταμείου εγγυήσεων του ΕΤΣΕ</w:t>
      </w:r>
      <w:r>
        <w:rPr>
          <w:rStyle w:val="Aucun"/>
          <w:noProof/>
          <w:vertAlign w:val="superscript"/>
        </w:rPr>
        <w:footnoteReference w:id="1"/>
      </w:r>
      <w:r>
        <w:rPr>
          <w:noProof/>
        </w:rPr>
        <w:t xml:space="preserve"> από την Επιτροπή, συνοδευόμενη από γνωμοδότηση του Ελεγκτικού Συνεδρίου</w:t>
      </w:r>
      <w:r>
        <w:rPr>
          <w:rStyle w:val="Aucun"/>
          <w:noProof/>
          <w:vertAlign w:val="superscript"/>
        </w:rPr>
        <w:footnoteReference w:id="2"/>
      </w:r>
      <w:r>
        <w:rPr>
          <w:noProof/>
        </w:rPr>
        <w:t>,</w:t>
      </w:r>
    </w:p>
    <w:p>
      <w:pPr>
        <w:pStyle w:val="Bullet0"/>
        <w:numPr>
          <w:ilvl w:val="0"/>
          <w:numId w:val="8"/>
        </w:numPr>
        <w:pBdr>
          <w:top w:val="nil"/>
          <w:left w:val="nil"/>
          <w:bottom w:val="nil"/>
          <w:right w:val="nil"/>
          <w:between w:val="nil"/>
          <w:bar w:val="nil"/>
        </w:pBdr>
        <w:tabs>
          <w:tab w:val="left" w:pos="850"/>
        </w:tabs>
        <w:rPr>
          <w:noProof/>
        </w:rPr>
      </w:pPr>
      <w:r>
        <w:rPr>
          <w:noProof/>
        </w:rPr>
        <w:t>Αξιολόγηση της λειτουργίας του ΕΤΣΕ</w:t>
      </w:r>
      <w:r>
        <w:rPr>
          <w:rStyle w:val="Aucun"/>
          <w:noProof/>
          <w:vertAlign w:val="superscript"/>
        </w:rPr>
        <w:footnoteReference w:id="3"/>
      </w:r>
      <w:r>
        <w:rPr>
          <w:noProof/>
        </w:rPr>
        <w:t xml:space="preserve"> από την ΕΤΕπ (Οκτώβριος 2016)· και </w:t>
      </w:r>
    </w:p>
    <w:p>
      <w:pPr>
        <w:pStyle w:val="Bullet0"/>
        <w:numPr>
          <w:ilvl w:val="0"/>
          <w:numId w:val="8"/>
        </w:numPr>
        <w:pBdr>
          <w:top w:val="nil"/>
          <w:left w:val="nil"/>
          <w:bottom w:val="nil"/>
          <w:right w:val="nil"/>
          <w:between w:val="nil"/>
          <w:bar w:val="nil"/>
        </w:pBdr>
        <w:tabs>
          <w:tab w:val="left" w:pos="850"/>
        </w:tabs>
        <w:rPr>
          <w:noProof/>
        </w:rPr>
      </w:pPr>
      <w:r>
        <w:rPr>
          <w:noProof/>
        </w:rPr>
        <w:t xml:space="preserve">ανεξάρτητη εξωτερική αξιολόγηση της εφαρμογής του κανονισμού για το ΕΤΣΕ </w:t>
      </w:r>
      <w:r>
        <w:rPr>
          <w:rStyle w:val="Aucun"/>
          <w:noProof/>
          <w:vertAlign w:val="superscript"/>
        </w:rPr>
        <w:footnoteReference w:id="4"/>
      </w:r>
      <w:r>
        <w:rPr>
          <w:noProof/>
        </w:rPr>
        <w:t xml:space="preserve"> (Νοέμβριος 2016). </w:t>
      </w:r>
    </w:p>
    <w:p>
      <w:pPr>
        <w:rPr>
          <w:noProof/>
        </w:rPr>
      </w:pPr>
      <w:r>
        <w:rPr>
          <w:noProof/>
        </w:rPr>
        <w:t>Τα βασικά συμπεράσματα των εν λόγω αξιολογήσεων συνοψίζονται σε ανακοίνωση της Επιτροπής σχετικά με το Επενδυτικό Σχέδιο για την Ευρώπη (COM (2016) 764)</w:t>
      </w:r>
      <w:r>
        <w:rPr>
          <w:rStyle w:val="FootnoteReference"/>
          <w:noProof/>
        </w:rPr>
        <w:footnoteReference w:id="5"/>
      </w:r>
      <w:r>
        <w:rPr>
          <w:noProof/>
        </w:rPr>
        <w:t>.</w:t>
      </w:r>
    </w:p>
    <w:p>
      <w:pPr>
        <w:rPr>
          <w:noProof/>
        </w:rPr>
      </w:pPr>
      <w:r>
        <w:rPr>
          <w:noProof/>
        </w:rPr>
        <w:t>Όλες οι αξιολογήσεις επιβεβαίωσαν ότι η εγγύηση της ΕΕ αποδείχτηκε ουσιώδους σημασίας και έδωσε στην ΕΤΕπ τη δυνατότητα να αναλάβει δραστηριότητες υψηλότερου κινδύνου και να εισαγάγει προϊόντα υψηλότερου κινδύνου προκειμένου να στηρίξει ευρύτερο φάσμα δικαιούχων. Επίσης το ΕΤΣΕ αποδείχθηκε κατάλληλο εργαλείο για την κινητοποίηση ιδιωτικών κεφαλαίων. Όσον αφορά τη διακυβέρνηση, η ανεξάρτητη αξιολόγηση του 2018 επισήμανε τη σημασία της Επιτροπής Επενδύσεων για την αξιοπιστία του συστήματος, τη διαφάνεια των αποφάσεών του και την ποιότητα του πίνακα αποτελεσμάτων, που αξιολογήθηκε ως κατάλληλο εργαλείο το οποίο επιτρέπει τη χρήση συνεκτικής προσέγγισης για την παρουσίαση του έργου και τη συνόψιση των συμπερασμάτων της αξιολόγησης.</w:t>
      </w:r>
    </w:p>
    <w:p>
      <w:pPr>
        <w:rPr>
          <w:noProof/>
        </w:rPr>
      </w:pPr>
      <w:r>
        <w:rPr>
          <w:noProof/>
        </w:rPr>
        <w:t xml:space="preserve">Με βάση τις υπογεγραμμένες πράξεις, το ΕΤΣΕ είχε κινητοποιήσει επενδυτικά κεφάλαια ύψους 207 δισ. EUR ως το τέλος του 2017, ποσό που αντιστοιχεί στο 66 % του στόχου.  Το ποσό αυτό αυξήθηκε σε 256 δισ. EUR για εγκεκριμένες πράξεις, αντιστοιχώντας στο 81 % του στόχου. Εάν παρεκβάλουμε την προαναφερθείσα τάση για άλλους 6 μήνες, δεδομένου ότι το ΕΤΣΕ ολοκληρώνεται στα μέσα του 2018, η κινητοποίηση επενδύσεων από εγκεκριμένες </w:t>
      </w:r>
      <w:r>
        <w:rPr>
          <w:noProof/>
        </w:rPr>
        <w:lastRenderedPageBreak/>
        <w:t>πράξεις αναμένεται να φτάσει τον στόχο των 315 δισ. EUR έως τα μέσα του 2018 ή λίγο αργότερα.</w:t>
      </w:r>
    </w:p>
    <w:p>
      <w:pPr>
        <w:pStyle w:val="Corps"/>
        <w:rPr>
          <w:noProof/>
        </w:rPr>
      </w:pPr>
      <w:r>
        <w:rPr>
          <w:noProof/>
        </w:rPr>
        <w:t xml:space="preserve">Οι αξιολογήσεις εντόπισαν μια κάποια συγκέντρωση στα κράτη μέλη που διαθέτουν καλά αναπτυγμένες θεσμικές ικανότητες. </w:t>
      </w:r>
      <w:r>
        <w:rPr>
          <w:rStyle w:val="Aucun"/>
          <w:noProof/>
        </w:rPr>
        <w:t>Ωστόσο, εάν η κινητοποίηση επενδύσεων εξεταστεί σε συνάρτηση με το Ακαθάριστο Εγχώριο Προϊόν των κρατών μελών, η συγκέντρωση αυτή είναι πολύ μικρότερη. Ωστόσο, προκειμένου να βελτιώσει περαιτέρω τη γεωγραφική ισορροπία, το ΕΤΣΕ 2.0 ενίσχυσε τη σημασία του Ευρωπαϊκού Κόμβου Επενδυτικών Συμβουλών.</w:t>
      </w:r>
    </w:p>
    <w:p>
      <w:pPr>
        <w:rPr>
          <w:noProof/>
        </w:rPr>
      </w:pPr>
      <w:r>
        <w:rPr>
          <w:noProof/>
        </w:rPr>
        <w:t xml:space="preserve">Κατά την 31η Δεκεμβρίου 2017, το πραγματικό πολλαπλασιαστικό αποτέλεσμα του ΕΤΣΕ βρισκόταν σε γενικές γραμμές στο επίπεδο των αρχικών εκτιμήσεων – στο τέλος του 2017 επιτεύχθηκε αθροιστικός συνολικός πολλαπλασιαστής 13,5, έναντι του στόχου του 15 για το τέλος της επενδυτικής περιόδου. Επίσης, το ΕΤΣΕ αποδείχτηκε αποτελεσματικό ως προς την κινητοποίηση των ιδιωτικών επενδύσεων. Περίπου το 64 % των επενδύσεων που κινητοποιήθηκαν προέρχονταν από τον ιδιωτικό τομέα. </w:t>
      </w:r>
    </w:p>
    <w:p>
      <w:pPr>
        <w:rPr>
          <w:noProof/>
        </w:rPr>
      </w:pPr>
      <w:r>
        <w:rPr>
          <w:noProof/>
        </w:rPr>
        <w:t>Όσον αφορά την αποδοτικότητα, η διαθεσιμότητα της εγγύησης της ΕΕ αποδείχτηκε αποτελεσματικό εργαλείο το οποίο αύξησε σημαντικά τον όγκο των δραστηριοτήτων της Ευρωπαϊκής Τράπεζας Επενδύσεων που ενείχαν υψηλότερο κίνδυνο. Πιο συγκεκριμένα, η εγγύηση της ΕΕ δεσμεύει λιγότερους πόρους του προϋπολογισμού από ό,τι τα χρηματοδοτικά μέσα, εφόσον απαιτεί προσεκτική πλην περιορισμένη τροφοδότηση σε σύγκριση με το επίπεδο της οικονομικής δέσμευσης. Προϋποθέτει μια ενδεχόμενη υποχρέωση, οπότε αναμένεται να επιτύχει οικονομίες κλίμακας που διασφαλίζουν υψηλότερη κινητοποίηση επενδύσεων για κάθε ευρώ που δαπανάται. Επίσης, τα στοιχεία που αναλύθηκαν στο πλαίσιο της ανεξάρτητης αξιολόγησης στο τέλος του 2018 κατέδειξαν με σαφήνεια ότι το ύψος της εγγύησης της ΕΕ στο πλαίσιο του ΕΤΣΕ ήταν κατάλληλο. Διαπιστώθηκε επίσης ότι η προσέγγιση που χρησιμοποιήθηκε για τη μοντελοποίηση του ποσοστού-στόχου του ΕΤΣΕ ήταν σε γενικές γραμμές επαρκής και σύμφωνη με τα πρότυπα του κλάδου. Ωστόσο, προτάθηκαν ορισμένες περαιτέρω βελτιώσεις.</w:t>
      </w:r>
    </w:p>
    <w:p>
      <w:pPr>
        <w:pStyle w:val="Corps"/>
        <w:rPr>
          <w:noProof/>
        </w:rPr>
      </w:pPr>
      <w:r>
        <w:rPr>
          <w:rStyle w:val="Aucun"/>
          <w:noProof/>
        </w:rPr>
        <w:t xml:space="preserve">Αποδείχθηκε επίσης ότι η εγγύηση από τον προϋπολογισμό είναι οικονομικά αποδοτικότερη για τον προϋπολογισμό της ΕΕ, εφόσον μειώνει την καταβολή τελών διαχείρισης στον εταίρο υλοποίησης. Στην περίπτωση του ΕΤΣΕ, η ΕΕ αμείβεται για την εγγύηση της ΕΕ που παρέχεται από το σκέλος υποδομών και καινοτομίας. </w:t>
      </w:r>
    </w:p>
    <w:p>
      <w:pPr>
        <w:pStyle w:val="Corps"/>
        <w:rPr>
          <w:noProof/>
        </w:rPr>
      </w:pPr>
      <w:r>
        <w:rPr>
          <w:noProof/>
        </w:rPr>
        <w:t xml:space="preserve">Η ανεξάρτητη αξιολόγηση του 2016 τόνισε την ανάγκη καλύτερου προσδιορισμού και αποσαφήνισης της έννοιας της προσθετικότητας. Επομένως, ο κανονισμός για το ΕΤΣΕ 2.0 περιλαμβάνει αρκετά μέτρα που αποσαφηνίζουν την έννοια και τα κριτήρια και βελτίωσε τη διαφάνεια της διαδικασίας. </w:t>
      </w:r>
    </w:p>
    <w:p>
      <w:pPr>
        <w:rPr>
          <w:noProof/>
        </w:rPr>
      </w:pPr>
      <w:r>
        <w:rPr>
          <w:noProof/>
        </w:rPr>
        <w:t xml:space="preserve">Η ανεξάρτητη αξιολόγηση του 2018, που μπορούσε να καλύψει μόνο δραστηριότητες εγκεκριμένες στο πλαίσιο του ΕΤΣΕ και ως εκ τούτου δεν μπορούσε να ελέγξει τα νέα μέτρα του ΕΤΣΕ 2.0, επιβεβαίωσε την ανάγκη για περαιτέρω αποσαφήνιση της έννοιας της προσθετικότητας και του ορισμού των μη βέλτιστων επενδυτικών καταστάσεων. Πιο συγκεκριμένα, η αξιολόγηση οδήγησε στο συμπέρασμα ότι οι δραστηριότητες του ΕΤΣΕ χαρακτηρίζονται από αυξημένο επίπεδο κινδύνου συγκρινόμενες με τις συνήθεις δραστηριότητες της Ευρωπαϊκής Τράπεζας Επενδύσεων (οι οποίες δεν εμπίπτουν στο ΕΤΣΕ), όπως απαιτεί ο κανονισμός για το ΕΤΣΕ. Εντούτοις, οι διάφορες έρευνες και συνεντεύξεις κατέδειξαν ότι ίσως έχει υπάρξει παραγκωνισμός στο πλαίσιο του σκέλους υποδομών και καινοτομίας του ΕΤΣΕ. Θα ήταν σημαντικό να αποφευχθεί η κατάσταση αυτή στο πλαίσιο του προγράμματος InvestEU. </w:t>
      </w:r>
    </w:p>
    <w:p>
      <w:pPr>
        <w:rPr>
          <w:noProof/>
        </w:rPr>
      </w:pPr>
      <w:r>
        <w:rPr>
          <w:noProof/>
        </w:rPr>
        <w:lastRenderedPageBreak/>
        <w:t xml:space="preserve">Η ανεξάρτητη αξιολόγηση του 2018 τόνισε επίσης τη μη χρηματοοικονομική προστιθέμενη αξία της προσέλκυσης νέων επενδυτών, μέσω επιδείξεων και ελέγχων νέων προϊόντων και χρηματοδοτικών μοντέλων στην αγορά, καθώς και την υποστήριξη και την υιοθέτηση υψηλότερων προτύπων για τις πράξεις από μέρους των παρόχων χρηματοπιστωτικών υπηρεσιών. </w:t>
      </w:r>
    </w:p>
    <w:p>
      <w:pPr>
        <w:rPr>
          <w:noProof/>
        </w:rPr>
      </w:pPr>
      <w:r>
        <w:rPr>
          <w:noProof/>
        </w:rPr>
        <w:t xml:space="preserve">Η αξιολόγηση του 2016 που διενήργησε η ΕΤΕπ και η ανεξάρτητη αξιολόγηση του 2018 επιβεβαίωσαν την αρχική αναταραχή που προκλήθηκε από το ΕΤΣΕ και άλλα χρηματοδοτικά μέσα σε ενωσιακό επίπεδο λόγω της προσφοράς παρόμοιων χρηματοπιστωτικών προϊόντων, ιδίως δε από το δανειακό μέσο στο πλαίσιο της διευκόλυνσης «Συνδέοντας την Ευρώπη» και εν μέρει της διευκόλυνσης InnovFin. Εντούτοις, η εν λόγω αναταραχή επιλύθηκε ως έναν βαθμό μέσω της επανεστίασης υφιστάμενων μέσων σε νέα τμήματα της αγοράς. </w:t>
      </w:r>
    </w:p>
    <w:p>
      <w:pPr>
        <w:rPr>
          <w:noProof/>
        </w:rPr>
      </w:pPr>
      <w:r>
        <w:rPr>
          <w:rStyle w:val="Aucun"/>
          <w:noProof/>
        </w:rPr>
        <w:t xml:space="preserve">Η πρόταση για το ταμείο InvestEU αξιοποιεί επίσης τα διδάγματα που προέκυψαν από τις αξιολογήσεις προγενέστερων χρηματοδοτικών μέσων, τα οποία κάλυψαν χρονικά δύο δεκαετίες (διευκόλυνση «Συνδέοντας την Ευρώπη», Ορίζων 2020, COSME κ.λπ.), καθώς και μέσων που τέθηκαν σε εφαρμογή με βάση προγενέστερα οικονομικά πλαίσια, όπως το πρόγραμμα για την ανταγωνιστικότητα και την καινοτομία. Σε γενικές γραμμές, αυτές οι αξιολογήσεις επιβεβαιώνουν ότι εξακολουθούν να υφίστανται επενδυτικά κενά στην Ευρώπη σε οικονομικούς τομείς και τομείς πολιτικής που καλύπτονται από τα χρηματοδοτικά μέσα της ΕΕ, καθώς και ότι η επενδυτική στήριξη σε επίπεδο ΕΕ εξακολουθεί να είναι κατάλληλη και απαραίτητη για την επίτευξη των στόχων πολιτικής της ΕΕ. Ωστόσο, τονίζουν επίσης ότι θα πρέπει να ενισχυθεί η συνοχή μεταξύ των διάφορων χρηματοδοτικών μέσων σε επίπεδο ΕΕ και άλλων πρωτοβουλιών της ΕΕ, ότι θα πρέπει να αξιοποιηθούν καλύτερα οι συνέργειες με εθνικές και περιφερειακές πρωτοβουλίες, καθώς επίσης ότι υφίστανται επικαλύψεις μεταξύ των υφιστάμενων μέσων. Επισημαίνουν την ανάγκη για καλύτερο συντονισμό και για τον σχεδιασμό μέσων ενίσχυσης των επενδύσεων που θα αποσκοπούν στην ελαχιστοποίηση των πιθανών επικαλύψεων. </w:t>
      </w:r>
      <w:r>
        <w:rPr>
          <w:noProof/>
        </w:rPr>
        <w:t>Η επέκταση των δραστηριοτήτων δημιούργησε την ανάγκη ενίσχυσης των μηχανισμών γενικού συντονισμού των δράσεων, αποφυγής της περιττής επέκτασης και επίτευξης μεγαλύτερων συνεργειών.</w:t>
      </w:r>
    </w:p>
    <w:p>
      <w:pPr>
        <w:rPr>
          <w:noProof/>
        </w:rPr>
      </w:pPr>
      <w:r>
        <w:rPr>
          <w:noProof/>
        </w:rPr>
        <w:t>Όσον αφορά τα μέσα του προγράμματος COSME που παρέχουν στήριξη σε ΜΜΕ και είναι ζωτικής σημασίας για τη μελλοντική ανταγωνιστικότητα της Ένωσης, οι αξιολογήσεις κατέδειξαν ότι τα εν λόγω μέσα βασίζονται σε ένα ισχυρό σκεπτικό περί αστοχιών της αγοράς και υπόκεινται στους περιορισμούς που αντιμετωπίζουν οι ΜΜΕ όσον αφορά την πρόσβαση σε χρηματοδότηση. Ιδίως οι νεοφυείς επιχειρήσεις, οι μικρότερες ΜΜΕ και εκείνες που δεν διαθέτουν επαρκείς εγγυήσεις έρχονται αντιμέτωπες με διαρκείς και διαρθρωτικές ελλείψεις της αγοράς όσον αφορά τους μηχανισμούς δανειοδότησης, οι οποίες υφίστανται σε ολόκληρη την ΕΕ. Το Ελεγκτικό Συνέδριο διαπίστωσε σε ειδική έκθεση ότι ο μηχανισμός εγγυήσεων για τις ΜΜΕ είχε θετικό αντίκτυπο στην ανάπτυξη των ΜΜΕ που λάβαιναν στήριξη. Σύμφωνα με τις συστάσεις του Ελεγκτικού Συνεδρίου, χρειάζεται καλύτερη στόχευση δικαιούχων και συντονισμός με τα εθνικά προγράμματα</w:t>
      </w:r>
      <w:r>
        <w:rPr>
          <w:rStyle w:val="FootnoteReference"/>
          <w:noProof/>
        </w:rPr>
        <w:footnoteReference w:id="6"/>
      </w:r>
      <w:r>
        <w:rPr>
          <w:noProof/>
        </w:rPr>
        <w:t xml:space="preserve">. </w:t>
      </w:r>
    </w:p>
    <w:p>
      <w:pPr>
        <w:rPr>
          <w:noProof/>
        </w:rPr>
      </w:pPr>
      <w:r>
        <w:rPr>
          <w:noProof/>
        </w:rPr>
        <w:t xml:space="preserve">Ειδικότερα, όσον αφορά τα χρηματοδοτικά μέσα της διευκόλυνσης InnovFin στο πλαίσιο του προγράμματος «Ορίζων 2020», οι αξιολογήσεις καταδεικνύουν ότι η πρόσβαση σε χρηματοδότηση εξακολουθεί να αποτελεί σημαντικό ζήτημα για τη βελτίωση των επιδόσεων της Ευρώπης στην καινοτομία. Επιβεβαιώνουν ότι τα χρηματοδοτικά μέσα της διευκόλυνσης InnovFin έχουν σημειώσει καλές επιδόσεις ενόψει της αυξανόμενης ζήτησης για χρηματοδότηση υψηλού κινδύνου στον τομέα της έρευνας και καινοτομίας και έχουν δώσει στον όμιλο ΕΤΕπ τη δυνατότητα κάλυψης νέων τομέων με υψηλότερα επίπεδα κινδύνου. Ωστόσο, τονίζεται και πάλι η ανάγκη ενίσχυσης των συνεργειών με άλλα χρηματοδοτικά </w:t>
      </w:r>
      <w:r>
        <w:rPr>
          <w:noProof/>
        </w:rPr>
        <w:lastRenderedPageBreak/>
        <w:t xml:space="preserve">προγράμματα της ΕΕ, καθώς και η ανάγκη αντιμετώπισης των εμποδίων που απομένουν στο πλαίσιο της παροχής βοήθειας σε καινοτόμες εταιρείες προκειμένου να αναπτυχθούν από τα αρχικά τους στάδια ως το στάδιο της επέκτασης. Τονίστηκε επίσης ότι λίγες σχετικά επιχειρήσεις που έλαβαν επιχορηγήσεις στο πλαίσιο του προγράμματος «Ορίζων 2020» επωφελήθηκαν από χρηματοδοτικά μέσα στο πλαίσιο του προγράμματος αυτού, γεγονός που ενδέχεται να παρεμποδίσει την ανάπτυξη καινοτόμων εταιρειών. </w:t>
      </w:r>
    </w:p>
    <w:p>
      <w:pPr>
        <w:rPr>
          <w:noProof/>
        </w:rPr>
      </w:pPr>
      <w:r>
        <w:rPr>
          <w:noProof/>
        </w:rPr>
        <w:t xml:space="preserve">Το ταμείο InvestEU θα αξιοποιήσει τις εμπειρίες αυτές και θα στοχεύσει σε αποδέκτες του τομέα της έρευνας και καινοτομίας (συμπεριλαμβανομένων καινοτόμων ΜΜΕ και επιχειρήσεων μεσαίας κεφαλαιοποίησης) προκειμένου να τους παράσχει βελτιωμένη πρόσβαση σε χρηματοδότηση σε όλα τα στάδια της ανάπτυξής τους. Θα αξιοποιήσει συνέργειες μεταξύ της επιχορήγησης και της χρηματοδότησης που βασίζεται στην αγορά διευκολύνοντας το συνδυασμό τους. Επιπρόσθετα, το Ευρωπαϊκό Ελεγκτικό Συνέδριο σύστησε, κατόπιν ελέγχου που διενήργησε, τη διασφάλιση καλύτερης στόχευσης ως προς τους δικαιούχους σε πιο καινοτόμες επιχειρήσεις. Συνδυάζοντας την εμπειρογνωμοσύνη και τους πόρους, το ταμείο InvestEU θα εστιάζει ολοένα και περισσότερο στη στήριξη εταιριών που ασχολούνται με καινοτόμες δραστηριότητες υψηλότερου κινδύνου. </w:t>
      </w:r>
    </w:p>
    <w:p>
      <w:pPr>
        <w:rPr>
          <w:noProof/>
        </w:rPr>
      </w:pPr>
      <w:r>
        <w:rPr>
          <w:noProof/>
        </w:rPr>
        <w:t>Στον κοινωνικό τομέα και όσον αφορά το πρόγραμμα για την απασχόληση και την κοινωνική καινοτομία (EaSI), υπάρχουν εμπειρικά στοιχεία που καταδεικνύουν ότι η Ένωση χαρακτηρίζεται από σημαντικότατη έλλειψη επενδύσεων σε κοινωνικές υποδομές, κοινωνικές επιχειρήσεις που παράγουν αγαθά («ενσώματα στοιχεία ενεργητικού»), καθώς και κοινωνικές υπηρεσίες, ιδέες και άτομα («ασώματα στοιχεία ενεργητικού»), αν και είναι ζωτικής σημασίας προκειμένου να δημιουργηθεί στα κράτη μέλη της Ένωσης μια κοινωνία δίκαιη, χωρίς αποκλεισμούς και βασισμένη στη γνώση.</w:t>
      </w:r>
    </w:p>
    <w:p>
      <w:pPr>
        <w:rPr>
          <w:noProof/>
        </w:rPr>
      </w:pPr>
      <w:r>
        <w:rPr>
          <w:noProof/>
        </w:rPr>
        <w:t xml:space="preserve">Η αυτοχρηματοδότηση και οι κοινωνικές επιχειρήσεις στην Ευρώπη εξακολουθούν να αποτελούν πρόσφατη εξέλιξη και ανήκουν σε μια αναδυόμενη αγορά η οποία δεν έχει ακόμη αναπτυχθεί πλήρως. Όπως διαπιστώθηκε από την ενδιάμεση αξιολόγηση του προγράμματος EaSI η οποία διενεργήθηκε το 2017, τα χρηματοδοτικά μέσα του EaSI έχουν υποστηρίξει ευάλωτα άτομα και πολύ μικρές επιχειρήσεις και έχουν διευκολύνει την πρόσβαση των κοινωνικών επιχειρήσεων σε χρηματοδότηση, επιτυγχάνοντας έτσι σημαντικές κοινωνικές επιπτώσεις. Η αξιολόγηση κατέληξε στο συμπέρασμα ότι η αξιοποίηση όλου του διαθέσιμου δυναμικού που έχει επιτευχθεί έως τώρα σύμφωνα με τα αποτελέσματα δικαιολογεί τη συνέχιση της επενδυτικής στήριξης στον κοινωνικό τομέα και την ανάγκη παροχής πρόσθετης δύναμης πυρός στο πλαίσιο του προγράμματος InvestEU. </w:t>
      </w:r>
    </w:p>
    <w:p>
      <w:pPr>
        <w:rPr>
          <w:noProof/>
        </w:rPr>
      </w:pPr>
      <w:r>
        <w:rPr>
          <w:noProof/>
        </w:rPr>
        <w:t xml:space="preserve">Η έκθεση εκτίμησης επιπτώσεων σχετικά με το πρόγραμμα InvestEU περιλαμβάνει λεπτομερή σύνοψη των εν λόγω αποτελεσμάτων της αξιολόγησης. </w:t>
      </w:r>
    </w:p>
    <w:p>
      <w:pPr>
        <w:pStyle w:val="ManualHeading2"/>
        <w:rPr>
          <w:rStyle w:val="Aucun"/>
          <w:noProof/>
        </w:rPr>
      </w:pPr>
      <w:r>
        <w:rPr>
          <w:rStyle w:val="Aucun"/>
          <w:noProof/>
        </w:rPr>
        <w:t>•</w:t>
      </w:r>
      <w:r>
        <w:rPr>
          <w:noProof/>
        </w:rPr>
        <w:tab/>
      </w:r>
      <w:r>
        <w:rPr>
          <w:rStyle w:val="Aucun"/>
          <w:noProof/>
        </w:rPr>
        <w:t>Διαβουλεύσεις με τα ενδιαφερόμενα μέρη</w:t>
      </w:r>
    </w:p>
    <w:p>
      <w:pPr>
        <w:rPr>
          <w:noProof/>
        </w:rPr>
      </w:pPr>
      <w:r>
        <w:rPr>
          <w:noProof/>
        </w:rPr>
        <w:t>Η εκτίμηση επιπτώσεων βασίστηκε στην ανοικτή δημόσια διαβούλευση για τα κονδύλια της ΕΕ στον τομέα των επενδύσεων, την έρευνα και την καινοτομία, τις ΜΜΕ και την ενιαία αγορά, ιδίως δε στις απαντήσεις που αφορούσαν την υποστήριξη της ΕΕ για τις επενδύσεις</w:t>
      </w:r>
      <w:r>
        <w:rPr>
          <w:rStyle w:val="Aucun"/>
          <w:noProof/>
          <w:vertAlign w:val="superscript"/>
        </w:rPr>
        <w:footnoteReference w:id="7"/>
      </w:r>
      <w:r>
        <w:rPr>
          <w:noProof/>
        </w:rPr>
        <w:t xml:space="preserve">. </w:t>
      </w:r>
    </w:p>
    <w:p>
      <w:pPr>
        <w:pStyle w:val="Corps"/>
        <w:rPr>
          <w:noProof/>
        </w:rPr>
      </w:pPr>
      <w:r>
        <w:rPr>
          <w:noProof/>
        </w:rPr>
        <w:t xml:space="preserve">Η παρούσα πρόταση λαμβάνει υπόψη τα αποτελέσματα της εν λόγω ανοικτής δημόσιας διαβούλευσης. Οι περισσότεροι απ’ όσους απάντησαν εξέφρασαν την άποψη ότι η τρέχουσα στήριξη της ΕΕ για τις επενδύσεις δεν αντιμετωπίζει επαρκώς τις προκλήσεις πολιτικής όπως είναι η μείωση της ανεργίας, η στήριξη των κοινωνικών επενδύσεων, η διευκόλυνση της </w:t>
      </w:r>
      <w:r>
        <w:rPr>
          <w:noProof/>
        </w:rPr>
        <w:lastRenderedPageBreak/>
        <w:t xml:space="preserve">ψηφιακής μετάβασης, η διευκόλυνση της πρόσβασης σε χρηματοδότηση ιδίως για τις ΜΜΕ, η διασφάλιση ενός καθαρούς και υγιούς περιβάλλοντος και η στήριξη της βιομηχανικής ανάπτυξης. </w:t>
      </w:r>
    </w:p>
    <w:p>
      <w:pPr>
        <w:pStyle w:val="Corps"/>
        <w:spacing w:before="0"/>
        <w:rPr>
          <w:noProof/>
        </w:rPr>
      </w:pPr>
      <w:r>
        <w:rPr>
          <w:noProof/>
        </w:rPr>
        <w:t xml:space="preserve">Οι ενδιαφερόμενοι τόνισαν τη βαρύτητα των προκλήσεων πολιτικής που επηρεάζουν ολόκληρη την ΕΕ, μεταξύ άλλων, σε τομείς όπως η έρευνα, η στήριξη της εκπαίδευσης και της κατάρτισης, το καθαρό και υγιές περιβάλλον, η μετάβαση σε μια κυκλική οικονομία χαμηλών εκπομπών άνθρακα και η μείωση της ανεργίας. </w:t>
      </w:r>
    </w:p>
    <w:p>
      <w:pPr>
        <w:pStyle w:val="Corps"/>
        <w:spacing w:before="0"/>
        <w:rPr>
          <w:noProof/>
        </w:rPr>
      </w:pPr>
      <w:r>
        <w:rPr>
          <w:noProof/>
        </w:rPr>
        <w:t>Περίπου το 60 % όσων απάντησαν στην ανοιχτή δημόσια διαβούλευση για τις στρατηγικές υποδομές εξέφρασαν την άποψη ότι η δυσκολία πρόσβασης σε χρηματοδοτικά μέσα αποτελεί εμπόδιο που δεν επιτρέπει την επιτυχή επίτευξη των στόχων πολιτικής μέσω των τρεχόντων προγραμμάτων.</w:t>
      </w:r>
    </w:p>
    <w:p>
      <w:pPr>
        <w:pStyle w:val="Corps"/>
        <w:spacing w:before="0"/>
        <w:rPr>
          <w:noProof/>
        </w:rPr>
      </w:pPr>
      <w:r>
        <w:rPr>
          <w:noProof/>
        </w:rPr>
        <w:t xml:space="preserve">Η συντριπτική πλειονότητα των συμμετεχόντων στήριζε τα προσδιορισθέντα μέτρα που θα μπορούσαν να απλουστεύσουν και να μειώσουν τον διοικητικό φόρτο. Πιο συγκεκριμένα, αυτά περιλάμβαναν τη θέσπιση λιγότερων, σαφέστερων και συντομότερων κανόνων, την ευθυγράμμιση των κανόνων που ισχύουν για τα διάφορα ταμεία της ΕΕ, καθώς και ένα σταθερό, αλλά ευέλικτο, πλαίσιο μεταξύ των περιόδων προγραμματισμού. </w:t>
      </w:r>
    </w:p>
    <w:p>
      <w:pPr>
        <w:rPr>
          <w:noProof/>
        </w:rPr>
      </w:pPr>
      <w:r>
        <w:rPr>
          <w:noProof/>
        </w:rPr>
        <w:t>Η πρόταση αποσκοπεί στην αξιοποίηση των εν λόγω αποτελεσμάτων μέσω αυξημένης έμφασης σε προτεραιότητες πολιτικής της Ένωσης στο πλαίσιο της στήριξης που παρέχεται μέσω του ταμείου InvestEU. Η ενιαία δέσμη κανόνων που θεσπίστηκε στο πλαίσιο του ταμείου InvestEU θα πρέπει να αντιμετωπίζει το ζήτημα των πιθανών επικαλύψεων, ιδίως δε διευκολύνοντας την υποβολή αιτημάτων για ενίσχυση από μέρους των τελικών αποδεκτών. Το ταμείο InvestEU διαθέτει επίσης μια εγγενή ευελιξία που του επιτρέπει την προσαρμογή στις εξελισσόμενες καταστάσεις και ανάγκες της αγοράς. Οι απαιτήσεις υποβολής εκθέσεων έχουν επίσης εναρμονιστεί.</w:t>
      </w:r>
    </w:p>
    <w:p>
      <w:pPr>
        <w:pStyle w:val="ManualHeading2"/>
        <w:rPr>
          <w:rStyle w:val="Aucun"/>
          <w:noProof/>
        </w:rPr>
      </w:pPr>
      <w:r>
        <w:rPr>
          <w:rStyle w:val="Aucun"/>
          <w:noProof/>
        </w:rPr>
        <w:t>•</w:t>
      </w:r>
      <w:r>
        <w:rPr>
          <w:noProof/>
        </w:rPr>
        <w:tab/>
      </w:r>
      <w:r>
        <w:rPr>
          <w:rStyle w:val="Aucun"/>
          <w:noProof/>
        </w:rPr>
        <w:t>Εξωτερική εμπειρογνωμοσύνη</w:t>
      </w:r>
    </w:p>
    <w:p>
      <w:pPr>
        <w:rPr>
          <w:noProof/>
        </w:rPr>
      </w:pPr>
      <w:r>
        <w:rPr>
          <w:noProof/>
        </w:rPr>
        <w:t>Διενεργήθηκε εξωτερική αξιολόγηση σύμφωνα με το άρθρο 18 παράγραφος 6 του κανονισμού (ΕΕ) 2015/1017 του Ευρωπαϊκού Κοινοβουλίου και του Συμβουλίου, της 25ης Ιουνίου 2015, για το Ευρωπαϊκό Ταμείο Στρατηγικών Επενδύσεων, τον Ευρωπαϊκό Κόμβο Επενδυτικών Συμβουλών και την Ευρωπαϊκή Πύλη Επενδυτικών Έργων και την τροποποίηση των κανονισμών (ΕΕ) αριθ. 1291/2013 και (ΕΕ) αριθ. 1316/2013 — το Ευρωπαϊκό Ταμείο Στρατηγικών Επενδύσεων</w:t>
      </w:r>
      <w:r>
        <w:rPr>
          <w:rStyle w:val="FootnoteReference"/>
          <w:noProof/>
        </w:rPr>
        <w:footnoteReference w:id="8"/>
      </w:r>
      <w:r>
        <w:rPr>
          <w:noProof/>
        </w:rPr>
        <w:t>, όπως εξηγείται στον υποτομέα «Εκ των υστέρων αξιολογήσεις / έλεγχοι καταλληλότητας της ισχύουσας νομοθεσίας». Δημοσιεύεται ταυτόχρονα με την παρούσα πρόταση.</w:t>
      </w:r>
    </w:p>
    <w:p>
      <w:pPr>
        <w:pStyle w:val="ManualHeading2"/>
        <w:rPr>
          <w:rStyle w:val="Aucun"/>
          <w:noProof/>
        </w:rPr>
      </w:pPr>
      <w:r>
        <w:rPr>
          <w:rStyle w:val="Aucun"/>
          <w:noProof/>
        </w:rPr>
        <w:t>•</w:t>
      </w:r>
      <w:r>
        <w:rPr>
          <w:noProof/>
        </w:rPr>
        <w:tab/>
      </w:r>
      <w:r>
        <w:rPr>
          <w:rStyle w:val="Aucun"/>
          <w:noProof/>
        </w:rPr>
        <w:t>Εκτίμηση επιπτώσεων</w:t>
      </w:r>
    </w:p>
    <w:p>
      <w:pPr>
        <w:rPr>
          <w:noProof/>
        </w:rPr>
      </w:pPr>
      <w:r>
        <w:rPr>
          <w:noProof/>
        </w:rPr>
        <w:t>Η εκτίμηση επιπτώσεων [</w:t>
      </w:r>
      <w:r>
        <w:rPr>
          <w:rStyle w:val="Aucun"/>
          <w:i/>
          <w:noProof/>
        </w:rPr>
        <w:t>να εισαχθεί παραπομπή στην εκτίμηση επιπτώσεων</w:t>
      </w:r>
      <w:r>
        <w:rPr>
          <w:noProof/>
        </w:rPr>
        <w:t xml:space="preserve">] εξετάζει αναλυτικά τις βασικότερες προκλήσεις για το επόμενο ΠΔΠ, ιδίως δε τα επενδυτικά κενά και τις μη βέλτιστες επενδυτικές καταστάσεις σε διάφορους τομείς πολιτικής όπως η έρευνα και η καινοτομία, οι βιώσιμες υποδομές, η χρηματοδότηση των ΜΜΕ και οι κοινωνικές επενδύσεις. Αναλύει και επεξηγεί τις επιλογές ως προς την προτεινόμενη διάρθρωση του ταμείου InvestEU, τη διακυβέρνηση, τις δράσεις-στόχους, τα χρηματοδοτικά προϊόντα και τους τελικούς αποδέκτες του. Κατά περίπτωση, η εκτίμηση επιπτώσεων περιγράφει τις εξετασθείσες εναλλακτικές λύσεις και επεξηγεί τη λογική των προτεινόμενων επιλογών. Αυτό σχετίζεται ειδικότερα με το σκεπτικό για τη δημιουργία ενός ενιαίου μέσου ενίσχυσης των επενδύσεων, τους μηχανισμούς υλοποίησης και τους εταίρους υλοποίησης, καθώς και για την προτεινόμενη δομή διακυβέρνησης. </w:t>
      </w:r>
    </w:p>
    <w:p>
      <w:pPr>
        <w:rPr>
          <w:noProof/>
        </w:rPr>
      </w:pPr>
      <w:r>
        <w:rPr>
          <w:noProof/>
        </w:rPr>
        <w:lastRenderedPageBreak/>
        <w:t xml:space="preserve">Η εκτίμηση επιπτώσεων τονίζει ότι η υφιστάμενη πείρα από ενωσιακά χρηματοδοτικά μέσα και την εγγύηση από τον προϋπολογισμό στο πλαίσιο του ΕΤΣΕ κατέδειξε την ανάγκη απλούστευσης, εξορθολογισμού και καλύτερου συντονισμού των ενωσιακών μέσων ενίσχυσης των επενδύσεων κατά τη διάρκεια του επόμενου ΠΔΠ. Η πείρα από το ΕΤΣΕ αποκάλυψε επίσης τα σημαντικά οφέλη και τη βελτίωση της αποτελεσματικότητας που προκύπτουν εγγενώς από τη χρήση, όπου αυτή είναι εφικτή, εγγύησης από τον προϋπολογισμό αντί των παραδοσιακών χρηματοδοτικών μέσων. </w:t>
      </w:r>
    </w:p>
    <w:p>
      <w:pPr>
        <w:rPr>
          <w:noProof/>
        </w:rPr>
      </w:pPr>
      <w:r>
        <w:rPr>
          <w:noProof/>
        </w:rPr>
        <w:t xml:space="preserve">Η εκτίμηση επιπτώσεων προσδιορίζει τα κάτωθι βασικά χαρακτηριστικά για το ταμείο InvestEU: </w:t>
      </w:r>
    </w:p>
    <w:p>
      <w:pPr>
        <w:pStyle w:val="Bullet0"/>
        <w:numPr>
          <w:ilvl w:val="0"/>
          <w:numId w:val="8"/>
        </w:numPr>
        <w:pBdr>
          <w:top w:val="nil"/>
          <w:left w:val="nil"/>
          <w:bottom w:val="nil"/>
          <w:right w:val="nil"/>
          <w:between w:val="nil"/>
          <w:bar w:val="nil"/>
        </w:pBdr>
        <w:tabs>
          <w:tab w:val="left" w:pos="850"/>
        </w:tabs>
        <w:rPr>
          <w:noProof/>
        </w:rPr>
      </w:pPr>
      <w:r>
        <w:rPr>
          <w:noProof/>
        </w:rPr>
        <w:t>Ενιαία διάρθρωση, που κοινοποιείται απευθείας στους χρηματοδοτικούς ενδιάμεσους φορείς, στους φορείς υλοποίησης των έργων και στους τελικούς αποδέκτες κατά την αναζήτηση χρηματοδότησης.</w:t>
      </w:r>
    </w:p>
    <w:p>
      <w:pPr>
        <w:pStyle w:val="Bullet0"/>
        <w:numPr>
          <w:ilvl w:val="0"/>
          <w:numId w:val="8"/>
        </w:numPr>
        <w:pBdr>
          <w:top w:val="nil"/>
          <w:left w:val="nil"/>
          <w:bottom w:val="nil"/>
          <w:right w:val="nil"/>
          <w:between w:val="nil"/>
          <w:bar w:val="nil"/>
        </w:pBdr>
        <w:tabs>
          <w:tab w:val="left" w:pos="850"/>
        </w:tabs>
        <w:rPr>
          <w:noProof/>
        </w:rPr>
      </w:pPr>
      <w:r>
        <w:rPr>
          <w:noProof/>
        </w:rPr>
        <w:t>Αύξηση της μόχλευσης και αποτελεσματικότερη χρήση των πόρων του προϋπολογισμού μέσω της χρήσης ενιαίας εγγύησης από τον προϋπολογισμό που υποστηρίζει διάφορα χρηματοπιστωτικά προϊόντα τα οποία αποσκοπούν στην αντιμετώπιση διάφορων κινδύνων. Αυτό διασφαλίζει βελτίωση της αποτελεσματικότητας σε σύγκριση με την εφαρμογή διάφορων χρηματοδοτικών μέσων ή αποκλειστικών εγγυήσεων από τον προϋπολογισμό που αποσκοπούν στην αντιμετώπιση περιορισμένου φάσματος κινδύνων, υπό την έννοια ότι απαιτεί μικρότερο ποσοστό τροφοδότησης, ενώ διασφαλίζει αντίστοιχο επίπεδο προστασίας.</w:t>
      </w:r>
    </w:p>
    <w:p>
      <w:pPr>
        <w:pStyle w:val="Bullet0"/>
        <w:numPr>
          <w:ilvl w:val="0"/>
          <w:numId w:val="8"/>
        </w:numPr>
        <w:pBdr>
          <w:top w:val="nil"/>
          <w:left w:val="nil"/>
          <w:bottom w:val="nil"/>
          <w:right w:val="nil"/>
          <w:between w:val="nil"/>
          <w:bar w:val="nil"/>
        </w:pBdr>
        <w:tabs>
          <w:tab w:val="left" w:pos="850"/>
        </w:tabs>
        <w:rPr>
          <w:noProof/>
        </w:rPr>
      </w:pPr>
      <w:r>
        <w:rPr>
          <w:noProof/>
        </w:rPr>
        <w:t xml:space="preserve">Απλουστευμένη και εστιασμένη προσφορά μέσων ενίσχυσης των επενδύσεων που στοχεύουν στους βασικούς στόχους πολιτικής της ΕΕ. Η εν λόγω προσφορά επιτρέπει επίσης τον συνδυασμό των επιχορηγήσεων και της χρηματοδότησης από διάφορα ενωσιακά προγράμματα, του δανεισμού υπό όρους από την ΕΤΕπ ή της ιδιωτικής χρηματοδότησης. </w:t>
      </w:r>
    </w:p>
    <w:p>
      <w:pPr>
        <w:pStyle w:val="Bullet0"/>
        <w:numPr>
          <w:ilvl w:val="0"/>
          <w:numId w:val="8"/>
        </w:numPr>
        <w:pBdr>
          <w:top w:val="nil"/>
          <w:left w:val="nil"/>
          <w:bottom w:val="nil"/>
          <w:right w:val="nil"/>
          <w:between w:val="nil"/>
          <w:bar w:val="nil"/>
        </w:pBdr>
        <w:tabs>
          <w:tab w:val="left" w:pos="850"/>
        </w:tabs>
        <w:rPr>
          <w:noProof/>
        </w:rPr>
      </w:pPr>
      <w:r>
        <w:rPr>
          <w:noProof/>
        </w:rPr>
        <w:t xml:space="preserve">Δυνατότητα υλοποίησης μέσων αντιμετώπισης ειδικών αστοχιών της αγοράς τα οποία αφορούν συγκεκριμένους τομείς (π.χ. πράσινη ναυτιλία, ενεργειακά έργα επίδειξης, φυσικό κεφάλαιο). </w:t>
      </w:r>
    </w:p>
    <w:p>
      <w:pPr>
        <w:pStyle w:val="Bullet0"/>
        <w:numPr>
          <w:ilvl w:val="0"/>
          <w:numId w:val="8"/>
        </w:numPr>
        <w:pBdr>
          <w:top w:val="nil"/>
          <w:left w:val="nil"/>
          <w:bottom w:val="nil"/>
          <w:right w:val="nil"/>
          <w:between w:val="nil"/>
          <w:bar w:val="nil"/>
        </w:pBdr>
        <w:tabs>
          <w:tab w:val="left" w:pos="850"/>
        </w:tabs>
        <w:rPr>
          <w:noProof/>
        </w:rPr>
      </w:pPr>
      <w:r>
        <w:rPr>
          <w:noProof/>
        </w:rPr>
        <w:t xml:space="preserve">Μέτρα ευελιξίας που δίνουν στο ταμείο InvestEU τη δυνατότητα ταχείας αντίδρασης σε αλλαγές της αγοράς και προτεραιότητες πολιτικής που εξελίσσονται με την πάροδο του χρόνου. </w:t>
      </w:r>
    </w:p>
    <w:p>
      <w:pPr>
        <w:pStyle w:val="Bullet0"/>
        <w:numPr>
          <w:ilvl w:val="0"/>
          <w:numId w:val="8"/>
        </w:numPr>
        <w:pBdr>
          <w:top w:val="nil"/>
          <w:left w:val="nil"/>
          <w:bottom w:val="nil"/>
          <w:right w:val="nil"/>
          <w:between w:val="nil"/>
          <w:bar w:val="nil"/>
        </w:pBdr>
        <w:tabs>
          <w:tab w:val="left" w:pos="850"/>
        </w:tabs>
        <w:rPr>
          <w:noProof/>
        </w:rPr>
      </w:pPr>
      <w:r>
        <w:rPr>
          <w:noProof/>
        </w:rPr>
        <w:t>Ολοκληρωμένη διάρθρωση διακυβέρνησης και υλοποίησης η οποία βελτιώνει τον εσωτερικό συντονισμό και ενισχύει τη θέση της Επιτροπής έναντι των εταίρων υλοποίησης. Αυτό θα οδηγούσε επίσης στην μείωση του κόστους διαχείρισης, την αποφυγή επαναλήψεων και επικαλύψεων και θα αύξανε την προβολή έναντι των επενδυτών.</w:t>
      </w:r>
    </w:p>
    <w:p>
      <w:pPr>
        <w:pStyle w:val="Bullet0"/>
        <w:numPr>
          <w:ilvl w:val="0"/>
          <w:numId w:val="8"/>
        </w:numPr>
        <w:pBdr>
          <w:top w:val="nil"/>
          <w:left w:val="nil"/>
          <w:bottom w:val="nil"/>
          <w:right w:val="nil"/>
          <w:between w:val="nil"/>
          <w:bar w:val="nil"/>
        </w:pBdr>
        <w:tabs>
          <w:tab w:val="left" w:pos="850"/>
        </w:tabs>
        <w:rPr>
          <w:noProof/>
        </w:rPr>
      </w:pPr>
      <w:r>
        <w:rPr>
          <w:noProof/>
        </w:rPr>
        <w:t xml:space="preserve">Απλουστευμένες απαιτήσεις για την υποβολή εκθέσεων, την παρακολούθηση και τον έλεγχο. Λόγω του ενιαίου πλαισίου, το ταμείο InvestEU θα προβλέπει ολοκληρωμένους και απλουστευμένους κανόνες παρακολούθησης και υποβολής εκθέσεων. </w:t>
      </w:r>
    </w:p>
    <w:p>
      <w:pPr>
        <w:pStyle w:val="Bullet0"/>
        <w:numPr>
          <w:ilvl w:val="0"/>
          <w:numId w:val="8"/>
        </w:numPr>
        <w:pBdr>
          <w:top w:val="nil"/>
          <w:left w:val="nil"/>
          <w:bottom w:val="nil"/>
          <w:right w:val="nil"/>
          <w:between w:val="nil"/>
          <w:bar w:val="nil"/>
        </w:pBdr>
        <w:tabs>
          <w:tab w:val="left" w:pos="850"/>
        </w:tabs>
        <w:rPr>
          <w:noProof/>
        </w:rPr>
      </w:pPr>
      <w:r>
        <w:rPr>
          <w:noProof/>
        </w:rPr>
        <w:t xml:space="preserve">Αυξημένη συμπληρωματικότητα μεταξύ προγραμμάτων που υπόκεινται σε κεντρική διαχείριση και εκείνων που εμπίπτουν στο πλαίσιο της επιμερισμένης διαχείρισης. Αυτό περιλαμβάνει τη δυνατότητα των κρατών μελών να διοχετεύουν κονδύλια επιμερισμένης διαχείρισης μέσω του ταμείου InvestEU (συνιστώσα για τα κράτη μέλη). </w:t>
      </w:r>
    </w:p>
    <w:p>
      <w:pPr>
        <w:pStyle w:val="Bullet0"/>
        <w:numPr>
          <w:ilvl w:val="0"/>
          <w:numId w:val="8"/>
        </w:numPr>
        <w:pBdr>
          <w:top w:val="nil"/>
          <w:left w:val="nil"/>
          <w:bottom w:val="nil"/>
          <w:right w:val="nil"/>
          <w:between w:val="nil"/>
          <w:bar w:val="nil"/>
        </w:pBdr>
        <w:tabs>
          <w:tab w:val="left" w:pos="850"/>
        </w:tabs>
        <w:rPr>
          <w:noProof/>
        </w:rPr>
      </w:pPr>
      <w:r>
        <w:rPr>
          <w:noProof/>
        </w:rPr>
        <w:lastRenderedPageBreak/>
        <w:t xml:space="preserve">Σύνδεση του συμβουλευτικού κόμβου InvestEU με το ταμείο InvestEU με σκοπό την ενίσχυση της ανάπτυξης και την υλοποίηση σειράς έργων δυνάµενων να τύχουν τραπεζικής στήριξης. </w:t>
      </w:r>
    </w:p>
    <w:p>
      <w:pPr>
        <w:rPr>
          <w:noProof/>
        </w:rPr>
      </w:pPr>
      <w:r>
        <w:rPr>
          <w:noProof/>
        </w:rPr>
        <w:t xml:space="preserve">Το εύρος των παρεμβάσεων που προβλέπονται στο πλαίσιο του ταμείου InvestEU θα υλοποιηθεί μέσω διάφορων προϊόντων που στοχεύουν σε διαφορετικούς κινδύνους οι οποίοι θα απαιτούσαν εγγενώς υψηλά, μεσαία ή χαμηλά ποσοστά τροφοδότησης, ανάλογα με το είδος της παρεχόμενης εγγυητικής κάλυψης και των υποστηριζόμενων πράξεων. Η Επιτροπή θα παρέχει καθοδήγηση και θα παρακολουθεί τη χρήση και τους κινδύνους που συνεπάγονται τα διάφορα προϊόντα, προκειμένου να διασφαλιστεί η συμβατότητα του συνολικού χαρτοφυλακίου με το ποσοστό τροφοδότησης που προβλέπει η πρόταση. </w:t>
      </w:r>
    </w:p>
    <w:p>
      <w:pPr>
        <w:rPr>
          <w:noProof/>
        </w:rPr>
      </w:pPr>
      <w:r>
        <w:rPr>
          <w:noProof/>
        </w:rPr>
        <w:t>Στις 27 Φεβρουαρίου 2018 η επιτροπή ρυθμιστικού ελέγχου εξέδωσε θετική γνωμοδότηση με επιφυλάξεις. [να εισαχθεί υπερσύνδεσμος προς τη γνωμοδότηση της επιτροπής ρυθμιστικού ελέγχου] Το έγγραφο εργασίας «εκτίμηση επιπτώσεων» [να εισαχθεί παραπομπή/υπερσύνδεσμος] πραγματεύεται τα ζητήματα που εγέρθηκαν. Η έκθεση επεξηγεί τώρα καλύτερα τις τρέχουσες επικαλύψεις μεταξύ του ΕΤΣΕ και χρηματοδοτικών μέσων που τελούν υπό κεντρική διαχείριση. Διευκρινίζει επίσης πώς θα αποφεύγονται οι πιθανές επικαλύψεις στο πλαίσιο του ταμείου InvestEU. Επιπλέον, αναλύονται λεπτομερέστερα η επιλογή της προτεινόμενης διάρθρωσης διακυβέρνησης και ο ρόλος των διάφορων φορέων. Αυτό περιλαμβάνει σύγκριση των ρυθμίσεων διακυβέρνησης που χρησιμοποιούνται επί του παρόντος για το ΕΤΣΕ και τα χρηματοδοτικά μέσα με εκείνη που προτείνεται στο πλαίσιο του ταμείου InvestEU. Έχουν προστεθεί περαιτέρω διευκρινίσεις σχετικά με τις παραδοχές για το προβλεπόμενο επίπεδο κινδύνου και το ποσοστό τροφοδότησης, συμπεριλαμβανομένων πρόσθετων επεξηγήσεων αναφορικά με τη λειτουργία αξιολόγησης κινδύνου εντός της διάρθρωσης διακυβέρνησης.</w:t>
      </w:r>
    </w:p>
    <w:p>
      <w:pPr>
        <w:pStyle w:val="ManualHeading2"/>
        <w:rPr>
          <w:rStyle w:val="Aucun"/>
          <w:noProof/>
        </w:rPr>
      </w:pPr>
      <w:r>
        <w:rPr>
          <w:rStyle w:val="Aucun"/>
          <w:noProof/>
        </w:rPr>
        <w:t>•</w:t>
      </w:r>
      <w:r>
        <w:rPr>
          <w:noProof/>
        </w:rPr>
        <w:tab/>
      </w:r>
      <w:r>
        <w:rPr>
          <w:rStyle w:val="Aucun"/>
          <w:noProof/>
        </w:rPr>
        <w:t>Απλούστευση</w:t>
      </w:r>
    </w:p>
    <w:p>
      <w:pPr>
        <w:pStyle w:val="Corps"/>
        <w:spacing w:before="0" w:after="240"/>
        <w:rPr>
          <w:noProof/>
        </w:rPr>
      </w:pPr>
      <w:r>
        <w:rPr>
          <w:noProof/>
        </w:rPr>
        <w:t xml:space="preserve">Οι μη βέλτιστες επενδυτικές καταστάσεις αντιμετωπίζονται επί του παρόντος με τη χρήση ενός ετερογενούς και κατακερματισμένου χαρτοφυλακίου ενωσιακών χρηματοδοτικών μέσων, καθώς και του ΕΤΣΕ. Αυτή η κατάσταση οδηγεί επίσης σε πολυπλοκότητα για τους χρηματοδοτικούς ενδιάμεσους φορείς και τους τελικούς αποδέκτες, οι οποίοι έρχονταν αντιμέτωποι με διαφορετικούς κανόνες επιλεξιμότητας και υποβολής εκθέσεων. </w:t>
      </w:r>
    </w:p>
    <w:p>
      <w:pPr>
        <w:rPr>
          <w:noProof/>
        </w:rPr>
      </w:pPr>
      <w:r>
        <w:rPr>
          <w:noProof/>
        </w:rPr>
        <w:t xml:space="preserve">Το ταμείο InvestEU αποσκοπεί στην απλούστευση της ενίσχυσης των επενδύσεων από μέρους της ΕΕ με την καθιέρωση ενός ενιαίου πλαισίου που συμβάλλει στη μείωση της πολυπλοκότητας. Χάρη στη μείωση του αριθμού των συμφωνιών που υπόκεινται σε ενιαία δέσμη κανόνων, το ταμείο InvestEU θα απλουστεύσει την πρόσβαση των τελικών αποδεκτών στην στήριξη της ΕΕ, τη διακυβέρνηση και τη διαχείριση των μέσων στήριξης των επενδύσεων. </w:t>
      </w:r>
    </w:p>
    <w:p>
      <w:pPr>
        <w:rPr>
          <w:noProof/>
        </w:rPr>
      </w:pPr>
      <w:r>
        <w:rPr>
          <w:noProof/>
        </w:rPr>
        <w:t>Επιπρόσθετα, το γεγονός ότι το ταμείο InvestEU καλύπτει όλες τις ανάγκες των πολιτικών στήριξης των επενδύσεων επιτρέπει τον εξορθολογισμό και την εναρμόνιση των απαιτήσεων υποβολής εκθέσεων και των δεικτών επιδόσεων.</w:t>
      </w:r>
    </w:p>
    <w:p>
      <w:pPr>
        <w:pStyle w:val="ManualHeading2"/>
        <w:rPr>
          <w:rStyle w:val="Aucun"/>
          <w:noProof/>
        </w:rPr>
      </w:pPr>
      <w:r>
        <w:rPr>
          <w:rStyle w:val="Aucun"/>
          <w:noProof/>
        </w:rPr>
        <w:t>•</w:t>
      </w:r>
      <w:r>
        <w:rPr>
          <w:noProof/>
        </w:rPr>
        <w:tab/>
      </w:r>
      <w:r>
        <w:rPr>
          <w:rStyle w:val="Aucun"/>
          <w:noProof/>
        </w:rPr>
        <w:t>Θεμελιώδη δικαιώματα</w:t>
      </w:r>
    </w:p>
    <w:p>
      <w:pPr>
        <w:rPr>
          <w:noProof/>
        </w:rPr>
      </w:pPr>
      <w:r>
        <w:rPr>
          <w:noProof/>
        </w:rPr>
        <w:t>Η πρόταση δεν έχει επιπτώσεις στα θεμελιώδη δικαιώματα.</w:t>
      </w:r>
    </w:p>
    <w:p>
      <w:pPr>
        <w:pStyle w:val="ManualHeading1"/>
        <w:rPr>
          <w:noProof/>
        </w:rPr>
      </w:pPr>
      <w:r>
        <w:rPr>
          <w:noProof/>
        </w:rPr>
        <w:lastRenderedPageBreak/>
        <w:t>4.</w:t>
      </w:r>
      <w:r>
        <w:rPr>
          <w:noProof/>
        </w:rPr>
        <w:tab/>
        <w:t>ΔΗΜΟΣΙΟΝΟΜΙΚΕΣ ΕΠΙΠΤΩΣΕΙΣ</w:t>
      </w:r>
    </w:p>
    <w:p>
      <w:pPr>
        <w:rPr>
          <w:noProof/>
        </w:rPr>
      </w:pPr>
      <w:r>
        <w:rPr>
          <w:noProof/>
        </w:rPr>
        <w:t>Σύμφωνα με την ανακοίνωση</w:t>
      </w:r>
      <w:r>
        <w:rPr>
          <w:rStyle w:val="FootnoteReference"/>
          <w:noProof/>
        </w:rPr>
        <w:footnoteReference w:id="9"/>
      </w:r>
      <w:r>
        <w:rPr>
          <w:noProof/>
        </w:rPr>
        <w:t xml:space="preserve"> της Επιτροπής σχετικά με το πολυετές δημοσιονομικό πλαίσιο για την περίοδο 2021-2017, το δημοσιονομικό πλαίσιο (αναλήψεις υποχρεώσεων σε τρέχουσες τιμές) που προβλέπεται για το πρόγραμμα InvestEU ανέρχεται στο ποσό των 14 725 000 000 EUR, συμπεριλαμβανομένων 525 000 000 EUR για βοήθεια ανάπτυξης έργων και άλλα συνοδευτικά μέτρα. Το σύνολο της τροφοδότησης θα ανέλθει στο ποσό των 15 200 000 000 EUR, εκ των οποίων τα 1 000 000 000 EUR καλύπτονται από έσοδα, αποπληρωμές και επιστροφές που προέρχονται από υφιστάμενα χρηματοδοτικά μέσα και από το ΕΤΣΕ. Σύμφωνα με το [άρθρο 211 παράγραφος 4 στοιχείο δ)] του [δημοσιονομικού κανονισμού], τα έσοδα και οι επιστροφές από το ταμείο InvestEU θα παράσχουν επίσης πρόσθετες εισφορές πέραν της τροφοδότησης.</w:t>
      </w:r>
    </w:p>
    <w:p>
      <w:pPr>
        <w:rPr>
          <w:noProof/>
        </w:rPr>
      </w:pPr>
      <w:r>
        <w:rPr>
          <w:noProof/>
        </w:rPr>
        <w:t>Η παρούσα πρόταση περιλαμβάνει νομοθετικό δημοσιονομικό δελτίο.</w:t>
      </w:r>
    </w:p>
    <w:p>
      <w:pPr>
        <w:pStyle w:val="ManualHeading1"/>
        <w:rPr>
          <w:noProof/>
        </w:rPr>
      </w:pPr>
      <w:r>
        <w:rPr>
          <w:noProof/>
        </w:rPr>
        <w:t>5.</w:t>
      </w:r>
      <w:r>
        <w:rPr>
          <w:noProof/>
        </w:rPr>
        <w:tab/>
        <w:t>ΛΟΙΠΑ ΣΤΟΙΧΕΙΑ</w:t>
      </w:r>
    </w:p>
    <w:p>
      <w:pPr>
        <w:pStyle w:val="ManualHeading2"/>
        <w:rPr>
          <w:rStyle w:val="Aucun"/>
          <w:noProof/>
        </w:rPr>
      </w:pPr>
      <w:r>
        <w:rPr>
          <w:rStyle w:val="Aucun"/>
          <w:noProof/>
        </w:rPr>
        <w:t>•</w:t>
      </w:r>
      <w:r>
        <w:rPr>
          <w:noProof/>
        </w:rPr>
        <w:tab/>
      </w:r>
      <w:r>
        <w:rPr>
          <w:rStyle w:val="Aucun"/>
          <w:noProof/>
        </w:rPr>
        <w:t>Σχέδια εφαρμογής και ρυθμίσεις παρακολούθησης, αξιολόγησης και υποβολής εκθέσεων</w:t>
      </w:r>
    </w:p>
    <w:p>
      <w:pPr>
        <w:rPr>
          <w:noProof/>
        </w:rPr>
      </w:pPr>
      <w:r>
        <w:rPr>
          <w:noProof/>
        </w:rPr>
        <w:t xml:space="preserve">Το ταμείο InvestEU («εγγύηση της ΕΕ») θα υλοποιηθεί μέσω έμμεσης διαχείρισης. Η Επιτροπή θα συνάψει τις αναγκαίες συμβάσεις εγγύησης με τους εταίρους υλοποίησης. Ο συμβουλευτικός κόμβος InvestEU θα υλοποιηθεί μέσω έμμεσης ή άμεσης διαχείρισης ανάλογα με τη φύση της βοήθειας. Η πύλη InvestEU θα υλοποιηθεί κατά κύριο λόγο μέσω άμεσης διαχείρισης. </w:t>
      </w:r>
    </w:p>
    <w:p>
      <w:pPr>
        <w:rPr>
          <w:noProof/>
        </w:rPr>
      </w:pPr>
      <w:r>
        <w:rPr>
          <w:noProof/>
        </w:rPr>
        <w:t>Ο αντίκτυπος του προγράμματος InvestEU θα εκτιμηθεί μέσω αξιολογήσεων. Οι αξιολογήσεις θα διενεργηθούν σύμφωνα με τις παραγράφους 22 και 23 της διοργανικής συμφωνίας της 13ης Απριλίου 2016</w:t>
      </w:r>
      <w:r>
        <w:rPr>
          <w:rStyle w:val="FootnoteReference"/>
          <w:noProof/>
        </w:rPr>
        <w:footnoteReference w:id="10"/>
      </w:r>
      <w:r>
        <w:rPr>
          <w:noProof/>
        </w:rPr>
        <w:t>, βάσει των οποίων τα τρία θεσμικά όργανα επιβεβαίωσαν ότι οι αξιολογήσεις της ισχύουσας νομοθεσίας και πολιτικής θα πρέπει να αποτελούν τη βάση για τις εκτιμήσεις επιπτώσεων των επιλογών για περαιτέρω δράση. Στο πλαίσιο των αξιολογήσεων θα εκτιμηθούν οι επιτόπιες επιπτώσεις του προγράμματος InvestEU με βάση τους δείκτες/στόχους του εν λόγω προγράμματος, και η λεπτομερής ανάλυση του βαθμού στον οποίον το πρόγραμμα InvestEU μπορεί να θεωρηθεί κατάλληλο, αποτελεσματικό και αποδοτικό παρέχει επαρκή προστιθέμενη αξία για την ΕΕ και συνάδει με άλλες πολιτικές της ΕΕ. Αυτό θα περιλαμβάνει διδάγματα για τον εντοπισμό τυχόν ελλείψεων/προβλημάτων ή τυχόν δυνατοτήτων για περαιτέρω βελτίωση των δράσεων και των αποτελεσμάτων τους και για τη συμβολή στη μεγιστοποίηση της αξιοποίησης/του αντικτύπου τους. Η παρακολούθηση των επιδόσεων θα μετράται σε συνάρτηση με τους δείκτες που καθορίζονται στην πρόταση. Εκτός από τους εν λόγω βασικούς δείκτες, θα συμπεριληφθούν και λεπτομερέστεροι δείκτες στις κατευθυντήριες γραμμές περί επενδύσεων ή στις συμφωνίες εγγύησης, με βάση τα συγκεκριμένα χρηματοπιστωτικά προϊόντα που θα χρησιμοποιηθούν. Επιπρόσθετα, θα εκπονηθούν ειδικοί δείκτες για τον Ο συμβουλευτικό κόμβο InvestEU και την πύλη InvestEU.</w:t>
      </w:r>
    </w:p>
    <w:p>
      <w:pPr>
        <w:rPr>
          <w:noProof/>
        </w:rPr>
      </w:pPr>
      <w:r>
        <w:rPr>
          <w:noProof/>
        </w:rPr>
        <w:t>Θα απαιτηθεί εναρμονισμένη υποβολή εκθέσεων από μέρους των εταίρων υλοποίησης, σύμφωνα με τον [δημοσιονομικό κανονισμό].</w:t>
      </w:r>
    </w:p>
    <w:p>
      <w:pPr>
        <w:pStyle w:val="ManualHeading2"/>
        <w:rPr>
          <w:rStyle w:val="Aucun"/>
          <w:noProof/>
        </w:rPr>
      </w:pPr>
      <w:r>
        <w:rPr>
          <w:rStyle w:val="Aucun"/>
          <w:noProof/>
        </w:rPr>
        <w:lastRenderedPageBreak/>
        <w:t>•</w:t>
      </w:r>
      <w:r>
        <w:rPr>
          <w:noProof/>
        </w:rPr>
        <w:tab/>
      </w:r>
      <w:r>
        <w:rPr>
          <w:rStyle w:val="Aucun"/>
          <w:noProof/>
        </w:rPr>
        <w:t>Αναλυτική επεξήγηση των επιμέρους διατάξεων της πρότασης</w:t>
      </w:r>
    </w:p>
    <w:p>
      <w:pPr>
        <w:rPr>
          <w:noProof/>
        </w:rPr>
      </w:pPr>
      <w:r>
        <w:rPr>
          <w:noProof/>
        </w:rPr>
        <w:t>Κεφάλαιο Ι – Γενικές διατάξεις</w:t>
      </w:r>
    </w:p>
    <w:p>
      <w:pPr>
        <w:rPr>
          <w:noProof/>
        </w:rPr>
      </w:pPr>
      <w:r>
        <w:rPr>
          <w:noProof/>
        </w:rPr>
        <w:t>Οι γενικές διατάξεις προβλέπουν τους γενικούς και ειδικούς στόχους του προγράμματος InvestEU, οι οποίοι αποτυπώνονται στη συνέχεια στα σκέλη πολιτικής.</w:t>
      </w:r>
    </w:p>
    <w:p>
      <w:pPr>
        <w:pStyle w:val="Corps"/>
        <w:spacing w:before="0" w:after="240"/>
        <w:rPr>
          <w:noProof/>
        </w:rPr>
      </w:pPr>
      <w:r>
        <w:rPr>
          <w:noProof/>
        </w:rPr>
        <w:t>Οι χρηματοδοτικές και επενδυτικές δραστηριότητες που θα υποστηριχθούν από την εγγύηση της ΕΕ στο πλαίσιο του ταμείου InvestEU θα συμβάλλουν: i) στην ανταγωνιστικότητα της Ένωσης, συμπεριλαμβανομένης της καινοτομίας και της ψηφιοποίησης· ii) στη βιωσιμότητα της οικονομίας της Ένωσης και στην ανάπτυξή της· iii) στην κοινωνική αντοχή και ένταξη· iv) στην ενοποίηση των κεφαλαιαγορών της Ένωσης και την ενίσχυση της ενιαίας αγοράς, συμπεριλαμβανομένων λύσεων για την αντιμετώπιση του κατακερματισμού των κεφαλαιαγορών της Ένωσης, τη διαφοροποίηση των πηγών χρηματοδότησης για τις επιχειρήσεις της Ένωσης και την προώθηση της βιώσιμης χρηματοδότησης.</w:t>
      </w:r>
    </w:p>
    <w:p>
      <w:pPr>
        <w:rPr>
          <w:noProof/>
        </w:rPr>
      </w:pPr>
      <w:r>
        <w:rPr>
          <w:noProof/>
        </w:rPr>
        <w:t>Το προτεινόμενο ύψος της εγγύησης της ΕΕ ανέρχεται σε 38 000 000 000 EUR με αντίστοιχο ποσοστό τροφοδότησης 40 %, δηλαδή απαιτούνται 15 200 000 000 εκατ. EUR για τις καταβολές (αμφότερα τα ποσά σε τρέχουσες τιμές). Η ενδεικτική κατανομή της εγγύησης της ΕΕ στα επιμέρους σκέλη πολιτικής καθορίζεται στο Παράρτημα I. Το ύψος της τροφοδότησης εξαρτάται από τον τύπο των χρηματοδοτικών προϊόντων που προβλέπεται να χρησιμοποιηθούν και την επικινδυνότητα των χαρτοφυλακίων, λαμβάνοντας υπόψη την πείρα από το ΕΤΣΕ και τα προγενέστερα χρηματοδοτικά μέσα.</w:t>
      </w:r>
    </w:p>
    <w:p>
      <w:pPr>
        <w:pStyle w:val="Corps"/>
        <w:spacing w:before="0" w:after="240"/>
        <w:rPr>
          <w:noProof/>
        </w:rPr>
      </w:pPr>
      <w:r>
        <w:rPr>
          <w:noProof/>
        </w:rPr>
        <w:t>Προτείνεται χρηματοδότηση ύψους 525 000 000 EUR (σε τρέχουσες τιμές) για τον συμβουλευτικό κόμβο InvestEU την πύλη InvestEU, καθώς και συνοδευτικά μέτρα.</w:t>
      </w:r>
    </w:p>
    <w:p>
      <w:pPr>
        <w:rPr>
          <w:noProof/>
        </w:rPr>
      </w:pPr>
      <w:r>
        <w:rPr>
          <w:noProof/>
        </w:rPr>
        <w:t>Προβλέπεται επίσης ότι θα μπορούσαν και τρίτες χώρες να συνδεθούν με χρηματοπιστωτικά προϊόντα στο πλαίσιο των σκελών πολιτικής του ταμείου InvestEU, καταβάλλοντας ολόκληρη τη συμμετοχή τους σε μετρητά. Αυτή η δυνατότητα προβλέπεται ιδίως, όπου αυτό δικαιολογείται, να επιτρέψει τη συνέχιση των υφιστάμενων ρυθμίσεων, μεταξύ άλλων, στον τομέα της έρευνας, ή να προβλεφθούν δυνατότητες για στήριξη σε σχέση με τις διαδικασίες προσχώρησης. Τα κράτη μέλη που επιθυμούν να χρησιμοποιήσουν μέρος των κονδυλίων στο πλαίσιο της επιμερισμένης διαχείρισης μέσω του ταμείου InvestEU μπορούν επίσης να συνεισφέρουν. Τα εν λόγω ποσά καταβάλλονται επιπροσθέτως προς την εγγύηση της ΕΕ ύψους 38 000 000 000 EUR (σε τρέχουσες τιμές).</w:t>
      </w:r>
    </w:p>
    <w:p>
      <w:pPr>
        <w:rPr>
          <w:noProof/>
        </w:rPr>
      </w:pPr>
      <w:r>
        <w:rPr>
          <w:noProof/>
        </w:rPr>
        <w:t>Κεφάλαιο ΙΙ – ταμείο InvestEU</w:t>
      </w:r>
    </w:p>
    <w:p>
      <w:pPr>
        <w:pStyle w:val="Corps"/>
        <w:spacing w:before="0" w:after="240"/>
        <w:rPr>
          <w:noProof/>
        </w:rPr>
      </w:pPr>
      <w:r>
        <w:rPr>
          <w:noProof/>
        </w:rPr>
        <w:t xml:space="preserve">Το παρόν κεφάλαιο καθορίζει τα τέσσερα σκέλη πολιτικής του ταμείου InvestEU: i) βιώσιμες υποδομές· ii) έρευνα, καινοτομία και ψηφιοποίηση· iii) ΜΜΕ· iv) κοινωνικές επενδύσεις και δεξιότητες. Καθορίζει επίσης τις δύο συνιστώσες της εγγύησης της ΕΕ: i) τη συνιστώσα για την ΕΕ· και ii) τη συνιστώσα για τα κράτη μέλη, που θα περιλαμβάνει μια υποσυνιστώσα για κάθε κράτος μέλος που αποφασίζει να συνεισφέρει στο ταμείο InvestEU μέρος των κεφαλαίων του υπό επιμερισμένη διαχείρισης. </w:t>
      </w:r>
    </w:p>
    <w:p>
      <w:pPr>
        <w:rPr>
          <w:noProof/>
        </w:rPr>
      </w:pPr>
      <w:r>
        <w:rPr>
          <w:noProof/>
        </w:rPr>
        <w:t xml:space="preserve">Οι ειδικοί κανόνες που αφορούν τη συνιστώσα κράτος μέλος προβλέπουν συμφωνία συνεισφοράς μεταξύ της Επιτροπής και του οικείου κράτους μέλους και ορίζουν τα κύρια στοιχεία της συνεισφοράς, όπως, για παράδειγμα, το μέγεθος, το ποσοστό τροφοδότησης και ενδεχόμενες υποχρεώσεις. Ο κανονισμός περί κοινών διατάξεων και άλλα συναφή νομικά μέσα θα περιέχουν τις αναγκαίες εξουσιοδοτικές διατάξεις. Μόλις διενεργηθεί η μεταβίβαση στο ταμείο InvestEU, η υλοποίηση της συνιστώσας για το κράτος μέλος θα ακολουθεί τους ενιαίους κανόνες του ταμείου InvestEU. Η Επιτροπή επιλέγει τον εταίρο υλοποίησης βάσει </w:t>
      </w:r>
      <w:r>
        <w:rPr>
          <w:noProof/>
        </w:rPr>
        <w:lastRenderedPageBreak/>
        <w:t>πρότασης του κράτους μέλους και υπογράφει τη σύμβαση εγγύησης με ενδιαφερόμενο κράτος μέλος.</w:t>
      </w:r>
    </w:p>
    <w:p>
      <w:pPr>
        <w:pStyle w:val="Corps"/>
        <w:spacing w:before="0" w:after="240"/>
        <w:rPr>
          <w:noProof/>
        </w:rPr>
      </w:pPr>
      <w:r>
        <w:rPr>
          <w:noProof/>
        </w:rPr>
        <w:t xml:space="preserve">Η πρόταση της Επιτροπής για το ΠΔΠ 2021-2027 θέτει έναν περισσότερο φιλόδοξο στόχο για την ενσωμάτωση της διάστασης του κλίματος σε όλα τα προγράμματα της ΕΕ, με στόχο τουλάχιστον το 25 % των δαπανών της ΕΕ να κατευθύνεται σε κλιματικούς στόχους. Η συνεισφορά του προγράμματος InvestEU στην επίτευξη του εν λόγω γενικού στόχου θα παρακολουθείται με τη χρήση ενός ενωσιακού συστήματος παρακολούθησης του κλίματος. Η Επιτροπή θα υποβάλει τις πληροφορίες ανά έτος στο πλαίσιο του ετήσιου σχεδίου προϋπολογισμού. </w:t>
      </w:r>
    </w:p>
    <w:p>
      <w:pPr>
        <w:rPr>
          <w:noProof/>
        </w:rPr>
      </w:pPr>
      <w:r>
        <w:rPr>
          <w:noProof/>
        </w:rPr>
        <w:t>Προκειμένου να ενισχύσει την πλήρη αξιοποίηση του δυναμικού του προγράμματος InvestEU για την επίτευξη των κλιματικών στόχων, η Επιτροπή θα προσπαθεί να προσδιορίζει σχετικές δράσεις καθ’ όλη τη διάρκεια των διαδικασιών προετοιμασίας, υλοποίησης, ανασκόπησης και αξιολόγησης του προγράμματος InvestEU.</w:t>
      </w:r>
    </w:p>
    <w:p>
      <w:pPr>
        <w:rPr>
          <w:noProof/>
        </w:rPr>
      </w:pPr>
      <w:r>
        <w:rPr>
          <w:noProof/>
        </w:rPr>
        <w:t>Κεφάλαιο III – Εγγύηση της ΕΕ</w:t>
      </w:r>
    </w:p>
    <w:p>
      <w:pPr>
        <w:rPr>
          <w:noProof/>
        </w:rPr>
      </w:pPr>
      <w:r>
        <w:rPr>
          <w:noProof/>
        </w:rPr>
        <w:t>Οι διατάξεις σχετικά με την εγγύηση της ΕΕ και τη χρήση της παρατίθενται στο παρόν κεφάλαιο. Οι διατάξεις αυτές περιλαμβάνουν τον αμετάκλητο και κατά παραγγελία χαρακτήρα της εγγύησης της ΕΕ, την επενδυτική περίοδο η οποία καλύπτει την περίοδο του ΠΔΠ, τις απαιτήσεις για επιλέξιμες χρηματοδοτικές και επενδυτικές δραστηριότητες και επιλέξιμα είδη χρηματοδότησης. Οι τομείς που είναι επιλέξιμοι για χρηματοδοτικές και επενδυτικές δραστηριότητες ορίζονται αναλυτικότερα στο παράρτημα II.</w:t>
      </w:r>
    </w:p>
    <w:p>
      <w:pPr>
        <w:rPr>
          <w:noProof/>
        </w:rPr>
      </w:pPr>
      <w:r>
        <w:rPr>
          <w:noProof/>
        </w:rPr>
        <w:t>Επιπρόσθετα, το παρόν κεφάλαιο καθορίζει τις απαιτήσεις για τους εταίρους υλοποίησης – οι οποίοι, μεταξύ άλλων, θα πρέπει να έχουν περάσει την αξιολόγηση των πυλώνων σύμφωνα με τον [δημοσιονομικό κανονισμό] – και για τις συμφωνίες εγγύησης μεταξύ της Επιτροπής και των φορέων υλοποίησης.</w:t>
      </w:r>
    </w:p>
    <w:p>
      <w:pPr>
        <w:rPr>
          <w:noProof/>
        </w:rPr>
      </w:pPr>
      <w:r>
        <w:rPr>
          <w:noProof/>
        </w:rPr>
        <w:t>Κατά την επιλογή των εταίρων υλοποίησης, η Επιτροπή θα εξετάζει την ικανότητά τους να εκπληρώσουν τους στόχους του InvestEU Ταμείο και να συνεισφέρουν με δικούς τους πόρους στην προσέλκυση ιδιωτών επενδυτών, να παρέχουν επαρκή γεωγραφική και τομεακή κάλυψη και να συμβάλλουν σε νέες λύσεις για την αντιμετώπιση των ανεπαρκειών της αγοράς και των καταστάσεων μη βέλτιστων επενδύσεων. Δεδομένου του ρόλου του δυνάμει των Συνθηκών, της δυνατότητάς του να λειτουργεί σε όλα τα κράτη μέλη και της υφιστάμενης πείρας από τα τρέχοντα χρηματοδοτικά μέσα και το ΕΤΣΕ, ο όμιλος της Ευρωπαϊκής Τράπεζας Επενδύσεων («ΕΤΕπ») θα πρέπει να εξακολουθεί να αποτελεί προνομιακό εταίρο υλοποίησης στο πλαίσιο της συνιστώσας για την ΕΕ. Οι εθνικές αναπτυξιακές τράπεζες ή ιδρύματα θα ληφθούν επίσης υπόψη. Επιπλέον, θα είναι δυνατόν να υπάρχουν και άλλα διεθνή χρηματοπιστωτικά ιδρύματα ως εταίροι υλοποίησης, ιδίως όταν παρουσιάζουν ένα συγκριτικό πλεονέκτημα όσον αφορά ειδική εμπειρογνωμοσύνη και πείρα σε ορισμένα κράτη μέλη. Θα πρέπει επίσης και άλλες οντότητες που πληρούν τα κριτήρια που ορίζει ο δημοσιονομικός κανονισμός να είναι σε θέση να ενεργούν ως εταίροι υλοποίησης. Οι εταίροι υλοποίησης θα πρέπει να καλύπτουν τουλάχιστον τρία κράτη μέλη αλλά ενδέχεται να αποτελούν μια ομάδα για τον σκοπό αυτό.</w:t>
      </w:r>
    </w:p>
    <w:p>
      <w:pPr>
        <w:rPr>
          <w:noProof/>
        </w:rPr>
      </w:pPr>
      <w:r>
        <w:rPr>
          <w:noProof/>
        </w:rPr>
        <w:t xml:space="preserve"> Ωστόσο, αναμένεται ότι περίπου το 75 % της εγγύησης της ΕΕ στο πλαίσιο της συνιστώσας για την ΕΕ θα χορηγείται σε εταίρο ή εταίρους υλοποίησης που δύνανται να προσφέρουν χρηματοδοτικά προϊόντα σε όλα τα κράτη μέλη.</w:t>
      </w:r>
    </w:p>
    <w:p>
      <w:pPr>
        <w:rPr>
          <w:noProof/>
        </w:rPr>
      </w:pPr>
      <w:r>
        <w:rPr>
          <w:noProof/>
        </w:rPr>
        <w:t>Περιλαμβάνει επίσης τη λεπτομερή κάλυψη της εγγύησης της ΕΕ σε συνάρτηση με τη διαφορετική φύση της χρηματοδότησης που μπορεί να χορηγηθεί στο πλαίσιό της.</w:t>
      </w:r>
    </w:p>
    <w:p>
      <w:pPr>
        <w:rPr>
          <w:noProof/>
        </w:rPr>
      </w:pPr>
      <w:r>
        <w:rPr>
          <w:noProof/>
        </w:rPr>
        <w:t>Κεφάλαιο IV – Διακυβέρνηση</w:t>
      </w:r>
    </w:p>
    <w:p>
      <w:pPr>
        <w:pStyle w:val="Corps"/>
        <w:spacing w:before="0" w:after="240"/>
        <w:rPr>
          <w:noProof/>
        </w:rPr>
      </w:pPr>
      <w:r>
        <w:rPr>
          <w:noProof/>
        </w:rPr>
        <w:lastRenderedPageBreak/>
        <w:t>Το ταμείο InvestEU θα διαθέτει γνωμοδοτικό συμβούλιο το οποίο θα συνέρχεται υπό δύο συνθέσεις: i) των εκπροσώπων των εταίρων υλοποίησης· και ii) των εκπροσώπων των κρατών μελών. Τα καθήκοντα της εν λόγω επιτροπής περιλαμβάνουν την παροχή συμβουλών στην Επιτροπή σχετικά με τον σχεδιασμό των χρηματοδοτικών προϊόντων που θα χρησιμοποιούνται στο πλαίσιο του ταμείου InvestEU και την παροχή συμβουλών για τις αστοχίες της αγοράς και τις μη βέλτιστες επενδυτικές καταστάσεις, καθώς και τους όρους της αγοράς στη σύνθεση με τους εταίρους υλοποίησης. Η συμβουλευτική επιτροπή θα ενημερώνει επίσης τα κράτη μέλη σχετικά με την υλοποίηση του Ταμείου InvestEU και θα προβλέπει την τακτική ανταλλαγή απόψεων για τις εξελίξεις της αγοράς καθώς και την ανταλλαγή βέλτιστων πρακτικών.</w:t>
      </w:r>
    </w:p>
    <w:p>
      <w:pPr>
        <w:rPr>
          <w:noProof/>
        </w:rPr>
      </w:pPr>
      <w:r>
        <w:rPr>
          <w:noProof/>
        </w:rPr>
        <w:t>Μια ομάδα έργου αποτελούμενη από εμπειρογνώμονες τους οποίους θέτουν οι εταίροι υλοποίησης στη διάθεση της Επιτροπής θα καταρτίζει τον πίνακα αποτελεσμάτων για πιθανές χρηματοδοτικές και επενδυτικές δραστηριότητες προκειμένου να αξιολογήσει η Επιτροπή Επενδύσεων κατά πόσον θα χορηγηθεί σε αυτές τις πράξεις το ευεργέτημα της εγγύησης της ΕΕ. Η Επιτροπή απαιτείται να επιβεβαιώσει ότι η προτεινόμενη χρηματοδοτική ή επενδυτική πράξη είναι σύμφωνη με το δίκαιο και τις πολιτικές της Ένωσης προκειμένου να υποβληθεί μια πρόταση στην ομάδα έργου.</w:t>
      </w:r>
    </w:p>
    <w:p>
      <w:pPr>
        <w:rPr>
          <w:noProof/>
        </w:rPr>
      </w:pPr>
      <w:r>
        <w:rPr>
          <w:noProof/>
        </w:rPr>
        <w:t>Η Επιτροπή Επενδύσεων εγκρίνει τη χρήση της εγγύησης της ΕΕ για χρηματοδοτικές και επενδυτικές δραστηριότητες. Τα μέλη της είναι εξωτερικοί εμπειρογνώμονες με πείρα στους συναφείς τομείς. Η επιτροπή θα συνέρχεται σε τέσσερις διαφορετικές συνθέσεις, οι οποίες αντιστοιχούν στα σκέλη πολιτικής. Κάθε σύνθεση αποτελείται από έξι μέλη, τέσσερα εκ των οποίων είναι μόνιμα που συμμετέχουν σε όλες τις συνθέσεις. Τα υπόλοιπα δύο μέλη επιλέγονται προκειμένου να ληφθούν υπόψη ειδικότερα οι τομείς που καλύπτονται από το συγκεκριμένο σκέλος πολιτικής.</w:t>
      </w:r>
    </w:p>
    <w:p>
      <w:pPr>
        <w:rPr>
          <w:noProof/>
        </w:rPr>
      </w:pPr>
      <w:r>
        <w:rPr>
          <w:noProof/>
        </w:rPr>
        <w:t>Κεφάλαιο V – Συμβουλευτικός κόμβος InvestEU</w:t>
      </w:r>
    </w:p>
    <w:p>
      <w:pPr>
        <w:rPr>
          <w:noProof/>
        </w:rPr>
      </w:pPr>
      <w:r>
        <w:rPr>
          <w:noProof/>
        </w:rPr>
        <w:t>Ο συμβουλευτικός κόμβος InvestEU παρέχει συμβουλευτική στήριξη για τον προσδιορισμό, την προετοιμασία, την ανάπτυξη, τη διάρθρωση, την ανάθεση και την υλοποίηση των έργων, συμπεριλαμβανομένης της ανάπτυξης ικανοτήτων. Είναι διαθέσιμος για δημόσιους και ιδιωτικούς φορείς υλοποίησης έργων, καθώς και για χρηματοδοτικούς και άλλους ενδιάμεσους φορείς.</w:t>
      </w:r>
    </w:p>
    <w:p>
      <w:pPr>
        <w:rPr>
          <w:noProof/>
        </w:rPr>
      </w:pPr>
      <w:r>
        <w:rPr>
          <w:noProof/>
        </w:rPr>
        <w:t>Κεφάλαιο VI – Πύλη InvestEU</w:t>
      </w:r>
    </w:p>
    <w:p>
      <w:pPr>
        <w:rPr>
          <w:noProof/>
        </w:rPr>
      </w:pPr>
      <w:r>
        <w:rPr>
          <w:noProof/>
        </w:rPr>
        <w:t>Η δικτυακή πύλη InvestEU θα δημιουργηθεί με την αξιοποίηση της εμπειρίας από τη δικτυακή πύλη έργων στο πλαίσιο του Επενδυτικού Σχεδίου για την Ευρώπη. Θα περιλαμβάνει συστηματικούς ελέγχους της συνέπειας των λαμβανόμενων έργων με τη νομοθεσία και τις πολιτικές της Ένωσης, καθώς και την υποχρέωση για τους εταίρους υλοποίησης να λαμβάνουν υπόψη έργα που πληρούν τον έλεγχος της συνάφειας τα οποία εμπίπτουν στο πεδίο δράσης τους. Στόχος του είναι να διασφαλιστεί η διαφάνεια για τα έργα που παρουσιάζουν επενδυτικό ενδιαφέρον εντός της ΕΕ και για τα οποία αναζητείται χρηματοδότηση. Ωστόσο, ένα έργο που δεν χρειάζεται να αναρτηθεί στη διαδικτυακή πύλη προκειμένου να επωφεληθεί από τη χρηματοδότηση της ΕΕ. Ομοίως, η υποβολή στην πύλη δεν σημαίνει ότι το έργο θα λάβει στο τέλος την εγγύηση της ΕΕ.</w:t>
      </w:r>
    </w:p>
    <w:p>
      <w:pPr>
        <w:rPr>
          <w:noProof/>
        </w:rPr>
      </w:pPr>
      <w:r>
        <w:rPr>
          <w:noProof/>
        </w:rPr>
        <w:t>Κεφάλαιο VII – Παρακολούθηση και υποβολή εκθέσεων, αξιολόγηση και έλεγχος</w:t>
      </w:r>
    </w:p>
    <w:p>
      <w:pPr>
        <w:pStyle w:val="Corps"/>
        <w:spacing w:before="0" w:after="240"/>
        <w:rPr>
          <w:noProof/>
        </w:rPr>
      </w:pPr>
      <w:r>
        <w:rPr>
          <w:noProof/>
        </w:rPr>
        <w:t xml:space="preserve">Προτείνεται να αξιολογείται η χρήση της εγγύησης της ΕΕ μέσω ενδιάμεσης και τελικής αξιολόγησης σύμφωνα με τις απαιτήσεις του [δημοσιονομικού κανονισμού]. Το παρόν κεφάλαιο προβλέπει επίσης την τακτική παρακολούθηση και υποβολή εκθέσεων και καθορίζει τους δείκτες μέτρησης επιδόσεων στο παράρτημα ΙΙΙ. Επιπλέον, περιλαμβάνει </w:t>
      </w:r>
      <w:r>
        <w:rPr>
          <w:noProof/>
        </w:rPr>
        <w:lastRenderedPageBreak/>
        <w:t xml:space="preserve">διατάξεις σχετικά με τον έλεγχο και τα δικαιώματα της OLAF αναφορικά με χρηματοδοτικές και επενδυτικές δραστηριότητες σε τρίτες χώρες. </w:t>
      </w:r>
    </w:p>
    <w:p>
      <w:pPr>
        <w:rPr>
          <w:noProof/>
        </w:rPr>
      </w:pPr>
      <w:r>
        <w:rPr>
          <w:noProof/>
        </w:rPr>
        <w:t>Τέλος, το παρόν κεφάλαιο καθορίζει τη διαδικασία για τις κατ’ εξουσιοδότηση πράξεις και προβλέπει εφαρμογή του κανονισμού από την 1η Ιανουαρίου 2021.</w:t>
      </w:r>
    </w:p>
    <w:p>
      <w:pPr>
        <w:rPr>
          <w:noProof/>
        </w:rPr>
      </w:pPr>
      <w:r>
        <w:rPr>
          <w:noProof/>
        </w:rPr>
        <w:t>Κεφάλαιο VIII – Διαφάνεια και προβολή</w:t>
      </w:r>
    </w:p>
    <w:p>
      <w:pPr>
        <w:rPr>
          <w:noProof/>
        </w:rPr>
      </w:pPr>
      <w:r>
        <w:rPr>
          <w:noProof/>
        </w:rPr>
        <w:t>Οι τυποποιημένες διατάξεις περιλαμβάνονται για τη διασφάλιση επαρκούς διαφάνειας και προβολής.</w:t>
      </w:r>
    </w:p>
    <w:p>
      <w:pPr>
        <w:rPr>
          <w:noProof/>
        </w:rPr>
      </w:pPr>
      <w:r>
        <w:rPr>
          <w:noProof/>
        </w:rPr>
        <w:t>Κεφάλαιο ΙX – Μεταβατικές και τελικές διατάξεις</w:t>
      </w:r>
    </w:p>
    <w:p>
      <w:pPr>
        <w:rPr>
          <w:noProof/>
        </w:rPr>
      </w:pPr>
      <w:r>
        <w:rPr>
          <w:noProof/>
        </w:rPr>
        <w:t>Το εν λόγω τελικό κεφάλαιο περιλαμβάνει διατάξεις που αφορούν τη χρήση των εσόδων, των αποπληρωμών και των ανακτήσεων από προγενέστερα προγράμματα. Κατάλογος των εν λόγω προγραμμάτων, επιπρόσθετα προς το ΕΤΣΕ, περιλαμβάνεται στο παράρτημα IV.</w:t>
      </w:r>
    </w:p>
    <w:p>
      <w:pPr>
        <w:rPr>
          <w:noProof/>
        </w:rPr>
        <w:sectPr>
          <w:footerReference w:type="default" r:id="rId16"/>
          <w:footerReference w:type="first" r:id="rId17"/>
          <w:pgSz w:w="11907" w:h="16839"/>
          <w:pgMar w:top="1134" w:right="1417" w:bottom="1134" w:left="1417" w:header="709" w:footer="709" w:gutter="0"/>
          <w:cols w:space="708"/>
          <w:docGrid w:linePitch="360"/>
        </w:sectPr>
      </w:pPr>
    </w:p>
    <w:p>
      <w:pPr>
        <w:pStyle w:val="Rfrenceinterinstitutionnelle"/>
        <w:rPr>
          <w:noProof/>
        </w:rPr>
      </w:pPr>
      <w:r>
        <w:rPr>
          <w:noProof/>
        </w:rPr>
        <w:lastRenderedPageBreak/>
        <w:t>2018/0229 (COD)</w:t>
      </w:r>
    </w:p>
    <w:p>
      <w:pPr>
        <w:pStyle w:val="Statut"/>
        <w:rPr>
          <w:noProof/>
        </w:rPr>
      </w:pPr>
      <w:r>
        <w:rPr>
          <w:noProof/>
        </w:rPr>
        <w:t>Πρόταση</w:t>
      </w:r>
    </w:p>
    <w:p>
      <w:pPr>
        <w:pStyle w:val="Typedudocument"/>
        <w:rPr>
          <w:noProof/>
        </w:rPr>
      </w:pPr>
      <w:r>
        <w:rPr>
          <w:noProof/>
        </w:rPr>
        <w:t>ΚΑΝΟΝΙΣΜΟΣ ΤΟΥ ΕΥΡΩΠΑΪΚΟΥ ΚΟΙΝΟΒΟΥΛΙΟΥ ΚΑΙ ΤΟΥ ΣΥΜΒΟΥΛΙΟΥ</w:t>
      </w:r>
    </w:p>
    <w:p>
      <w:pPr>
        <w:pStyle w:val="Titreobjet"/>
        <w:rPr>
          <w:noProof/>
        </w:rPr>
      </w:pPr>
      <w:r>
        <w:rPr>
          <w:noProof/>
        </w:rPr>
        <w:t>για τη θέσπιση του προγράμματος InvestEU</w:t>
      </w:r>
    </w:p>
    <w:p>
      <w:pPr>
        <w:pStyle w:val="Institutionquiagit"/>
        <w:rPr>
          <w:noProof/>
        </w:rPr>
      </w:pPr>
      <w:r>
        <w:rPr>
          <w:noProof/>
        </w:rPr>
        <w:t>ΤΟ ΕΥΡΩΠΑΪΚΟ ΚΟΙΝΟΒΟΥΛΙΟ ΚΑΙ ΤΟ ΣΥΜΒΟΥΛΙΟ ΤΗΣ ΕΥΡΩΠΑΪΚΗΣ ΕΝΩΣΗΣ,</w:t>
      </w:r>
    </w:p>
    <w:p>
      <w:pPr>
        <w:rPr>
          <w:noProof/>
        </w:rPr>
      </w:pPr>
    </w:p>
    <w:p>
      <w:pPr>
        <w:rPr>
          <w:noProof/>
        </w:rPr>
      </w:pPr>
      <w:r>
        <w:rPr>
          <w:noProof/>
        </w:rPr>
        <w:t>Έχοντας υπόψη τη Συνθήκη για τη λειτουργία της Ευρωπαϊκής Ένωσης, και ιδίως το άρθρο 173 και το άρθρο 175 δεύτερο εδάφιο,</w:t>
      </w:r>
    </w:p>
    <w:p>
      <w:pPr>
        <w:rPr>
          <w:noProof/>
        </w:rPr>
      </w:pPr>
      <w:r>
        <w:rPr>
          <w:noProof/>
        </w:rPr>
        <w:t>Έχοντας υπόψη την πρόταση της Ευρωπαϊκής Επιτροπής,</w:t>
      </w:r>
    </w:p>
    <w:p>
      <w:pPr>
        <w:rPr>
          <w:noProof/>
        </w:rPr>
      </w:pPr>
      <w:r>
        <w:rPr>
          <w:noProof/>
        </w:rPr>
        <w:t>Κατόπιν διαβίβασης του σχεδίου νομοθετικής πράξης στα εθνικά κοινοβούλια,</w:t>
      </w:r>
    </w:p>
    <w:p>
      <w:pPr>
        <w:rPr>
          <w:rStyle w:val="Aucun"/>
          <w:i/>
          <w:iCs/>
          <w:noProof/>
        </w:rPr>
      </w:pPr>
      <w:r>
        <w:rPr>
          <w:noProof/>
        </w:rPr>
        <w:t>Έχοντας υπόψη τη γνώμη της Ευρωπαϊκής Οικονομικής και Κοινωνικής Επιτροπής</w:t>
      </w:r>
      <w:r>
        <w:rPr>
          <w:rStyle w:val="Aucun"/>
          <w:noProof/>
          <w:vertAlign w:val="superscript"/>
        </w:rPr>
        <w:footnoteReference w:id="11"/>
      </w:r>
      <w:r>
        <w:rPr>
          <w:noProof/>
        </w:rPr>
        <w:t xml:space="preserve">, </w:t>
      </w:r>
    </w:p>
    <w:p>
      <w:pPr>
        <w:rPr>
          <w:noProof/>
        </w:rPr>
      </w:pPr>
      <w:r>
        <w:rPr>
          <w:noProof/>
        </w:rPr>
        <w:t>Έχοντας υπόψη τη γνώμη της Επιτροπής των Περιφερειών</w:t>
      </w:r>
      <w:r>
        <w:rPr>
          <w:rStyle w:val="Aucun"/>
          <w:noProof/>
          <w:vertAlign w:val="superscript"/>
        </w:rPr>
        <w:footnoteReference w:id="12"/>
      </w:r>
      <w:r>
        <w:rPr>
          <w:noProof/>
        </w:rPr>
        <w:t xml:space="preserve">, </w:t>
      </w:r>
    </w:p>
    <w:p>
      <w:pPr>
        <w:rPr>
          <w:noProof/>
        </w:rPr>
      </w:pPr>
      <w:r>
        <w:rPr>
          <w:noProof/>
        </w:rPr>
        <w:t>Αποφασίζοντας σύμφωνα με τη συνήθη νομοθετική διαδικασία,</w:t>
      </w:r>
    </w:p>
    <w:p>
      <w:pPr>
        <w:rPr>
          <w:noProof/>
        </w:rPr>
      </w:pPr>
      <w:r>
        <w:rPr>
          <w:noProof/>
        </w:rPr>
        <w:t>Εκτιμώντας τα ακόλουθα:</w:t>
      </w:r>
    </w:p>
    <w:p>
      <w:pPr>
        <w:pStyle w:val="ManualConsidrant"/>
        <w:rPr>
          <w:noProof/>
        </w:rPr>
      </w:pPr>
      <w:r>
        <w:t>(1)</w:t>
      </w:r>
      <w:r>
        <w:tab/>
      </w:r>
      <w:r>
        <w:rPr>
          <w:noProof/>
        </w:rPr>
        <w:t xml:space="preserve">Δεδομένου ότι το ΑΕΠ της ΕΕ μειώθηκε από 2.2 % το 2009 σε 1.8 %, οι επενδυτικές δραστηριότητες στην Ένωση μειώθηκαν το 2016 περίπου κατά 20 % σε σύγκριση με τα ποσοστά των επενδύσεων πριν από την παγκόσμια χρηματοπιστωτική κρίση. Επομένως, παρότι η ανάκαμψη των δεικτών επενδύσεων προς το ΑΕΠ στην Ένωση είναι ορατή, </w:t>
      </w:r>
      <w:r>
        <w:rPr>
          <w:rStyle w:val="Aucun"/>
          <w:noProof/>
        </w:rPr>
        <w:t>εξακολουθεί να βρίσκεται</w:t>
      </w:r>
      <w:r>
        <w:rPr>
          <w:noProof/>
        </w:rPr>
        <w:t xml:space="preserve"> σε επίπεδα κατώτερα εκείνων που θα αναμένονταν κατά τη διάρκεια μιας περιόδου ισχυρής ανάκαμψης και δεν επαρκεί για να αντισταθμίσει τα έτη κατά τα οποία οι επενδύσεις ήταν ανεπαρκείς.  Και το πιο σημαντικό είναι ότι τα τρέχοντα επίπεδα επενδύσεων και οι σχετικές προβλέψεις </w:t>
      </w:r>
      <w:r>
        <w:rPr>
          <w:rStyle w:val="Aucun"/>
          <w:noProof/>
        </w:rPr>
        <w:t xml:space="preserve">δεν καλύπτουν τις διαρθρωτικές επενδυτικές ανάγκες της Ένωσης δεδομένης της </w:t>
      </w:r>
      <w:r>
        <w:rPr>
          <w:noProof/>
        </w:rPr>
        <w:t>τεχνολογικής εξέλιξης και της παγκόσμιας ανταγωνιστικότητας,</w:t>
      </w:r>
      <w:r>
        <w:rPr>
          <w:rStyle w:val="Aucun"/>
          <w:noProof/>
        </w:rPr>
        <w:t xml:space="preserve"> μεταξύ άλλων σε σχέση με την καινοτομία, τις δεξιότητες, τις υποδομές, τις μικρομεσαίες επιχειρήσεις («ΜΜΕ») και την ανάγκη αντιμετώπισης βασικών κοινωνικών προκλήσεων όπως η βιωσιμότητα ή η γήρανση του πληθυσμού. Επομένως, </w:t>
      </w:r>
      <w:r>
        <w:rPr>
          <w:noProof/>
        </w:rPr>
        <w:t>απαιτείται διαρκής ενίσχυση προκειμένου να αντιμετωπιστούν οι αστοχίες της αγοράς και οι μη βέλτιστες επενδυτικές καταστάσεις, να μειωθεί το επενδυτικό κενό στους τομείς-στόχους και να επιτευχθούν οι στόχοι πολιτικής της Ένωσης.</w:t>
      </w:r>
    </w:p>
    <w:p>
      <w:pPr>
        <w:pStyle w:val="ManualConsidrant"/>
        <w:rPr>
          <w:noProof/>
        </w:rPr>
      </w:pPr>
      <w:r>
        <w:t>(2)</w:t>
      </w:r>
      <w:r>
        <w:tab/>
      </w:r>
      <w:r>
        <w:rPr>
          <w:rStyle w:val="Aucun"/>
          <w:noProof/>
        </w:rPr>
        <w:t xml:space="preserve">Έχει επισημανθεί από τις αξιολογήσεις ότι η ποικιλία των χρηματοδοτικών μέσων που υλοποιούνται στο πλαίσιο του πολυετούς δημοσιονομικού πλαισίου 2014-2020 έχει οδηγήσει σε ορισμένες επικαλύψεις. Αυτή η ποικιλία έχει προκαλέσει περιπλοκότητα για τους ενδιάμεσους φορείς και τους τελικούς αποδέκτες, οι οποίοι έρχονται αντιμέτωποι με διαφορετικούς κανόνες επιλεξιμότητας και υποβολής εκθέσεων. Επίσης, η απουσία συμβατών κανόνων έχει παρεμποδίσει τον συνδυασμό </w:t>
      </w:r>
      <w:r>
        <w:rPr>
          <w:rStyle w:val="Aucun"/>
          <w:noProof/>
        </w:rPr>
        <w:lastRenderedPageBreak/>
        <w:t>διαφορετικών ενωσιακών ταμείων, μολονότι ο συνδυασμός αυτός θα ήταν επωφελής για την ενίσχυση έργων που απαιτούν διαφορετικά είδη χρηματοδότησης. Θα πρέπει λοιπόν να θεσπιστεί ένα ενιαίο ταμείο, το ταμείο InvestEU, προκειμένου να διασφαλιστεί η αποδοτικότερη λειτουργία της ενίσχυσης για τους τελικούς αποδέκτες μέσω ενσωμάτωσης και απλούστευσης της οικονομικής προσφοράς στο πλαίσιο ενός ενιαίου μηχανισμού εγγύησης από τον προϋπολογισμό, γεγονός που θα βελτιώσει τον αντίκτυπο της ενωσιακής παρέμβασης, μειώνοντας παράλληλα το κόστος για τον προϋπολογισμό της Ένωσης.</w:t>
      </w:r>
    </w:p>
    <w:p>
      <w:pPr>
        <w:pStyle w:val="ManualConsidrant"/>
        <w:rPr>
          <w:noProof/>
        </w:rPr>
      </w:pPr>
      <w:r>
        <w:t>(3)</w:t>
      </w:r>
      <w:r>
        <w:tab/>
      </w:r>
      <w:r>
        <w:rPr>
          <w:rStyle w:val="Aucun"/>
          <w:noProof/>
        </w:rPr>
        <w:t xml:space="preserve">Κατά τα πρόσφατα έτη, η Ένωση θέσπισε φιλόδοξες στρατηγικές για την ολοκλήρωση της ενιαίας αγοράς και την τόνωση της βιώσιμης ανάπτυξης και της απασχόλησης, όπως η Ένωση Κεφαλαιαγορών, η στρατηγική για την ψηφιακή ενιαία αγορά, το πακέτο «Καθαρή ενέργεια για όλους τους Ευρωπαίους πολίτες», το σχέδιο δράσης της ΕΕ για την κυκλική οικονομία, η στρατηγική για κινητικότητα χαμηλών εκπομπών και η αμυντική και διαστημική στρατηγική για την Ευρώπη. Το ταμείο InvestEU θα πρέπει να αξιοποιήσει και να ενισχύσει τις συνέργειες μεταξύ των εν λόγω αλληλοσυνδεόμενων στρατηγικών στηρίζοντας τις επενδύσεις και την πρόσβαση σε χρηματοδότηση. </w:t>
      </w:r>
    </w:p>
    <w:p>
      <w:pPr>
        <w:pStyle w:val="ManualConsidrant"/>
        <w:rPr>
          <w:noProof/>
        </w:rPr>
      </w:pPr>
      <w:r>
        <w:t>(4)</w:t>
      </w:r>
      <w:r>
        <w:tab/>
      </w:r>
      <w:r>
        <w:rPr>
          <w:noProof/>
        </w:rPr>
        <w:t>Σε ενωσιακό επίπεδο, το Ευρωπαϊκό Εξάμηνο συντονισμού της οικονομικής πολιτικής αποτελεί το πλαίσιο για τον προσδιορισμό εθνικών μεταρρυθμιστικών προτεραιοτήτων και την παρακολούθηση της υλοποίησής τους. Τα κράτη μέλη αναπτύσσουν τις δικές τους εθνικές πολυετείς στρατηγικές επενδύσεων για την ενίσχυση των εν λόγω προτεραιοτήτων. Οι στρατηγικές θα πρέπει να ανακοινώνονται παράλληλα με τα ετήσια εθνικά προγράμματα μεταρρυθμίσεων ως μέσο περιγραφής και συντονισμού των επενδυτικών σχεδίων προτεραιότητας που πρόκειται να λάβουν στήριξη μέσω εθνικής ή ενωσιακής χρηματοδότησης, ή και των δύο. Θα πρέπει επίσης να διασφαλίζουν ότι η ενωσιακή χρηματοδότηση χρησιμοποιείται με συνεκτικό τρόπο και να μεγιστοποιούν την προστιθέμενη αξία της χρηματοδοτικής στήριξης που πρόκειται να ληφθεί ιδίως από τα ευρωπαϊκά διαρθρωτικά και επενδυτικά ταμεία, την Ευρωπαϊκή Λειτουργία Σταθεροποίησης Επενδύσεων και το ταμείο InvestEU, κατά περίπτωση.</w:t>
      </w:r>
    </w:p>
    <w:p>
      <w:pPr>
        <w:pStyle w:val="ManualConsidrant"/>
        <w:rPr>
          <w:noProof/>
        </w:rPr>
      </w:pPr>
      <w:r>
        <w:t>(5)</w:t>
      </w:r>
      <w:r>
        <w:tab/>
      </w:r>
      <w:r>
        <w:rPr>
          <w:rStyle w:val="Aucun"/>
          <w:noProof/>
        </w:rPr>
        <w:t xml:space="preserve">Το ταμείο InvestEU θα πρέπει να συμβάλει στη βελτίωση της ανταγωνιστικότητας της Ένωσης, μεταξύ άλλων στον τομέα της καινοτομίας και ψηφιοποίησης, της βιωσιμότητας της οικονομικής ανάπτυξης στην Ένωση, της κοινωνικής αντοχής και ένταξης και της ενοποίησης των κεφαλαιαγορών της Ένωσης, συμπεριλαμβανομένων λύσεων για την αντιμετώπιση του κατακερματισμού τους και τη διαφοροποίηση των πηγών χρηματοδότησης για τις επιχειρήσεις της Ένωσης. Για τον σκοπό αυτό, θα πρέπει να ενισχύει έργα που είναι τεχνικώς και οικονομικώς βιώσιμα, παρέχοντας ένα πλαίσιο για τη χρήση χρεωστικών μέσων, μέσων επιμερισμού του κινδύνου και συμμετοχικών μέσων με τη στήριξη εγγύησης από τον προϋπολογισμό της Ένωσης και συνεισφορών από τους εταίρους υλοποίησης. Θα πρέπει να λειτουργεί με γνώμονα τη ζήτηση, ενώ η στήριξη στο πλαίσιο του ταμείου InvestEU θα πρέπει ταυτόχρονα να εστιάζει στη συμβολή για την επίτευξη των στόχων πολιτικής της Ένωσης. </w:t>
      </w:r>
    </w:p>
    <w:p>
      <w:pPr>
        <w:pStyle w:val="ManualConsidrant"/>
        <w:rPr>
          <w:noProof/>
        </w:rPr>
      </w:pPr>
      <w:r>
        <w:t>(6)</w:t>
      </w:r>
      <w:r>
        <w:tab/>
      </w:r>
      <w:r>
        <w:rPr>
          <w:rStyle w:val="Aucun"/>
          <w:noProof/>
        </w:rPr>
        <w:t>Το ταμείο InvestEU θα πρέπει να ενισχύει επενδύσεις σε ενσώματα και ασώματα στοιχεία ενεργητικού με σκοπό την προώθηση της ανάπτυξης, των επενδύσεων και της απασχόλησης, συμβάλλοντας έτσι στη βελτίωση της ευημερίας και τη δικαιότερη κατανομή των εισοδημάτων στην Ένωση. Η παρέμβαση μέσω του ταμείου InvestEU θα πρέπει να συμπληρώνει τη στήριξη της Ένωσης που παρέχεται μέσω επιχορηγήσεων.</w:t>
      </w:r>
    </w:p>
    <w:p>
      <w:pPr>
        <w:pStyle w:val="ManualConsidrant"/>
        <w:rPr>
          <w:noProof/>
        </w:rPr>
      </w:pPr>
      <w:r>
        <w:lastRenderedPageBreak/>
        <w:t>(7)</w:t>
      </w:r>
      <w:r>
        <w:tab/>
      </w:r>
      <w:r>
        <w:rPr>
          <w:noProof/>
        </w:rPr>
        <w:t>Η Ένωση ενέκρινε τους στόχους που καθορίζονται στην ατζέντα του 2030 των Ηνωμένων Εθνών και τους Στόχους Βιώσιμης Ανάπτυξης, τη Συμφωνία του Παρισιού του 2015, καθώς και το Πλαίσιο Σεντάι για τη μείωση του κινδύνου καταστροφών. Για την επίτευξη των συμφωνηθέντων στόχων, συμπεριλαμβανομένων εκείνων που εμπεριέχονται στις περιβαλλοντικές πολιτικές της Ένωσης, η δράση για την προώθηση της βιώσιμης ανάπτυξης θα πρέπει να ενισχυθεί σημαντικά. Ως εκ τούτου, οι αρχές της βιώσιμης ανάπτυξης θα πρέπει να αποτελούν βασικό χαρακτηριστικό του σχεδιασμού του ταμείου InvestEU.</w:t>
      </w:r>
    </w:p>
    <w:p>
      <w:pPr>
        <w:pStyle w:val="ManualConsidrant"/>
        <w:rPr>
          <w:noProof/>
        </w:rPr>
      </w:pPr>
      <w:r>
        <w:t>(8)</w:t>
      </w:r>
      <w:r>
        <w:tab/>
      </w:r>
      <w:r>
        <w:rPr>
          <w:noProof/>
        </w:rPr>
        <w:t>Το πρόγραμμα InvestEU θα πρέπει να συμβάλλει στη δημιουργία ενός βιώσιμου χρηματοπιστωτικού συστήματος στην Ένωση που θα στηρίζει τον εκ νέου προσανατολισμό των ιδιωτικών κεφαλαίων προς τις βιώσιμες επενδύσεις, σύμφωνα με τους στόχους που ορίζονται στο σχέδιο δράσης της Επιτροπής για την χρηματοδότηση της αειφόρου ανάπτυξης</w:t>
      </w:r>
      <w:r>
        <w:rPr>
          <w:rStyle w:val="Aucun"/>
          <w:noProof/>
          <w:vertAlign w:val="superscript"/>
        </w:rPr>
        <w:footnoteReference w:id="13"/>
      </w:r>
      <w:r>
        <w:rPr>
          <w:noProof/>
        </w:rPr>
        <w:t>.</w:t>
      </w:r>
    </w:p>
    <w:p>
      <w:pPr>
        <w:pStyle w:val="ManualConsidrant"/>
        <w:rPr>
          <w:noProof/>
        </w:rPr>
      </w:pPr>
      <w:r>
        <w:t>(9)</w:t>
      </w:r>
      <w:r>
        <w:tab/>
      </w:r>
      <w:r>
        <w:rPr>
          <w:noProof/>
        </w:rPr>
        <w:t>Λαμβάνοντας υπόψη τη σημασία της αντιμετώπισης της αλλαγής του κλίματος, σύμφωνα με τις δεσμεύσεις της ΕΕ για την εφαρμογή της συμφωνίας του Παρισιού και τους στόχους βιώσιμης ανάπτυξης των Ηνωμένων Εθνών, το πρόγραμμα InvestEU θα συμβάλει στην ενσωμάτωση της δράσης για το κλίμα, καθώς και στην επίτευξη ενός γενικού στόχου που συνίσταται στο να διατεθεί το 25 % των δαπανών του προϋπολογισμού της ΕΕ προς στόχους που αφορούν το κλίμα. Δράσεις στο πλαίσιο του προγράμματος InvestEU που αντιπροσωπεύουν 30 % του συνολικού χρηματοδοτικού κονδυλίου του προγράμματος InvestEU αναμένεται να συμβάλλουν στην επίτευξη των κλιματικών στόχων. Οι σχετικές δράσεις θα προσδιοριστούν κατά τη διάρκεια της προετοιμασίας και υλοποίησης του προγράμματος InvestEU και θα επανεκτιμηθούν στο πλαίσιο των σχετικών διαδικασιών αξιολόγησης και ανασκόπησης.</w:t>
      </w:r>
    </w:p>
    <w:p>
      <w:pPr>
        <w:pStyle w:val="ManualConsidrant"/>
        <w:rPr>
          <w:noProof/>
        </w:rPr>
      </w:pPr>
      <w:r>
        <w:t>(10)</w:t>
      </w:r>
      <w:r>
        <w:tab/>
      </w:r>
      <w:r>
        <w:rPr>
          <w:noProof/>
        </w:rPr>
        <w:t>Η συνεισφορά του ταμείου InvestEU στην επίτευξη του κλιματικού στόχου θα παρακολουθείται μέσω ενός ενωσιακού συστήματος παρακολούθησης του κλίματος που έχει δημιουργήσει η Επιτροπή σε συνεργασία με τους εταίρους υλοποίησης καθώς και με κατάλληλη χρήση των κριτηρίων που θεσπίζονται βάσει του [κανονισμού για τη θέσπιση πλαισίου για τη διευκόλυνση των βιώσιμων επενδύσεων</w:t>
      </w:r>
      <w:r>
        <w:rPr>
          <w:rStyle w:val="Aucun"/>
          <w:noProof/>
          <w:vertAlign w:val="superscript"/>
        </w:rPr>
        <w:footnoteReference w:id="14"/>
      </w:r>
      <w:r>
        <w:rPr>
          <w:noProof/>
        </w:rPr>
        <w:t>] προκειμένου να διαπιστώνεται κατά πόσον μια οικονομική δραστηριότητα είναι περιβαλλοντικά βιώσιμη.</w:t>
      </w:r>
    </w:p>
    <w:p>
      <w:pPr>
        <w:pStyle w:val="ManualConsidrant"/>
        <w:rPr>
          <w:noProof/>
        </w:rPr>
      </w:pPr>
      <w:r>
        <w:t>(11)</w:t>
      </w:r>
      <w:r>
        <w:tab/>
      </w:r>
      <w:r>
        <w:rPr>
          <w:noProof/>
        </w:rPr>
        <w:t xml:space="preserve">Σύμφωνα με την έκθεση του 2018 για τους παγκόσμιους κινδύνους, που εξέδωσε το Παγκόσμιο Οικονομικό Φόρουμ, οι μισοί από τους δέκα σημαντικότερους κινδύνους οι οποίοι απειλούν την παγκόσμια οικονομία σχετίζονται με το περιβάλλον. Στους εν λόγω κινδύνους συγκαταλέγονται η μόλυνση της ατμόσφαιρας, του εδάφους και των υδάτων, τα ακραία καιρικά φαινόμενα, η απώλεια βιοποικιλότητας και οι αποτυχίες μετριασμού της κλιματικής αλλαγής και προσαρμογής σε αυτήν. Οι περιβαλλοντικές αρχές αποτελούν αναπόσπαστο μέρος των Συνθηκών και πολλών από τις πολιτικές της Ένωσης. Ως εκ τούτου, θα πρέπει να προωθείται η ενσωμάτωση περιβαλλοντικών στόχων στις σχετικές δραστηριότητες του ταμείου InvestEU. Η προστασία του περιβάλλοντος και η πρόληψη και διαχείριση των σχετικών κινδύνων θα πρέπει να ενσωματώνονται στην προετοιμασία και υλοποίηση των επενδύσεων. Επίσης, η ΕΕ θα πρέπει να παρακολουθεί τις δαπάνες που αφορούν τη βιοποικιλότητα και τον έλεγχο της ατμοσφαιρικής ρύπανσης, προκειμένου να εκπληρώνει τις υποχρεώσεις υποβολής εκθέσεων που προβλέπονται από τη σύμβαση για τη βιολογική ποικιλομορφία και την </w:t>
      </w:r>
      <w:r>
        <w:rPr>
          <w:noProof/>
        </w:rPr>
        <w:lastRenderedPageBreak/>
        <w:t>οδηγία (ΕΕ) 2016/2284 του Ευρωπαϊκού Κοινοβουλίου και του Συμβουλίου.</w:t>
      </w:r>
      <w:r>
        <w:rPr>
          <w:rStyle w:val="Aucun"/>
          <w:noProof/>
          <w:vertAlign w:val="superscript"/>
        </w:rPr>
        <w:footnoteReference w:id="15"/>
      </w:r>
      <w:r>
        <w:rPr>
          <w:noProof/>
        </w:rPr>
        <w:t>Επομένως, οι επενδύσεις που κατανέμονται σε περιβαλλοντικούς στόχους βιωσιμότητας θα πρέπει να παρακολουθούνται με τη χρήση κοινών μεθοδολογιών οι οποίες συνάδουν με εκείνη που έχει εκπονηθεί στο πλαίσιο άλλων προγραμμάτων της Ένωσης τα οποία ισχύουν για τη διαχείριση του κλίματος, της βιοποικιλότητας και της ατμοσφαιρικής ρύπανσης, προκειμένου να είναι δυνατή η εκτίμηση των επιμέρους και συνδυασμένων επιπτώσεων των επενδύσεων σε βασικές συνιστώσες του φυσικού κεφαλαίου, τα οποία συμπεριλαμβάνουν την ατμόσφαιρα, τα ύδατα, το έδαφος και τη βιοποικιλότητα.</w:t>
      </w:r>
    </w:p>
    <w:p>
      <w:pPr>
        <w:pStyle w:val="ManualConsidrant"/>
        <w:rPr>
          <w:noProof/>
        </w:rPr>
      </w:pPr>
      <w:r>
        <w:t>(12)</w:t>
      </w:r>
      <w:r>
        <w:tab/>
      </w:r>
      <w:r>
        <w:rPr>
          <w:noProof/>
        </w:rPr>
        <w:t>Τα επενδυτικά έργα που λαμβάνουν ουσιαστική στήριξη από την Ένωση, ιδίως στον τομέα των υποδομών, θα πρέπει να υπόκεινται σε έλεγχο βιωσιμότητας σύμφωνα με τις κατευθυντήριες γραμμές που θα πρέπει να εκπονήσει η Επιτροπή σε συνεργασία με τους εταίρους υλοποίησης στο πλαίσιο του προγράμματος InvestEU και με κατάλληλη χρήση των κριτηρίων που θεσπίζονται βάσει του [κανονισμού για τη θέσπιση πλαισίου για τη διευκόλυνση των βιώσιμων επενδύσεων] προκειμένου να διαπιστώνεται κατά πόσον μια οικονομική δραστηριότητα είναι περιβαλλοντικά βιώσιμη και συνάδει με τις κατευθυντήριες γραμμές που εκπονούνται για άλλα προγράμματα της Ένωσης. Οι εν λόγω κατευθυντήριες γραμμές θα πρέπει να περιλαμβάνουν επαρκείς διατάξεις για την αποφυγή άσκοπης διοικητικής επιβάρυνσης.</w:t>
      </w:r>
    </w:p>
    <w:p>
      <w:pPr>
        <w:pStyle w:val="ManualConsidrant"/>
        <w:rPr>
          <w:noProof/>
        </w:rPr>
      </w:pPr>
      <w:r>
        <w:t>(13)</w:t>
      </w:r>
      <w:r>
        <w:tab/>
      </w:r>
      <w:r>
        <w:rPr>
          <w:rStyle w:val="Aucun"/>
          <w:noProof/>
        </w:rPr>
        <w:t>Τα χαμηλά ποσοστά επενδύσεων υποδομών στην Ένωση κατά τη διάρκεια της χρηματοπιστωτικής κρίσης υπονόμευσαν τις δυνατότητες της Ένωσης για τόνωση της βιώσιμης ανάπτυξης, της ανταγωνιστικότητας και της σύγκλισης. Οι μεγάλες επενδύσεις σε ευρωπαϊκές υποδομές είναι θεμελιώδους σημασίας για την εκπλήρωση των στόχων βιωσιμότητας της Ένωσης, συμπεριλαμβανομένων των στόχων για την ενέργεια και το κλίμα για το 2030. Κατά συνέπεια, η στήριξη από το ταμείο InvestEU θα πρέπει να στοχεύει σε επενδύσεις στους τομείς των μεταφορών, της ενέργειας, συμπεριλαμβανομένων της ενεργειακής απόδοσης και των ανανεώσιμων πηγών ενέργειας, του περιβάλλοντος, της δράσης για το κλίμα, της ναυτιλίας και των ψηφιακών υποδομών. Για να μεγιστοποιηθεί ο αντίκτυπος και η προστιθέμενη αξία της ενωσιακής χρηματοδοτικής στήριξης, είναι σκόπιμο να προωθηθεί μια ορθολογική επενδυτική διαδικασία που επιτρέπει την προβολή των ώριμων έργων και τη συνάφεια μεταξύ των σχετικών προγραμμάτων της Ένωσης. Λαμβάνοντας υπόψη τις απειλές κατά της ασφάλειας, τα επενδυτικά έργα που λαμβάνουν ενωσιακή στήριξη θα πρέπει να λαμβάνουν υπόψη τις αρχές για την προστασία των πολιτών σε δημόσιους χώρους. Αυτό θα πρέπει να συμπληρώνει τις προσπάθειες που γίνονται από άλλα ενωσιακά ταμεία, όπως το Ευρωπαϊκό Ταμείο Περιφερειακής Ανάπτυξης που παρέχει στήριξη για συστατικά στοιχεία ασφάλειας των επενδύσεων σε δημόσιους χώρους, μεταφορές, ενέργεια και άλλες υποδομές κρίσιμης σημασίας.</w:t>
      </w:r>
    </w:p>
    <w:p>
      <w:pPr>
        <w:pStyle w:val="ManualConsidrant"/>
        <w:rPr>
          <w:noProof/>
        </w:rPr>
      </w:pPr>
      <w:r>
        <w:t>(14)</w:t>
      </w:r>
      <w:r>
        <w:tab/>
      </w:r>
      <w:r>
        <w:rPr>
          <w:rStyle w:val="Aucun"/>
          <w:noProof/>
        </w:rPr>
        <w:t xml:space="preserve">Ενώ το ύψος των συνολικών επενδύσεων στην Ένωση αυξάνεται, οι επενδύσεις σε δραστηριότητες υψηλότερου κινδύνου όπως η έρευνα και η καινοτομία εξακολουθούν να είναι ανεπαρκείς. Ως εκ τούτου, οι ανεπαρκείς επενδύσεις στους τομείς της έρευνας και της καινοτομίας επιδρούν αρνητικά στην οικονομική και βιομηχανική ανταγωνιστικότητα της Ένωσης καθώς και στην ποιότητα ζωής των πολιτών της. Το ταμείο InvestEU θα πρέπει να παρέχει τα κατάλληλα χρηματοδοτικά προϊόντα που να </w:t>
      </w:r>
      <w:r>
        <w:rPr>
          <w:rStyle w:val="Aucun"/>
          <w:noProof/>
        </w:rPr>
        <w:lastRenderedPageBreak/>
        <w:t>καλύπτουν τα διάφορα στάδια του κύκλου καινοτομίας και ένα ευρύ φάσμα ενδιαφερόμενων μερών, ιδίως δε να επιτρέπουν την αναβάθμιση και την ανάπτυξη λύσεων σε εμπορική κλίμακα στην Ένωση, προκειμένου οι λύσεις αυτές να καταστούν ανταγωνιστικές στην παγκόσμια αγορά.</w:t>
      </w:r>
    </w:p>
    <w:p>
      <w:pPr>
        <w:pStyle w:val="ManualConsidrant"/>
        <w:rPr>
          <w:noProof/>
        </w:rPr>
      </w:pPr>
      <w:r>
        <w:t>(15)</w:t>
      </w:r>
      <w:r>
        <w:tab/>
      </w:r>
      <w:r>
        <w:rPr>
          <w:rStyle w:val="Aucun"/>
          <w:noProof/>
        </w:rPr>
        <w:t>Απαιτείται επειγόντως σημαντική προσπάθεια για τη διενέργεια επενδύσεων στην ψηφιακή μετατροπή και για τη διασπορά των ωφελειών της σε όλους τους πολίτες και τις επιχειρήσεις της Ένωσης. Το δυναμικό πλαίσιο πολιτικής της στρατηγικής για την ψηφιακή ενιαία αγορά θα πρέπει τώρα να συνδυαστεί με εξίσου φιλόδοξες επενδύσεις, μεταξύ άλλων στην τεχνητή νοημοσύνη.</w:t>
      </w:r>
    </w:p>
    <w:p>
      <w:pPr>
        <w:pStyle w:val="ManualConsidrant"/>
        <w:rPr>
          <w:noProof/>
        </w:rPr>
      </w:pPr>
      <w:r>
        <w:t>(16)</w:t>
      </w:r>
      <w:r>
        <w:tab/>
      </w:r>
      <w:r>
        <w:rPr>
          <w:rStyle w:val="Aucun"/>
          <w:noProof/>
        </w:rPr>
        <w:t>Οι μικρές και μεσαίες επιχειρήσεις (ΜΜΕ) διαδραματίζουν κρίσιμο ρόλο στην Ένωση. Ωστόσο, αντιμετωπίζουν προκλήσεις ως προς την πρόσβαση σε χρηματοδότηση εξαιτίας του υποτιθέμενου υψηλού κινδύνου και της έλλειψης επαρκών εγγυήσεων.  Δημιουργούνται επίσης πρόσθετες προκλήσεις δεδομένου ότι οι ΜΜΕ οφείλουν να παραμείνουν ανταγωνιστικές μέσω συμμετοχής σε δραστηριότητες ψηφιοποίησης, διεθνοποίησης και καινοτομίας και βελτίωσης των δεξιοτήτων του εργατικού δυναμικού τους. Επιπρόσθετα, σε σύγκριση με μεγαλύτερες επιχειρήσεις, έχουν πρόσβαση σε λιγότερες πηγές χρηματοδότησης: κατά κανόνα, δεν θα εκδίδουν τα ομόλογα και έχουν περιορισμένη μόνο πρόσβαση σε χρηματιστήρια ή μεγάλους θεσμικούς επενδυτές. Η πρόκληση όσον αφορά την πρόσβασή σε χρηματοδότηση είναι ακόμη μεγαλύτερη για τις ΜΜΕ των οποίων οι δραστηριότητες επικεντρώνονται σε άυλα στοιχεία ενεργητικού. Οι ΜΜΕ στην Ένωση εξαρτώνται σε μεγάλο βαθμό από τις τράπεζες και από το δανεισμό με τη μορφή υπεραναλήψεων από τραπεζικούς λογαριασμούς, τραπεζικών δανείων ή χρηματοδοτικών μισθώσεων. Είναι αναγκαία η στήριξη των ΜΜΕ που αντιμετωπίζουν τις ανωτέρω προκλήσεις και η προσφορά περισσότερο διαφοροποιημένων πηγών χρηματοδότησης προκειμένου να ενισχυθεί η ικανότητα που έχουν οι ΜΜΕ να χρηματοδοτούν την ίδρυση, την επέκταση και την ανάπτυξή τους και να αντέχουν σε περίπτωση οικονομικής ύφεσης, καθώς επίσης προκειμένου να καταστεί το χρηματοπιστωτικό σύστημα ανθεκτικότερο κατά τη διάρκεια οικονομικής ύφεσης ή αναταραχής. Αυτό είναι επίσης συμπληρωματικό προς τις πρωτοβουλίες που έχουν ήδη αναληφθεί στο πλαίσιο της Ένωσης Κεφαλαιαγορών. Το ταμείο InvestEU θα πρέπει να παρέχει την ευκαιρία εστίασης σε εξειδικευμένα και πιο στοχευμένα χρηματοπιστωτικά προϊόντα.</w:t>
      </w:r>
    </w:p>
    <w:p>
      <w:pPr>
        <w:pStyle w:val="ManualConsidrant"/>
        <w:rPr>
          <w:noProof/>
        </w:rPr>
      </w:pPr>
      <w:r>
        <w:t>(17)</w:t>
      </w:r>
      <w:r>
        <w:tab/>
      </w:r>
      <w:r>
        <w:rPr>
          <w:rStyle w:val="Aucun"/>
          <w:noProof/>
        </w:rPr>
        <w:t>Όπως ορίζεται στο έγγραφο προβληματισμού για την κοινωνική διάσταση της Ευρώπης</w:t>
      </w:r>
      <w:r>
        <w:rPr>
          <w:rStyle w:val="Aucun"/>
          <w:noProof/>
          <w:vertAlign w:val="superscript"/>
        </w:rPr>
        <w:footnoteReference w:id="16"/>
      </w:r>
      <w:r>
        <w:rPr>
          <w:rStyle w:val="Aucun"/>
          <w:noProof/>
        </w:rPr>
        <w:t xml:space="preserve"> και στον ευρωπαϊκό πυλώνα κοινωνικών δικαιωμάτων</w:t>
      </w:r>
      <w:r>
        <w:rPr>
          <w:rStyle w:val="Aucun"/>
          <w:noProof/>
          <w:vertAlign w:val="superscript"/>
        </w:rPr>
        <w:footnoteReference w:id="17"/>
      </w:r>
      <w:r>
        <w:rPr>
          <w:rStyle w:val="Aucun"/>
          <w:noProof/>
        </w:rPr>
        <w:t xml:space="preserve">, η οικοδόμηση μιας πιο δίκαιης και χωρίς αποκλεισμούς Ένωσης αποτελεί πρωταρχική προτεραιότητα της Ένωσης με σκοπό την προώθηση πολιτικών κοινωνικής ένταξης στην Ευρώπη. Η ανισότητα των ευκαιριών επηρεάζει κυρίως την πρόσβαση στην εκπαίδευση, την κατάρτιση και την υγεία. Οι επενδύσεις σε οικονομικούς τομείς που σχετίζονται με την κοινωνία, τις δεξιότητες και το ανθρώπινο κεφάλαιο, καθώς και στην κοινωνική ένταξη των ευάλωτων πληθυσμών δύνανται να ενισχύσουν τις οικονομικές ευκαιρίες, ιδίως δε εάν υπάρχει συντονισμός σε επίπεδο Ένωσης. Το ταμείο InvestEU θα πρέπει να χρησιμοποιείται για τη στήριξη των επενδύσεων στην εκπαίδευση και την κατάρτιση, ως μέσο που θα βοηθήσει στην αύξηση της απασχόλησης, κυρίως μεταξύ των ανειδίκευτων και των μακροχρόνια ανέργων, καθώς και τη βελτίωση της κατάστασης που αφορά την αλληλεγγύη μεταξύ των γενεών, τους τομείς της υγείας, τους αστέγους, την ψηφιακή κοινωνική ένταξη, την κοινωφελή </w:t>
      </w:r>
      <w:r>
        <w:rPr>
          <w:rStyle w:val="Aucun"/>
          <w:noProof/>
        </w:rPr>
        <w:lastRenderedPageBreak/>
        <w:t>κοινωνική εργασία, τον ρόλο και την θέση των νέων στην κοινωνία, καθώς και τα ευάλωτα άτομα, συμπεριλαμβανομένων των υπηκόων τρίτων χωρών. Το πρόγραμμα InvestEU θα πρέπει επίσης να συμβάλει στην ενίσχυση του ευρωπαϊκού πολιτισμού και της δημιουργικότητας. Προκειμένου να αντιμετωπιστούν οι ριζικές αλλαγές των κοινωνιών της Ένωσης και της αγοράς εργασίας κατά την ερχόμενη δεκαετία, είναι απαραίτητες οι επενδύσεις στο ανθρώπινο κεφάλαιο, στη μικροχρηματοδότηση, στη χρηματοδότηση κοινωνικών επιχειρήσεων και σε νέα επιχειρηματικά μοντέλα κοινωνικής οικονομίας, συμπεριλαμβανομένων των επενδύσεων και των συμβάσεων κοινωνικού χαρακτήρα. Το πρόγραμμα InvestEU θα πρέπει να ενισχύει το αναδυόμενο οικοσύστημα κοινωνικής αγοράς, αυξάνοντας την παροχή χρηματοδότησης, καθώς και την πρόσβαση σε αυτήν, για πολύ μικρές και κοινωνικές επιχειρήσεις, προκειμένου να καλύπτεται η ζήτηση εκείνων που την χρειάζονται πιο πολύ. Η έκθεση της ομάδας δράσης υψηλού επιπέδου για επενδύσεις σε κοινωνικές υποδομές στην Ευρώπη</w:t>
      </w:r>
      <w:r>
        <w:rPr>
          <w:rStyle w:val="Aucun"/>
          <w:noProof/>
          <w:vertAlign w:val="superscript"/>
        </w:rPr>
        <w:footnoteReference w:id="18"/>
      </w:r>
      <w:r>
        <w:rPr>
          <w:rStyle w:val="Aucun"/>
          <w:noProof/>
        </w:rPr>
        <w:t xml:space="preserve"> εντόπισε επενδυτικά κενά στις κοινωνικές υποδομές και υπηρεσίες, συμπεριλαμβανομένης της εκπαίδευσης, της κατάρτισης, της υγείας και της στέγασης, που απαιτούν στήριξη, μεταξύ άλλων και σε ενωσιακό επίπεδο. Ως εκ τούτου, θα πρέπει να αξιοποιηθεί η συλλογική ισχύς του δημόσιου κεφαλαίου, του εμπορικού κεφαλαίου, του φιλανθρωπικού κεφαλαίου, καθώς και η στήριξη από ιδρύματα, προκειμένου να στηριχτεί η ανάπτυξη της αλυσίδας αξίας της κοινωνικής αγοράς και να ενισχυθεί η αντοχή της Ένωσης.</w:t>
      </w:r>
    </w:p>
    <w:p>
      <w:pPr>
        <w:pStyle w:val="ManualConsidrant"/>
        <w:rPr>
          <w:noProof/>
        </w:rPr>
      </w:pPr>
      <w:r>
        <w:t>(18)</w:t>
      </w:r>
      <w:r>
        <w:tab/>
      </w:r>
      <w:r>
        <w:rPr>
          <w:rStyle w:val="Aucun"/>
          <w:noProof/>
        </w:rPr>
        <w:t>Το ταμείο InvestEU θα πρέπει να λειτουργεί με τέσσερα σκέλη πολιτικής, που αντικατοπτρίζουν τις προτεραιότητες πολιτικής της Ένωσης, και συγκεκριμένα τις βιώσιμες υποδομές, την έρευνα, καινοτομία και ψηφιοποίηση, τις ΜΜΕ, και τις κοινωνικές επενδύσεις και δεξιότητες.</w:t>
      </w:r>
    </w:p>
    <w:p>
      <w:pPr>
        <w:pStyle w:val="ManualConsidrant"/>
        <w:rPr>
          <w:noProof/>
        </w:rPr>
      </w:pPr>
      <w:r>
        <w:t>(19)</w:t>
      </w:r>
      <w:r>
        <w:tab/>
      </w:r>
      <w:r>
        <w:rPr>
          <w:rStyle w:val="Aucun"/>
          <w:noProof/>
        </w:rPr>
        <w:t>Κάθε σκέλος πολιτικής θα πρέπει να αποτελείται από δύο συνιστώσες, δηλαδή τη συνιστώσα για την ΕΕ και τη συνιστώσα για τα κράτη μέλη. Η συνιστώσα για την ΕΕ θα πρέπει να καλύπτει με αναλογικό τρόπο τις αστοχίες της αγοράς ή τις μη βέλτιστες επενδυτικές καταστάσεις σε ολόκληρη την Ένωση· οι στηριζόμενες δράσεις θα πρέπει να έχουν σαφή ευρωπαϊκή προστιθέμενη αξία. Η συνιστώσα για τα κράτη μέλη θα πρέπει να δίνει στα κράτη μέλη τη δυνατότητα να συνεισφέρουν μέρος των πόρων από τα Ταμεία στο πλαίσιο της επιμερισμένης διαχείρισης για την τροφοδότηση της εγγύησης της ΕΕ, προκειμένου να χρησιμοποιείται η εγγύηση της ΕΕ για χρηματοδοτικές ή επενδυτικές δραστηριότητες που αποσκοπούν στην αντιμετώπιση ειδικών αστοχιών της αγοράς ή μη βέλτιστων επενδυτικών καταστάσεων στην επικράτειά τους, συμπεριλαμβανομένων των ευάλωτων και απομακρυσμένων περιοχών, λόγου χάρη των εξόχως απόκεντρων περιοχών της Ένωσης, προκειμένου να επιτευχθούν οι στόχοι του Ταμείου στο πλαίσιο της επιμερισμένης διαχείρισης . Οι δράσεις που υποστηρίζονται από το Ταμείο InvestEU είτε μέσω της συνιστώσας ΕΕ είτε μέσω της συνιστώσας των κρατών μελών δεν θα πρέπει να επικαλύπτουν ή να παραγκωνίζουν την ιδιωτική χρηματοδότηση ή να νοθεύουν τον ανταγωνισμό στην εσωτερική αγορά.</w:t>
      </w:r>
    </w:p>
    <w:p>
      <w:pPr>
        <w:pStyle w:val="ManualConsidrant"/>
        <w:rPr>
          <w:noProof/>
        </w:rPr>
      </w:pPr>
      <w:r>
        <w:t>(20)</w:t>
      </w:r>
      <w:r>
        <w:tab/>
      </w:r>
      <w:r>
        <w:rPr>
          <w:noProof/>
        </w:rPr>
        <w:t xml:space="preserve">Η συνιστώσα για τα κράτη μέλη θα πρέπει να είναι ειδικά σχεδιασμένη προκειμένου να επιτρέπει τη χρήση κεφαλαίων επιμερισμένης διαχείρισης για την τροφοδότηση εγγύησης που εκδίδει η Ένωση. Ο συνδυασμός αυτός αποσκοπεί στην κινητοποίηση της υψηλής πιστοληπτικής ικανότητας της Ένωσης για την προώθηση εθνικών και περιφερειακών επενδύσεων, διασφαλίζοντας ταυτόχρονα τη συνεπή διαχείριση των κινδύνων των ενδεχόμενων υποχρεώσεων μέσω υλοποίησης της εγγύησης που </w:t>
      </w:r>
      <w:r>
        <w:rPr>
          <w:noProof/>
        </w:rPr>
        <w:lastRenderedPageBreak/>
        <w:t>χορηγεί η Επιτροπή στο πλαίσιο της έμμεσης διαχείρισης. Η Ένωση θα πρέπει να εγγυάται τις χρηματοδοτικές και επενδυτικές δραστηριότητες που προβλέπονται από τις συμφωνίες εγγύησης που συνάπτονται μεταξύ της Επιτροπής και των εταίρων υλοποίησης βάσει της συνιστώσας για τα κράτη μέλη, τα Ταμεία στο πλαίσιο της επιμερισμένης διαχείρισης θα πρέπει να παρέχουν την τροφοδότηση της εγγύησης σύμφωνα με το ποσοστό τροφοδότησης που ορίζει η Επιτροπή με βάση τη φύση των δραστηριοτήτων και τις αναμενόμενες ζημίες που προκύπτουν, και το κράτος μέλος θα αναλαμβάνει τυχόν ζημιές πέραν των αναμενομένων μέσω έκδοσης αντεγγύησης υπέρ της Ένωσης. Οι ρυθμίσεις αυτές θα πρέπει να συνάπτονται στο πλαίσιο μιας ενιαίας συμφωνίας συνεισφοράς με κάθε κράτος μέλος που επιλέγει εθελοντικά την επιλογή αυτή. Η συμφωνία συνεισφοράς θα πρέπει να συμπεριλαμβάνει τη μία ή τις περισσότερες συμφωνίες εγγύησης που πρόκειται να υλοποιηθούν στο οικείο κράτος μέλος. Ο κατά περίπτωση καθορισμός του ποσοστού τροφοδότησης απαιτεί παρέκκλιση από το [άρθρο 211 παράγραφος 1] του κανονισμού (ΕΕ, Ευρατόμ) αριθ. ΧΧΧΧ</w:t>
      </w:r>
      <w:r>
        <w:rPr>
          <w:rStyle w:val="Aucun"/>
          <w:noProof/>
          <w:vertAlign w:val="superscript"/>
        </w:rPr>
        <w:footnoteReference w:id="19"/>
      </w:r>
      <w:r>
        <w:rPr>
          <w:noProof/>
        </w:rPr>
        <w:t xml:space="preserve"> («δημοσιονομικός κανονισμός»). Ο συγκεκριμένος σχεδιασμός παρέχει επίσης μια ενιαία δέσμη κανόνων για εγγυήσεις από τον προϋπολογισμό που υποστηρίζονται με κεφάλαια κεντρικής διαχείρισης ή κεφάλαια επιμερισμένης διαχείρισης, γεγονός που διευκολύνει τον συνδυασμό τους.</w:t>
      </w:r>
    </w:p>
    <w:p>
      <w:pPr>
        <w:pStyle w:val="ManualConsidrant"/>
        <w:rPr>
          <w:noProof/>
        </w:rPr>
      </w:pPr>
      <w:r>
        <w:t>(21)</w:t>
      </w:r>
      <w:r>
        <w:tab/>
      </w:r>
      <w:r>
        <w:rPr>
          <w:noProof/>
        </w:rPr>
        <w:t>Το ταμείο InvestEU θα πρέπει να είναι ανοικτό σε συνεισφορές τρίτων χωρών που είναι μέλη της Ευρωπαϊκής Ζώνης Ελεύθερων Συναλλαγών, χωρών υπό ένταξη, υποψήφιων και δυνητικά υποψήφιων χωρών, χωρών που καλύπτονται από την πολιτική γειτονίας και άλλων χωρών, σύμφωνα με τους όρους που καθορίζονται μεταξύ της Ένωσης και των εν λόγω χωρών. Αυτό θα πρέπει να επιτρέπει τη διαρκή συνεργασία με τις οικείες χώρες, κατά περίπτωση, ιδίως στους τομείς της έρευνας και καινοτομίας καθώς και των ΜΜΕ.</w:t>
      </w:r>
    </w:p>
    <w:p>
      <w:pPr>
        <w:pStyle w:val="ManualConsidrant"/>
        <w:rPr>
          <w:noProof/>
        </w:rPr>
      </w:pPr>
      <w:r>
        <w:t>(22)</w:t>
      </w:r>
      <w:r>
        <w:tab/>
      </w:r>
      <w:r>
        <w:rPr>
          <w:noProof/>
        </w:rPr>
        <w:t>Ο παρών κανονισμός καθορίζει δημοσιονομικό κονδύλιο για άλλα μέτρα του προγράμματος InvestEU εκτός της τροφοδότησης της εγγύησης της ΕΕ, το οποίο θα συνιστά το βασικό ποσό αναφοράς, κατά την έννοια του [</w:t>
      </w:r>
      <w:r>
        <w:rPr>
          <w:rStyle w:val="Aucun"/>
          <w:i/>
          <w:noProof/>
        </w:rPr>
        <w:t xml:space="preserve">να προσαρμοστεί η παραπομπή σύμφωνα με τη νέα διοργανική συμφωνία: </w:t>
      </w:r>
      <w:r>
        <w:rPr>
          <w:noProof/>
        </w:rPr>
        <w:t>σημείου 17 της διοργανικής συμφωνίας της 2ας Δεκεμβρίου 2013 μεταξύ του Ευρωπαϊκού Κοινοβουλίου, του Συμβουλίου και της Επιτροπής σχετικά με τη δημοσιονομική πειθαρχία, τη συνεργασία σε θέματα προϋπολογισμού και τη χρηστή δημοσιονομική διαχείριση</w:t>
      </w:r>
      <w:r>
        <w:rPr>
          <w:rStyle w:val="Aucun"/>
          <w:noProof/>
          <w:vertAlign w:val="superscript"/>
        </w:rPr>
        <w:footnoteReference w:id="20"/>
      </w:r>
      <w:r>
        <w:rPr>
          <w:noProof/>
        </w:rPr>
        <w:t>], για το Ευρωπαϊκό Κοινοβούλιο και το Συμβούλιο κατά την ετήσια διαδικασία του προϋπολογισμού.</w:t>
      </w:r>
    </w:p>
    <w:p>
      <w:pPr>
        <w:pStyle w:val="ManualConsidrant"/>
        <w:rPr>
          <w:noProof/>
        </w:rPr>
      </w:pPr>
      <w:r>
        <w:t>(23)</w:t>
      </w:r>
      <w:r>
        <w:tab/>
      </w:r>
      <w:r>
        <w:rPr>
          <w:noProof/>
        </w:rPr>
        <w:t xml:space="preserve">Η εγγύηση της ΕΕ ύψους 38 000 000 000 ευρώ (σε τρέχουσες τιμές) σε ενωσιακό επίπεδο αναμένεται να κινητοποιήσει πρόσθετες επενδύσεις άνω των 650 000 000 000 ευρώ σε ολόκληρη την Ένωση και θα πρέπει να κατανεμηθεί ενδεικτικά μεταξύ των σκελών πολιτικής. </w:t>
      </w:r>
    </w:p>
    <w:p>
      <w:pPr>
        <w:pStyle w:val="ManualConsidrant"/>
        <w:rPr>
          <w:noProof/>
        </w:rPr>
      </w:pPr>
      <w:r>
        <w:t>(24)</w:t>
      </w:r>
      <w:r>
        <w:tab/>
      </w:r>
      <w:r>
        <w:rPr>
          <w:noProof/>
        </w:rPr>
        <w:t xml:space="preserve">Η Επιτροπή θα πρέπει να υλοποιήσει έμμεσα την εγγύηση της ΕΕ η οποία στηρίζει το ταμείο InvestEU, βασιζόμενη σε εταίρους υλοποίησης οι οποίοι έχουν πρόσβαση σε τελικούς αποδέκτες. Η συμφωνία εγγύησης που κατανέμει την εγγυοδοτική ικανότητα του ταμείου InvestEU θα πρέπει να συνάπτεται μεταξύ της Επιτροπής και κάθε εταίρου υλοποίησης, για τη στήριξη των χρηματοδοτικών και επενδυτικών δραστηριοτήτων της που πληρούν τους στόχους του ταμείου InvestEU και τα κριτήρια </w:t>
      </w:r>
      <w:r>
        <w:rPr>
          <w:noProof/>
        </w:rPr>
        <w:lastRenderedPageBreak/>
        <w:t>επιλεξιμότητας. Το ταμείο InvestEU θα πρέπει να παρέχεται με συγκεκριμένη διάρθρωση διακυβέρνησης προκειμένου να διασφαλίζεται η κατάλληλη χρήση της εγγύησης της ΕΕ.</w:t>
      </w:r>
    </w:p>
    <w:p>
      <w:pPr>
        <w:pStyle w:val="ManualConsidrant"/>
        <w:rPr>
          <w:noProof/>
        </w:rPr>
      </w:pPr>
      <w:r>
        <w:t>(25)</w:t>
      </w:r>
      <w:r>
        <w:tab/>
      </w:r>
      <w:r>
        <w:rPr>
          <w:noProof/>
        </w:rPr>
        <w:t>Θα πρέπει να συσταθεί γνωμοδοτικό συμβούλιο αποτελούμενο από εκπροσώπους των εταίρων υλοποίησης και εκπροσώπους των κρατών μελών με σκοπό την ανταλλαγή πληροφοριών και την ανταλλαγή δεδομένων σχετικά με την απορρόφηση των χρηματοπιστωτικών προϊόντων που χρησιμοποιούνται στο πλαίσιο του ταμείου InvestEU, καθώς και τη διενέργεια συζητήσεων σχετικά με τις εξελισσόμενες ανάγκες και τα νέα προϊόντα, συμπεριλαμβανομένων συγκεκριμένων κενών σε εδαφικές αγορές.</w:t>
      </w:r>
    </w:p>
    <w:p>
      <w:pPr>
        <w:pStyle w:val="ManualConsidrant"/>
        <w:rPr>
          <w:noProof/>
        </w:rPr>
      </w:pPr>
      <w:r>
        <w:t>(26)</w:t>
      </w:r>
      <w:r>
        <w:tab/>
      </w:r>
      <w:r>
        <w:rPr>
          <w:noProof/>
        </w:rPr>
        <w:t>Η Επιτροπή θα πρέπει να αξιολογεί τη συμβατότητα των επενδυτικών και χρηματοδοτικών δραστηριοτήτων που υποβάλλουν οι εταίροι υλοποίησης με το δίκαιο και τις πολιτικές της Ένωσης, ενώ οι αποφάσεις για τις χρηματοδοτικές και επενδυτικές δραστηριότητες θα πρέπει να λαμβάνονται τελικά από τους εταίρους υλοποίησης.</w:t>
      </w:r>
    </w:p>
    <w:p>
      <w:pPr>
        <w:pStyle w:val="ManualConsidrant"/>
        <w:rPr>
          <w:noProof/>
        </w:rPr>
      </w:pPr>
      <w:r>
        <w:t>(27)</w:t>
      </w:r>
      <w:r>
        <w:tab/>
      </w:r>
      <w:r>
        <w:rPr>
          <w:noProof/>
        </w:rPr>
        <w:t xml:space="preserve">Μια ομάδα έργου αποτελούμενη από εμπειρογνώμονες που τίθενται στη διάθεση της Επιτροπής από τους εταίρους υλοποίησης προκειμένου να παρέχουν επαγγελματική εμπειρογνωμοσύνη για τη χρηματοδοτική και τεχνική αξιολόγηση των προτεινόμενων χρηματοδοτικών και επενδυτικών δραστηριοτήτων θα πρέπει να βαθμολογεί τις δραστηριότητες που υποβάλλουν οι εταίροι υλοποίησης προς αξιολόγηση από την Επιτροπή Επενδύσεων. </w:t>
      </w:r>
    </w:p>
    <w:p>
      <w:pPr>
        <w:pStyle w:val="ManualConsidrant"/>
        <w:rPr>
          <w:noProof/>
        </w:rPr>
      </w:pPr>
      <w:r>
        <w:t>(28)</w:t>
      </w:r>
      <w:r>
        <w:tab/>
      </w:r>
      <w:r>
        <w:rPr>
          <w:noProof/>
        </w:rPr>
        <w:t>Η Επιτροπή Επενδύσεων, που αποτελείται από ανεξάρτητους εμπειρογνώμονες, θα πρέπει να συντάσσει πόρισμα για τη χορήγηση της ενίσχυσης από την εγγύηση της ΕΕ για τις χρηματοδοτικές και επενδυτικές δραστηριότητες που πληρούν τα κριτήρια επιλεξιμότητας, παρέχοντας έτσι εξωτερική εμπειρογνωμοσύνη για εκτιμήσεις επενδύσεων που σχετίζονται με έργα. Η Επιτροπή Επενδύσεων θα πρέπει να έχει διάφορες συνθέσεις προκειμένου να διασφαλίζεται η βέλτιστη κάλυψη διάφορων κλάδων και τομέων πολιτικής.</w:t>
      </w:r>
    </w:p>
    <w:p>
      <w:pPr>
        <w:pStyle w:val="ManualConsidrant"/>
        <w:rPr>
          <w:noProof/>
        </w:rPr>
      </w:pPr>
      <w:r>
        <w:t>(29)</w:t>
      </w:r>
      <w:r>
        <w:tab/>
      </w:r>
      <w:r>
        <w:rPr>
          <w:noProof/>
        </w:rPr>
        <w:t xml:space="preserve">Κατά την επιλογή των εταίρων υλοποίησης για τη χρήση του ταμείου InvestEU, η Επιτροπή θα πρέπει να εξετάζει την ικανότητα του αντισυμβαλλομένου να εκπληρώσει τους στόχους του εν λόγω Ταμείου και να εισφέρει δικούς του πόρους, προκειμένου να διασφαλιστεί η δέουσα γεωγραφική κάλυψη και διαφοροποίηση, να συμπεριληφθούν ιδιώτες επενδυτές και να εξασφαλιστεί επαρκής διαφοροποίηση κινδύνων, καθώς και νέες λύσεις για την αντιμετώπιση των αστοχιών της αγοράς και των μη βέλτιστων επενδυτικών καταστάσεων. Δεδομένου του ρόλου του βάσει των συνθηκών, της δυνατότητάς του να λειτουργεί σε όλα τα κράτη μέλη και της υφιστάμενης πείρας από τα τρέχοντα χρηματοδοτικά μέσα και το ΕΤΣΕ, ο όμιλος της Ευρωπαϊκής Τράπεζας Επενδύσεων («ΕΤΕπ») θα πρέπει να εξακολουθεί να αποτελεί προνομιούχο εταίρο υλοποίησης στο πλαίσιο της συνιστώσας για την ΕΕ του ταμείου InvestEU. Εκτός από τον όμιλο της ΕΤΕπ, οι εθνικές αναπτυξιακές τράπεζες ή ιδρύματα θα πρέπει να είναι σε θέση να προσφέρουν μια συμπληρωματική γκάμα χρηματοπιστωτικών προϊόντων δεδομένου ότι η πείρα και οι δυνατότητές τους σε περιφερειακό επίπεδο θα μπορούσαν να αποβούν επωφελείς για τη μεγιστοποίηση του αντίκτυπου των δημόσιων κεφαλαίων στην επικράτεια της Ένωσης. Επιπλέον, θα πρέπει να υπάρχουν και άλλα διεθνή χρηματοπιστωτικά ιδρύματα ως εταίροι υλοποίησης, ιδίως όταν παρουσιάζουν ένα συγκριτικό πλεονέκτημα όσον αφορά ειδική εμπειρογνωμοσύνη και πείρα σε ορισμένα κράτη μέλη. Θα πρέπει επίσης και </w:t>
      </w:r>
      <w:r>
        <w:rPr>
          <w:noProof/>
        </w:rPr>
        <w:lastRenderedPageBreak/>
        <w:t xml:space="preserve">άλλες οντότητες που πληρούν τα κριτήρια που ορίζει ο δημοσιονομικός κανονισμός να είναι σε θέση να ενεργούν ως εταίροι υλοποίησης.  </w:t>
      </w:r>
    </w:p>
    <w:p>
      <w:pPr>
        <w:pStyle w:val="ManualConsidrant"/>
        <w:rPr>
          <w:noProof/>
        </w:rPr>
      </w:pPr>
      <w:r>
        <w:t>(30)</w:t>
      </w:r>
      <w:r>
        <w:tab/>
      </w:r>
      <w:r>
        <w:rPr>
          <w:noProof/>
        </w:rPr>
        <w:t xml:space="preserve">Προκειμένου να διασφαλιστεί ότι οι παρεμβάσεις στο πλαίσιο της συνιστώσας για την ΕΕ του ταμείου InvestEU εστιάζουν σε αστοχίες της αγοράς και μη βέλτιστες επενδυτικές καταστάσεις σε επίπεδο Ένωσης, ενώ ταυτόχρονα ικανοποιούν τους στόχους σχετικά με τη βέλτιστη δυνατή γεωγραφική κάλυψη, η εγγύηση της ΕΕ θα πρέπει να ανατίθεται σε εταίρους υλοποίησης οι οποίοι δύνανται, είτε μόνοι τους είτε από κοινού με άλλους εταίρους υλοποίησης, να καλύψουν τουλάχιστον τρία κράτη μέλη. Ωστόσο, αναμένεται ότι περίπου το 75 % της εγγύησης της ΕΕ στο πλαίσιο της συνιστώσας για την ΕΕ θα ανατεθεί σε εταίρο ή εταίρους υλοποίησης που δύνανται να προσφέρουν χρηματοπιστωτικά προϊόντα στο πλαίσιο του ταμείου InvestEU σε όλα τα κράτη μέλη. </w:t>
      </w:r>
    </w:p>
    <w:p>
      <w:pPr>
        <w:pStyle w:val="ManualConsidrant"/>
        <w:rPr>
          <w:noProof/>
        </w:rPr>
      </w:pPr>
      <w:r>
        <w:t>(31)</w:t>
      </w:r>
      <w:r>
        <w:tab/>
      </w:r>
      <w:r>
        <w:rPr>
          <w:noProof/>
        </w:rPr>
        <w:t>Η εγγύηση της ΕΕ στο πλαίσιο της ως για τα κράτη μέλη θα πρέπει να ανατεθεί σε οποιονδήποτε εταίρο υλοποίησης που είναι επιλέξιμος δυνάμει του [άρθρου 62 παράγραφος 1 στοιχείο γ)] του [δημοσιονομικού κανονισμού], συμπεριλαμβανομένων εθνικών ή περιφερειακών αναπτυξιακών τραπεζών ή ιδρυμάτων, της ΕΤΕπ, του Ευρωπαϊκού Ταμείου Επενδύσεων και άλλων πολυμερών αναπτυξιακών τραπεζών. Κατά την επιλογή εταίρων υλοποίησης στο πλαίσιο της συνιστώσας για τα κράτη μέλη, η Επιτροπή θα πρέπει να λαμβάνει υπόψη τις προτάσεις κάθε κράτους μέλους. Σύμφωνα με το [άρθρο 154] του [δημοσιονομικού κανονισμού], η Επιτροπή οφείλει να διενεργήσει αξιολόγηση των κανόνων και διαδικασιών των εταίρων υλοποίησης προκειμένου να διαπιστώσει ότι παρέχουν επίπεδο προστασίας των οικονομικών συμφερόντων της Ένωσης ισοδύναμο με εκείνο που παρέχει η Επιτροπή.</w:t>
      </w:r>
    </w:p>
    <w:p>
      <w:pPr>
        <w:pStyle w:val="ManualConsidrant"/>
        <w:rPr>
          <w:noProof/>
        </w:rPr>
      </w:pPr>
      <w:r>
        <w:t>(32)</w:t>
      </w:r>
      <w:r>
        <w:tab/>
      </w:r>
      <w:r>
        <w:rPr>
          <w:noProof/>
        </w:rPr>
        <w:t xml:space="preserve">Οι αποφάσεις για χρηματοδοτικές και επενδυτικές δραστηριότητες θα πρέπει, εν τέλει, να λαμβάνονται από τον εταίρο υλοποίησης επ’ ονόματί του, οι δε δραστηριότητες θα πρέπει να υλοποιούνται σύμφωνα με τους εσωτερικούς κανόνες και τις εσωτερικές διαδικασίες του εταίρου και να καταχωρίζονται λογιστικά στις οικονομικές του καταστάσεις. Επομένως, η Επιτροπή θα πρέπει να αιτιολογεί αποκλειστικά οποιαδήποτε χρηματοοικονομική υποχρέωση που απορρέει από την εγγύηση της ΕΕ και να γνωστοποιεί το ανώτατο ύψος της εγγύησης καθώς και όλα τα συναφή στοιχεία σχετικά με την παρεχόμενη εγγύηση.  </w:t>
      </w:r>
    </w:p>
    <w:p>
      <w:pPr>
        <w:pStyle w:val="ManualConsidrant"/>
        <w:rPr>
          <w:noProof/>
        </w:rPr>
      </w:pPr>
      <w:r>
        <w:t>(33)</w:t>
      </w:r>
      <w:r>
        <w:tab/>
      </w:r>
      <w:r>
        <w:rPr>
          <w:noProof/>
        </w:rPr>
        <w:t xml:space="preserve">Το ταμείο InvestEU θα πρέπει, κατά περίπτωση, να επιτρέπει τον ομαλό και αποδοτικό συνδυασμό επιχορηγήσεων ή χρηματοδοτικών μέσων, ή και των δύο, που χρηματοδοτούνται από τον προϋπολογισμό της Ένωσης ή από Ταμείο Καινοτομίας για το σύστημα εμπορίας εκπομπών της ΕΕ με την εν λόγω εγγύηση σε περιπτώσεις όπου κρίνεται απαραίτητη η βέλτιστη στήριξη των επενδύσεων για την αντιμετώπιση ειδικών αδυναμιών της αγοράς ή μη βέλτιστων επενδυτικών καταστάσεων. </w:t>
      </w:r>
    </w:p>
    <w:p>
      <w:pPr>
        <w:pStyle w:val="ManualConsidrant"/>
        <w:rPr>
          <w:noProof/>
        </w:rPr>
      </w:pPr>
      <w:r>
        <w:t>(34)</w:t>
      </w:r>
      <w:r>
        <w:tab/>
      </w:r>
      <w:r>
        <w:rPr>
          <w:noProof/>
        </w:rPr>
        <w:t>Τα έργα που υποβάλλονται από εταίρους υλοποίησης για στήριξη στο πλαίσιο του προγράμματος InvestEU και τα οποία συνδυάζονται με στήριξη από άλλα ενωσιακά προγράμματα θα πρέπει επίσης να συνάδουν, στο σύνολό τους, με τους στόχους και τα κριτήρια επιλεξιμότητας που περιέχονται στους κανόνες των αντίστοιχων ενωσιακών προγραμμάτων. Η χρήση της εγγύησης της ΕΕ θα πρέπει να αποφασίζεται σύμφωνα με τους κανόνες του προγράμματος InvestEU.</w:t>
      </w:r>
    </w:p>
    <w:p>
      <w:pPr>
        <w:pStyle w:val="ManualConsidrant"/>
        <w:rPr>
          <w:noProof/>
        </w:rPr>
      </w:pPr>
      <w:r>
        <w:t>(35)</w:t>
      </w:r>
      <w:r>
        <w:tab/>
      </w:r>
      <w:r>
        <w:rPr>
          <w:noProof/>
        </w:rPr>
        <w:t xml:space="preserve">Ο συμβουλευτικός κόμβος InvestEU θα πρέπει να στηρίζει την ανάπτυξη μιας σειράς ώριμων επενδυτικών έργων σε κάθε σκέλος πολιτικής. Επιπλέον, θα πρέπει να προβλέπεται μια διατομεακή συνιστώσα στο πλαίσιο του προγράμματος InvestEU, η οποία θα διασφαλίζει ένα ενιαίο σημείο εισόδου καθώς και την παροχή οριζόντιας </w:t>
      </w:r>
      <w:r>
        <w:rPr>
          <w:noProof/>
        </w:rPr>
        <w:lastRenderedPageBreak/>
        <w:t>βοήθειας για την ανάπτυξη έργων για ενωσιακά προγράμματα που τελούν υπό κεντρική διαχείριση.</w:t>
      </w:r>
    </w:p>
    <w:p>
      <w:pPr>
        <w:pStyle w:val="ManualConsidrant"/>
        <w:rPr>
          <w:noProof/>
        </w:rPr>
      </w:pPr>
      <w:r>
        <w:t>(36)</w:t>
      </w:r>
      <w:r>
        <w:tab/>
      </w:r>
      <w:r>
        <w:rPr>
          <w:noProof/>
        </w:rPr>
        <w:t>Προκειμένου να διασφαλιστεί ευρεία γεωγραφική κάλυψη των συμβουλευτικών υπηρεσιών σε ολόκληρη την Ένωση και να επιτευχθεί η μόχλευση τοπικής γνώσης σχετικά με το ταμείο InvestEU, θα πρέπει να εξασφαλίζεται τοπική παρουσία του συμβουλευτικού κόμβου InvestEU, όπου είναι αναγκαία και με συνεκτίμηση των υφισταμένων καθεστώτων στήριξης, για την παροχή απτής, προορατικής, εξατομικευμένης βοήθειας επιτόπου.</w:t>
      </w:r>
    </w:p>
    <w:p>
      <w:pPr>
        <w:pStyle w:val="ManualConsidrant"/>
        <w:rPr>
          <w:noProof/>
        </w:rPr>
      </w:pPr>
      <w:r>
        <w:t>(37)</w:t>
      </w:r>
      <w:r>
        <w:tab/>
      </w:r>
      <w:r>
        <w:rPr>
          <w:noProof/>
        </w:rPr>
        <w:t>Στο πλαίσιο του ταμείου InvestEU, υπάρχει ανάγκη υποστήριξης για την ανάπτυξη ικανοτήτων με σκοπό τη δημιουργία των οργανωτικών ικανοτήτων και των δραστηριοτήτων ειδικής διαπραγμάτευσης που απαιτούνται για την εκπόνηση ποιοτικών έργων. Επιπλέον, ο στόχος είναι να δημιουργηθούν οι προϋποθέσεις για την επέκταση του δυνητικού αριθμού επιλέξιμων δικαιούχων σε αναδυόμενα τμήματα της αγοράς, ιδίως όταν το μικρό μέγεθος των επιμέρους έργων αυξάνει σημαντικά το κόστος των συναλλαγών σε επίπεδο έργου, λόγου χάρη σε σχέση με το οικοσύστημα κοινωνικής χρηματοδότησης. Επομένως, η ενίσχυση της ανάπτυξης ικανοτήτων θα πρέπει να είναι συμπληρωματική και επιπρόσθετη σε δράσεις που αναλαμβάνονται στο πλαίσιο άλλων ενωσιακών προγραμμάτων τα οποία καλύπτουν έναν ειδικό τομέα πολιτικής.</w:t>
      </w:r>
    </w:p>
    <w:p>
      <w:pPr>
        <w:pStyle w:val="ManualConsidrant"/>
        <w:rPr>
          <w:noProof/>
        </w:rPr>
      </w:pPr>
      <w:r>
        <w:t>(38)</w:t>
      </w:r>
      <w:r>
        <w:tab/>
      </w:r>
      <w:r>
        <w:rPr>
          <w:noProof/>
        </w:rPr>
        <w:t>Η πύλη InvestEU θα πρέπει να εγκατασταθεί προκειμένου να προσφέρει μια ευπρόσιτη και φιλική προς τον χρήστη βάση δεδομένων για έργα και να προάγει την προβολή επενδυτικών έργων για τα οποία αναζητείται χρηματοδότηση, με αυξημένη έμφαση στην παροχή προς τους εταίρους υλοποίησης μιας πιθανής σειράς επενδυτικών έργων που είναι συμβατά με το δίκαιο και τις πολιτικές της Ένωσης.</w:t>
      </w:r>
    </w:p>
    <w:p>
      <w:pPr>
        <w:pStyle w:val="ManualConsidrant"/>
        <w:rPr>
          <w:noProof/>
        </w:rPr>
      </w:pPr>
      <w:r>
        <w:t>(39)</w:t>
      </w:r>
      <w:r>
        <w:tab/>
      </w:r>
      <w:r>
        <w:rPr>
          <w:noProof/>
        </w:rPr>
        <w:t>Σύμφωνα με τις παραγράφους 22 και 23 της διοργανικής συμφωνίας για τη βελτίωση του νομοθετικού έργου, της 13ης Απριλίου 2016</w:t>
      </w:r>
      <w:r>
        <w:rPr>
          <w:rStyle w:val="Aucun"/>
          <w:noProof/>
          <w:vertAlign w:val="superscript"/>
        </w:rPr>
        <w:footnoteReference w:id="21"/>
      </w:r>
      <w:r>
        <w:rPr>
          <w:noProof/>
        </w:rPr>
        <w:t>, είναι αναγκαία η αξιολόγηση του προγράμματος InvestEU βάσει των πληροφοριών που συλλέγονται δυνάμει ειδικών απαιτήσεων παρακολούθησης, αλλά και η αποφυγή της υπερβολικής ρύθμισης και του διοικητικού φόρτου, ιδίως για τα κράτη μέλη. Οι εν λόγω απαιτήσεις δύνανται να περιλαμβάνουν, κατά περίπτωση, μετρήσιμους δείκτες ως βάση για την αξιολόγηση των επιπτώσεων του προγράμματος InvestEU επιτόπου.</w:t>
      </w:r>
    </w:p>
    <w:p>
      <w:pPr>
        <w:pStyle w:val="ManualConsidrant"/>
        <w:rPr>
          <w:noProof/>
        </w:rPr>
      </w:pPr>
      <w:r>
        <w:t>(40)</w:t>
      </w:r>
      <w:r>
        <w:tab/>
      </w:r>
      <w:r>
        <w:rPr>
          <w:noProof/>
        </w:rPr>
        <w:t>Θα πρέπει να υλοποιηθεί ένα αξιόπιστο πλαίσιο παρακολούθησης, βασισμένο σε δείκτες χορηγούμενων κεφαλαίων, αποτελεσμάτων και αντικτύπου, με σκοπό την παρακολούθηση της προόδου που επιτυγχάνεται ως προς την επίτευξη των στόχων της Ένωσης. Προκειμένου να διασφαλιστεί η λογοδοσία έναντι των ευρωπαίων πολιτών, η Επιτροπή θα πρέπει να υποβάλλει ετήσια έκθεση στο Ευρωπαϊκό Κοινοβούλιο και το Συμβούλιο σχετικά με την πρόοδο, τον αντίκτυπο και τις δραστηριότητες του προγράμματος InvestEU.</w:t>
      </w:r>
    </w:p>
    <w:p>
      <w:pPr>
        <w:pStyle w:val="ManualConsidrant"/>
        <w:rPr>
          <w:noProof/>
        </w:rPr>
      </w:pPr>
      <w:r>
        <w:t>(41)</w:t>
      </w:r>
      <w:r>
        <w:tab/>
      </w:r>
      <w:r>
        <w:rPr>
          <w:noProof/>
        </w:rPr>
        <w:t xml:space="preserve">Για τον παρόντα κανονισμό ισχύουν οριζόντιοι δημοσιονομικοί κανόνες εγκεκριμένοι από το Ευρωπαϊκό Κοινοβούλιο και το Συμβούλιο βάσει του άρθρου 322 της Συνθήκης για τη λειτουργία της Ευρωπαϊκής Ένωσης. Οι κανόνες αυτοί ορίζονται στον δημοσιονομικό κανονισμό και καθορίζουν κατά κύριο λόγο τη διαδικασία κατάρτισης και εκτέλεσης του προϋπολογισμού μέσω επιχορηγήσεων, συμβάσεων, βραβείων και έμμεσης υλοποίησης. Προβλέπουν επίσης ελέγχους της ευθύνης των </w:t>
      </w:r>
      <w:r>
        <w:rPr>
          <w:noProof/>
        </w:rPr>
        <w:lastRenderedPageBreak/>
        <w:t>δημοσιονομικών παραγόντων. Οι κανόνες που θεσπίζονται βάσει του άρθρου 322 της Συνθήκης για τη λειτουργία της Ευρωπαϊκής Ένωσης αφορούν επίσης την προστασία του προϋπολογισμού της Ένωσης σε περίπτωση γενικευμένων ελλείψεων αναφορικά με το κράτος δικαίου στα κράτη μέλη, δεδομένου ότι ο σεβασμός για το κράτος δικαίου αποτελεί βασική προϋπόθεση για τη χρηστή δημοσιονομική διαχείριση και την αποτελεσματική ενωσιακή χρηματοδότηση.</w:t>
      </w:r>
    </w:p>
    <w:p>
      <w:pPr>
        <w:pStyle w:val="ManualConsidrant"/>
        <w:rPr>
          <w:noProof/>
        </w:rPr>
      </w:pPr>
      <w:r>
        <w:t>(42)</w:t>
      </w:r>
      <w:r>
        <w:tab/>
      </w:r>
      <w:r>
        <w:rPr>
          <w:noProof/>
        </w:rPr>
        <w:t>Ο κανονισμός (ΕΕ, Ευρατόμ) αριθ. [</w:t>
      </w:r>
      <w:r>
        <w:rPr>
          <w:rStyle w:val="Aucun"/>
          <w:i/>
          <w:noProof/>
        </w:rPr>
        <w:t>«νέος δημοσιονομικός κανονισμός»</w:t>
      </w:r>
      <w:r>
        <w:rPr>
          <w:noProof/>
        </w:rPr>
        <w:t>] ισχύει για το πρόγραμμα InvestEU. Θεσπίζει κανόνες για την εκτέλεση του προϋπολογισμού της Ένωσης, συμπεριλαμβανομένων κανόνων για τις εγγυήσεις από τον προϋπολογισμό.</w:t>
      </w:r>
    </w:p>
    <w:p>
      <w:pPr>
        <w:pStyle w:val="ManualConsidrant"/>
        <w:rPr>
          <w:noProof/>
        </w:rPr>
      </w:pPr>
      <w:r>
        <w:t>(43)</w:t>
      </w:r>
      <w:r>
        <w:tab/>
      </w:r>
      <w:r>
        <w:rPr>
          <w:rStyle w:val="Aucun"/>
          <w:noProof/>
        </w:rPr>
        <w:t>Σύμφωνα με τον δημοσιονομικό κανονισμό, τον κανονισμό (ΕΕ, Ευρατόμ) αριθ. 883/2013 του Ευρωπαϊκού Κοινοβουλίου και του Συμβουλίου</w:t>
      </w:r>
      <w:r>
        <w:rPr>
          <w:rStyle w:val="Aucun"/>
          <w:noProof/>
          <w:vertAlign w:val="superscript"/>
        </w:rPr>
        <w:footnoteReference w:id="22"/>
      </w:r>
      <w:r>
        <w:rPr>
          <w:rStyle w:val="Aucun"/>
          <w:noProof/>
        </w:rPr>
        <w:t>, τον κανονισμό (Ευρατόμ, ΕΚ) αριθ. 2988/95 του Συμβουλίου</w:t>
      </w:r>
      <w:r>
        <w:rPr>
          <w:rStyle w:val="Aucun"/>
          <w:noProof/>
          <w:vertAlign w:val="superscript"/>
        </w:rPr>
        <w:footnoteReference w:id="23"/>
      </w:r>
      <w:r>
        <w:rPr>
          <w:rStyle w:val="Aucun"/>
          <w:noProof/>
        </w:rPr>
        <w:t>, τον κανονισμό (Ευρατόμ, ΕΚ) αριθ. 2185/96 του Συμβουλίου</w:t>
      </w:r>
      <w:r>
        <w:rPr>
          <w:rStyle w:val="Aucun"/>
          <w:noProof/>
          <w:vertAlign w:val="superscript"/>
        </w:rPr>
        <w:footnoteReference w:id="24"/>
      </w:r>
      <w:r>
        <w:rPr>
          <w:rStyle w:val="Aucun"/>
          <w:noProof/>
        </w:rPr>
        <w:t xml:space="preserve"> και τον κανονισμό (ΕΕ) 2017/1939 του Συμβουλίου</w:t>
      </w:r>
      <w:r>
        <w:rPr>
          <w:rStyle w:val="Aucun"/>
          <w:noProof/>
          <w:vertAlign w:val="superscript"/>
        </w:rPr>
        <w:footnoteReference w:id="25"/>
      </w:r>
      <w:r>
        <w:rPr>
          <w:rStyle w:val="Aucun"/>
          <w:noProof/>
        </w:rPr>
        <w:t>,</w:t>
      </w:r>
      <w:r>
        <w:rPr>
          <w:rStyle w:val="Aucun"/>
          <w:noProof/>
          <w:color w:val="0000FF"/>
          <w:u w:color="0000FF"/>
        </w:rPr>
        <w:t xml:space="preserve"> </w:t>
      </w:r>
      <w:r>
        <w:rPr>
          <w:rStyle w:val="Aucun"/>
          <w:noProof/>
        </w:rPr>
        <w:t>τα οικονομικά συμφέροντα της Ένωσης προστατεύονται μέσω αναλογικών μέτρων, συμπεριλαμβανομένης της πρόληψης, της ανίχνευσης, της διόρθωσης και της διερεύνησης παρατυπιών και απάτης, της ανάκτησης των απωλεσθέντων, των αχρεωστήτως καταβληθέντων ή των κακώς χρησιμοποιηθέντων κονδυλίων και, εφόσον απαιτείται, με την επιβολή διοικητικών κυρώσεων. Ειδικότερα, σύμφωνα με τον κανονισμό (ΕΕ, Ευρατόμ) αριθ. 883/2013 και τον κανονισμό (Ευρατόμ, ΕΚ) αριθ. 2185/96, η Ευρωπαϊκή Υπηρεσία καταπολέμησης της απάτης (OLAF) δύναται να διενεργεί διοικητικές έρευνες, συμπεριλαμβανομένων επιτόπιων ελέγχων και επιθεωρήσεων, με σκοπό να διαπιστωθεί εάν υπήρξε απάτη, διαφθορά ή κάθε άλλη παράνομη δραστηριότητα εις βάρος των οικονομικών συμφερόντων της Ένωσης. Σύμφωνα με τον κανονισμό (ΕΕ) 2017/1939, η Ευρωπαϊκή Εισαγγελία δύναται να διενεργεί έρευνες και να διώκει την απάτη και άλλες αξιόποινες πράξεις που θίγουν τα οικονομικά συμφέροντα της Ένωσης, όπως προβλέπεται στην οδηγία (ΕΕ) 2017/1371 του Ευρωπαϊκού Κοινοβουλίου και του Συμβουλίου</w:t>
      </w:r>
      <w:r>
        <w:rPr>
          <w:rStyle w:val="Aucun"/>
          <w:noProof/>
          <w:vertAlign w:val="superscript"/>
        </w:rPr>
        <w:footnoteReference w:id="26"/>
      </w:r>
      <w:r>
        <w:rPr>
          <w:rStyle w:val="Aucun"/>
          <w:noProof/>
        </w:rPr>
        <w:t>. Σύμφωνα με τον δημοσιονομικό κανονισμό, κάθε πρόσωπο ή οντότητα που λαμβάνει κονδύλια της Ένωσης πρέπει να συνεργάζεται πλήρως για την προστασία των οικονομικών συμφερόντων της Ένωσης, να εκχωρεί τα απαραίτητα δικαιώματα και να δίνει πρόσβαση στην Επιτροπή, την OLAF, την Ευρωπαϊκή Εισαγγελία και το Ευρωπαϊκό Ελεγκτικό Συνέδριο, και να εξασφαλίζει ότι τυχόν τρίτα μέρη που συμμετέχουν στη χρησιμοποίηση των κονδυλίων της Ένωσης χορηγούν ισοδύναμα δικαιώματα.</w:t>
      </w:r>
    </w:p>
    <w:p>
      <w:pPr>
        <w:pStyle w:val="ManualConsidrant"/>
        <w:rPr>
          <w:noProof/>
        </w:rPr>
      </w:pPr>
      <w:r>
        <w:lastRenderedPageBreak/>
        <w:t>(44)</w:t>
      </w:r>
      <w:r>
        <w:tab/>
      </w:r>
      <w:r>
        <w:rPr>
          <w:noProof/>
        </w:rPr>
        <w:t>Τρίτες χώρες που είναι μέλη του Ευρωπαϊκού Οικονομικού χώρου (ΕΟΧ) μπορούν να συμμετέχουν σε ενωσιακά προγράμματα στο πλαίσιο της συνεργασίας που θεσπίστηκε δυνάμει της συμφωνίας για τον ΕΟΧ, η οποία προβλέπει την υλοποίηση των προγραμμάτων με απόφαση που λαμβάνεται δυνάμει της συμφωνίας αυτής. Τρίτες χώρες μπορούν επίσης να συμμετέχουν βάσει άλλων νομοθετικών πράξεων. Θα πρέπει να εισαχθεί ειδική διάταξη στον παρόντα κανονισμό για την χορήγηση των απαραίτητων δικαιωμάτων και της απαραίτητης πρόσβασης στον αρμόδιο διατάκτη, την Ευρωπαϊκή Υπηρεσία Καταπολέμησης της Απάτης (OLAF) και το Ευρωπαϊκό Ελεγκτικό Συνέδριο για την ολοκληρωμένη άσκηση των αντίστοιχων αρμοδιοτήτων τους.</w:t>
      </w:r>
    </w:p>
    <w:p>
      <w:pPr>
        <w:pStyle w:val="ManualConsidrant"/>
        <w:rPr>
          <w:noProof/>
        </w:rPr>
      </w:pPr>
      <w:r>
        <w:t>(45)</w:t>
      </w:r>
      <w:r>
        <w:tab/>
      </w:r>
      <w:r>
        <w:rPr>
          <w:noProof/>
        </w:rPr>
        <w:t>Σύμφωνα με [</w:t>
      </w:r>
      <w:r>
        <w:rPr>
          <w:rStyle w:val="Aucun"/>
          <w:i/>
          <w:noProof/>
        </w:rPr>
        <w:t>να προσαρμοστεί η παραπομπή σύμφωνα με τη νέα απόφαση για τις ΥΧΕ: το άρθρο 88 της απόφασης 2013/755/ΕΕ του Συμβουλίου</w:t>
      </w:r>
      <w:r>
        <w:rPr>
          <w:noProof/>
        </w:rPr>
        <w:t>], τα πρόσωπα και οντότητες που είναι εγκατεστημένα σε υπερπόντιες χώρες και εδάφη (ΥΧΕ) είναι επιλέξιμα για χρηματοδότηση σύμφωνα με τους κανόνες και τους στόχους του προγράμματος InvestEU και με τυχόν ρυθμίσεις που ισχύουν στο κράτος μέλος με το οποίο συνδέεται η οικεία υπερπόντια χώρα ή το οικείο υπερπόντιο έδαφος.</w:t>
      </w:r>
    </w:p>
    <w:p>
      <w:pPr>
        <w:pStyle w:val="ManualConsidrant"/>
        <w:rPr>
          <w:noProof/>
        </w:rPr>
      </w:pPr>
      <w:r>
        <w:t>(46)</w:t>
      </w:r>
      <w:r>
        <w:tab/>
      </w:r>
      <w:r>
        <w:rPr>
          <w:noProof/>
        </w:rPr>
        <w:t>Προκειμένου να συμπληρωθούν τα μη ουσιώδη στοιχεία του παρόντος κανονισμού με κατευθυντήριες γραμμές περί επενδύσεων με τις οποίες θα πρέπει να συνάδουν οι χρηματοδοτικές και επενδυτικές δραστηριότητες, να διευκολυνθεί η ταχεία και ευέλικτη προσαρμογή των δεικτών επιδόσεων και να προσαρμοστεί το ποσοστό τροφοδότησης, η εξουσία έκδοσης πράξεων δυνάμει του άρθρου 290 της Συνθήκης για τη λειτουργία της Ευρωπαϊκής Ένωσης θα πρέπει να ανατεθεί στην Επιτροπή όσον αφορά την κατάρτιση των κατευθυντήριων γραμμών περί επενδύσεων για χρηματοδοτικές και επενδυτικές δραστηριότητες στο πλαίσιο διάφορων σκελών πολιτικής, της τροποποίησης του παραρτήματος III του παρόντος κανονισμού για την ανασκόπηση ή τη συμπλήρωση των δεικτών, καθώς και της προσαρμογής του ποσοστού τροφοδότησης. Είναι ιδιαίτερα σημαντικό να διενεργεί η Επιτροπή κατάλληλες διαβουλεύσεις κατά τις προπαρασκευαστικές εργασίες της, μεταξύ άλλων σε επίπεδο εμπειρογνωμόνων, και οι εν λόγω διαβουλεύσεις να διενεργούνται σύμφωνα με τις αρχές που προβλέπονται στη διοργανική συμφωνία για τη βελτίωση του νομοθετικού έργου της 13ης Απριλίου 2016. Πιο συγκεκριμένα, προκειμένου να εξασφαλιστεί η ίση συμμετοχή στην προετοιμασία των κατ’ εξουσιοδότηση πράξεων, το Ευρωπαϊκό Κοινοβούλιο και το Συμβούλιο λαμβάνουν όλα τα έγγραφα κατά τον ίδιο χρόνο με τους εμπειρογνώμονες των κρατών μελών, και οι εμπειρογνώμονές τους έχουν συστηματικά πρόσβαση στις συνεδριάσεις των ομάδων εμπειρογνωμόνων της Επιτροπής που ασχολούνται με την προετοιμασία των κατ’ εξουσιοδότηση πράξεων.</w:t>
      </w:r>
    </w:p>
    <w:p>
      <w:pPr>
        <w:pStyle w:val="ManualConsidrant"/>
        <w:rPr>
          <w:noProof/>
        </w:rPr>
      </w:pPr>
      <w:r>
        <w:t>(47)</w:t>
      </w:r>
      <w:r>
        <w:tab/>
      </w:r>
      <w:r>
        <w:rPr>
          <w:noProof/>
        </w:rPr>
        <w:t>Το πρόγραμμα InvestEU θα πρέπει να αντιμετωπίζει τις αστοχίες της αγοράς και τις μη βέλτιστες επενδυτικές καταστάσεις σε ολόκληρη την ΕΕ και να προβλέπει τη διενέργεια ελέγχων καινοτόμων χρηματοπιστωτικών προϊόντων σε ολόκληρη την Ένωση, καθώς και συστημάτων για τη διάδοσή τους, αναφορικά με νέες ή περίπλοκες αστοχίες της αγοράς. Ως εκ τούτου, δικαιολογείται η δράση σε επίπεδο Ένωσης,</w:t>
      </w:r>
    </w:p>
    <w:p>
      <w:pPr>
        <w:rPr>
          <w:noProof/>
        </w:rPr>
      </w:pPr>
    </w:p>
    <w:p>
      <w:pPr>
        <w:pStyle w:val="Formuledadoption"/>
        <w:rPr>
          <w:noProof/>
        </w:rPr>
      </w:pPr>
      <w:r>
        <w:rPr>
          <w:noProof/>
        </w:rPr>
        <w:lastRenderedPageBreak/>
        <w:t>ΕΞΕΔΩΣΑΝ ΤΟΝ ΠΑΡΟΝΤΑ ΚΑΝΟΝΙΣΜΟ:</w:t>
      </w:r>
    </w:p>
    <w:p>
      <w:pPr>
        <w:pStyle w:val="Titrearticle"/>
        <w:rPr>
          <w:noProof/>
        </w:rPr>
      </w:pPr>
    </w:p>
    <w:p>
      <w:pPr>
        <w:pStyle w:val="Titrearticle"/>
        <w:rPr>
          <w:rStyle w:val="Aucun"/>
          <w:b/>
          <w:bCs/>
          <w:noProof/>
        </w:rPr>
      </w:pPr>
      <w:r>
        <w:rPr>
          <w:rStyle w:val="Aucun"/>
          <w:b/>
          <w:noProof/>
        </w:rPr>
        <w:t>ΚΕΦΑΛΑΙΟ I</w:t>
      </w:r>
    </w:p>
    <w:p>
      <w:pPr>
        <w:pStyle w:val="Titrearticle"/>
        <w:rPr>
          <w:rStyle w:val="Aucun"/>
          <w:b/>
          <w:bCs/>
          <w:noProof/>
        </w:rPr>
      </w:pPr>
      <w:r>
        <w:rPr>
          <w:rStyle w:val="Aucun"/>
          <w:b/>
          <w:noProof/>
        </w:rPr>
        <w:t>ΓΕΝΙΚΕΣ  ΔΙΑΤΑΞΕΙΣ</w:t>
      </w:r>
    </w:p>
    <w:p>
      <w:pPr>
        <w:pStyle w:val="Titrearticle"/>
        <w:rPr>
          <w:noProof/>
        </w:rPr>
      </w:pPr>
      <w:r>
        <w:rPr>
          <w:noProof/>
        </w:rPr>
        <w:t>Άρθρο 1</w:t>
      </w:r>
    </w:p>
    <w:p>
      <w:pPr>
        <w:pStyle w:val="Titrearticle"/>
        <w:rPr>
          <w:noProof/>
        </w:rPr>
      </w:pPr>
      <w:r>
        <w:rPr>
          <w:noProof/>
        </w:rPr>
        <w:t>Αντικείμενο</w:t>
      </w:r>
    </w:p>
    <w:p>
      <w:pPr>
        <w:pStyle w:val="Corps"/>
        <w:spacing w:line="360" w:lineRule="auto"/>
        <w:jc w:val="left"/>
        <w:outlineLvl w:val="0"/>
        <w:rPr>
          <w:noProof/>
        </w:rPr>
      </w:pPr>
    </w:p>
    <w:p>
      <w:pPr>
        <w:rPr>
          <w:noProof/>
        </w:rPr>
      </w:pPr>
      <w:r>
        <w:rPr>
          <w:noProof/>
        </w:rPr>
        <w:t xml:space="preserve">Με τον παρόντα κανονισμό ιδρύεται το ταμείο InvestEU για την παροχή εγγύησης της ΕΕ για χρηματοδοτικές και επενδυτικές δραστηριότητες που εκτελούνται από τους εταίρους υλοποίησης σε στήριξη των εσωτερικών πολιτικών της Ένωσης. </w:t>
      </w:r>
    </w:p>
    <w:p>
      <w:pPr>
        <w:rPr>
          <w:noProof/>
        </w:rPr>
      </w:pPr>
      <w:r>
        <w:rPr>
          <w:noProof/>
        </w:rPr>
        <w:t xml:space="preserve">Ο παρών κανονισμός καθιερώνει επίσης έναν συμβουλευτικό υποστηρικτικό μηχανισμό για την στήριξη της ανάπτυξης έργων που προσφέρονται για επενδύσεις και την πρόσβαση σε χρηματοδότηση, καθώς και για την παροχή σχετικής ανάπτυξης ικανοτήτων («συμβουλευτικός κόμβος InvestEU»). Δημιουργείται επίσης μια βάση δεδομένων που διασφαλίζει την προβολή έργων για τα οποία οι οικείοι φορείς υλοποίησης αναζητούν χρηματοδότηση και η οποία παρέχει στους επενδυτές πληροφορίες σχετικά με τις επενδυτικές ευκαιρίες («πύλη InvestEU»). </w:t>
      </w:r>
    </w:p>
    <w:p>
      <w:pPr>
        <w:rPr>
          <w:noProof/>
        </w:rPr>
      </w:pPr>
      <w:r>
        <w:rPr>
          <w:noProof/>
        </w:rPr>
        <w:t>Καθορίζει τους στόχους του προγράμματος InvestEU, τον προϋπολογισμό και το ύψος της εγγύησης της ΕΕ για την περίοδο 2021-2027, τις μορφές χρηματοδότησης της Ένωσης και τους κανόνες για την παροχή της εν λόγω χρηματοδότησης.</w:t>
      </w:r>
    </w:p>
    <w:p>
      <w:pPr>
        <w:pStyle w:val="Titrearticle"/>
        <w:rPr>
          <w:noProof/>
        </w:rPr>
      </w:pPr>
      <w:r>
        <w:rPr>
          <w:noProof/>
        </w:rPr>
        <w:t>Άρθρο 2</w:t>
      </w:r>
    </w:p>
    <w:p>
      <w:pPr>
        <w:pStyle w:val="Titrearticle"/>
        <w:rPr>
          <w:noProof/>
        </w:rPr>
      </w:pPr>
      <w:r>
        <w:rPr>
          <w:noProof/>
        </w:rPr>
        <w:t>Ορισμοί</w:t>
      </w:r>
    </w:p>
    <w:p>
      <w:pPr>
        <w:rPr>
          <w:noProof/>
        </w:rPr>
      </w:pPr>
      <w:r>
        <w:rPr>
          <w:noProof/>
        </w:rPr>
        <w:t>Για τους σκοπούς του παρόντος κανονισμού ισχύουν οι ακόλουθοι ορισμοί:</w:t>
      </w:r>
    </w:p>
    <w:p>
      <w:pPr>
        <w:pStyle w:val="Point0number"/>
        <w:numPr>
          <w:ilvl w:val="0"/>
          <w:numId w:val="12"/>
        </w:numPr>
        <w:pBdr>
          <w:top w:val="nil"/>
          <w:left w:val="nil"/>
          <w:bottom w:val="nil"/>
          <w:right w:val="nil"/>
          <w:between w:val="nil"/>
          <w:bar w:val="nil"/>
        </w:pBdr>
        <w:tabs>
          <w:tab w:val="left" w:pos="850"/>
        </w:tabs>
        <w:rPr>
          <w:noProof/>
        </w:rPr>
      </w:pPr>
      <w:r>
        <w:rPr>
          <w:noProof/>
        </w:rPr>
        <w:t>«συνδυαστικές πράξεις»: πράξεις που λαμβάνουν ενίσχυση από τον προϋπολογισμό της Ένωσης συνδυάζοντας μη επιστρεπτέες ή επιστρεπτέες μορφές ενίσχυσης, ή και τα δύο, από τον προϋπολογισμό της Ένωσης με επιστρεπτέες μορφές στήριξης από αναπτυξιακά ή άλλα δημόσια χρηματοδοτικά ιδρύματα, καθώς και εμπορικά χρηματοδοτικά ιδρύματα και επενδυτές· για τους σκοπούς του παρόντος ορισμού, ενωσιακά προγράμματα που χρηματοδοτούνται από πηγές εκτός του προϋπολογισμού της Ένωσης, όπως το Ταμείο Καινοτομίας για το σύστημα εμπορίας εκπομπών της ΕΕ, δύνανται να εξομοιωθούν με ενωσιακά προγράμματα που χρηματοδοτούνται από τον προϋπολογισμό της Ένωσης·</w:t>
      </w:r>
    </w:p>
    <w:p>
      <w:pPr>
        <w:pStyle w:val="Point0number"/>
        <w:numPr>
          <w:ilvl w:val="0"/>
          <w:numId w:val="12"/>
        </w:numPr>
        <w:pBdr>
          <w:top w:val="nil"/>
          <w:left w:val="nil"/>
          <w:bottom w:val="nil"/>
          <w:right w:val="nil"/>
          <w:between w:val="nil"/>
          <w:bar w:val="nil"/>
        </w:pBdr>
        <w:tabs>
          <w:tab w:val="left" w:pos="850"/>
        </w:tabs>
        <w:rPr>
          <w:noProof/>
        </w:rPr>
      </w:pPr>
      <w:r>
        <w:rPr>
          <w:noProof/>
        </w:rPr>
        <w:t xml:space="preserve">«εγγύηση της ΕΕ»: η συνολική εγγύηση που παρέχεται από τον προϋπολογισμό της Ένωσης βάσει της οποίας τίθενται σε ισχύ οι εγγυήσεις από τον προϋπολογισμό σύμφωνα με το [άρθρο 219 παράγραφος 1] του [δημοσιονομικού κανονισμού] μέσω υπογραφής ατομικές συμβάσεις εγγύησης με εταίρους υλοποίησης· </w:t>
      </w:r>
    </w:p>
    <w:p>
      <w:pPr>
        <w:pStyle w:val="Point0number"/>
        <w:numPr>
          <w:ilvl w:val="0"/>
          <w:numId w:val="12"/>
        </w:numPr>
        <w:pBdr>
          <w:top w:val="nil"/>
          <w:left w:val="nil"/>
          <w:bottom w:val="nil"/>
          <w:right w:val="nil"/>
          <w:between w:val="nil"/>
          <w:bar w:val="nil"/>
        </w:pBdr>
        <w:tabs>
          <w:tab w:val="left" w:pos="850"/>
        </w:tabs>
        <w:rPr>
          <w:noProof/>
        </w:rPr>
      </w:pPr>
      <w:r>
        <w:rPr>
          <w:noProof/>
        </w:rPr>
        <w:lastRenderedPageBreak/>
        <w:t xml:space="preserve">«χρηματοδοτικό προϊόν»: μηχανισμός ή ρύθμιση χρηματοδότησης που συμφωνείται μεταξύ της Επιτροπής και του εταίρου υλοποίησης, δυνάμει του οποίου/της οποίας ο εταίρος υλοποίησης παρέχει χρηματοδότηση, είτε απευθείας είτε με διαμεσολάβηση, στους τελικούς αποδέκτες σε οποιαδήποτε από τις μορφές που αναφέρονται στο άρθρο 13· </w:t>
      </w:r>
    </w:p>
    <w:p>
      <w:pPr>
        <w:pStyle w:val="Point0number"/>
        <w:rPr>
          <w:noProof/>
        </w:rPr>
      </w:pPr>
      <w:r>
        <w:rPr>
          <w:rStyle w:val="Aucun"/>
          <w:noProof/>
        </w:rPr>
        <w:t>«χρηματοδοτικές ή/και επενδυτικές πράξεις»: πράξεις άμεσης ή έμμεσης χορήγησης χρηματοδότησης στους τελικούς αποδέκτες με τη μορφή χρηματοδοτικών προϊόντων, οι οποίες διενεργούνται από εταίρο υλοποίησης επ’ ονόματί του, παρέχονται από αυτόν σύμφωνα με τους εσωτερικούς κανόνες του και καταχωρίζονται λογιστικά στις οικονομικές του καταστάσεις</w:t>
      </w:r>
      <w:r>
        <w:rPr>
          <w:noProof/>
          <w:sz w:val="23"/>
        </w:rPr>
        <w:t>·</w:t>
      </w:r>
    </w:p>
    <w:p>
      <w:pPr>
        <w:pStyle w:val="Point0number"/>
        <w:numPr>
          <w:ilvl w:val="0"/>
          <w:numId w:val="12"/>
        </w:numPr>
        <w:pBdr>
          <w:top w:val="nil"/>
          <w:left w:val="nil"/>
          <w:bottom w:val="nil"/>
          <w:right w:val="nil"/>
          <w:between w:val="nil"/>
          <w:bar w:val="nil"/>
        </w:pBdr>
        <w:tabs>
          <w:tab w:val="left" w:pos="850"/>
        </w:tabs>
        <w:rPr>
          <w:noProof/>
        </w:rPr>
      </w:pPr>
      <w:r>
        <w:rPr>
          <w:noProof/>
        </w:rPr>
        <w:t>«ταμεία υπό επιμερισμένη διαχείριση»: ταμεία που προβλέπουν τη δυνατότητα διάθεσης ποσού από τα κεφάλαιά τους για την τροφοδότηση εγγύησης από τον προϋπολογισμό στο πλαίσιο της συνιστώσας κράτος μέλος του ταμείου InvestEU, και συγκεκριμένα το Ευρωπαϊκό Ταμείο Περιφερειακής Ανάπτυξης (ΕΤΠΑ), το Ευρωπαϊκό Κοινωνικό Ταμείο+ (ΕΚΤ+), το Ταμείο Συνοχής, το Ευρωπαϊκό Ταμείο Θάλασσας και Αλιείας (ΕΤΘΑ) και το Ευρωπαϊκό Γεωργικό Ταμείο Αγροτικής Ανάπτυξης (ΕΓΤΑΑ)·</w:t>
      </w:r>
    </w:p>
    <w:p>
      <w:pPr>
        <w:pStyle w:val="Point0number"/>
        <w:numPr>
          <w:ilvl w:val="0"/>
          <w:numId w:val="12"/>
        </w:numPr>
        <w:pBdr>
          <w:top w:val="nil"/>
          <w:left w:val="nil"/>
          <w:bottom w:val="nil"/>
          <w:right w:val="nil"/>
          <w:between w:val="nil"/>
          <w:bar w:val="nil"/>
        </w:pBdr>
        <w:tabs>
          <w:tab w:val="left" w:pos="850"/>
        </w:tabs>
        <w:rPr>
          <w:noProof/>
        </w:rPr>
      </w:pPr>
      <w:r>
        <w:rPr>
          <w:noProof/>
        </w:rPr>
        <w:t>«σύμβαση εγγύησης»: το νομικό μέσο με το οποίο η Επιτροπή και ένας εταίρος υλοποίησης διευκρινίζουν τους όρους βάσει των οποίων προτείνεται η χορήγηση του ευεργετήματος της εγγύησης της ΕΕ για χρηματοδοτικές ή επενδυτικές πράξεις,  παρέχεται εγγύηση από τον προϋπολογισμό για τις εν λόγω πράξεις και για την υλοποίησή τους σύμφωνα με τις διατάξεις του παρόντος κανονισμού·</w:t>
      </w:r>
    </w:p>
    <w:p>
      <w:pPr>
        <w:pStyle w:val="Point0number"/>
        <w:numPr>
          <w:ilvl w:val="0"/>
          <w:numId w:val="12"/>
        </w:numPr>
        <w:pBdr>
          <w:top w:val="nil"/>
          <w:left w:val="nil"/>
          <w:bottom w:val="nil"/>
          <w:right w:val="nil"/>
          <w:between w:val="nil"/>
          <w:bar w:val="nil"/>
        </w:pBdr>
        <w:tabs>
          <w:tab w:val="left" w:pos="850"/>
        </w:tabs>
        <w:rPr>
          <w:noProof/>
        </w:rPr>
      </w:pPr>
      <w:r>
        <w:rPr>
          <w:noProof/>
        </w:rPr>
        <w:t xml:space="preserve">«εταίρος υλοποίησης»: επιλέξιμος αντισυμβαλλόμενος, λόγου χάρη χρηματοπιστωτικό ίδρυμα ή άλλος ενδιάμεσος φορέας, με τον οποίον η Επιτροπή υπογράφει σύμβαση εγγύησης ή/και συμφωνία εφαρμογής του συμβουλευτικού κόμβου InvestEU· </w:t>
      </w:r>
    </w:p>
    <w:p>
      <w:pPr>
        <w:pStyle w:val="Point0number"/>
        <w:numPr>
          <w:ilvl w:val="0"/>
          <w:numId w:val="12"/>
        </w:numPr>
        <w:pBdr>
          <w:top w:val="nil"/>
          <w:left w:val="nil"/>
          <w:bottom w:val="nil"/>
          <w:right w:val="nil"/>
          <w:between w:val="nil"/>
          <w:bar w:val="nil"/>
        </w:pBdr>
        <w:tabs>
          <w:tab w:val="left" w:pos="850"/>
        </w:tabs>
        <w:rPr>
          <w:noProof/>
        </w:rPr>
      </w:pPr>
      <w:r>
        <w:rPr>
          <w:noProof/>
        </w:rPr>
        <w:t>«συμβουλευτικός κόμβος InvestEU»: η τεχνική βοήθεια που ορίζεται στο άρθρο 20·</w:t>
      </w:r>
    </w:p>
    <w:p>
      <w:pPr>
        <w:pStyle w:val="Point0number"/>
        <w:numPr>
          <w:ilvl w:val="0"/>
          <w:numId w:val="12"/>
        </w:numPr>
        <w:pBdr>
          <w:top w:val="nil"/>
          <w:left w:val="nil"/>
          <w:bottom w:val="nil"/>
          <w:right w:val="nil"/>
          <w:between w:val="nil"/>
          <w:bar w:val="nil"/>
        </w:pBdr>
        <w:tabs>
          <w:tab w:val="left" w:pos="850"/>
        </w:tabs>
        <w:rPr>
          <w:noProof/>
        </w:rPr>
      </w:pPr>
      <w:r>
        <w:rPr>
          <w:noProof/>
        </w:rPr>
        <w:t xml:space="preserve">«πύλη InvestEU»: η βάση δεδομένων που ορίζεται στο άρθρο 21· </w:t>
      </w:r>
    </w:p>
    <w:p>
      <w:pPr>
        <w:pStyle w:val="Point0number"/>
        <w:numPr>
          <w:ilvl w:val="0"/>
          <w:numId w:val="12"/>
        </w:numPr>
        <w:pBdr>
          <w:top w:val="nil"/>
          <w:left w:val="nil"/>
          <w:bottom w:val="nil"/>
          <w:right w:val="nil"/>
          <w:between w:val="nil"/>
          <w:bar w:val="nil"/>
        </w:pBdr>
        <w:tabs>
          <w:tab w:val="left" w:pos="850"/>
        </w:tabs>
        <w:rPr>
          <w:noProof/>
        </w:rPr>
      </w:pPr>
      <w:r>
        <w:rPr>
          <w:noProof/>
        </w:rPr>
        <w:t>«πρόγραμμα InvestEU»: το ταμείο InvestEU, συμβουλευτικός κόμβος InvestEU, η πύλη InvestEU και οι συνδυαστικές δραστηριότητες, από κοινού·</w:t>
      </w:r>
    </w:p>
    <w:p>
      <w:pPr>
        <w:pStyle w:val="Point0number"/>
        <w:numPr>
          <w:ilvl w:val="0"/>
          <w:numId w:val="12"/>
        </w:numPr>
        <w:pBdr>
          <w:top w:val="nil"/>
          <w:left w:val="nil"/>
          <w:bottom w:val="nil"/>
          <w:right w:val="nil"/>
          <w:between w:val="nil"/>
          <w:bar w:val="nil"/>
        </w:pBdr>
        <w:tabs>
          <w:tab w:val="left" w:pos="850"/>
        </w:tabs>
        <w:rPr>
          <w:noProof/>
        </w:rPr>
      </w:pPr>
      <w:r>
        <w:rPr>
          <w:noProof/>
        </w:rPr>
        <w:t xml:space="preserve">«μικροχρηματοδότηση»: μικροχρηματοδότηση, όπως ορίζεται στον κανονισμό [[ΕΚΤ+] αριθμός]· </w:t>
      </w:r>
    </w:p>
    <w:p>
      <w:pPr>
        <w:pStyle w:val="Point0number"/>
        <w:numPr>
          <w:ilvl w:val="0"/>
          <w:numId w:val="12"/>
        </w:numPr>
        <w:pBdr>
          <w:top w:val="nil"/>
          <w:left w:val="nil"/>
          <w:bottom w:val="nil"/>
          <w:right w:val="nil"/>
          <w:between w:val="nil"/>
          <w:bar w:val="nil"/>
        </w:pBdr>
        <w:tabs>
          <w:tab w:val="left" w:pos="850"/>
        </w:tabs>
        <w:rPr>
          <w:noProof/>
        </w:rPr>
      </w:pPr>
      <w:r>
        <w:rPr>
          <w:noProof/>
        </w:rPr>
        <w:t xml:space="preserve">«επιχειρήσεις μεσαίας κεφαλαιοποίησης»: οντότητες που απασχολούν έως 3 000 εργαζόμενους και δεν είναι ΜΜΕ ή μικρές επιχειρήσεις μεσαίας κεφαλαιοποίησης· </w:t>
      </w:r>
    </w:p>
    <w:p>
      <w:pPr>
        <w:pStyle w:val="Point0number"/>
        <w:numPr>
          <w:ilvl w:val="0"/>
          <w:numId w:val="12"/>
        </w:numPr>
        <w:pBdr>
          <w:top w:val="nil"/>
          <w:left w:val="nil"/>
          <w:bottom w:val="nil"/>
          <w:right w:val="nil"/>
          <w:between w:val="nil"/>
          <w:bar w:val="nil"/>
        </w:pBdr>
        <w:tabs>
          <w:tab w:val="left" w:pos="850"/>
        </w:tabs>
        <w:rPr>
          <w:noProof/>
        </w:rPr>
      </w:pPr>
      <w:r>
        <w:rPr>
          <w:noProof/>
        </w:rPr>
        <w:t>«εθνικές αναπτυξιακές τράπεζες ή ιδρύματα»: νομικές οντότητες που ασκούν κατ’ επάγγελμα χρηματοπιστωτικές δραστηριότητες, στις οποίες ανατίθεται εντολή από κράτος μέλος, ή από οντότητα κράτους μέλους σε κεντρικό, περιφερειακό ή τοπικό επίπεδο, για τη διεξαγωγή δραστηριοτήτων ανάπτυξης ή προβολής·</w:t>
      </w:r>
    </w:p>
    <w:p>
      <w:pPr>
        <w:pStyle w:val="Point0number"/>
        <w:numPr>
          <w:ilvl w:val="0"/>
          <w:numId w:val="12"/>
        </w:numPr>
        <w:pBdr>
          <w:top w:val="nil"/>
          <w:left w:val="nil"/>
          <w:bottom w:val="nil"/>
          <w:right w:val="nil"/>
          <w:between w:val="nil"/>
          <w:bar w:val="nil"/>
        </w:pBdr>
        <w:tabs>
          <w:tab w:val="left" w:pos="850"/>
        </w:tabs>
        <w:rPr>
          <w:noProof/>
        </w:rPr>
      </w:pPr>
      <w:r>
        <w:rPr>
          <w:noProof/>
        </w:rPr>
        <w:t>«μικρές και μεσαίες επιχειρήσεις (ΜΜΕ): πολύ μικρές, μικρές και μεσαίες επιχειρήσεις, όπως ορίζονται στο άρθρο 2 του παραρτήματος της σύστασης 2003/361/ΕΚ της Επιτροπής</w:t>
      </w:r>
      <w:r>
        <w:rPr>
          <w:rStyle w:val="Aucun"/>
          <w:noProof/>
          <w:vertAlign w:val="superscript"/>
        </w:rPr>
        <w:footnoteReference w:id="27"/>
      </w:r>
      <w:r>
        <w:rPr>
          <w:noProof/>
        </w:rPr>
        <w:t>·</w:t>
      </w:r>
    </w:p>
    <w:p>
      <w:pPr>
        <w:pStyle w:val="Point0number"/>
        <w:numPr>
          <w:ilvl w:val="0"/>
          <w:numId w:val="12"/>
        </w:numPr>
        <w:pBdr>
          <w:top w:val="nil"/>
          <w:left w:val="nil"/>
          <w:bottom w:val="nil"/>
          <w:right w:val="nil"/>
          <w:between w:val="nil"/>
          <w:bar w:val="nil"/>
        </w:pBdr>
        <w:tabs>
          <w:tab w:val="left" w:pos="850"/>
        </w:tabs>
        <w:rPr>
          <w:noProof/>
        </w:rPr>
      </w:pPr>
      <w:r>
        <w:rPr>
          <w:noProof/>
        </w:rPr>
        <w:t>«μικρές επιχειρήσεις μεσαίας κεφαλαιοποίησης»: οντότητες που απασχολούν έως και 499 εργαζόμενους και δεν είναι ΜΜΕ·</w:t>
      </w:r>
    </w:p>
    <w:p>
      <w:pPr>
        <w:pStyle w:val="Point0number"/>
        <w:numPr>
          <w:ilvl w:val="0"/>
          <w:numId w:val="12"/>
        </w:numPr>
        <w:pBdr>
          <w:top w:val="nil"/>
          <w:left w:val="nil"/>
          <w:bottom w:val="nil"/>
          <w:right w:val="nil"/>
          <w:between w:val="nil"/>
          <w:bar w:val="nil"/>
        </w:pBdr>
        <w:tabs>
          <w:tab w:val="left" w:pos="850"/>
        </w:tabs>
        <w:rPr>
          <w:noProof/>
        </w:rPr>
      </w:pPr>
      <w:r>
        <w:rPr>
          <w:noProof/>
        </w:rPr>
        <w:lastRenderedPageBreak/>
        <w:t xml:space="preserve">«κοινωνική επιχείρηση»: κοινωνική επιχείρηση, όπως ορίζεται στον κανονισμό [[(EFS) +] </w:t>
      </w:r>
      <w:r>
        <w:rPr>
          <w:rStyle w:val="Aucun"/>
          <w:i/>
          <w:noProof/>
        </w:rPr>
        <w:t>Αριθμός</w:t>
      </w:r>
      <w:r>
        <w:rPr>
          <w:noProof/>
        </w:rPr>
        <w:t>]·</w:t>
      </w:r>
    </w:p>
    <w:p>
      <w:pPr>
        <w:pStyle w:val="Point0number"/>
        <w:numPr>
          <w:ilvl w:val="0"/>
          <w:numId w:val="12"/>
        </w:numPr>
        <w:pBdr>
          <w:top w:val="nil"/>
          <w:left w:val="nil"/>
          <w:bottom w:val="nil"/>
          <w:right w:val="nil"/>
          <w:between w:val="nil"/>
          <w:bar w:val="nil"/>
        </w:pBdr>
        <w:tabs>
          <w:tab w:val="left" w:pos="850"/>
        </w:tabs>
        <w:rPr>
          <w:noProof/>
        </w:rPr>
      </w:pPr>
      <w:r>
        <w:rPr>
          <w:noProof/>
        </w:rPr>
        <w:t>«τρίτη χώρα»: χώρα που δεν είναι μέλος της Ένωσης.</w:t>
      </w:r>
    </w:p>
    <w:p>
      <w:pPr>
        <w:rPr>
          <w:rStyle w:val="Aucun"/>
          <w:noProof/>
          <w:color w:val="0000FF"/>
          <w:u w:color="0000FF"/>
        </w:rPr>
      </w:pPr>
    </w:p>
    <w:p>
      <w:pPr>
        <w:pStyle w:val="Titrearticle"/>
        <w:rPr>
          <w:noProof/>
        </w:rPr>
      </w:pPr>
      <w:r>
        <w:rPr>
          <w:noProof/>
        </w:rPr>
        <w:t>Άρθρο 3</w:t>
      </w:r>
    </w:p>
    <w:p>
      <w:pPr>
        <w:pStyle w:val="Titrearticle"/>
        <w:rPr>
          <w:noProof/>
        </w:rPr>
      </w:pPr>
      <w:r>
        <w:rPr>
          <w:noProof/>
        </w:rPr>
        <w:t>Στόχοι του προγράμματος InvestEU</w:t>
      </w:r>
    </w:p>
    <w:p>
      <w:pPr>
        <w:rPr>
          <w:noProof/>
        </w:rPr>
      </w:pPr>
    </w:p>
    <w:p>
      <w:pPr>
        <w:pStyle w:val="ManualNumPar1"/>
        <w:rPr>
          <w:noProof/>
        </w:rPr>
      </w:pPr>
      <w:r>
        <w:t>1.</w:t>
      </w:r>
      <w:r>
        <w:tab/>
      </w:r>
      <w:r>
        <w:rPr>
          <w:noProof/>
        </w:rPr>
        <w:t xml:space="preserve">Ο γενικός στόχος του προγράμματος InvestEU είναι η στήριξη των στόχων πολιτικής της Ένωσης μέσω χρηματοδοτικών και επενδυτικών δραστηριοτήτων που συμβάλλουν: </w:t>
      </w:r>
    </w:p>
    <w:p>
      <w:pPr>
        <w:pStyle w:val="ListNumberLevel2"/>
        <w:rPr>
          <w:noProof/>
        </w:rPr>
      </w:pPr>
      <w:r>
        <w:rPr>
          <w:noProof/>
        </w:rPr>
        <w:t>στην ανταγωνιστικότητα της Ένωσης, συμπεριλαμβανομένης της καινοτομίας και την ψηφιοποίησης·</w:t>
      </w:r>
    </w:p>
    <w:p>
      <w:pPr>
        <w:pStyle w:val="ListNumberLevel2"/>
        <w:rPr>
          <w:noProof/>
        </w:rPr>
      </w:pPr>
      <w:r>
        <w:rPr>
          <w:noProof/>
        </w:rPr>
        <w:t xml:space="preserve">στη βιωσιμότητα και την ανάπτυξη της οικονομίας της Ένωσης· </w:t>
      </w:r>
    </w:p>
    <w:p>
      <w:pPr>
        <w:pStyle w:val="ListNumberLevel2"/>
        <w:rPr>
          <w:noProof/>
        </w:rPr>
      </w:pPr>
      <w:r>
        <w:rPr>
          <w:noProof/>
        </w:rPr>
        <w:t>στην κοινωνική αντοχή και αποφυγή αποκλεισμών της Ένωσης·</w:t>
      </w:r>
    </w:p>
    <w:p>
      <w:pPr>
        <w:pStyle w:val="ListNumberLevel2"/>
        <w:rPr>
          <w:noProof/>
        </w:rPr>
      </w:pPr>
      <w:r>
        <w:rPr>
          <w:noProof/>
        </w:rPr>
        <w:t xml:space="preserve">στην ενοποίηση των κεφαλαιαγορών της Ένωσης και την ισχυροποίηση της ενιαίας αγοράς, συμπεριλαμβανομένων λύσεων για την αντιμετώπιση του κατακερματισμού των κεφαλαιαγορών της Ένωσης, τη διαφοροποίηση των πηγών χρηματοδότησης για τις επιχειρήσεις της Ένωσης και την προώθηση της βιώσιμης χρηματοδότησης. </w:t>
      </w:r>
    </w:p>
    <w:p>
      <w:pPr>
        <w:pStyle w:val="ManualNumPar1"/>
        <w:rPr>
          <w:noProof/>
        </w:rPr>
      </w:pPr>
      <w:r>
        <w:t>2.</w:t>
      </w:r>
      <w:r>
        <w:tab/>
      </w:r>
      <w:r>
        <w:rPr>
          <w:noProof/>
        </w:rPr>
        <w:t>Το πρόγραμμα InvestEU έχει τους κάτωθι ειδικούς στόχους:</w:t>
      </w:r>
    </w:p>
    <w:p>
      <w:pPr>
        <w:pStyle w:val="ListNumberLevel2"/>
        <w:numPr>
          <w:ilvl w:val="1"/>
          <w:numId w:val="21"/>
        </w:numPr>
        <w:rPr>
          <w:noProof/>
        </w:rPr>
      </w:pPr>
      <w:r>
        <w:rPr>
          <w:noProof/>
        </w:rPr>
        <w:t>τη στήριξη χρηματοδοτικών και επενδυτικών πράξεων σχετικών με βιώσιμες υποδομές στους τομείς που αναφέρονται στο άρθρο 7 παράγραφος 1 στοιχείο α)·</w:t>
      </w:r>
    </w:p>
    <w:p>
      <w:pPr>
        <w:pStyle w:val="ListNumberLevel2"/>
        <w:rPr>
          <w:noProof/>
        </w:rPr>
      </w:pPr>
      <w:r>
        <w:rPr>
          <w:noProof/>
        </w:rPr>
        <w:t>τη στήριξη χρηματοδοτικών και επενδυτικών δραστηριοτήτων στον τομέα της έρευνας, της καινοτομίας και της ψηφιοποίησης·</w:t>
      </w:r>
    </w:p>
    <w:p>
      <w:pPr>
        <w:pStyle w:val="ListNumberLevel2"/>
        <w:rPr>
          <w:noProof/>
        </w:rPr>
      </w:pPr>
      <w:r>
        <w:rPr>
          <w:noProof/>
        </w:rPr>
        <w:t>την αύξηση της πρόσβασης σε χρηματοδότηση, καθώς και της διαθεσιμότητάς της, για τις ΜΜΕ και, σε δεόντως αιτιολογημένες περιπτώσεις, για τις μικρές επιχειρήσεις μεσαίας κεφαλαιοποίησης·</w:t>
      </w:r>
    </w:p>
    <w:p>
      <w:pPr>
        <w:pStyle w:val="ListNumberLevel2"/>
        <w:rPr>
          <w:noProof/>
        </w:rPr>
      </w:pPr>
      <w:r>
        <w:rPr>
          <w:noProof/>
        </w:rPr>
        <w:t>την αύξηση της πρόσβασης σε μικροχρηματοδότηση και χρηματοδότηση, καθώς και της διαθεσιμότητάς τους, για τις κοινωνικές επιχειρήσεις, τη στήριξη χρηματοδοτικών και επενδυτικών δραστηριοτήτων που σχετίζονται με τις κοινωνικές επενδύσεις και τις δεξιότητες, καθώς και την ανάπτυξη και την εδραίωση αγορών κοινωνικών επενδύσεων στους τομείς που αναφέρονται στο στοιχείο δ) του άρθρου 7 παράγραφος 1.</w:t>
      </w:r>
    </w:p>
    <w:p>
      <w:pPr>
        <w:rPr>
          <w:noProof/>
        </w:rPr>
      </w:pPr>
    </w:p>
    <w:p>
      <w:pPr>
        <w:pStyle w:val="Titrearticle"/>
        <w:rPr>
          <w:noProof/>
        </w:rPr>
      </w:pPr>
      <w:r>
        <w:rPr>
          <w:noProof/>
        </w:rPr>
        <w:t>Άρθρο 4</w:t>
      </w:r>
    </w:p>
    <w:p>
      <w:pPr>
        <w:pStyle w:val="Titrearticle"/>
        <w:rPr>
          <w:noProof/>
        </w:rPr>
      </w:pPr>
      <w:r>
        <w:rPr>
          <w:noProof/>
        </w:rPr>
        <w:t>Προϋπολογισμός και ύψος της εγγύησης της ΕΕ</w:t>
      </w:r>
    </w:p>
    <w:p>
      <w:pPr>
        <w:rPr>
          <w:noProof/>
        </w:rPr>
      </w:pPr>
    </w:p>
    <w:p>
      <w:pPr>
        <w:pStyle w:val="ManualNumPar1"/>
        <w:rPr>
          <w:noProof/>
        </w:rPr>
      </w:pPr>
      <w:r>
        <w:lastRenderedPageBreak/>
        <w:t>1.</w:t>
      </w:r>
      <w:r>
        <w:tab/>
      </w:r>
      <w:r>
        <w:rPr>
          <w:noProof/>
        </w:rPr>
        <w:t>Η εγγύηση της ΕΕ για τους σκοπούς της συνιστώσας ΕΕ που αναφέρεται στο άρθρο 8 παράγραφος 1 στοιχείο α), ανέρχεται σε 38 000 000 000 EUR (σε τρέχουσες τιμές). Η τροφοδότησή της ανέρχεται σε ποσοστό 40 %.</w:t>
      </w:r>
    </w:p>
    <w:p>
      <w:pPr>
        <w:pStyle w:val="Text1"/>
        <w:rPr>
          <w:noProof/>
        </w:rPr>
      </w:pPr>
      <w:r>
        <w:rPr>
          <w:noProof/>
        </w:rPr>
        <w:t xml:space="preserve">Δύναται να παρασχεθεί πρόσθετο ποσό της εγγύησης της ΕΕ για τους σκοπούς της συνιστώσας κράτη μέλη που αναφέρονται στο άρθρο 8 παράγραφος 1 στοιχείο β), με την επιφύλαξη της διάθεσης των αντίστοιχων ποσών από μέρους των κρατών μελών, σύμφωνα με το [άρθρο 10 παράγραφος 1] του κανονισμού [[ΚΚΔ] </w:t>
      </w:r>
      <w:r>
        <w:rPr>
          <w:rStyle w:val="Aucun"/>
          <w:i/>
          <w:noProof/>
        </w:rPr>
        <w:t>αριθμός</w:t>
      </w:r>
      <w:r>
        <w:rPr>
          <w:noProof/>
        </w:rPr>
        <w:t xml:space="preserve">] </w:t>
      </w:r>
      <w:r>
        <w:rPr>
          <w:rStyle w:val="Aucun"/>
          <w:noProof/>
          <w:vertAlign w:val="superscript"/>
        </w:rPr>
        <w:footnoteReference w:id="28"/>
      </w:r>
      <w:r>
        <w:rPr>
          <w:noProof/>
        </w:rPr>
        <w:t xml:space="preserve"> και το [άρθρο 75 παράγραφος 1] του κανονισμού [[για το σχέδιο της ΚΓΠ] </w:t>
      </w:r>
      <w:r>
        <w:rPr>
          <w:rStyle w:val="Aucun"/>
          <w:i/>
          <w:noProof/>
        </w:rPr>
        <w:t>αριθμός</w:t>
      </w:r>
      <w:r>
        <w:rPr>
          <w:noProof/>
        </w:rPr>
        <w:t>]</w:t>
      </w:r>
      <w:r>
        <w:rPr>
          <w:rStyle w:val="Aucun"/>
          <w:noProof/>
          <w:vertAlign w:val="superscript"/>
        </w:rPr>
        <w:footnoteReference w:id="29"/>
      </w:r>
      <w:r>
        <w:rPr>
          <w:noProof/>
        </w:rPr>
        <w:t>.</w:t>
      </w:r>
    </w:p>
    <w:p>
      <w:pPr>
        <w:pStyle w:val="Text1"/>
        <w:rPr>
          <w:noProof/>
        </w:rPr>
      </w:pPr>
      <w:r>
        <w:rPr>
          <w:noProof/>
        </w:rPr>
        <w:t>Οι συνεισφορές από τρίτες χώρες που αναφέρονται στο άρθρο 5 αυξάνουν επίσης την εγγύηση της ΕΕ που αναφέρεται στο πρώτο εδάφιο, παρέχοντας ολόκληρη την τροφοδότηση σε μετρητά σύμφωνα με το [άρθρο 218 παράγραφος 2] του [δημοσιονομικού κανονισμού].</w:t>
      </w:r>
    </w:p>
    <w:p>
      <w:pPr>
        <w:pStyle w:val="ManualNumPar1"/>
        <w:rPr>
          <w:noProof/>
        </w:rPr>
      </w:pPr>
      <w:r>
        <w:t>2.</w:t>
      </w:r>
      <w:r>
        <w:tab/>
      </w:r>
      <w:r>
        <w:rPr>
          <w:noProof/>
        </w:rPr>
        <w:t>Η ενδεικτική κατανομή του ποσού που αναφέρεται στο πρώτο εδάφιο της παραγράφου 1 καθορίζεται στο παράρτημα Ι του παρόντος κανονισμού. Η Επιτροπή δύναται να τροποποιεί κατά περίπτωση τα ποσά που αναφέρονται στο εν λόγω παράρτημα I έως και κατά 15 % για κάθε στόχο. Ενημερώνει το Ευρωπαϊκό Κοινοβούλιο και το Συμβούλιο για τυχόν τροποποίηση.</w:t>
      </w:r>
    </w:p>
    <w:p>
      <w:pPr>
        <w:pStyle w:val="ManualNumPar1"/>
        <w:rPr>
          <w:noProof/>
        </w:rPr>
      </w:pPr>
      <w:r>
        <w:t>3.</w:t>
      </w:r>
      <w:r>
        <w:tab/>
      </w:r>
      <w:r>
        <w:rPr>
          <w:noProof/>
        </w:rPr>
        <w:t xml:space="preserve">Το χρηματοδοτικό κονδύλιο για την υλοποίηση των μέτρων που προβλέπονται στα κεφάλαια V και VI ανέρχεται σε 525 000 000 EUR (σε τρέχουσες τιμές). </w:t>
      </w:r>
    </w:p>
    <w:p>
      <w:pPr>
        <w:pStyle w:val="ManualNumPar1"/>
        <w:rPr>
          <w:noProof/>
        </w:rPr>
      </w:pPr>
      <w:r>
        <w:t>4.</w:t>
      </w:r>
      <w:r>
        <w:tab/>
      </w:r>
      <w:r>
        <w:rPr>
          <w:noProof/>
        </w:rPr>
        <w:t xml:space="preserve">Το ποσό που αναφέρεται στην παράγραφο 3 δύναται να χρησιμοποιείται για τεχνική και διοικητική βοήθεια για την υλοποίηση του προγράμματος InvestEU, όπως για δραστηριότητες προετοιμασίας, παρακολούθησης, ελέγχου, λογιστικού ελέγχου και αξιολόγησης, συμπεριλαμβανομένων των εταιρικών συστημάτων τεχνολογίας της πληροφορίας. </w:t>
      </w:r>
    </w:p>
    <w:p>
      <w:pPr>
        <w:pStyle w:val="Titrearticle"/>
        <w:rPr>
          <w:noProof/>
        </w:rPr>
      </w:pPr>
      <w:r>
        <w:rPr>
          <w:noProof/>
        </w:rPr>
        <w:t>Άρθρο 5</w:t>
      </w:r>
    </w:p>
    <w:p>
      <w:pPr>
        <w:pStyle w:val="Titrearticle"/>
        <w:rPr>
          <w:noProof/>
        </w:rPr>
      </w:pPr>
      <w:r>
        <w:rPr>
          <w:noProof/>
        </w:rPr>
        <w:t>Τρίτες χώρες συνδεδεμένες με το ταμείο InvestEU</w:t>
      </w:r>
    </w:p>
    <w:p>
      <w:pPr>
        <w:rPr>
          <w:noProof/>
        </w:rPr>
      </w:pPr>
    </w:p>
    <w:p>
      <w:pPr>
        <w:pStyle w:val="Corps"/>
        <w:outlineLvl w:val="0"/>
        <w:rPr>
          <w:noProof/>
        </w:rPr>
      </w:pPr>
      <w:r>
        <w:rPr>
          <w:noProof/>
        </w:rPr>
        <w:t>Η συνιστώσα ΕΕ του ταμείου InvestEU που αναφέρεται στο άρθρο 8 παράγραφος 1 στοιχείο α) και το καθένα από τα σκέλη πολιτικής που αναφέρονται στο άρθρο 7 παράγραφος 1 δύνανται να δέχονται συνεισφορές από τις ακόλουθες τρίτες χώρες για τη συμμετοχή τους σε ορισμένα χρηματοπιστωτικά προϊόντα, σύμφωνα με το [άρθρο 218 παράγραφος 2] του [δημοσιονομικού κανονισμού]:</w:t>
      </w:r>
    </w:p>
    <w:p>
      <w:pPr>
        <w:pStyle w:val="ListNumberLevel2"/>
        <w:numPr>
          <w:ilvl w:val="1"/>
          <w:numId w:val="58"/>
        </w:numPr>
        <w:rPr>
          <w:noProof/>
        </w:rPr>
      </w:pPr>
      <w:r>
        <w:rPr>
          <w:noProof/>
        </w:rPr>
        <w:t xml:space="preserve">μέλη της Ευρωπαϊκής Ζώνης Ελεύθερων Συναλλαγών (ΕΖΕΣ) που είναι μέλη του Ευρωπαϊκού Οικονομικού Χώρου (ΕΟΧ), σύμφωνα με τους όρους που ορίζει η συμφωνία για τον ΕΟΧ· </w:t>
      </w:r>
    </w:p>
    <w:p>
      <w:pPr>
        <w:pStyle w:val="ListNumberLevel2"/>
        <w:rPr>
          <w:noProof/>
        </w:rPr>
      </w:pPr>
      <w:r>
        <w:rPr>
          <w:noProof/>
        </w:rPr>
        <w:t xml:space="preserve">υπό προσχώρηση χώρες, υποψήφιες χώρες και δυνάμει υποψήφιες χώρες και οντότητες, σύμφωνα με τις γενικές αρχές και τους γενικούς όρους και προϋποθέσεις συμμετοχής τους στα προγράμματα της Ένωσης που προβλέπονται στις αντίστοιχες συμφωνίες-πλαίσια και τις αποφάσεις του συμβουλίου σύνδεσης, ή σε παρεμφερείς συμφωνίες, και σύμφωνα με τους </w:t>
      </w:r>
      <w:r>
        <w:rPr>
          <w:noProof/>
        </w:rPr>
        <w:lastRenderedPageBreak/>
        <w:t>ειδικούς όρους που προβλέπονται στις συμφωνίες μεταξύ της Ένωσης και των εν λόγω χωρών·</w:t>
      </w:r>
    </w:p>
    <w:p>
      <w:pPr>
        <w:pStyle w:val="ListNumberLevel2"/>
        <w:rPr>
          <w:noProof/>
        </w:rPr>
      </w:pPr>
      <w:r>
        <w:rPr>
          <w:noProof/>
        </w:rPr>
        <w:t>χώρες που καλύπτονται από την ευρωπαϊκή πολιτική γειτονίας, σύμφωνα με τις γενικές αρχές και τους γενικούς όρους και προϋποθέσεις για τη συμμετοχή των εν λόγω χωρών σε ενωσιακά προγράμματα που ορίζονται στις αντίστοιχες συμφωνίες-πλαίσια, στις αποφάσεις του συμβουλίου σύνδεσης ή σε παρόμοιες συμφωνίες, καθώς επίσης σύμφωνα με τους ειδικούς όρους που ορίζονται στις συμφωνίες μεταξύ της Ένωσης και των εν λόγω χωρών·</w:t>
      </w:r>
    </w:p>
    <w:p>
      <w:pPr>
        <w:pStyle w:val="ListNumberLevel2"/>
        <w:rPr>
          <w:noProof/>
        </w:rPr>
      </w:pPr>
      <w:r>
        <w:rPr>
          <w:noProof/>
        </w:rPr>
        <w:t>τρίτες χώρες, σύμφωνα με τους όρους που καθορίζονται σε συγκεκριμένη συμφωνία για τη συμμετοχή της τρίτης χώρας σε τυχόν ενωσιακό πρόγραμμα, υπό την προϋπόθεση ότι η συμφωνία:</w:t>
      </w:r>
    </w:p>
    <w:p>
      <w:pPr>
        <w:pStyle w:val="ListNumberLevel3"/>
        <w:rPr>
          <w:noProof/>
        </w:rPr>
      </w:pPr>
      <w:r>
        <w:rPr>
          <w:noProof/>
        </w:rPr>
        <w:t>διασφαλίζει την ορθή ισορροπία όσον αφορά τις συνεισφορές και τα οφέλη της τρίτης χώρας που συμμετέχει στα ενωσιακά προγράμματα·</w:t>
      </w:r>
    </w:p>
    <w:p>
      <w:pPr>
        <w:pStyle w:val="ListNumberLevel3"/>
        <w:rPr>
          <w:noProof/>
        </w:rPr>
      </w:pPr>
      <w:r>
        <w:rPr>
          <w:noProof/>
        </w:rPr>
        <w:t>καθορίζει τους όρους συμμετοχής στα προγράμματα, συμπεριλαμβανομένου του υπολογισμού των χρηματοδοτικών συνεισφορών για επιμέρους προγράμματα και των διοικητικών δαπανών τους. Οι εν λόγω συνεισφορές συνιστούν έσοδα ειδικού προορισμού σύμφωνα με το [άρθρο 21 παράγραφος 5] του [δημοσιονομικού κανονισμού]·</w:t>
      </w:r>
    </w:p>
    <w:p>
      <w:pPr>
        <w:pStyle w:val="ListNumberLevel3"/>
        <w:rPr>
          <w:noProof/>
        </w:rPr>
      </w:pPr>
      <w:r>
        <w:rPr>
          <w:noProof/>
        </w:rPr>
        <w:t>δεν εκχωρεί στην τρίτη χώρα την εξουσία λήψης αποφάσεων σχετικά με το πρόγραμμα·</w:t>
      </w:r>
    </w:p>
    <w:p>
      <w:pPr>
        <w:pStyle w:val="ListNumberLevel3"/>
        <w:rPr>
          <w:noProof/>
        </w:rPr>
      </w:pPr>
      <w:r>
        <w:rPr>
          <w:noProof/>
        </w:rPr>
        <w:t>εγγυάται τα δικαιώματα της Ένωσης για τη διασφάλιση χρηστής δημοσιονομικής διαχείρισης και την προστασία των οικονομικών της συμφερόντων.</w:t>
      </w:r>
    </w:p>
    <w:p>
      <w:pPr>
        <w:pStyle w:val="Titrearticle"/>
        <w:rPr>
          <w:noProof/>
        </w:rPr>
      </w:pPr>
      <w:r>
        <w:rPr>
          <w:noProof/>
        </w:rPr>
        <w:t>Άρθρο 6</w:t>
      </w:r>
    </w:p>
    <w:p>
      <w:pPr>
        <w:pStyle w:val="Titrearticle"/>
        <w:rPr>
          <w:noProof/>
        </w:rPr>
      </w:pPr>
      <w:r>
        <w:rPr>
          <w:noProof/>
        </w:rPr>
        <w:t>Υλοποίηση και μορφές ενωσιακής χρηματοδότησης</w:t>
      </w:r>
    </w:p>
    <w:p>
      <w:pPr>
        <w:rPr>
          <w:noProof/>
        </w:rPr>
      </w:pPr>
    </w:p>
    <w:p>
      <w:pPr>
        <w:pStyle w:val="ManualNumPar1"/>
        <w:rPr>
          <w:noProof/>
        </w:rPr>
      </w:pPr>
      <w:r>
        <w:t>1.</w:t>
      </w:r>
      <w:r>
        <w:tab/>
      </w:r>
      <w:r>
        <w:rPr>
          <w:noProof/>
        </w:rPr>
        <w:t xml:space="preserve">Η εγγύηση της ΕΕ υλοποιείται στο πλαίσιο της έμμεσης διαχείρισης με τους φορείς που αναφέρονται στο [άρθρο 62 παράγραφος 1 στοιχείο γ) σημεία (ii) έως (vii)] του [δημοσιονομικού κανονισμού]. Άλλες μορφές χρηματοδότησης της ΕΕ στο πλαίσιο του παρόντος κανονισμού υλοποιούνται στο πλαίσιο της άμεσης ή έμμεσης διαχείρισης σύμφωνα με τον [δημοσιονομικό κανονισμό], συμπεριλαμβανομένων των επιχορηγήσεων που υλοποιούνται σύμφωνα με τον [τίτλο VIII]. </w:t>
      </w:r>
    </w:p>
    <w:p>
      <w:pPr>
        <w:pStyle w:val="ManualNumPar1"/>
        <w:rPr>
          <w:noProof/>
        </w:rPr>
      </w:pPr>
      <w:r>
        <w:t>2.</w:t>
      </w:r>
      <w:r>
        <w:tab/>
      </w:r>
      <w:r>
        <w:rPr>
          <w:noProof/>
        </w:rPr>
        <w:t>Οι χρηματοδοτικές και επενδυτικές πράξεις που καλύπτονται από την εγγύηση της ΕΕ και αποτελούν μέρος της συνδυαστικής πράξης η οποία συνδυάζει τη στήριξη δυνάμει του παρόντος κανονισμού με τη στήριξη που παρέχεται στο πλαίσιο ενός ή περισσότερων άλλων ενωσιακών προγραμμάτων ή από το Ταμείο Καινοτομίας για το σύστημα εμπορίας εκπομπών της ΕΕ:</w:t>
      </w:r>
    </w:p>
    <w:p>
      <w:pPr>
        <w:pStyle w:val="Corps"/>
        <w:ind w:left="2127" w:hanging="709"/>
        <w:rPr>
          <w:noProof/>
        </w:rPr>
      </w:pPr>
      <w:r>
        <w:rPr>
          <w:rStyle w:val="Aucun"/>
          <w:noProof/>
        </w:rPr>
        <w:t xml:space="preserve">α) </w:t>
      </w:r>
      <w:r>
        <w:rPr>
          <w:noProof/>
        </w:rPr>
        <w:tab/>
      </w:r>
      <w:r>
        <w:rPr>
          <w:rStyle w:val="Aucun"/>
          <w:noProof/>
        </w:rPr>
        <w:t>συνάδουν με τους στόχους πολιτικής και πληρούν τα κριτήρια επιλεξιμότητας που ορίζονται στον κανόνα για το ενωσιακό πρόγραμμα στο πλαίσιο του οποίου αποφασίζεται η στήριξη·</w:t>
      </w:r>
    </w:p>
    <w:p>
      <w:pPr>
        <w:pStyle w:val="Corps"/>
        <w:ind w:left="1440"/>
        <w:rPr>
          <w:noProof/>
        </w:rPr>
      </w:pPr>
      <w:r>
        <w:rPr>
          <w:rStyle w:val="Aucun"/>
          <w:noProof/>
        </w:rPr>
        <w:t>β)</w:t>
      </w:r>
      <w:r>
        <w:rPr>
          <w:noProof/>
        </w:rPr>
        <w:tab/>
      </w:r>
      <w:r>
        <w:rPr>
          <w:rStyle w:val="Aucun"/>
          <w:noProof/>
        </w:rPr>
        <w:t>συμμορφώνονται με τις διατάξεις του παρόντος κανονισμού.</w:t>
      </w:r>
      <w:r>
        <w:rPr>
          <w:rStyle w:val="Aucun"/>
          <w:rFonts w:ascii="Arial" w:hAnsi="Arial"/>
          <w:noProof/>
          <w:sz w:val="20"/>
        </w:rPr>
        <w:t xml:space="preserve"> </w:t>
      </w:r>
    </w:p>
    <w:p>
      <w:pPr>
        <w:pStyle w:val="ManualNumPar1"/>
        <w:rPr>
          <w:noProof/>
        </w:rPr>
      </w:pPr>
      <w:r>
        <w:lastRenderedPageBreak/>
        <w:t>3.</w:t>
      </w:r>
      <w:r>
        <w:tab/>
      </w:r>
      <w:r>
        <w:rPr>
          <w:noProof/>
        </w:rPr>
        <w:t>Οι συνδυαστικές πράξεις, συμπεριλαμβανομένου χρηματοδοτικού μέσου που χρηματοδοτείται εξ ολοκλήρου από άλλα ενωσιακά προγράμματα ή από το Ταμείο Καινοτομίας για το σύστημα εμπορίας εκπομπών της ΕΕ χωρίς τη χρήση της εγγύησης της ΕΕ δυνάμει του παρόντος κανονισμού, συμμορφώνονται με τους στόχους πολιτικής και τα κριτήρια επιλεξιμότητας που ορίζονται στους κανόνες του ενωσιακού προγράμματος στο πλαίσιο του οποίου παρέχεται η στήριξη.</w:t>
      </w:r>
    </w:p>
    <w:p>
      <w:pPr>
        <w:pStyle w:val="ManualNumPar1"/>
        <w:rPr>
          <w:noProof/>
        </w:rPr>
      </w:pPr>
      <w:r>
        <w:t>4.</w:t>
      </w:r>
      <w:r>
        <w:tab/>
      </w:r>
      <w:r>
        <w:rPr>
          <w:noProof/>
        </w:rPr>
        <w:t>Σύμφωνα με το άρθρο 6 παράγραφος 2, οι μη επιστρεπτέες μορφές ενίσχυσης ή/και τα χρηματοδοτικά μέσα από τον προϋπολογισμό της Ένωσης που αποτελούν μέρος της συνδυαστικής πράξης η οποία αναφέρεται στις παραγράφους 2 και 3 αποφασίζονται σύμφωνα με τους κανόνες του οικείου ενωσιακού προγράμματος και υλοποιούνται στο πλαίσιο της συνδυαστικής πράξης σύμφωνα με τον παρόντα κανονισμό και με τον [τίτλο X] του [δημοσιονομικού κανονισμού].</w:t>
      </w:r>
    </w:p>
    <w:p>
      <w:pPr>
        <w:pStyle w:val="Corps"/>
        <w:ind w:left="851" w:hanging="851"/>
        <w:outlineLvl w:val="0"/>
        <w:rPr>
          <w:noProof/>
        </w:rPr>
      </w:pPr>
      <w:r>
        <w:rPr>
          <w:noProof/>
        </w:rPr>
        <w:tab/>
        <w:t xml:space="preserve">Η υποβολή εκθέσεων περιλαμβάνει επίσης τα στοιχεία που αφορούν τη συνέπεια με τους στόχους πολιτικής και τα κριτήρια επιλεξιμότητας που καθορίζονται στους κανόνες του ενωσιακού προγράμματος στο πλαίσιο του οποίου αποφασίζεται η στήριξη, καθώς και τη συμμόρφωση με τον παρόντα κανονισμό. </w:t>
      </w:r>
    </w:p>
    <w:p>
      <w:pPr>
        <w:rPr>
          <w:noProof/>
        </w:rPr>
      </w:pPr>
    </w:p>
    <w:p>
      <w:pPr>
        <w:pStyle w:val="Titrearticle"/>
        <w:rPr>
          <w:rStyle w:val="Aucun"/>
          <w:b/>
          <w:bCs/>
          <w:noProof/>
        </w:rPr>
      </w:pPr>
      <w:r>
        <w:rPr>
          <w:rStyle w:val="Aucun"/>
          <w:b/>
          <w:noProof/>
        </w:rPr>
        <w:t>ΚΕΦΑΛΑΙΟ II</w:t>
      </w:r>
    </w:p>
    <w:p>
      <w:pPr>
        <w:pStyle w:val="Titrearticle"/>
        <w:rPr>
          <w:rStyle w:val="Aucun"/>
          <w:b/>
          <w:bCs/>
          <w:noProof/>
        </w:rPr>
      </w:pPr>
      <w:r>
        <w:rPr>
          <w:rStyle w:val="Aucun"/>
          <w:b/>
          <w:noProof/>
        </w:rPr>
        <w:t>Ταμείο InvestEU</w:t>
      </w:r>
    </w:p>
    <w:p>
      <w:pPr>
        <w:pStyle w:val="Titrearticle"/>
        <w:rPr>
          <w:noProof/>
        </w:rPr>
      </w:pPr>
      <w:r>
        <w:rPr>
          <w:noProof/>
        </w:rPr>
        <w:t>Άρθρο 7</w:t>
      </w:r>
    </w:p>
    <w:p>
      <w:pPr>
        <w:pStyle w:val="Titrearticle"/>
        <w:rPr>
          <w:noProof/>
        </w:rPr>
      </w:pPr>
      <w:r>
        <w:rPr>
          <w:noProof/>
        </w:rPr>
        <w:t>Σκέλη πολιτικής</w:t>
      </w:r>
    </w:p>
    <w:p>
      <w:pPr>
        <w:pStyle w:val="Corps"/>
        <w:rPr>
          <w:noProof/>
        </w:rPr>
      </w:pPr>
    </w:p>
    <w:p>
      <w:pPr>
        <w:pStyle w:val="ManualNumPar1"/>
        <w:rPr>
          <w:noProof/>
        </w:rPr>
      </w:pPr>
      <w:r>
        <w:t>1.</w:t>
      </w:r>
      <w:r>
        <w:tab/>
      </w:r>
      <w:r>
        <w:rPr>
          <w:noProof/>
        </w:rPr>
        <w:t>Το ταμείο InvestEU λειτουργεί μέσω των κάτωθι τεσσάρων σκελών πολιτικής τα οποία αντιμετωπίζουν τις αστοχίες της αγοράς ή τις μη βέλτιστες επενδυτικές καταστάσεις στο πλαίσιο του ειδικού πεδίου εφαρμογής τους:</w:t>
      </w:r>
    </w:p>
    <w:p>
      <w:pPr>
        <w:pStyle w:val="Text1"/>
        <w:ind w:left="1418" w:hanging="567"/>
        <w:rPr>
          <w:noProof/>
        </w:rPr>
      </w:pPr>
      <w:r>
        <w:rPr>
          <w:noProof/>
        </w:rPr>
        <w:t>α)</w:t>
      </w:r>
      <w:r>
        <w:rPr>
          <w:noProof/>
        </w:rPr>
        <w:tab/>
        <w:t>σκέλος πολιτικής βιώσιμων υποδομών: περιλαμβάνει τις βιώσιμες επενδύσεις στους τομείς των μεταφορών, της ενέργειας, της ψηφιακής διασύνδεσης, της προμήθειας και μεταποίησης πρώτων υλών, του διαστήματος, των ωκεανών και των υδάτων, των αποβλήτων, της φύσης και άλλων περιβαλλοντικών υποδομών, του εξοπλισμού, των κινητών περιουσιακών στοιχείων και της χρήσης καινοτόμων τεχνολογιών που συμβάλλουν στην επίτευξη των στόχων περιβαλλοντικής ή κοινωνικής βιωσιμότητας της Ένωσης, ή και των δύο, ή πληρούν τα πρότυπα περιβαλλοντικής ή κοινωνικής βιωσιμότητας της Ένωσης·</w:t>
      </w:r>
    </w:p>
    <w:p>
      <w:pPr>
        <w:pStyle w:val="Text1"/>
        <w:ind w:left="1418" w:hanging="567"/>
        <w:rPr>
          <w:noProof/>
        </w:rPr>
      </w:pPr>
      <w:r>
        <w:rPr>
          <w:noProof/>
        </w:rPr>
        <w:t>β)</w:t>
      </w:r>
      <w:r>
        <w:rPr>
          <w:noProof/>
        </w:rPr>
        <w:tab/>
        <w:t>σκέλος πολιτικής έρευνας, καινοτομίας και ψηφιοποίησης: περιλαμβάνει δραστηριότητες έρευνας και καινοτομίας, τη μεταφορά των αποτελεσμάτων της έρευνας στην αγορά, την επίδειξη και τη χρήση καινοτόμων λύσεων και την παροχή στήριξης με σκοπό την ανάπτυξη καινοτόμων εταιρειών πλην των ΜΜΕ, καθώς και την ψηφιοποίηση της ενωσιακής βιομηχανίας·</w:t>
      </w:r>
    </w:p>
    <w:p>
      <w:pPr>
        <w:pStyle w:val="Text1"/>
        <w:ind w:left="1418" w:hanging="567"/>
        <w:rPr>
          <w:noProof/>
        </w:rPr>
      </w:pPr>
      <w:r>
        <w:rPr>
          <w:noProof/>
        </w:rPr>
        <w:t>γ)</w:t>
      </w:r>
      <w:r>
        <w:rPr>
          <w:noProof/>
        </w:rPr>
        <w:tab/>
        <w:t>σκέλος πολιτικής ΜΜΕ: πρόσβαση σε χρηματοδότηση, καθώς και διαθεσιμότητά της, για τις ΜΜΕ και, σε δεόντως αιτιολογημένες περιπτώσεις, για τις μικρές επιχειρήσεις μεσαίας κεφαλαιοποίησης·</w:t>
      </w:r>
    </w:p>
    <w:p>
      <w:pPr>
        <w:pStyle w:val="Text1"/>
        <w:ind w:left="1418" w:hanging="567"/>
        <w:rPr>
          <w:noProof/>
        </w:rPr>
      </w:pPr>
      <w:r>
        <w:rPr>
          <w:noProof/>
        </w:rPr>
        <w:lastRenderedPageBreak/>
        <w:t>δ)</w:t>
      </w:r>
      <w:r>
        <w:rPr>
          <w:noProof/>
        </w:rPr>
        <w:tab/>
        <w:t>σκέλος πολιτικής κοινωνικών επενδύσεων και δεξιοτήτων: περιλαμβάνει τη μικροχρηματοδότηση και τη χρηματοδότηση κοινωνικών επιχειρήσεων και της κοινωνικής οικονομίας· δεξιότητες, εκπαίδευση, κατάρτιση και συναφείς υπηρεσίες· κοινωνικές υποδομές (συμπεριλαμβανομένης της κοινωνικής και φοιτητικής στέγασης)· κοινωνική καινοτομία· την υγεία και τη μακροχρόνια περίθαλψη, ένταξη και προσβασιμότητα· πολιτιστικές δραστηριότητες με κοινωνικό σκοπό·  ενσωμάτωση ευάλωτων ατόμων, συμπεριλαμβανομένων υπηκόων τρίτων χωρών.</w:t>
      </w:r>
    </w:p>
    <w:p>
      <w:pPr>
        <w:pStyle w:val="ManualNumPar1"/>
        <w:rPr>
          <w:noProof/>
        </w:rPr>
      </w:pPr>
      <w:r>
        <w:t>2.</w:t>
      </w:r>
      <w:r>
        <w:tab/>
      </w:r>
      <w:r>
        <w:rPr>
          <w:noProof/>
        </w:rPr>
        <w:t>Όταν μια χρηματοδοτική ή επενδυτική πράξη που προτείνει η Επιτροπή Επενδύσεων η οποία αναφέρεται στο άρθρο 19 εμπίπτει σε περισσότερα του ενός σκέλη πολιτικής, αποδίδεται στο σκέλος στο οποίο εμπίπτει ο κύριος στόχος της, ή ο κύριος στόχος των περισσότερων από τα υπο-έργα της, εκτός αν οι κατευθυντήριες γραμμές περί επενδύσεων ορίζουν διαφορετικά.</w:t>
      </w:r>
    </w:p>
    <w:p>
      <w:pPr>
        <w:pStyle w:val="ManualNumPar1"/>
        <w:rPr>
          <w:noProof/>
        </w:rPr>
      </w:pPr>
      <w:r>
        <w:t>3.</w:t>
      </w:r>
      <w:r>
        <w:tab/>
      </w:r>
      <w:r>
        <w:rPr>
          <w:noProof/>
        </w:rPr>
        <w:t>Οι χρηματοδοτικές και επενδυτικές δραστηριότητες στο πλαίσιο του σκέλους πολιτικής βιώσιμων υποδομών που αναφέρεται στην παράγραφο 1 στοιχείο α) υπόκεινται σε έλεγχο κλιματικής, περιβαλλοντικής και κοινωνικής βιωσιμότητας ο οποίος αποσκοπεί στην ελαχιστοποίηση των αρνητικών επιπτώσεων και τη μεγιστοποίηση των ωφελειών για το κλίμα, το περιβάλλον και την κοινωνική διάσταση. Για τον σκοπό αυτό, οι φορείς υλοποίησης που αναζητούν χρηματοδότηση παρέχουν επαρκείς πληροφορίες βάσει κατευθυντήριων γραμμών που θα καταρτίσει η Επιτροπή.  Έργα που υπολείπονται ενός συγκεκριμένου μεγέθους το οποίο ορίζεται στις κατευθυντήριες γραμμές εξαιρούνται από τον έλεγχο.</w:t>
      </w:r>
    </w:p>
    <w:p>
      <w:pPr>
        <w:pStyle w:val="Corps"/>
        <w:ind w:left="850" w:hanging="850"/>
        <w:rPr>
          <w:noProof/>
        </w:rPr>
      </w:pPr>
      <w:r>
        <w:rPr>
          <w:noProof/>
        </w:rPr>
        <w:tab/>
        <w:t xml:space="preserve">Οι κατευθυντήριες γραμμές της Επιτροπής: </w:t>
      </w:r>
    </w:p>
    <w:p>
      <w:pPr>
        <w:pStyle w:val="Text1"/>
        <w:ind w:left="1418" w:hanging="567"/>
        <w:rPr>
          <w:noProof/>
        </w:rPr>
      </w:pPr>
      <w:r>
        <w:rPr>
          <w:noProof/>
        </w:rPr>
        <w:t>α)</w:t>
      </w:r>
      <w:r>
        <w:rPr>
          <w:noProof/>
        </w:rPr>
        <w:tab/>
        <w:t>όσον αφορά την προσαρμογή, διασφαλίζουν την αντοχή στις δυνητικές αρνητικές επιπτώσεις της κλιματικής αλλαγής μέσω εκτίμησης κλιματικής τρωτότητας και κινδύνου, συμπεριλαμβανομένων σχετικών μέτρων προσαρμογής, και, όσον αφορά τον μετριασμό, ενσωματώνουν στην ανάλυση κόστους-οφέλους το κόστος των εκπομπών αερίων του θερμοκηπίου και τις θετικές επιπτώσεις των μέτρων για τον μετριασμό της κλιματικής αλλαγής·</w:t>
      </w:r>
    </w:p>
    <w:p>
      <w:pPr>
        <w:pStyle w:val="Text1"/>
        <w:tabs>
          <w:tab w:val="left" w:pos="1418"/>
        </w:tabs>
        <w:ind w:left="1418" w:hanging="567"/>
        <w:rPr>
          <w:noProof/>
        </w:rPr>
      </w:pPr>
      <w:r>
        <w:rPr>
          <w:noProof/>
        </w:rPr>
        <w:t>β)</w:t>
      </w:r>
      <w:r>
        <w:rPr>
          <w:noProof/>
        </w:rPr>
        <w:tab/>
        <w:t>αιτιολογούν τις ενοποιημένες επιπτώσεις του έργου ως προς τις κύριες συνιστώσες του φυσικού κεφαλαίου που αφορούν την ατμόσφαιρα, τα ύδατα, το έδαφος και τη βιοποικιλότητα·</w:t>
      </w:r>
    </w:p>
    <w:p>
      <w:pPr>
        <w:pStyle w:val="Text1"/>
        <w:tabs>
          <w:tab w:val="left" w:pos="1418"/>
        </w:tabs>
        <w:ind w:left="1418" w:hanging="567"/>
        <w:rPr>
          <w:noProof/>
        </w:rPr>
      </w:pPr>
      <w:r>
        <w:rPr>
          <w:noProof/>
        </w:rPr>
        <w:t xml:space="preserve">γ) </w:t>
      </w:r>
      <w:r>
        <w:rPr>
          <w:noProof/>
        </w:rPr>
        <w:tab/>
        <w:t>εκτιμούν τις επιπτώσεις ορισμένων περιοχών ή πληθυσμών στην κοινωνική ένταξη.</w:t>
      </w:r>
    </w:p>
    <w:p>
      <w:pPr>
        <w:pStyle w:val="ManualNumPar1"/>
        <w:rPr>
          <w:noProof/>
        </w:rPr>
      </w:pPr>
      <w:r>
        <w:t>4.</w:t>
      </w:r>
      <w:r>
        <w:tab/>
      </w:r>
      <w:r>
        <w:rPr>
          <w:noProof/>
        </w:rPr>
        <w:t xml:space="preserve">Οι εταίροι υλοποίησης παρέχουν πληροφορίες που είναι απαραίτητες για να καταστεί εφικτή η παρακολούθηση των επενδύσεων οι οποίες συμβάλλουν στην επίτευξη των στόχων της Ένωσης για το κλίμα και το περιβάλλον, με βάση τις κατευθυντήριες γραμμές που παρέχει η Επιτροπή.  </w:t>
      </w:r>
    </w:p>
    <w:p>
      <w:pPr>
        <w:pStyle w:val="ManualNumPar1"/>
        <w:rPr>
          <w:noProof/>
        </w:rPr>
      </w:pPr>
      <w:r>
        <w:t>5.</w:t>
      </w:r>
      <w:r>
        <w:tab/>
      </w:r>
      <w:r>
        <w:rPr>
          <w:noProof/>
        </w:rPr>
        <w:t>Οι εταίροι υλοποίησης μεριμνούν όπως τουλάχιστον το 50 % των επενδύσεων στο πλαίσιο του σκέλους πολιτικής βιώσιμης υποδομής παράθυρο συμβάλλουν στην επίτευξη των στόχων της Ένωσης για το κλίμα και το περιβάλλον.</w:t>
      </w:r>
    </w:p>
    <w:p>
      <w:pPr>
        <w:pStyle w:val="ManualNumPar1"/>
        <w:rPr>
          <w:noProof/>
        </w:rPr>
      </w:pPr>
      <w:r>
        <w:t>6.</w:t>
      </w:r>
      <w:r>
        <w:tab/>
      </w:r>
      <w:r>
        <w:rPr>
          <w:noProof/>
        </w:rPr>
        <w:t>Η Επιτροπή εξουσιοδοτείται να εκδίδει κατ’ εξουσιοδότηση πράξεις σύμφωνα με το άρθρο 26 προκειμένου να καθορίζει τις κατευθυντήριες γραμμές περί επενδύσεων για κάθε σκέλος πολιτικής.</w:t>
      </w:r>
    </w:p>
    <w:p>
      <w:pPr>
        <w:pStyle w:val="Titrearticle"/>
        <w:rPr>
          <w:noProof/>
        </w:rPr>
      </w:pPr>
      <w:r>
        <w:rPr>
          <w:noProof/>
        </w:rPr>
        <w:lastRenderedPageBreak/>
        <w:t>Άρθρο 8</w:t>
      </w:r>
    </w:p>
    <w:p>
      <w:pPr>
        <w:pStyle w:val="Titrearticle"/>
        <w:rPr>
          <w:noProof/>
        </w:rPr>
      </w:pPr>
      <w:r>
        <w:rPr>
          <w:noProof/>
        </w:rPr>
        <w:t>Συνιστώσες</w:t>
      </w:r>
    </w:p>
    <w:p>
      <w:pPr>
        <w:rPr>
          <w:noProof/>
        </w:rPr>
      </w:pPr>
    </w:p>
    <w:p>
      <w:pPr>
        <w:pStyle w:val="ManualNumPar1"/>
        <w:rPr>
          <w:noProof/>
        </w:rPr>
      </w:pPr>
      <w:r>
        <w:t>1.</w:t>
      </w:r>
      <w:r>
        <w:tab/>
      </w:r>
      <w:r>
        <w:rPr>
          <w:noProof/>
        </w:rPr>
        <w:t>Κάθε σκέλος πολιτικής που αναφέρεται στο άρθρο 7 παράγραφος 1 αποτελείται από τις κάτωθι δύο συνιστώσες οι οποίες αποσκοπούν στην αντιμετώπιση ειδικών αστοχιών της αγοράς ή μη βέλτιστων επενδυτικών καταστάσεων:</w:t>
      </w:r>
    </w:p>
    <w:p>
      <w:pPr>
        <w:pStyle w:val="ListNumberLevel2"/>
        <w:numPr>
          <w:ilvl w:val="1"/>
          <w:numId w:val="57"/>
        </w:numPr>
        <w:rPr>
          <w:noProof/>
        </w:rPr>
      </w:pPr>
      <w:r>
        <w:rPr>
          <w:noProof/>
        </w:rPr>
        <w:t xml:space="preserve">η συνιστώσα για την ΕΕ καλύπτει οποιαδήποτε από τις κάτωθι καταστάσεις: </w:t>
      </w:r>
    </w:p>
    <w:p>
      <w:pPr>
        <w:pStyle w:val="Corps"/>
        <w:ind w:left="2160" w:hanging="720"/>
        <w:rPr>
          <w:noProof/>
        </w:rPr>
      </w:pPr>
      <w:r>
        <w:rPr>
          <w:noProof/>
        </w:rPr>
        <w:t>i)</w:t>
      </w:r>
      <w:r>
        <w:rPr>
          <w:noProof/>
        </w:rPr>
        <w:tab/>
        <w:t>αστοχίες της αγοράς ή μη βέλτιστες επενδυτικές καταστάσεις που σχετίζονται με τις προτεραιότητες πολιτικής της Ένωσης και αντιμετωπίζονται σε επίπεδο Ένωσης.</w:t>
      </w:r>
    </w:p>
    <w:p>
      <w:pPr>
        <w:pStyle w:val="Corps"/>
        <w:spacing w:line="360" w:lineRule="auto"/>
        <w:ind w:left="2127" w:hanging="709"/>
        <w:rPr>
          <w:noProof/>
        </w:rPr>
      </w:pPr>
      <w:r>
        <w:rPr>
          <w:noProof/>
        </w:rPr>
        <w:t>ii)</w:t>
      </w:r>
      <w:r>
        <w:rPr>
          <w:noProof/>
        </w:rPr>
        <w:tab/>
        <w:t>αστοχίες της αγοράς ή μη βέλτιστες επενδυτικές καταστάσεις σε ολόκληρη την Ένωση· ή</w:t>
      </w:r>
    </w:p>
    <w:p>
      <w:pPr>
        <w:pStyle w:val="Corps"/>
        <w:ind w:left="2160" w:hanging="720"/>
        <w:rPr>
          <w:noProof/>
        </w:rPr>
      </w:pPr>
      <w:r>
        <w:rPr>
          <w:noProof/>
        </w:rPr>
        <w:t>iii)</w:t>
      </w:r>
      <w:r>
        <w:rPr>
          <w:noProof/>
        </w:rPr>
        <w:tab/>
        <w:t>νέες ή περίπλοκες αστοχίες της αγοράς ή μη βέλτιστες επενδυτικές καταστάσεις που αποσκοπούν στην εκπόνηση νέων χρηματοδοτικών λύσεων και διαρθρώσεων της αγοράς·</w:t>
      </w:r>
    </w:p>
    <w:p>
      <w:pPr>
        <w:pStyle w:val="ListNumberLevel2"/>
        <w:ind w:left="1440"/>
        <w:rPr>
          <w:noProof/>
        </w:rPr>
      </w:pPr>
      <w:r>
        <w:rPr>
          <w:noProof/>
        </w:rPr>
        <w:t>η συνιστώσα για τα κράτη μέλη καλύπτει την αντιμετώπιση ειδικών αστοχιών της αγοράς ή μη βέλτιστων επενδυτικών καταστάσεων σε ένα ή περισσότερα κράτη μέλη με σκοπό την επίτευξη στόχων των συνεισφερόντων Ταμείων στο πλαίσιο της επιμερισμένης διαχείρισης.</w:t>
      </w:r>
    </w:p>
    <w:p>
      <w:pPr>
        <w:pStyle w:val="ManualNumPar1"/>
        <w:rPr>
          <w:noProof/>
        </w:rPr>
      </w:pPr>
      <w:r>
        <w:t>2.</w:t>
      </w:r>
      <w:r>
        <w:tab/>
      </w:r>
      <w:r>
        <w:rPr>
          <w:noProof/>
        </w:rPr>
        <w:t>Οι συνιστώσες που αναφέρονται στην παράγραφο 1 δύνανται να χρησιμοποιηθούν με συμπληρωματικό τρόπο για την ενίσχυση μιας χρηματοδοτικής ή επενδυτικής πράξης, μεταξύ άλλων συνδυάζοντας την ενίσχυση που παρέχεται στο πλαίσιο και των δύο συνιστωσών.</w:t>
      </w:r>
    </w:p>
    <w:p>
      <w:pPr>
        <w:pStyle w:val="Titrearticle"/>
        <w:rPr>
          <w:noProof/>
        </w:rPr>
      </w:pPr>
      <w:r>
        <w:rPr>
          <w:noProof/>
        </w:rPr>
        <w:t>Άρθρο 9</w:t>
      </w:r>
    </w:p>
    <w:p>
      <w:pPr>
        <w:pStyle w:val="Titrearticle"/>
        <w:rPr>
          <w:noProof/>
        </w:rPr>
      </w:pPr>
      <w:r>
        <w:rPr>
          <w:noProof/>
        </w:rPr>
        <w:t>Ειδικές διατάξεις που ισχύουν για τη συνιστώσα του κράτους μέλους</w:t>
      </w:r>
    </w:p>
    <w:p>
      <w:pPr>
        <w:rPr>
          <w:noProof/>
        </w:rPr>
      </w:pPr>
    </w:p>
    <w:p>
      <w:pPr>
        <w:pStyle w:val="ManualNumPar1"/>
        <w:rPr>
          <w:noProof/>
        </w:rPr>
      </w:pPr>
      <w:r>
        <w:t>1.</w:t>
      </w:r>
      <w:r>
        <w:tab/>
      </w:r>
      <w:r>
        <w:rPr>
          <w:noProof/>
        </w:rPr>
        <w:t>Ποσά που διατίθενται από κράτος μέλος δυνάμει του [άρθρου 10 παράγραφος 1] του κανονισμού [[ΚΚΔ] αριθμός] ή του [άρθρου 75 παράγραφος 1] του κανονισμού [[για το σχέδιο της ΚΓΠ] αριθμός] χρησιμοποιούνται για την τροφοδότηση του μέρους της εγγύησης της ΕΕ στο πλαίσιο του τμήματος για τα κράτη μέλη το οποίο καλύπτει χρηματοδοτικές και επενδυτικές δραστηριότητες στο οικείο κράτος μέλος.</w:t>
      </w:r>
    </w:p>
    <w:p>
      <w:pPr>
        <w:pStyle w:val="ManualNumPar1"/>
        <w:rPr>
          <w:noProof/>
        </w:rPr>
      </w:pPr>
      <w:r>
        <w:t>2.</w:t>
      </w:r>
      <w:r>
        <w:tab/>
      </w:r>
      <w:r>
        <w:rPr>
          <w:noProof/>
        </w:rPr>
        <w:t>Η καθιέρωση του εν λόγω μέρους της εγγύησης της ΕΕ στο πλαίσιο της συνιστώσας για το κράτος μέλος υπόκειται στη σύναψη συμφωνίας συνεισφοράς μεταξύ του κράτους μέλους και της Επιτροπής.</w:t>
      </w:r>
    </w:p>
    <w:p>
      <w:pPr>
        <w:pStyle w:val="Text1"/>
        <w:rPr>
          <w:noProof/>
        </w:rPr>
      </w:pPr>
      <w:r>
        <w:rPr>
          <w:noProof/>
        </w:rPr>
        <w:t>Το κράτος μέλος και η Επιτροπή συνάπτουν τη συμφωνία συνεισφοράς ή την τροποποίησή της εντός τεσσάρων μηνών από την απόφαση της Επιτροπής για την έγκριση του συμφώνου εταιρικής σχέσης ή σχεδίου της ΚΓΠ ή ταυτόχρονα με την απόφαση της Επιτροπής για την τροποποίηση ενός προγράμματος ή ενός σχεδίου της ΚΓΠ.</w:t>
      </w:r>
    </w:p>
    <w:p>
      <w:pPr>
        <w:pStyle w:val="Text1"/>
        <w:rPr>
          <w:noProof/>
        </w:rPr>
      </w:pPr>
      <w:r>
        <w:rPr>
          <w:noProof/>
        </w:rPr>
        <w:lastRenderedPageBreak/>
        <w:t>Δύο ή περισσότερα κράτη μέλη δύνανται να συνάψουν κοινή συμφωνία συνεισφοράς με την Επιτροπή.</w:t>
      </w:r>
    </w:p>
    <w:p>
      <w:pPr>
        <w:pStyle w:val="Text1"/>
        <w:rPr>
          <w:noProof/>
        </w:rPr>
      </w:pPr>
      <w:r>
        <w:rPr>
          <w:noProof/>
        </w:rPr>
        <w:t>Κατά παρέκκλιση από το [άρθρο 211 παράγραφος 1] του [δημοσιονομικού κανονισμού], το ποσοστό τροφοδότησης της εγγύησης της ΕΕ στο πλαίσιο της συνιστώσας για το κράτος μέλος ορίζεται σε 40 % και δύναται να προσαρμόζεται προς τα κάτω ή προς τα πάνω σε κάθε συμφωνία συνεισφοράς προκειμένου να λαμβάνονται υπόψη οι κίνδυνοι που συνοδεύουν τα χρηματοδοτικά προϊόντα που πρόκειται να χρησιμοποιηθούν.</w:t>
      </w:r>
    </w:p>
    <w:p>
      <w:pPr>
        <w:pStyle w:val="ManualNumPar1"/>
        <w:rPr>
          <w:noProof/>
        </w:rPr>
      </w:pPr>
      <w:r>
        <w:t>3.</w:t>
      </w:r>
      <w:r>
        <w:tab/>
      </w:r>
      <w:r>
        <w:rPr>
          <w:noProof/>
        </w:rPr>
        <w:t>Η συμφωνία συνεισφοράς περιλαμβάνει τουλάχιστον τα κάτωθι στοιχεία:</w:t>
      </w:r>
    </w:p>
    <w:p>
      <w:pPr>
        <w:pStyle w:val="Text1"/>
        <w:ind w:left="1418" w:hanging="567"/>
        <w:rPr>
          <w:noProof/>
        </w:rPr>
      </w:pPr>
      <w:r>
        <w:rPr>
          <w:noProof/>
        </w:rPr>
        <w:t>α)</w:t>
      </w:r>
      <w:r>
        <w:rPr>
          <w:noProof/>
        </w:rPr>
        <w:tab/>
        <w:t xml:space="preserve">το συνολικό ποσό του μέρους της εγγύησης της ΕΕ στο πλαίσιο της συνιστώσας για το κράτος μέλος το οποίο αφορά το κράτος μέλος, το ποσοστό τροφοδότησης, το ύψος της συνεισφοράς από τα ταμεία στο πλαίσιο της επιμερισμένης διαχείρισης, τη φάσης σύστασης της τροφοδότησης σύμφωνα με το ετήσιο σχέδιο χρηματοδότησης και το ύψος της προκύπτουσας ενδεχόμενης υποχρέωσης που πρέπει να καλύπτεται από αντεγγύηση παρεχόμενη από το οικείο κράτος μέλος· </w:t>
      </w:r>
    </w:p>
    <w:p>
      <w:pPr>
        <w:pStyle w:val="Text1"/>
        <w:ind w:left="1418" w:hanging="567"/>
        <w:rPr>
          <w:noProof/>
        </w:rPr>
      </w:pPr>
      <w:r>
        <w:rPr>
          <w:noProof/>
        </w:rPr>
        <w:t>β)</w:t>
      </w:r>
      <w:r>
        <w:rPr>
          <w:noProof/>
        </w:rPr>
        <w:tab/>
        <w:t>τη στρατηγική που συνίσταται στα χρηματοπιστωτικά προϊόντα και την ελάχιστη μόχλευσή τους, τη γεωγραφική κάλυψη, την επενδυτική περίοδο και, κατά περίπτωση, τις κατηγορίες των τελικών αποδεκτών και των επιλέξιμων ενδιάμεσων φορέων·</w:t>
      </w:r>
    </w:p>
    <w:p>
      <w:pPr>
        <w:pStyle w:val="Text1"/>
        <w:ind w:left="1418" w:hanging="567"/>
        <w:rPr>
          <w:noProof/>
        </w:rPr>
      </w:pPr>
      <w:r>
        <w:rPr>
          <w:noProof/>
        </w:rPr>
        <w:t>γ)</w:t>
      </w:r>
      <w:r>
        <w:rPr>
          <w:noProof/>
        </w:rPr>
        <w:tab/>
        <w:t>τον εταίρο ή τους εταίρους υλοποίησης που έχουν εκφράσει το ενδιαφέρον τους και την υποχρέωση της Επιτροπής να πληροφορεί το κράτος μέλος σχετικά με τον εταίρο ή τους εταίρους υλοποίησης που επιλέγονται·</w:t>
      </w:r>
    </w:p>
    <w:p>
      <w:pPr>
        <w:pStyle w:val="Text1"/>
        <w:ind w:left="1418" w:hanging="567"/>
        <w:rPr>
          <w:noProof/>
        </w:rPr>
      </w:pPr>
      <w:r>
        <w:rPr>
          <w:noProof/>
        </w:rPr>
        <w:t>δ)</w:t>
      </w:r>
      <w:r>
        <w:rPr>
          <w:noProof/>
        </w:rPr>
        <w:tab/>
        <w:t>τη δυνητική συνεισφορά από τα ταμεία υπό επιμερισμένη διαχείριση για τη συμβουλευτική υπηρεσία InvestEU·</w:t>
      </w:r>
    </w:p>
    <w:p>
      <w:pPr>
        <w:pStyle w:val="Text1"/>
        <w:ind w:left="1418" w:hanging="567"/>
        <w:rPr>
          <w:noProof/>
        </w:rPr>
      </w:pPr>
      <w:r>
        <w:rPr>
          <w:noProof/>
        </w:rPr>
        <w:t>ε)</w:t>
      </w:r>
      <w:r>
        <w:rPr>
          <w:noProof/>
        </w:rPr>
        <w:tab/>
        <w:t>τις ετήσιες υποχρεώσεις υποβολής εκθέσεων προς το κράτος μέλος, συμπεριλαμβανομένης της υποβολής εκθέσεων σύμφωνα με τους δείκτες που αναφέρονται στη συμφωνία συνεισφοράς·</w:t>
      </w:r>
    </w:p>
    <w:p>
      <w:pPr>
        <w:pStyle w:val="Text1"/>
        <w:ind w:left="1418" w:hanging="567"/>
        <w:rPr>
          <w:noProof/>
        </w:rPr>
      </w:pPr>
      <w:r>
        <w:rPr>
          <w:noProof/>
        </w:rPr>
        <w:t>στ)</w:t>
      </w:r>
      <w:r>
        <w:rPr>
          <w:noProof/>
        </w:rPr>
        <w:tab/>
        <w:t>διατάξεις σχετικά με το αντίτιμο για το μέρος της εγγύησης της ΕΕ στο πλαίσιο της συνιστώσας για το κράτος μέλος·</w:t>
      </w:r>
    </w:p>
    <w:p>
      <w:pPr>
        <w:pStyle w:val="Text1"/>
        <w:ind w:left="1418" w:hanging="567"/>
        <w:rPr>
          <w:noProof/>
        </w:rPr>
      </w:pPr>
      <w:r>
        <w:rPr>
          <w:noProof/>
        </w:rPr>
        <w:t>ζ)</w:t>
      </w:r>
      <w:r>
        <w:rPr>
          <w:noProof/>
        </w:rPr>
        <w:tab/>
        <w:t>τη δυνατότητα συνδυασμού με πόρους στο πλαίσιο της συνιστώσας ΕΕ, μεταξύ άλλων και σε μια πολυεπίπεδη διάρθρωση για την επίτευξη καλύτερης κάλυψης κινδύνου σύμφωνα με το άρθρο 8 παράγραφος 2.</w:t>
      </w:r>
    </w:p>
    <w:p>
      <w:pPr>
        <w:pStyle w:val="ManualNumPar1"/>
        <w:rPr>
          <w:noProof/>
        </w:rPr>
      </w:pPr>
      <w:r>
        <w:t>4.</w:t>
      </w:r>
      <w:r>
        <w:tab/>
      </w:r>
      <w:r>
        <w:rPr>
          <w:noProof/>
        </w:rPr>
        <w:t xml:space="preserve">Οι συμφωνίες συνεισφοράς υλοποιούνται από την Επιτροπή μέσω συμβάσεων εγγύησης που υπογράφονται με τους εταίρους υλοποίησης σύμφωνα με το άρθρο 14. </w:t>
      </w:r>
    </w:p>
    <w:p>
      <w:pPr>
        <w:pStyle w:val="Text1"/>
        <w:rPr>
          <w:noProof/>
        </w:rPr>
      </w:pPr>
      <w:r>
        <w:rPr>
          <w:noProof/>
        </w:rPr>
        <w:t xml:space="preserve">Εάν, εντός εννέα μηνών από την υπογραφή της συμφωνίας συνεισφοράς, δεν έχει συναφθεί σύμβαση εγγύησης ή το ποσό της συμφωνίας συνεισφοράς δεν έχει δεσμευτεί πλήρως μέσω μίας ή περισσότερων συμβάσεων εγγύησης, η συμφωνία συνεισφοράς καταγγέλλεται στην πρώτη περίπτωση ή τροποποιείται αναλόγως στη δεύτερη περίπτωση και το μη χρησιμοποιηθέν ποσό της τροφοδότησης επαναχρησιμοποιείται σύμφωνα με το [άρθρο 10 παράγραφος 5] του κανονισμού [[ΚΚΔ] </w:t>
      </w:r>
      <w:r>
        <w:rPr>
          <w:rStyle w:val="Aucun"/>
          <w:i/>
          <w:noProof/>
        </w:rPr>
        <w:t>αριθμός</w:t>
      </w:r>
      <w:r>
        <w:rPr>
          <w:noProof/>
        </w:rPr>
        <w:t xml:space="preserve">] και του [άρθρου 75 παράγραφος 5] του κανονισμού [[σχέδιο της ΚΓΠ] </w:t>
      </w:r>
      <w:r>
        <w:rPr>
          <w:rStyle w:val="Aucun"/>
          <w:i/>
          <w:noProof/>
        </w:rPr>
        <w:t>αριθμός</w:t>
      </w:r>
      <w:r>
        <w:rPr>
          <w:noProof/>
        </w:rPr>
        <w:t>].</w:t>
      </w:r>
    </w:p>
    <w:p>
      <w:pPr>
        <w:pStyle w:val="Text1"/>
        <w:rPr>
          <w:noProof/>
        </w:rPr>
      </w:pPr>
      <w:r>
        <w:rPr>
          <w:noProof/>
        </w:rPr>
        <w:t>Εάν η σύμβαση εγγύησης δεν έχει δεόντως εκτελεστεί εντός χρονικού διαστήματος που ορίζεται στο άρθρο [10 παράγραφος 6] του κανονισμού [[ΚΚΔ]</w:t>
      </w:r>
      <w:r>
        <w:rPr>
          <w:i/>
          <w:noProof/>
        </w:rPr>
        <w:t xml:space="preserve"> αριθμός</w:t>
      </w:r>
      <w:r>
        <w:rPr>
          <w:noProof/>
        </w:rPr>
        <w:t xml:space="preserve">]ή στο </w:t>
      </w:r>
      <w:r>
        <w:rPr>
          <w:noProof/>
        </w:rPr>
        <w:lastRenderedPageBreak/>
        <w:t xml:space="preserve">άρθρο [75 παράγραφος 6] του κανονισμού [[σχέδιο ΚΓΠ] </w:t>
      </w:r>
      <w:r>
        <w:rPr>
          <w:i/>
          <w:noProof/>
        </w:rPr>
        <w:t>αριθμός</w:t>
      </w:r>
      <w:r>
        <w:rPr>
          <w:noProof/>
        </w:rPr>
        <w:t xml:space="preserve">], η συμφωνία συνεισφοράς τροποποιείται και το μη χρησιμοποιηθέν ποσό της τροφοδότησης επαναχρησιμοποιείται σύμφωνα με το [άρθρο 10 παράγραφος 6] του [[ΚΚΔ] </w:t>
      </w:r>
      <w:r>
        <w:rPr>
          <w:rStyle w:val="Aucun"/>
          <w:i/>
          <w:noProof/>
        </w:rPr>
        <w:t>αριθμός</w:t>
      </w:r>
      <w:r>
        <w:rPr>
          <w:noProof/>
        </w:rPr>
        <w:t xml:space="preserve">] και το άρθρο [75παράγραφος 6] του κανονισμού [[του σχεδίου της ΚΓΠ]] </w:t>
      </w:r>
      <w:r>
        <w:rPr>
          <w:i/>
          <w:noProof/>
        </w:rPr>
        <w:t>αριθμός</w:t>
      </w:r>
      <w:r>
        <w:rPr>
          <w:noProof/>
        </w:rPr>
        <w:t>].</w:t>
      </w:r>
    </w:p>
    <w:p>
      <w:pPr>
        <w:pStyle w:val="ManualNumPar1"/>
        <w:rPr>
          <w:noProof/>
        </w:rPr>
      </w:pPr>
      <w:r>
        <w:t>5.</w:t>
      </w:r>
      <w:r>
        <w:tab/>
      </w:r>
      <w:r>
        <w:rPr>
          <w:noProof/>
        </w:rPr>
        <w:t>Ισχύουν οι κάτωθι κανόνες για την τροφοδότηση του μέρους της εγγύησης της ΕΕ στο πλαίσιο της συνιστώσας για το κράτος μέλος που θεσπίστηκε βάσει συμφωνίας συνεισφοράς:</w:t>
      </w:r>
    </w:p>
    <w:p>
      <w:pPr>
        <w:pStyle w:val="ListNumberLevel2"/>
        <w:numPr>
          <w:ilvl w:val="1"/>
          <w:numId w:val="27"/>
        </w:numPr>
        <w:rPr>
          <w:noProof/>
        </w:rPr>
      </w:pPr>
      <w:r>
        <w:rPr>
          <w:noProof/>
        </w:rPr>
        <w:t xml:space="preserve">μετά τη φάση σύστασης που αναφέρεται στην παράγραφο 3 στοιχείο α) του παρόντος άρθρου, τυχόν ετήσιο πλεόνασμα τροφοδότησης, υπολογιζόμενο συγκρίνοντας το ποσό της τροφοδότησης που απαιτείται βάσει του ποσοστού τροφοδότησης με την τροφοδότηση που όντως εκτελέστηκε, επαναχρησιμοποιείται σύμφωνα με το [άρθρο 10 παράγραφος 6] του [ΚΚΔ] και το [άρθρο 75 παράγραφος 6] του κανονισμού [[για το σχέδιο ΚΓΠ] </w:t>
      </w:r>
      <w:r>
        <w:rPr>
          <w:rStyle w:val="Aucun"/>
          <w:i/>
          <w:noProof/>
        </w:rPr>
        <w:t>αριθμός</w:t>
      </w:r>
      <w:r>
        <w:rPr>
          <w:noProof/>
        </w:rPr>
        <w:t>]·</w:t>
      </w:r>
    </w:p>
    <w:p>
      <w:pPr>
        <w:pStyle w:val="ListNumberLevel2"/>
        <w:numPr>
          <w:ilvl w:val="1"/>
          <w:numId w:val="27"/>
        </w:numPr>
        <w:rPr>
          <w:noProof/>
        </w:rPr>
      </w:pPr>
      <w:r>
        <w:rPr>
          <w:noProof/>
        </w:rPr>
        <w:t>κατά παρέκκλιση από το [άρθρο 213 παράγραφος 4] του [δημοσιονομικού κανονισμού], μετά τη φάση σύστασης που αναφέρεται στην παράγραφο 3 στοιχείο α) του παρόντος άρθρου, η τροφοδότηση δεν συνεπάγεται ετήσιες ανατροφοδοτήσεις κατά τη διάρκεια της διαθεσιμότητας του εν λόγω μέρος της εγγύησης της ΕΕ στο πλαίσιο της συνιστώσας για το κράτος μέλος·</w:t>
      </w:r>
    </w:p>
    <w:p>
      <w:pPr>
        <w:pStyle w:val="ListNumberLevel2"/>
        <w:numPr>
          <w:ilvl w:val="1"/>
          <w:numId w:val="27"/>
        </w:numPr>
        <w:rPr>
          <w:noProof/>
        </w:rPr>
      </w:pPr>
      <w:r>
        <w:rPr>
          <w:noProof/>
        </w:rPr>
        <w:t>η Επιτροπή ενημερώνει αμελλητί το κράτος μέλος στο οποίο, ως αποτέλεσμα καταπτώσεων του μέρους της εγγύησης της ΕΕ στο πλαίσιο της συνιστώσας για τα κράτη μέλη, το επίπεδο της τροφοδότησης για το εν λόγω μέρος της εγγύησης της ΕΕ έχει πέσει χαμηλότερα του 20 % της αρχικής τροφοδότησης·</w:t>
      </w:r>
    </w:p>
    <w:p>
      <w:pPr>
        <w:pStyle w:val="ListNumberLevel2"/>
        <w:numPr>
          <w:ilvl w:val="1"/>
          <w:numId w:val="27"/>
        </w:numPr>
        <w:rPr>
          <w:noProof/>
        </w:rPr>
      </w:pPr>
      <w:r>
        <w:rPr>
          <w:noProof/>
        </w:rPr>
        <w:t>εάν το επίπεδο της τροφοδότησης για το εν λόγω μέρος της εγγύησης της ΕΕ στο πλαίσιο της συνιστώσας για τα κράτη μέλη φτάσει στο 10 % της αρχικής τροφοδότησης, το οικείο κράτος μέλος παρέχει στο κοινό ταμείο τροφοδότησης έως και το 5 % της αρχικής τροφοδότησης κατόπιν αιτήματος της Επιτροπής.</w:t>
      </w:r>
    </w:p>
    <w:p>
      <w:pPr>
        <w:pStyle w:val="Titrearticle"/>
        <w:rPr>
          <w:rStyle w:val="Aucun"/>
          <w:b/>
          <w:bCs/>
          <w:noProof/>
        </w:rPr>
      </w:pPr>
      <w:r>
        <w:rPr>
          <w:rStyle w:val="Aucun"/>
          <w:b/>
          <w:noProof/>
        </w:rPr>
        <w:t xml:space="preserve">ΚΕΦΑΛΑΙΟ ΙΙΙ </w:t>
      </w:r>
    </w:p>
    <w:p>
      <w:pPr>
        <w:pStyle w:val="Titrearticle"/>
        <w:rPr>
          <w:rStyle w:val="Aucun"/>
          <w:b/>
          <w:bCs/>
          <w:noProof/>
        </w:rPr>
      </w:pPr>
      <w:r>
        <w:rPr>
          <w:rStyle w:val="Aucun"/>
          <w:b/>
          <w:caps/>
          <w:noProof/>
        </w:rPr>
        <w:t>Εγγύηση</w:t>
      </w:r>
      <w:r>
        <w:rPr>
          <w:rStyle w:val="Aucun"/>
          <w:b/>
          <w:noProof/>
        </w:rPr>
        <w:t xml:space="preserve"> της ΕΕ</w:t>
      </w:r>
    </w:p>
    <w:p>
      <w:pPr>
        <w:pStyle w:val="Titrearticle"/>
        <w:rPr>
          <w:rStyle w:val="Aucun"/>
          <w:noProof/>
        </w:rPr>
      </w:pPr>
      <w:r>
        <w:rPr>
          <w:rStyle w:val="Aucun"/>
          <w:noProof/>
        </w:rPr>
        <w:t>Άρθρο 10</w:t>
      </w:r>
    </w:p>
    <w:p>
      <w:pPr>
        <w:pStyle w:val="Titrearticle"/>
        <w:rPr>
          <w:noProof/>
        </w:rPr>
      </w:pPr>
      <w:r>
        <w:rPr>
          <w:noProof/>
        </w:rPr>
        <w:t xml:space="preserve">Εγγύηση της ΕΕ </w:t>
      </w:r>
    </w:p>
    <w:p>
      <w:pPr>
        <w:pStyle w:val="Corps"/>
        <w:spacing w:line="360" w:lineRule="auto"/>
        <w:ind w:left="851" w:hanging="851"/>
        <w:rPr>
          <w:noProof/>
        </w:rPr>
      </w:pPr>
    </w:p>
    <w:p>
      <w:pPr>
        <w:pStyle w:val="ManualNumPar1"/>
        <w:rPr>
          <w:noProof/>
        </w:rPr>
      </w:pPr>
      <w:r>
        <w:t>1.</w:t>
      </w:r>
      <w:r>
        <w:tab/>
      </w:r>
      <w:r>
        <w:rPr>
          <w:noProof/>
        </w:rPr>
        <w:t>Η εγγύηση της ΕΕ χορηγείται στους εταίρους υλοποίησης σύμφωνα με το [άρθρο 219 παράγραφος 1] του [δημοσιονομικού κανονισμού] και η διαχείρισή της διενεργείται σύμφωνα με τον [τίτλο X] του [δημοσιονομικού κανονισμού].</w:t>
      </w:r>
    </w:p>
    <w:p>
      <w:pPr>
        <w:pStyle w:val="ManualNumPar1"/>
        <w:rPr>
          <w:noProof/>
        </w:rPr>
      </w:pPr>
      <w:r>
        <w:t>2.</w:t>
      </w:r>
      <w:r>
        <w:tab/>
      </w:r>
      <w:r>
        <w:rPr>
          <w:noProof/>
        </w:rPr>
        <w:t xml:space="preserve">Η ενίσχυση στο πλαίσιο της εγγύησης της ΕΕ χορηγείται για χρηματοδοτικές και επενδυτικές δραστηριότητες που καλύπτονται από τον παρόντα κανονισμό κατά τη διάρκεια επενδυτικής περιόδου που λήγει την 31η Δεκεμβρίου 2027. Οι συμβάσεις μεταξύ των εταίρων υλοποίησης και του τελικού αποδέκτη ή του χρηματοδοτικού </w:t>
      </w:r>
      <w:r>
        <w:rPr>
          <w:noProof/>
        </w:rPr>
        <w:lastRenderedPageBreak/>
        <w:t>ενδιάμεσου φορέα ή άλλης οντότητας που αναφέρεται στο άρθρο 13 παράγραφος 1 στοιχείο α) υπογράφονται έως την 31η Δεκεμβρίου 2028.</w:t>
      </w:r>
    </w:p>
    <w:p>
      <w:pPr>
        <w:pStyle w:val="Titrearticle"/>
        <w:rPr>
          <w:noProof/>
        </w:rPr>
      </w:pPr>
      <w:r>
        <w:rPr>
          <w:noProof/>
        </w:rPr>
        <w:t>Άρθρο 11</w:t>
      </w:r>
    </w:p>
    <w:p>
      <w:pPr>
        <w:pStyle w:val="Titrearticle"/>
        <w:rPr>
          <w:noProof/>
        </w:rPr>
      </w:pPr>
      <w:r>
        <w:rPr>
          <w:noProof/>
        </w:rPr>
        <w:t>Επιλέξιμες χρηματοδοτικές και επενδυτικές δραστηριότητες</w:t>
      </w:r>
    </w:p>
    <w:p>
      <w:pPr>
        <w:rPr>
          <w:noProof/>
        </w:rPr>
      </w:pPr>
    </w:p>
    <w:p>
      <w:pPr>
        <w:pStyle w:val="ManualNumPar1"/>
        <w:rPr>
          <w:noProof/>
        </w:rPr>
      </w:pPr>
      <w:r>
        <w:t>1.</w:t>
      </w:r>
      <w:r>
        <w:tab/>
      </w:r>
      <w:r>
        <w:rPr>
          <w:noProof/>
        </w:rPr>
        <w:t xml:space="preserve">Το ταμείο InvestEU στηρίζει μόνο χρηματοδοτικές και επενδυτικές δραστηριότητες οι οποίες:  </w:t>
      </w:r>
    </w:p>
    <w:p>
      <w:pPr>
        <w:pStyle w:val="ListNumberLevel2"/>
        <w:numPr>
          <w:ilvl w:val="1"/>
          <w:numId w:val="30"/>
        </w:numPr>
        <w:rPr>
          <w:noProof/>
        </w:rPr>
      </w:pPr>
      <w:r>
        <w:rPr>
          <w:noProof/>
        </w:rPr>
        <w:t xml:space="preserve">συμμορφώνονται με τους όρους που αναλύονται στα [στοιχεία α) έως ε) του άρθρου 209 παράγραφος 2] του [δημοσιονομικού κανονισμού], ιδίως με την απαίτηση της προσθετικότητας που προβλέπεται [στο στοιχείο β) του άρθρου 209 παράγραφος 2] του [δημοσιονομικού κανονισμού] και, κατά περίπτωση, τη μεγιστοποίηση των ιδιωτικών επενδύσεων, σύμφωνα με [το στοιχείο δ) του άρθρου 209 παράγραφος 2] του [δημοσιονομικού κανονισμού]· </w:t>
      </w:r>
    </w:p>
    <w:p>
      <w:pPr>
        <w:pStyle w:val="ListNumberLevel2"/>
        <w:numPr>
          <w:ilvl w:val="1"/>
          <w:numId w:val="30"/>
        </w:numPr>
        <w:rPr>
          <w:noProof/>
        </w:rPr>
      </w:pPr>
      <w:r>
        <w:rPr>
          <w:noProof/>
        </w:rPr>
        <w:t>συμβάλλουν στην επίτευξη των στόχων πολιτικής της Ένωσης και εμπίπτουν στο πεδίο εφαρμογής των τομέων που είναι επιλέξιμοι για χρηματοδοτικές και επενδυτικές δραστηριότητες στο πλαίσιο του κατάλληλου σκέλους σύμφωνα με το παράρτημα II του παρόντος κανονισμού· και</w:t>
      </w:r>
    </w:p>
    <w:p>
      <w:pPr>
        <w:pStyle w:val="ListNumberLevel2"/>
        <w:numPr>
          <w:ilvl w:val="1"/>
          <w:numId w:val="30"/>
        </w:numPr>
        <w:rPr>
          <w:noProof/>
        </w:rPr>
      </w:pPr>
      <w:r>
        <w:rPr>
          <w:noProof/>
        </w:rPr>
        <w:t>συνάδουν με τις κατευθυντήριες γραμμές περί επενδύσεων.</w:t>
      </w:r>
    </w:p>
    <w:p>
      <w:pPr>
        <w:pStyle w:val="ManualNumPar1"/>
        <w:rPr>
          <w:noProof/>
        </w:rPr>
      </w:pPr>
      <w:r>
        <w:t>2.</w:t>
      </w:r>
      <w:r>
        <w:tab/>
      </w:r>
      <w:r>
        <w:rPr>
          <w:noProof/>
        </w:rPr>
        <w:t>Πέραν των έργων που βρίσκονται εντός της Ένωσης, το ταμείο InvestEU δύναται να ενισχύει επίσης τα έργα και τις δραστηριότητες που αναφέρονται κατωτέρω, μέσω χρηματοδοτικών και επενδυτικών δραστηριοτήτων:</w:t>
      </w:r>
    </w:p>
    <w:p>
      <w:pPr>
        <w:pStyle w:val="ListNumberLevel2"/>
        <w:numPr>
          <w:ilvl w:val="1"/>
          <w:numId w:val="31"/>
        </w:numPr>
        <w:rPr>
          <w:noProof/>
        </w:rPr>
      </w:pPr>
      <w:r>
        <w:rPr>
          <w:noProof/>
        </w:rPr>
        <w:t xml:space="preserve">διασυνοριακά έργα μεταξύ οντοτήτων που είναι εγκατεστημένες ή εδρεύουν σε ένα ή περισσότερα κράτη μέλη και επεκτείνονται σε μία ή περισσότερες τρίτες χώρες, συμπεριλαμβανομένων χωρών υπό ένταξη, υποψήφιων χωρών και δυνητικά υποψήφιων χωρών, χωρών που καλύπτονται από την ευρωπαϊκή πολιτική γειτονίας, τον Ευρωπαϊκό Οικονομικό Χώρο ή την Ευρωπαϊκή Ζώνη Ελεύθερων Συναλλαγών, ή σε μια υπερπόντια χώρα ή έδαφος όπως ορίζεται στο παράρτημα II της ΣΛΕΕ, ή σε μια συνδεόμενη τρίτη χώρα, ανεξάρτητα από το αν υπάρχει ή όχι εταίρος στις εν λόγω τρίτες χώρες ή υπερπόντιες χώρες ή εδάφη· </w:t>
      </w:r>
    </w:p>
    <w:p>
      <w:pPr>
        <w:pStyle w:val="ListNumberLevel2"/>
        <w:numPr>
          <w:ilvl w:val="1"/>
          <w:numId w:val="30"/>
        </w:numPr>
        <w:rPr>
          <w:noProof/>
        </w:rPr>
      </w:pPr>
      <w:r>
        <w:rPr>
          <w:noProof/>
        </w:rPr>
        <w:t>χρηματοδοτικές και επενδυτικές δραστηριότητες σε χώρες που αναφέρονται στο άρθρο 5, η οποίες έχουν συμβάλει σε συγκεκριμένο χρηματοπιστωτικό προϊόν.</w:t>
      </w:r>
    </w:p>
    <w:p>
      <w:pPr>
        <w:pStyle w:val="Text1"/>
        <w:ind w:left="851" w:hanging="851"/>
        <w:rPr>
          <w:noProof/>
        </w:rPr>
      </w:pPr>
      <w:r>
        <w:rPr>
          <w:noProof/>
        </w:rPr>
        <w:t>3.</w:t>
      </w:r>
      <w:r>
        <w:rPr>
          <w:noProof/>
        </w:rPr>
        <w:tab/>
        <w:t xml:space="preserve">Το Ταμείο InvestEU μπορεί να στηρίζει χρηματοδοτικές και επενδυτικές δραστηριότητες που παρέχουν χρηματοδότηση σε αποδέκτες που είναι νομικές οντότητες εγκατεστημένες σε οποιαδήποτε από τις ακόλουθες χώρες: </w:t>
      </w:r>
    </w:p>
    <w:p>
      <w:pPr>
        <w:pStyle w:val="ListNumberLevel2"/>
        <w:numPr>
          <w:ilvl w:val="1"/>
          <w:numId w:val="56"/>
        </w:numPr>
        <w:rPr>
          <w:noProof/>
        </w:rPr>
      </w:pPr>
      <w:r>
        <w:rPr>
          <w:noProof/>
        </w:rPr>
        <w:t>κράτος μέλος ή υπερπόντια χώρα ή έδαφος συνδεδεμένο μʼ αυτό·</w:t>
      </w:r>
    </w:p>
    <w:p>
      <w:pPr>
        <w:pStyle w:val="ListNumberLevel2"/>
        <w:numPr>
          <w:ilvl w:val="1"/>
          <w:numId w:val="31"/>
        </w:numPr>
        <w:rPr>
          <w:noProof/>
        </w:rPr>
      </w:pPr>
      <w:r>
        <w:rPr>
          <w:noProof/>
        </w:rPr>
        <w:t xml:space="preserve">μια τρίτη χώρα ή έδαφος που συνδέεται με το πρόγραμμα InvestEU, σύμφωνα με το άρθρο 5· </w:t>
      </w:r>
    </w:p>
    <w:p>
      <w:pPr>
        <w:pStyle w:val="ListNumberLevel2"/>
        <w:numPr>
          <w:ilvl w:val="1"/>
          <w:numId w:val="31"/>
        </w:numPr>
        <w:rPr>
          <w:noProof/>
        </w:rPr>
      </w:pPr>
      <w:r>
        <w:rPr>
          <w:noProof/>
        </w:rPr>
        <w:t>τρίτη χώρα που αναφέρεται στο στοιχείο α) της παραγράφου 2, κατά περίπτωση·</w:t>
      </w:r>
    </w:p>
    <w:p>
      <w:pPr>
        <w:pStyle w:val="ListNumberLevel2"/>
        <w:numPr>
          <w:ilvl w:val="1"/>
          <w:numId w:val="31"/>
        </w:numPr>
        <w:rPr>
          <w:noProof/>
        </w:rPr>
      </w:pPr>
      <w:r>
        <w:rPr>
          <w:noProof/>
        </w:rPr>
        <w:lastRenderedPageBreak/>
        <w:t>άλλες χώρες, όπου χρειάζεται για τη χρηματοδότηση ενός έργου σε χώρα ή έδαφος που αναφέρεται στα στοιχεία α) έως γ).</w:t>
      </w:r>
    </w:p>
    <w:p>
      <w:pPr>
        <w:pStyle w:val="Text1"/>
        <w:rPr>
          <w:noProof/>
        </w:rPr>
      </w:pPr>
    </w:p>
    <w:p>
      <w:pPr>
        <w:pStyle w:val="Titrearticle"/>
        <w:rPr>
          <w:noProof/>
        </w:rPr>
      </w:pPr>
      <w:r>
        <w:rPr>
          <w:noProof/>
        </w:rPr>
        <w:t>Άρθρο 12</w:t>
      </w:r>
    </w:p>
    <w:p>
      <w:pPr>
        <w:pStyle w:val="Titrearticle"/>
        <w:rPr>
          <w:noProof/>
        </w:rPr>
      </w:pPr>
      <w:r>
        <w:rPr>
          <w:noProof/>
        </w:rPr>
        <w:t>Επιλογή των εταίρων υλοποίησης</w:t>
      </w:r>
    </w:p>
    <w:p>
      <w:pPr>
        <w:rPr>
          <w:noProof/>
        </w:rPr>
      </w:pPr>
    </w:p>
    <w:p>
      <w:pPr>
        <w:pStyle w:val="ManualNumPar1"/>
        <w:rPr>
          <w:noProof/>
        </w:rPr>
      </w:pPr>
      <w:r>
        <w:t>1.</w:t>
      </w:r>
      <w:r>
        <w:tab/>
      </w:r>
      <w:r>
        <w:rPr>
          <w:noProof/>
        </w:rPr>
        <w:t>Η Επιτροπή επιλέγει, σύμφωνα με το [άρθρο 154] του [δημοσιονομικού κανονισμού], τους εταίρους υλοποίησης ή μια ομάδα τέτοιων εταίρων, όπως αναφέρεται στο δεύτερο εδάφιο της παρούσας παραγράφου, μεταξύ επιλέξιμων ομολόγων.</w:t>
      </w:r>
    </w:p>
    <w:p>
      <w:pPr>
        <w:pStyle w:val="Text1"/>
        <w:rPr>
          <w:noProof/>
        </w:rPr>
      </w:pPr>
      <w:r>
        <w:rPr>
          <w:noProof/>
        </w:rPr>
        <w:t>Όσον αφορά τη συνιστώσα για την ΕΕ, οι επιλέξιμοι αντισυμβαλλόμενοι έχουν εκφράσει το ενδιαφέρον τους και είναι σε θέση να καλύψουν χρηματοδοτικές και επενδυτικές δραστηριότητες τουλάχιστον σε τρία κράτη μέλη. Οι εταίροι υλοποίησης δύνανται επίσης να καλύψουν από κοινού χρηματοδοτικές και επενδυτικές δραστηριότητες τουλάχιστον σε τρία κράτη μέλη σχηματίζοντας μια ομάδα.</w:t>
      </w:r>
    </w:p>
    <w:p>
      <w:pPr>
        <w:pStyle w:val="Text1"/>
        <w:rPr>
          <w:noProof/>
        </w:rPr>
      </w:pPr>
      <w:r>
        <w:rPr>
          <w:noProof/>
        </w:rPr>
        <w:t xml:space="preserve">Όσον αφορά τη συνιστώσα για τα κράτη μέλη, το οικείο κράτος μέλος δύναται να προτείνει έναν ή περισσότερους επιλέξιμους αντισυμβαλλόμενους ως εταίρους υλοποίησης μεταξύ εκείνων που έχουν εκφράσει το ενδιαφέρον τους σύμφωνα με το άρθρο 9 παράγραφος 3, στοιχείο γ). </w:t>
      </w:r>
    </w:p>
    <w:p>
      <w:pPr>
        <w:pStyle w:val="Text1"/>
        <w:rPr>
          <w:noProof/>
        </w:rPr>
      </w:pPr>
      <w:r>
        <w:rPr>
          <w:noProof/>
        </w:rPr>
        <w:t>Σε περίπτωση που το οικείο κράτος μέλος δεν προτείνει εταίρο υλοποίησης, η Επιτροπή προβαίνει σε επιλογή σύμφωνα με το δεύτερο εδάφιο της παρούσας παραγράφου μεταξύ των εταίρων υλοποίησης που δύνανται να καλύψουν χρηματοδοτικές και επενδυτικές δραστηριότητες στις οικείες γεωγραφικές περιοχές.</w:t>
      </w:r>
    </w:p>
    <w:p>
      <w:pPr>
        <w:pStyle w:val="ManualNumPar1"/>
        <w:rPr>
          <w:noProof/>
        </w:rPr>
      </w:pPr>
      <w:r>
        <w:t>2.</w:t>
      </w:r>
      <w:r>
        <w:tab/>
      </w:r>
      <w:r>
        <w:rPr>
          <w:noProof/>
        </w:rPr>
        <w:t>Κατά την επιλογή εταίρων υλοποίησης, η Επιτροπή διασφαλίζει ότι το χαρτοφυλάκιο χρηματοδοτικών προϊόντων στο πλαίσιο του ταμείου InvestEU:</w:t>
      </w:r>
    </w:p>
    <w:p>
      <w:pPr>
        <w:pStyle w:val="ListNumberLevel2"/>
        <w:numPr>
          <w:ilvl w:val="1"/>
          <w:numId w:val="33"/>
        </w:numPr>
        <w:rPr>
          <w:noProof/>
        </w:rPr>
      </w:pPr>
      <w:r>
        <w:rPr>
          <w:noProof/>
        </w:rPr>
        <w:t>μεγιστοποιεί την κάλυψη των στόχων που ορίζονται στο άρθρο 3·</w:t>
      </w:r>
    </w:p>
    <w:p>
      <w:pPr>
        <w:pStyle w:val="ListNumberLevel2"/>
        <w:numPr>
          <w:ilvl w:val="1"/>
          <w:numId w:val="30"/>
        </w:numPr>
        <w:rPr>
          <w:noProof/>
        </w:rPr>
      </w:pPr>
      <w:r>
        <w:rPr>
          <w:noProof/>
        </w:rPr>
        <w:t>μεγιστοποιεί τον αντίκτυπο της εγγύησης της ΕΕ μέσω των ιδίων πόρων που δεσμεύονται από τον εταίρο υλοποίησης·</w:t>
      </w:r>
    </w:p>
    <w:p>
      <w:pPr>
        <w:pStyle w:val="ListNumberLevel2"/>
        <w:numPr>
          <w:ilvl w:val="1"/>
          <w:numId w:val="30"/>
        </w:numPr>
        <w:rPr>
          <w:noProof/>
        </w:rPr>
      </w:pPr>
      <w:r>
        <w:rPr>
          <w:noProof/>
        </w:rPr>
        <w:t>μεγιστοποιεί, ανάλογα με την περίπτωση, την ιδιωτική επένδυση·</w:t>
      </w:r>
    </w:p>
    <w:p>
      <w:pPr>
        <w:pStyle w:val="ListNumberLevel2"/>
        <w:numPr>
          <w:ilvl w:val="1"/>
          <w:numId w:val="30"/>
        </w:numPr>
        <w:rPr>
          <w:noProof/>
        </w:rPr>
      </w:pPr>
      <w:r>
        <w:rPr>
          <w:noProof/>
        </w:rPr>
        <w:t>επιτυγχάνει γεωγραφική διαφοροποίηση·</w:t>
      </w:r>
    </w:p>
    <w:p>
      <w:pPr>
        <w:pStyle w:val="ListNumberLevel2"/>
        <w:numPr>
          <w:ilvl w:val="1"/>
          <w:numId w:val="30"/>
        </w:numPr>
        <w:rPr>
          <w:noProof/>
        </w:rPr>
      </w:pPr>
      <w:r>
        <w:rPr>
          <w:noProof/>
        </w:rPr>
        <w:t>διασφαλίζει επαρκή διαφοροποίηση των κινδύνων·</w:t>
      </w:r>
    </w:p>
    <w:p>
      <w:pPr>
        <w:pStyle w:val="ListNumberLevel2"/>
        <w:numPr>
          <w:ilvl w:val="1"/>
          <w:numId w:val="30"/>
        </w:numPr>
        <w:rPr>
          <w:noProof/>
        </w:rPr>
      </w:pPr>
      <w:r>
        <w:rPr>
          <w:noProof/>
        </w:rPr>
        <w:t>προωθεί καινοτόμες λύσεις σχετικές με τη χρηματοδότηση και τους κινδύνους με σκοπό την αντιμετώπιση των αδυναμιών της αγοράς και των μη βέλτιστων επενδυτικών καταστάσεων.</w:t>
      </w:r>
    </w:p>
    <w:p>
      <w:pPr>
        <w:pStyle w:val="ManualNumPar1"/>
        <w:rPr>
          <w:noProof/>
        </w:rPr>
      </w:pPr>
      <w:r>
        <w:t>3.</w:t>
      </w:r>
      <w:r>
        <w:tab/>
      </w:r>
      <w:r>
        <w:rPr>
          <w:noProof/>
        </w:rPr>
        <w:t>Κατά την επιλογή των εταίρων υλοποίησης, η Επιτροπή λαμβάνει επίσης υπόψη τα εξής:</w:t>
      </w:r>
    </w:p>
    <w:p>
      <w:pPr>
        <w:pStyle w:val="ListNumberLevel2"/>
        <w:numPr>
          <w:ilvl w:val="1"/>
          <w:numId w:val="34"/>
        </w:numPr>
        <w:rPr>
          <w:noProof/>
        </w:rPr>
      </w:pPr>
      <w:r>
        <w:rPr>
          <w:noProof/>
        </w:rPr>
        <w:t>το δυνητικό κόστος και αντίτιμο για τον προϋπολογισμό της Ένωσης·</w:t>
      </w:r>
    </w:p>
    <w:p>
      <w:pPr>
        <w:pStyle w:val="ListNumberLevel2"/>
        <w:numPr>
          <w:ilvl w:val="1"/>
          <w:numId w:val="30"/>
        </w:numPr>
        <w:rPr>
          <w:noProof/>
        </w:rPr>
      </w:pPr>
      <w:r>
        <w:rPr>
          <w:noProof/>
        </w:rPr>
        <w:t xml:space="preserve">τη δυνατότητα των εταίρων υλοποίησης να εκπληρώσουν πλήρως τις απαιτήσεις του [άρθρου 155 παράγραφος 2] του [δημοσιονομικού κανονισμού] που αφορούν τη φοροαποφυγή, τη φορολογική απάτη, τη φοροδιαφυγή, τη </w:t>
      </w:r>
      <w:r>
        <w:rPr>
          <w:noProof/>
        </w:rPr>
        <w:lastRenderedPageBreak/>
        <w:t>νομιμοποίηση εσόδων από παράνομες δραστηριότητες, τη χρηματοδότηση της τρομοκρατίας και τις μη συνεργάσιμες περιοχές δικαιοδοσίας.</w:t>
      </w:r>
    </w:p>
    <w:p>
      <w:pPr>
        <w:pStyle w:val="ManualNumPar1"/>
        <w:rPr>
          <w:noProof/>
        </w:rPr>
      </w:pPr>
      <w:r>
        <w:t>4.</w:t>
      </w:r>
      <w:r>
        <w:tab/>
      </w:r>
      <w:r>
        <w:rPr>
          <w:noProof/>
        </w:rPr>
        <w:t>Εθνικές αναπτυξιακές τράπεζες ή ιδρύματα δύνανται να επιλεγούν ως εταίροι υλοποίησης, υπό την προϋπόθεση εκπλήρωσης των απαιτήσεων που ορίζονται στο παρόν άρθρο και στο δεύτερο εδάφιο του άρθρου 14 παράγραφος 1.</w:t>
      </w:r>
    </w:p>
    <w:p>
      <w:pPr>
        <w:rPr>
          <w:noProof/>
        </w:rPr>
      </w:pPr>
    </w:p>
    <w:p>
      <w:pPr>
        <w:pStyle w:val="Titrearticle"/>
        <w:rPr>
          <w:noProof/>
        </w:rPr>
      </w:pPr>
      <w:r>
        <w:rPr>
          <w:noProof/>
        </w:rPr>
        <w:t>Άρθρο 13</w:t>
      </w:r>
    </w:p>
    <w:p>
      <w:pPr>
        <w:pStyle w:val="Titrearticle"/>
        <w:rPr>
          <w:noProof/>
        </w:rPr>
      </w:pPr>
      <w:r>
        <w:rPr>
          <w:noProof/>
        </w:rPr>
        <w:t>Επιλέξιμα είδη χρηματοδότησης</w:t>
      </w:r>
    </w:p>
    <w:p>
      <w:pPr>
        <w:rPr>
          <w:noProof/>
        </w:rPr>
      </w:pPr>
    </w:p>
    <w:p>
      <w:pPr>
        <w:pStyle w:val="ManualNumPar1"/>
        <w:rPr>
          <w:noProof/>
        </w:rPr>
      </w:pPr>
      <w:r>
        <w:t>1.</w:t>
      </w:r>
      <w:r>
        <w:tab/>
      </w:r>
      <w:r>
        <w:rPr>
          <w:noProof/>
        </w:rPr>
        <w:t>Η εγγύηση της ΕΕ μπορεί να χρησιμοποιηθεί για την κάλυψη των κινδύνων που σχετίζονται με τα κάτωθι είδη χρηματοδότησης που παρέχονται από τους εταίρους υλοποίησης:</w:t>
      </w:r>
    </w:p>
    <w:p>
      <w:pPr>
        <w:pStyle w:val="ListNumberLevel2"/>
        <w:numPr>
          <w:ilvl w:val="1"/>
          <w:numId w:val="36"/>
        </w:numPr>
        <w:rPr>
          <w:noProof/>
        </w:rPr>
      </w:pPr>
      <w:r>
        <w:rPr>
          <w:noProof/>
        </w:rPr>
        <w:t xml:space="preserve">δάνεια, εγγυήσεις, αντεγγυήσεις, μέσα κεφαλαιαγοράς, κάθε άλλη μορφή χρηματοδότησης ή πιστωτικής ενίσχυσης, συμμετοχές, συμπεριλαμβανομένων δανείων μειωμένης εξασφάλισης, συμμετοχές μετοχικού ή οιονεί μετοχικού κεφαλαίου, που παρέχονται άμεσα ή έμμεσα μέσω χρηματοδοτικών ενδιάμεσων φορέων, ταμείων, επενδυτικών πλατφορμών ή άλλων μηχανισμών και διοχετεύονται στους τελικούς αποδέκτες· </w:t>
      </w:r>
    </w:p>
    <w:p>
      <w:pPr>
        <w:pStyle w:val="ListNumberLevel2"/>
        <w:numPr>
          <w:ilvl w:val="1"/>
          <w:numId w:val="30"/>
        </w:numPr>
        <w:rPr>
          <w:noProof/>
        </w:rPr>
      </w:pPr>
      <w:r>
        <w:rPr>
          <w:noProof/>
        </w:rPr>
        <w:t>χρηματοδότηση ή εγγυήσεις από εταίρο υλοποίησης σε άλλο χρηματοπιστωτικό ίδρυμα που δίνει στο εν λόγω ίδρυμα τη δυνατότητα να αναλάβει τις χρηματοδοτικές δραστηριότητες που αναφέρονται στο στοιχείο α).</w:t>
      </w:r>
    </w:p>
    <w:p>
      <w:pPr>
        <w:pStyle w:val="Text1"/>
        <w:rPr>
          <w:noProof/>
        </w:rPr>
      </w:pPr>
      <w:r>
        <w:rPr>
          <w:noProof/>
        </w:rPr>
        <w:t>Προκειμένου να καλυφθεί από την εγγύηση της ΕΕ, η χρηματοδότηση που αναφέρεται στα σημεία α) και β) του πρώτου εδαφίου της παρούσας παραγράφου χορηγείται, αποκτάται ή εκδίδεται προς όφελος των χρηματοδοτικών ή επενδυτικών δραστηριοτήτων που αναφέρονται στο άρθρο 11 παράγραφος 1, εφόσον η χρηματοδότηση από τον εταίρο υλοποίησης έχει χορηγηθεί σύμφωνα με συμφωνία ή συναλλαγή χρηματοδότησης που υπογράφτηκε ή συνάφθηκε από τον εταίρο υλοποίησης μετά την υπογραφή της σύμβασης εγγύησης μεταξύ της Επιτροπής και του εταίρου υλοποίησης και δεν έχει λήξει ούτε έχει ακυρωθεί.</w:t>
      </w:r>
    </w:p>
    <w:p>
      <w:pPr>
        <w:pStyle w:val="ManualNumPar1"/>
        <w:rPr>
          <w:noProof/>
        </w:rPr>
      </w:pPr>
      <w:r>
        <w:t>2.</w:t>
      </w:r>
      <w:r>
        <w:tab/>
      </w:r>
      <w:r>
        <w:rPr>
          <w:noProof/>
        </w:rPr>
        <w:t>Οι χρηματοδοτικές και επενδυτικές δραστηριότητες μέσω των ταμείων ή άλλων ενδιάμεσων δομών καλύπτονται από την εγγύηση της ΕΕ σύμφωνα με τις διατάξεις που ορίζονται στις κατευθυντήριες γραμμές περί επενδύσεων, έστω και αν η εν λόγω δομή επενδύει μικρό μόνο μέρος των επενδεδυμένων ποσών της εκτός της Ένωσης και στις χώρες που αναφέρονται στο άρθρο 11 παράγραφος 2, ή σε άλλα στοιχεία ενεργητικού που δεν είναι επιλέξιμα σύμφωνα με τον παρόντα κανονισμό.</w:t>
      </w:r>
    </w:p>
    <w:p>
      <w:pPr>
        <w:pStyle w:val="Titrearticle"/>
        <w:rPr>
          <w:noProof/>
        </w:rPr>
      </w:pPr>
      <w:r>
        <w:rPr>
          <w:noProof/>
        </w:rPr>
        <w:t>Άρθρο 14</w:t>
      </w:r>
    </w:p>
    <w:p>
      <w:pPr>
        <w:pStyle w:val="Titrearticle"/>
        <w:rPr>
          <w:noProof/>
        </w:rPr>
      </w:pPr>
      <w:r>
        <w:rPr>
          <w:noProof/>
        </w:rPr>
        <w:t>Συμβάσεις εγγύησης</w:t>
      </w:r>
    </w:p>
    <w:p>
      <w:pPr>
        <w:pStyle w:val="ManualNumPar1"/>
        <w:rPr>
          <w:noProof/>
        </w:rPr>
      </w:pPr>
      <w:r>
        <w:t>1.</w:t>
      </w:r>
      <w:r>
        <w:tab/>
      </w:r>
      <w:r>
        <w:rPr>
          <w:noProof/>
        </w:rPr>
        <w:t xml:space="preserve">Η Επιτροπή συνάπτει σύμβαση εγγύησης με κάθε εταίρο υλοποίησης για τη χορήγηση της εγγύησης της ΕΕ σύμφωνα με τις απαιτήσεις του παρόντος κανονισμού έως ένα ποσό που ορίζει η Επιτροπή. </w:t>
      </w:r>
    </w:p>
    <w:p>
      <w:pPr>
        <w:pStyle w:val="Text1"/>
        <w:rPr>
          <w:noProof/>
        </w:rPr>
      </w:pPr>
      <w:r>
        <w:rPr>
          <w:noProof/>
        </w:rPr>
        <w:lastRenderedPageBreak/>
        <w:t xml:space="preserve">Σε περίπτωση που οι εταίροι υλοποίησης αποτελούν ομάδα, όπως αναφέρεται στο δεύτερο εδάφιο του άρθρου 12 παράγραφος 1, συνάπτεται μία μόνο σύμβαση εγγύησης μεταξύ της Επιτροπής και κάθε εταίρου υλοποίησης που ανήκει στην ομάδα ή με έναν εταίρο υλοποίησης για λογαριασμό της ομάδας. </w:t>
      </w:r>
    </w:p>
    <w:p>
      <w:pPr>
        <w:pStyle w:val="ManualNumPar1"/>
        <w:rPr>
          <w:noProof/>
        </w:rPr>
      </w:pPr>
      <w:r>
        <w:t>2.</w:t>
      </w:r>
      <w:r>
        <w:tab/>
      </w:r>
      <w:r>
        <w:rPr>
          <w:noProof/>
        </w:rPr>
        <w:t>Οι συμβάσεις εγγύησης περιλαμβάνουν κατά κύριο λόγο διατάξεις σχετικά με τα εξής:</w:t>
      </w:r>
    </w:p>
    <w:p>
      <w:pPr>
        <w:pStyle w:val="ListNumberLevel2"/>
        <w:numPr>
          <w:ilvl w:val="1"/>
          <w:numId w:val="38"/>
        </w:numPr>
        <w:rPr>
          <w:noProof/>
        </w:rPr>
      </w:pPr>
      <w:r>
        <w:rPr>
          <w:noProof/>
        </w:rPr>
        <w:t>το ύψος και τους όρους της χρηματοδοτικής συνεισφοράς που πρόκειται να χορηγήσει ο εταίρος υλοποίησης·</w:t>
      </w:r>
    </w:p>
    <w:p>
      <w:pPr>
        <w:pStyle w:val="ListNumberLevel2"/>
        <w:numPr>
          <w:ilvl w:val="1"/>
          <w:numId w:val="30"/>
        </w:numPr>
        <w:rPr>
          <w:noProof/>
        </w:rPr>
      </w:pPr>
      <w:r>
        <w:rPr>
          <w:noProof/>
        </w:rPr>
        <w:t>τους όρους της χρηματοδότησης ή των εγγυήσεων που πρόκειται να χορηγήσει ο εταίρος υλοποίησης σε άλλη νομική οντότητα η οποία συμμετέχει στην υλοποίηση, οποτεδήποτε ισχύει αυτό·</w:t>
      </w:r>
    </w:p>
    <w:p>
      <w:pPr>
        <w:pStyle w:val="ListNumberLevel2"/>
        <w:numPr>
          <w:ilvl w:val="1"/>
          <w:numId w:val="30"/>
        </w:numPr>
        <w:rPr>
          <w:noProof/>
        </w:rPr>
      </w:pPr>
      <w:r>
        <w:rPr>
          <w:noProof/>
        </w:rPr>
        <w:t>σύμφωνα με το άρθρο 16, τους λεπτομερείς κανόνες σχετικά με την παροχή της εγγύησης της ΕΕ, συμπεριλαμβανομένης της κάλυψης χαρτοφυλακίων που περιλαμβάνουν συγκεκριμένα μέσα και των αντίστοιχων γεγονότων που επιφέρουν πιθανή κατάπτωση της εγγύησης της ΕΕ·</w:t>
      </w:r>
    </w:p>
    <w:p>
      <w:pPr>
        <w:pStyle w:val="ListNumberLevel2"/>
        <w:numPr>
          <w:ilvl w:val="1"/>
          <w:numId w:val="30"/>
        </w:numPr>
        <w:rPr>
          <w:noProof/>
        </w:rPr>
      </w:pPr>
      <w:r>
        <w:rPr>
          <w:noProof/>
        </w:rPr>
        <w:t>το αντίτιμο για την ανάληψη κινδύνων που πρόκειται να κατανεμηθεί κατ’ αναλογία προς το αντίστοιχο μερίδιο της Ένωσης και του εταίρου υλοποίησης στην ανάληψη του κινδύνου·</w:t>
      </w:r>
    </w:p>
    <w:p>
      <w:pPr>
        <w:pStyle w:val="ListNumberLevel2"/>
        <w:numPr>
          <w:ilvl w:val="1"/>
          <w:numId w:val="30"/>
        </w:numPr>
        <w:rPr>
          <w:noProof/>
        </w:rPr>
      </w:pPr>
      <w:r>
        <w:rPr>
          <w:noProof/>
        </w:rPr>
        <w:t>τους όρους πληρωμής·</w:t>
      </w:r>
    </w:p>
    <w:p>
      <w:pPr>
        <w:pStyle w:val="ListNumberLevel2"/>
        <w:numPr>
          <w:ilvl w:val="1"/>
          <w:numId w:val="30"/>
        </w:numPr>
        <w:rPr>
          <w:noProof/>
        </w:rPr>
      </w:pPr>
      <w:r>
        <w:rPr>
          <w:noProof/>
        </w:rPr>
        <w:t>τη δέσμευση του εταίρου υλοποίησης για την αποδοχή των αποφάσεων της Επιτροπής και της Επιτροπής Επενδύσεων όσον αφορά τη χρήση της εγγύησης της ΕΕ προς όφελος της προτεινόμενης χρηματοδοτικής ή επενδυτικής πράξης, εξαιρουμένων των αποφάσεων που λαμβάνει ο εταίρος υλοποίησης σχετικά με την προτεινόμενη πράξη χωρίς την εγγύηση της ΕΕ·</w:t>
      </w:r>
    </w:p>
    <w:p>
      <w:pPr>
        <w:pStyle w:val="ListNumberLevel2"/>
        <w:numPr>
          <w:ilvl w:val="1"/>
          <w:numId w:val="30"/>
        </w:numPr>
        <w:rPr>
          <w:noProof/>
        </w:rPr>
      </w:pPr>
      <w:r>
        <w:rPr>
          <w:noProof/>
        </w:rPr>
        <w:t>διατάξεις και διαδικασίες που συνδέονται με την είσπραξη απαιτήσεων η οποία θα ανατεθεί στον εταίρο υλοποίησης·</w:t>
      </w:r>
    </w:p>
    <w:p>
      <w:pPr>
        <w:pStyle w:val="ListNumberLevel2"/>
        <w:numPr>
          <w:ilvl w:val="1"/>
          <w:numId w:val="30"/>
        </w:numPr>
        <w:rPr>
          <w:noProof/>
        </w:rPr>
      </w:pPr>
      <w:r>
        <w:rPr>
          <w:noProof/>
        </w:rPr>
        <w:t>την υποβολή χρηματοοικονομικών και επιχειρησιακών εκθέσεων και την παρακολούθηση των δραστηριοτήτων στο πλαίσιο της εγγύησης της ΕΕ·</w:t>
      </w:r>
    </w:p>
    <w:p>
      <w:pPr>
        <w:pStyle w:val="ListNumberLevel2"/>
        <w:numPr>
          <w:ilvl w:val="1"/>
          <w:numId w:val="30"/>
        </w:numPr>
        <w:rPr>
          <w:noProof/>
        </w:rPr>
      </w:pPr>
      <w:r>
        <w:rPr>
          <w:noProof/>
        </w:rPr>
        <w:t xml:space="preserve">τους βασικούς δείκτες επιδόσεων όσον αφορά, ιδίως, τη χρήση της εγγύησης της ΕΕ, την εκπλήρωση των στόχων και των κριτηρίων που ορίζονται στα άρθρα 3, 7 και 11, καθώς την κινητοποίηση ιδιωτικών κεφαλαίων· </w:t>
      </w:r>
    </w:p>
    <w:p>
      <w:pPr>
        <w:pStyle w:val="ListNumberLevel2"/>
        <w:numPr>
          <w:ilvl w:val="1"/>
          <w:numId w:val="30"/>
        </w:numPr>
        <w:rPr>
          <w:noProof/>
        </w:rPr>
      </w:pPr>
      <w:r>
        <w:rPr>
          <w:noProof/>
        </w:rPr>
        <w:t>κατά περίπτωση, διατάξεις και διαδικασίες που αφορούν τις συνδυαστικές δραστηριότητες.</w:t>
      </w:r>
    </w:p>
    <w:p>
      <w:pPr>
        <w:pStyle w:val="ListNumberLevel2"/>
        <w:numPr>
          <w:ilvl w:val="1"/>
          <w:numId w:val="30"/>
        </w:numPr>
        <w:rPr>
          <w:noProof/>
        </w:rPr>
      </w:pPr>
      <w:r>
        <w:rPr>
          <w:noProof/>
        </w:rPr>
        <w:t>άλλες σχετικές διατάξεις σύμφωνα με τις απαιτήσεις του [τίτλου X] του [δημοσιονομικού κανονισμού].</w:t>
      </w:r>
    </w:p>
    <w:p>
      <w:pPr>
        <w:pStyle w:val="ManualNumPar1"/>
        <w:rPr>
          <w:noProof/>
        </w:rPr>
      </w:pPr>
      <w:r>
        <w:t>3.</w:t>
      </w:r>
      <w:r>
        <w:tab/>
      </w:r>
      <w:r>
        <w:rPr>
          <w:noProof/>
        </w:rPr>
        <w:t>Η συμφωνία εγγύησης προβλέπει επίσης ότι το αντίτιμο που αποδίδεται στην Ένωση από χρηματοδοτικές και επενδυτικές δραστηριότητες οι οποίες καλύπτονται από τον παρόντα κανονισμό θα παρέχεται μετά την αφαίρεση των πληρωμών λόγω κατάπτωσης της εγγύησης της ΕΕ.</w:t>
      </w:r>
    </w:p>
    <w:p>
      <w:pPr>
        <w:pStyle w:val="ManualNumPar1"/>
        <w:rPr>
          <w:noProof/>
        </w:rPr>
      </w:pPr>
      <w:r>
        <w:t>4.</w:t>
      </w:r>
      <w:r>
        <w:tab/>
      </w:r>
      <w:r>
        <w:rPr>
          <w:noProof/>
        </w:rPr>
        <w:t xml:space="preserve">Επιπλέον, η σύμβαση εγγύησης προβλέπει ότι τυχόν ποσό που οφείλεται στον εταίρο υλοποίησης σε σχέση με την εγγύηση της ΕΕ αφαιρείται από το συνολικό ποσό του αντιτίμου, των εσόδων και των επιστροφών που οφείλει ο εταίρος υλοποίησης στην Ένωση από χρηματοδοτικές και επενδυτικές δραστηριότητες οι οποίες καλύπτονται από τον παρόντα κανονισμό. Αν το ποσό αυτό δεν επαρκεί για την κάλυψη του </w:t>
      </w:r>
      <w:r>
        <w:rPr>
          <w:noProof/>
        </w:rPr>
        <w:lastRenderedPageBreak/>
        <w:t xml:space="preserve">ποσού που οφείλεται στον εταίρο υλοποίησης σύμφωνα με το άρθρο 15 παράγραφος 3, το υπόλοιπο λαμβάνεται από την τροφοδότηση της εγγύησης της ΕΕ.  </w:t>
      </w:r>
    </w:p>
    <w:p>
      <w:pPr>
        <w:pStyle w:val="ManualNumPar1"/>
        <w:rPr>
          <w:noProof/>
        </w:rPr>
      </w:pPr>
      <w:r>
        <w:t>5.</w:t>
      </w:r>
      <w:r>
        <w:tab/>
      </w:r>
      <w:r>
        <w:rPr>
          <w:noProof/>
        </w:rPr>
        <w:t>Σε περίπτωση που συνάπτεται σύμβαση εγγύησης σύμφωνα με τη συνιστώσα για τα κράτη μέλη, αυτή μπορεί να προβλέπει τη συμμετοχή εκπροσώπων του κράτους μέλους ή των οικείων περιφερειών κατά την παρακολούθηση της υλοποίησης της σύμβασης εγγύησης.</w:t>
      </w:r>
    </w:p>
    <w:p>
      <w:pPr>
        <w:pStyle w:val="Titrearticle"/>
        <w:rPr>
          <w:noProof/>
        </w:rPr>
      </w:pPr>
      <w:r>
        <w:rPr>
          <w:noProof/>
        </w:rPr>
        <w:t>Άρθρο 15</w:t>
      </w:r>
    </w:p>
    <w:p>
      <w:pPr>
        <w:pStyle w:val="Titrearticle"/>
        <w:rPr>
          <w:noProof/>
        </w:rPr>
      </w:pPr>
      <w:r>
        <w:rPr>
          <w:noProof/>
        </w:rPr>
        <w:t>Απαιτήσεις για τη χρήση της εγγύησης της ΕΕ</w:t>
      </w:r>
    </w:p>
    <w:p>
      <w:pPr>
        <w:rPr>
          <w:noProof/>
        </w:rPr>
      </w:pPr>
    </w:p>
    <w:p>
      <w:pPr>
        <w:pStyle w:val="ManualNumPar1"/>
        <w:rPr>
          <w:noProof/>
        </w:rPr>
      </w:pPr>
      <w:r>
        <w:t>1.</w:t>
      </w:r>
      <w:r>
        <w:tab/>
      </w:r>
      <w:r>
        <w:rPr>
          <w:noProof/>
        </w:rPr>
        <w:t>Η χορήγηση της εγγύησης της ΕΕ εξαρτάται από την έναρξη ισχύος της σύμβασης εγγύησης με τον οικείο εταίρο υλοποίησης.</w:t>
      </w:r>
    </w:p>
    <w:p>
      <w:pPr>
        <w:pStyle w:val="ManualNumPar1"/>
        <w:rPr>
          <w:noProof/>
        </w:rPr>
      </w:pPr>
      <w:r>
        <w:t>2.</w:t>
      </w:r>
      <w:r>
        <w:tab/>
      </w:r>
      <w:r>
        <w:rPr>
          <w:noProof/>
        </w:rPr>
        <w:t xml:space="preserve">Οι χρηματοδοτικές και επενδυτικές δραστηριότητες καλύπτονται από την εγγύηση της ΕΕ μόνον εάν ικανοποιούν τα κριτήρια που ορίζονται στον παρόντα κανονισμό και στις σχετικές κατευθυντήριες γραμμές περί επενδύσεων και εφόσον η Επιτροπή Επενδύσεων έχει καταλήξει στο συμπέρασμα ότι ικανοποιούν τις απαιτήσεις για να λάβουν ενίσχυση από την εγγύηση της ΕΕ. Οι εταίροι υλοποίησης παραμένουν υπεύθυνοι για τη διασφάλιση της συμμόρφωσης των χρηματοδοτικών και επενδυτικών δραστηριοτήτων με τον παρόντα κανονισμό και τις σχετικές κατευθυντήριες γραμμές περί επενδύσεων. </w:t>
      </w:r>
    </w:p>
    <w:p>
      <w:pPr>
        <w:pStyle w:val="ManualNumPar1"/>
        <w:rPr>
          <w:noProof/>
        </w:rPr>
      </w:pPr>
      <w:r>
        <w:t>3.</w:t>
      </w:r>
      <w:r>
        <w:tab/>
      </w:r>
      <w:r>
        <w:rPr>
          <w:noProof/>
        </w:rPr>
        <w:t>Η Επιτροπή δεν οφείλει στον εταίρο υλοποίησης κανένα διοικητικό έξοδο ή τέλος που συνδέεται με την υλοποίηση των χρηματοδοτικών και επενδυτικών δραστηριοτήτων με εγγύηση της ΕΕ, εκτός αν η φύση των στόχων πολιτικής στους οποίους στοχεύει το προς υλοποίηση χρηματοπιστωτικό προϊόν επιτρέπει στον εταίρο υλοποίησης να αποδείξει την ανάγκη εξαίρεσης. Η κάλυψη των εξόδων αυτών καθορίζεται στη σύμβαση εγγύησης και συμμορφώνεται με το [άρθρο 209 παράγραφος 2 στοιχείο ζ)] του [δημοσιονομικού κανονισμού].</w:t>
      </w:r>
    </w:p>
    <w:p>
      <w:pPr>
        <w:pStyle w:val="ManualNumPar1"/>
        <w:rPr>
          <w:noProof/>
        </w:rPr>
      </w:pPr>
      <w:r>
        <w:t>4.</w:t>
      </w:r>
      <w:r>
        <w:tab/>
      </w:r>
      <w:r>
        <w:rPr>
          <w:noProof/>
        </w:rPr>
        <w:t>Επιπλέον, ο εταίρος υλοποίησης δύναται να κάνει χρήση της εγγύησης της ΕΕ για την κάλυψη του σχετικού μεριδίου τυχόν εξόδων ανάκτησης, εκτός εάν αυτά αφαιρούνται από τα έσοδα ανάκτησης, σύμφωνα με το άρθρο 14 παράγραφος 4.</w:t>
      </w:r>
    </w:p>
    <w:p>
      <w:pPr>
        <w:pStyle w:val="Titrearticle"/>
        <w:rPr>
          <w:noProof/>
        </w:rPr>
      </w:pPr>
      <w:r>
        <w:rPr>
          <w:noProof/>
        </w:rPr>
        <w:t>Άρθρο 16</w:t>
      </w:r>
    </w:p>
    <w:p>
      <w:pPr>
        <w:pStyle w:val="Titrearticle"/>
        <w:rPr>
          <w:noProof/>
        </w:rPr>
      </w:pPr>
      <w:r>
        <w:rPr>
          <w:noProof/>
        </w:rPr>
        <w:t>Κάλυψη και όροι της εγγύησης της ΕΕ</w:t>
      </w:r>
    </w:p>
    <w:p>
      <w:pPr>
        <w:pStyle w:val="Corps"/>
        <w:spacing w:before="0" w:after="200" w:line="276" w:lineRule="auto"/>
        <w:jc w:val="left"/>
        <w:rPr>
          <w:noProof/>
        </w:rPr>
      </w:pPr>
    </w:p>
    <w:p>
      <w:pPr>
        <w:pStyle w:val="ManualNumPar1"/>
        <w:rPr>
          <w:noProof/>
        </w:rPr>
      </w:pPr>
      <w:r>
        <w:t>1.</w:t>
      </w:r>
      <w:r>
        <w:tab/>
      </w:r>
      <w:r>
        <w:rPr>
          <w:noProof/>
        </w:rPr>
        <w:t xml:space="preserve">Το αντίτιμο για την ανάληψη κινδύνων κατανέμεται μεταξύ της Ένωσης και του εταίρου υλοποίησης κατ’ αναλογία προς το αντίστοιχο μερίδιό τους στην ανάληψη κινδύνου ενός χαρτοφυλακίου χρηματοδοτικών και επενδυτικών πράξεων ή, κατά περίπτωση, επιμέρους δραστηριοτήτων. Ο εταίρος υλοποίησης έχει κατάλληλη έκθεση με δικό του κίνδυνο σε χρηματοδοτικές και επενδυτικές δραστηριότητες υποστηριζόμενες από την εγγύηση της ΕΕ, εκτός εάν κατ’ εξαίρεση οι στόχοι πολιτικής στους οποίους στοχεύει το προς υλοποίηση χρηματοδοτικό προϊόν είναι τέτοιας φύσεως ώστε ο εταίρος υλοποίησης δεν θα μπορούσε εύλογα να εισφέρει τη δική του δυνατότητα ανάληψης κινδύνων σε αυτό. </w:t>
      </w:r>
    </w:p>
    <w:p>
      <w:pPr>
        <w:pStyle w:val="ManualNumPar1"/>
        <w:rPr>
          <w:noProof/>
        </w:rPr>
      </w:pPr>
      <w:r>
        <w:lastRenderedPageBreak/>
        <w:t>2.</w:t>
      </w:r>
      <w:r>
        <w:tab/>
      </w:r>
      <w:r>
        <w:rPr>
          <w:noProof/>
        </w:rPr>
        <w:t>Η εγγύηση της ΕΕ καλύπτει:</w:t>
      </w:r>
    </w:p>
    <w:p>
      <w:pPr>
        <w:pStyle w:val="ListNumberLevel2"/>
        <w:numPr>
          <w:ilvl w:val="1"/>
          <w:numId w:val="41"/>
        </w:numPr>
        <w:rPr>
          <w:noProof/>
        </w:rPr>
      </w:pPr>
      <w:r>
        <w:rPr>
          <w:noProof/>
        </w:rPr>
        <w:t>για τα χρεωστικά μέσα που αναφέρονται στο άρθρο 13 παράγραφος 1 στοιχείο α):</w:t>
      </w:r>
    </w:p>
    <w:p>
      <w:pPr>
        <w:pStyle w:val="Corps"/>
        <w:ind w:left="1984" w:hanging="567"/>
        <w:outlineLvl w:val="0"/>
        <w:rPr>
          <w:rStyle w:val="Aucun"/>
          <w:noProof/>
          <w:sz w:val="23"/>
          <w:szCs w:val="23"/>
        </w:rPr>
      </w:pPr>
      <w:r>
        <w:rPr>
          <w:noProof/>
        </w:rPr>
        <w:t>i)</w:t>
      </w:r>
      <w:r>
        <w:rPr>
          <w:noProof/>
        </w:rPr>
        <w:tab/>
        <w:t xml:space="preserve">το αρχικό κεφάλαιο και όλους τους τόκους και τα ποσά που οφείλονται στον εταίρο υλοποίησης αλλά δεν έχουν εισπραχθεί από αυτόν σύμφωνα με τους όρους των χρηματοδοτικών δραστηριοτήτων, μέχρι τη στιγμή της αθέτησης· </w:t>
      </w:r>
      <w:r>
        <w:rPr>
          <w:rStyle w:val="Aucun"/>
          <w:noProof/>
          <w:sz w:val="23"/>
        </w:rPr>
        <w:t>για το χρέος μειωμένης εξασφάλισης, η αναστολή πληρωμής, μείωση ή υποχρεωτική έξοδος θεωρείται γεγονός αθέτησης·</w:t>
      </w:r>
    </w:p>
    <w:p>
      <w:pPr>
        <w:pStyle w:val="Text2"/>
        <w:ind w:left="1985" w:hanging="567"/>
        <w:rPr>
          <w:noProof/>
        </w:rPr>
      </w:pPr>
      <w:r>
        <w:rPr>
          <w:noProof/>
        </w:rPr>
        <w:t>ii)</w:t>
      </w:r>
      <w:r>
        <w:rPr>
          <w:noProof/>
        </w:rPr>
        <w:tab/>
        <w:t>τις ζημίες που οφείλονται σε αναδιάρθρωση·</w:t>
      </w:r>
    </w:p>
    <w:p>
      <w:pPr>
        <w:pStyle w:val="Corps"/>
        <w:ind w:left="1984" w:hanging="567"/>
        <w:outlineLvl w:val="0"/>
        <w:rPr>
          <w:noProof/>
        </w:rPr>
      </w:pPr>
      <w:r>
        <w:rPr>
          <w:noProof/>
        </w:rPr>
        <w:t>iii)</w:t>
      </w:r>
      <w:r>
        <w:rPr>
          <w:noProof/>
        </w:rPr>
        <w:tab/>
        <w:t xml:space="preserve">τις ζημίες που οφείλονται σε διακυμάνσεις των ισοτιμιών των νομισμάτων πλην του ευρώ σε αγορές όπου οι δυνατότητες για μακροπρόθεσμη αντιστάθμιση κινδύνων είναι περιορισμένες· </w:t>
      </w:r>
    </w:p>
    <w:p>
      <w:pPr>
        <w:pStyle w:val="ListNumberLevel2"/>
        <w:numPr>
          <w:ilvl w:val="1"/>
          <w:numId w:val="30"/>
        </w:numPr>
        <w:rPr>
          <w:noProof/>
        </w:rPr>
      </w:pPr>
      <w:r>
        <w:rPr>
          <w:noProof/>
        </w:rPr>
        <w:t>για τις επενδύσεις μετοχικού ή οιονεί μετοχικού κεφαλαίου που αναφέρονται στο άρθρο 13 παράγραφος 1 στοιχείο α), τα ποσά που επενδύονται και το συνδεόμενο με αυτά κόστος χρηματοδότησης και τις ζημίες που οφείλονται σε διακυμάνσεις των ισοτιμιών των νομισμάτων πλην του ευρώ·</w:t>
      </w:r>
    </w:p>
    <w:p>
      <w:pPr>
        <w:pStyle w:val="ListNumberLevel2"/>
        <w:numPr>
          <w:ilvl w:val="1"/>
          <w:numId w:val="30"/>
        </w:numPr>
        <w:rPr>
          <w:noProof/>
        </w:rPr>
      </w:pPr>
      <w:r>
        <w:rPr>
          <w:noProof/>
        </w:rPr>
        <w:t>για τη χρηματοδότηση ή τις εγγυήσεις που χορηγεί ο εταίρος υλοποίησης σε άλλη νομική οντότητα που αναφέρεται στο άρθρο 13 παράγραφος 1 στοιχείο β), τα ποσά που χρησιμοποιήθηκαν και το συνδεόμενο με αυτά κόστος.</w:t>
      </w:r>
    </w:p>
    <w:p>
      <w:pPr>
        <w:pStyle w:val="ManualNumPar1"/>
        <w:rPr>
          <w:noProof/>
        </w:rPr>
      </w:pPr>
      <w:r>
        <w:t>3.</w:t>
      </w:r>
      <w:r>
        <w:tab/>
      </w:r>
      <w:r>
        <w:rPr>
          <w:noProof/>
        </w:rPr>
        <w:t xml:space="preserve">Όταν η Ένωση πραγματοποιεί πληρωμή προς τον εταίρο υλοποίησης κατά την κατάπτωση της εγγύησης της ΕΕ, υποκαθίσταται στα σχετικά δικαιώματα, στον βαθμό που αυτά εξακολουθούν να υπάρχουν, του εταίρου υλοποίησης σχετικά με οποιαδήποτε από τις χρηματοδοτικές ή επενδυτικές δραστηριότητές του που καλύπτονται από την εγγύηση της ΕΕ. </w:t>
      </w:r>
    </w:p>
    <w:p>
      <w:pPr>
        <w:pStyle w:val="Text1"/>
        <w:rPr>
          <w:noProof/>
        </w:rPr>
      </w:pPr>
      <w:r>
        <w:rPr>
          <w:noProof/>
        </w:rPr>
        <w:t>Ο εταίρος υλοποίησης προβαίνει, εξ ονόματος της Ένωσης, στην ανάκτηση των απαιτήσεων για τα ποσά που έχουν καταβληθεί και εξοφλεί την Ένωση από τα ανακτηθέντα ποσά.</w:t>
      </w:r>
    </w:p>
    <w:p>
      <w:pPr>
        <w:rPr>
          <w:noProof/>
        </w:rPr>
      </w:pPr>
    </w:p>
    <w:p>
      <w:pPr>
        <w:pStyle w:val="Titrearticle"/>
        <w:rPr>
          <w:rStyle w:val="Aucun"/>
          <w:b/>
          <w:bCs/>
          <w:noProof/>
        </w:rPr>
      </w:pPr>
      <w:r>
        <w:rPr>
          <w:rStyle w:val="Aucun"/>
          <w:b/>
          <w:noProof/>
        </w:rPr>
        <w:t>ΚΕΦΑΛΑΙΟ IV</w:t>
      </w:r>
    </w:p>
    <w:p>
      <w:pPr>
        <w:pStyle w:val="Titrearticle"/>
        <w:rPr>
          <w:rStyle w:val="Aucun"/>
          <w:b/>
          <w:bCs/>
          <w:noProof/>
        </w:rPr>
      </w:pPr>
      <w:r>
        <w:rPr>
          <w:rStyle w:val="Aucun"/>
          <w:b/>
          <w:noProof/>
        </w:rPr>
        <w:t>ΔΙΑΚΥΒΕΡΝΗΣΗ</w:t>
      </w:r>
    </w:p>
    <w:p>
      <w:pPr>
        <w:pStyle w:val="Titrearticle"/>
        <w:rPr>
          <w:noProof/>
        </w:rPr>
      </w:pPr>
      <w:r>
        <w:rPr>
          <w:noProof/>
        </w:rPr>
        <w:t>Άρθρο 17</w:t>
      </w:r>
    </w:p>
    <w:p>
      <w:pPr>
        <w:pStyle w:val="Titrearticle"/>
        <w:rPr>
          <w:noProof/>
        </w:rPr>
      </w:pPr>
      <w:r>
        <w:rPr>
          <w:noProof/>
        </w:rPr>
        <w:t>Συμβουλευτική επιτροπή</w:t>
      </w:r>
    </w:p>
    <w:p>
      <w:pPr>
        <w:pStyle w:val="ManualNumPar1"/>
        <w:rPr>
          <w:noProof/>
        </w:rPr>
      </w:pPr>
      <w:r>
        <w:t>1.</w:t>
      </w:r>
      <w:r>
        <w:tab/>
      </w:r>
      <w:r>
        <w:rPr>
          <w:noProof/>
        </w:rPr>
        <w:t xml:space="preserve">Η Επιτροπή λαμβάνει συμβουλές από συμβουλευτική επιτροπή που έχει δύο συνθέσεις, συγκεκριμένα εκπροσώπους των εταίρων υλοποίησης και εκπροσώπους των κρατών μελών. </w:t>
      </w:r>
    </w:p>
    <w:p>
      <w:pPr>
        <w:pStyle w:val="ManualNumPar1"/>
        <w:rPr>
          <w:noProof/>
        </w:rPr>
      </w:pPr>
      <w:r>
        <w:t>2.</w:t>
      </w:r>
      <w:r>
        <w:tab/>
      </w:r>
      <w:r>
        <w:rPr>
          <w:noProof/>
        </w:rPr>
        <w:t>Κάθε εταίρος υλοποίησης και κάθε κράτος μέλος δύναται να ορίσει έναν αντιπρόσωπο στην οικεία σύνθεση.</w:t>
      </w:r>
    </w:p>
    <w:p>
      <w:pPr>
        <w:pStyle w:val="ManualNumPar1"/>
        <w:rPr>
          <w:noProof/>
        </w:rPr>
      </w:pPr>
      <w:r>
        <w:t>3.</w:t>
      </w:r>
      <w:r>
        <w:tab/>
      </w:r>
      <w:r>
        <w:rPr>
          <w:noProof/>
        </w:rPr>
        <w:t xml:space="preserve">Η Επιτροπή εκπροσωπείται και στις δύο συνθέσεις της συμβουλευτικής επιτροπής. </w:t>
      </w:r>
    </w:p>
    <w:p>
      <w:pPr>
        <w:pStyle w:val="ManualNumPar1"/>
        <w:rPr>
          <w:noProof/>
        </w:rPr>
      </w:pPr>
      <w:r>
        <w:lastRenderedPageBreak/>
        <w:t>4.</w:t>
      </w:r>
      <w:r>
        <w:tab/>
      </w:r>
      <w:r>
        <w:rPr>
          <w:noProof/>
        </w:rPr>
        <w:t>Στη συνεδρίαση της συμβουλευτικής επιτροπής στην οποία μετέχουν οι εκπρόσωποι των εταίρων υλοποίησης συμπροεδρεύει εκπρόσωπος της Επιτροπής και ο εκπρόσωπος που ορίζει η Ευρωπαϊκή Τράπεζα Επενδύσεων.</w:t>
      </w:r>
    </w:p>
    <w:p>
      <w:pPr>
        <w:pStyle w:val="Corps"/>
        <w:ind w:left="850"/>
        <w:outlineLvl w:val="0"/>
        <w:rPr>
          <w:noProof/>
        </w:rPr>
      </w:pPr>
      <w:r>
        <w:rPr>
          <w:noProof/>
        </w:rPr>
        <w:t>Στη συνεδρίαση της συμβουλευτικής επιτροπής στην οποία μετέχουν οι εκπρόσωποι των κρατών μελών προεδρεύει εκπρόσωπος της Επιτροπής.</w:t>
      </w:r>
    </w:p>
    <w:p>
      <w:pPr>
        <w:pStyle w:val="Corps"/>
        <w:ind w:left="850"/>
        <w:outlineLvl w:val="0"/>
        <w:rPr>
          <w:noProof/>
        </w:rPr>
      </w:pPr>
      <w:r>
        <w:rPr>
          <w:noProof/>
        </w:rPr>
        <w:t>Η συμβουλευτική επιτροπή συνέρχεται τακτικά, τουλάχιστον δύο φορές κατ’ έτος κατόπιν αιτήματος του προέδρου. Δύνανται επίσης να οργανώνονται κοινές συνεδριάσεις των δύο συνθέσεων της συμβουλευτικής επιτροπής κατόπιν κοινού αιτήματος των προέδρων τους.</w:t>
      </w:r>
    </w:p>
    <w:p>
      <w:pPr>
        <w:pStyle w:val="Corps"/>
        <w:ind w:left="850"/>
        <w:outlineLvl w:val="0"/>
        <w:rPr>
          <w:noProof/>
        </w:rPr>
      </w:pPr>
      <w:r>
        <w:rPr>
          <w:noProof/>
        </w:rPr>
        <w:t>Η Επιτροπή θεσπίζει τους κανόνες και τις διαδικασίες λειτουργίας της συμβουλευτικής επιτροπής και διαχειρίζεται τη γραμματεία του.</w:t>
      </w:r>
    </w:p>
    <w:p>
      <w:pPr>
        <w:pStyle w:val="ManualNumPar1"/>
        <w:rPr>
          <w:noProof/>
        </w:rPr>
      </w:pPr>
      <w:r>
        <w:t>5.</w:t>
      </w:r>
      <w:r>
        <w:tab/>
      </w:r>
      <w:r>
        <w:rPr>
          <w:noProof/>
        </w:rPr>
        <w:t xml:space="preserve">Η συμβουλευτική επιτροπή, </w:t>
      </w:r>
    </w:p>
    <w:p>
      <w:pPr>
        <w:pStyle w:val="ListNumberLevel2"/>
        <w:numPr>
          <w:ilvl w:val="1"/>
          <w:numId w:val="43"/>
        </w:numPr>
        <w:rPr>
          <w:noProof/>
        </w:rPr>
      </w:pPr>
      <w:r>
        <w:rPr>
          <w:noProof/>
        </w:rPr>
        <w:t>με τη σύνθεσή της που αποτελείται από τους εταίρους υλοποίησης:</w:t>
      </w:r>
    </w:p>
    <w:p>
      <w:pPr>
        <w:pStyle w:val="Corps"/>
        <w:ind w:left="2268" w:hanging="708"/>
        <w:outlineLvl w:val="0"/>
        <w:rPr>
          <w:noProof/>
        </w:rPr>
      </w:pPr>
      <w:r>
        <w:rPr>
          <w:noProof/>
        </w:rPr>
        <w:t>i)</w:t>
      </w:r>
      <w:r>
        <w:rPr>
          <w:noProof/>
        </w:rPr>
        <w:tab/>
        <w:t>παρέχει συμβουλές για το σχεδιασμό των χρηματοπιστωτικών προϊόντων που πρόκειται να υλοποιηθούν στο πλαίσιο του παρόντος κανονισμού·</w:t>
      </w:r>
    </w:p>
    <w:p>
      <w:pPr>
        <w:pStyle w:val="Corps"/>
        <w:ind w:left="2268" w:hanging="708"/>
        <w:outlineLvl w:val="0"/>
        <w:rPr>
          <w:noProof/>
        </w:rPr>
      </w:pPr>
      <w:r>
        <w:rPr>
          <w:noProof/>
        </w:rPr>
        <w:t>ii)</w:t>
      </w:r>
      <w:r>
        <w:rPr>
          <w:noProof/>
        </w:rPr>
        <w:tab/>
        <w:t>παρέχει συμβουλές στην Επιτροπή σχετικά με αδυναμίες της αγοράς και μη βέλτιστες επενδυτικές καταστάσεις και συνθήκες της αγοράς·</w:t>
      </w:r>
    </w:p>
    <w:p>
      <w:pPr>
        <w:pStyle w:val="ListNumberLevel2"/>
        <w:numPr>
          <w:ilvl w:val="1"/>
          <w:numId w:val="30"/>
        </w:numPr>
        <w:rPr>
          <w:noProof/>
        </w:rPr>
      </w:pPr>
      <w:r>
        <w:rPr>
          <w:noProof/>
        </w:rPr>
        <w:t>με τη σύνθεσή της που αποτελείται από τους εκπροσώπους των κρατών μελών:</w:t>
      </w:r>
    </w:p>
    <w:p>
      <w:pPr>
        <w:pStyle w:val="Corps"/>
        <w:ind w:left="2268" w:hanging="708"/>
        <w:outlineLvl w:val="0"/>
        <w:rPr>
          <w:noProof/>
        </w:rPr>
      </w:pPr>
      <w:r>
        <w:rPr>
          <w:noProof/>
        </w:rPr>
        <w:t>i)</w:t>
      </w:r>
      <w:r>
        <w:rPr>
          <w:noProof/>
        </w:rPr>
        <w:tab/>
        <w:t xml:space="preserve">ενημερώνει τα κράτη μέλη σχετικά με την εφαρμογή του ταμείου InvestEU·  </w:t>
      </w:r>
    </w:p>
    <w:p>
      <w:pPr>
        <w:pStyle w:val="Corps"/>
        <w:ind w:left="2268" w:hanging="708"/>
        <w:outlineLvl w:val="0"/>
        <w:rPr>
          <w:noProof/>
        </w:rPr>
      </w:pPr>
      <w:r>
        <w:rPr>
          <w:noProof/>
        </w:rPr>
        <w:t>ii)</w:t>
      </w:r>
      <w:r>
        <w:rPr>
          <w:noProof/>
        </w:rPr>
        <w:tab/>
        <w:t>ανταλλάσσει απόψεις με τα κράτη μέλη για τις εξελίξεις στην αγορά, καθώς και βέλτιστες πρακτικές.</w:t>
      </w:r>
    </w:p>
    <w:p>
      <w:pPr>
        <w:pStyle w:val="Titrearticle"/>
        <w:rPr>
          <w:noProof/>
        </w:rPr>
      </w:pPr>
      <w:r>
        <w:rPr>
          <w:noProof/>
        </w:rPr>
        <w:t>Άρθρο 18</w:t>
      </w:r>
    </w:p>
    <w:p>
      <w:pPr>
        <w:pStyle w:val="Titrearticle"/>
        <w:rPr>
          <w:noProof/>
        </w:rPr>
      </w:pPr>
      <w:r>
        <w:rPr>
          <w:noProof/>
        </w:rPr>
        <w:t>Ομάδα έργου</w:t>
      </w:r>
    </w:p>
    <w:p>
      <w:pPr>
        <w:pStyle w:val="ManualNumPar1"/>
        <w:rPr>
          <w:noProof/>
        </w:rPr>
      </w:pPr>
      <w:r>
        <w:t>1.</w:t>
      </w:r>
      <w:r>
        <w:tab/>
      </w:r>
      <w:r>
        <w:rPr>
          <w:noProof/>
        </w:rPr>
        <w:t xml:space="preserve">Δημιουργείται ομάδα έργου αποτελούμενη από εμπειρογνώμονες, τους οποίους θέτουν στη διάθεση της Επιτροπής οι εταίροι υλοποίησης χωρίς καμία επιβάρυνση για τον προϋπολογισμό της Ένωσης. </w:t>
      </w:r>
    </w:p>
    <w:p>
      <w:pPr>
        <w:pStyle w:val="ManualNumPar1"/>
        <w:rPr>
          <w:noProof/>
        </w:rPr>
      </w:pPr>
      <w:r>
        <w:t>2.</w:t>
      </w:r>
      <w:r>
        <w:tab/>
      </w:r>
      <w:r>
        <w:rPr>
          <w:noProof/>
        </w:rPr>
        <w:t>Κάθε εταίρος υλοποίησης ορίζει εμπειρογνώμονες στην ομάδα έργου. Ο αριθμός των εμπειρογνωμόνων ορίζεται στη συμφωνία εγγύησης.</w:t>
      </w:r>
    </w:p>
    <w:p>
      <w:pPr>
        <w:pStyle w:val="ManualNumPar1"/>
        <w:rPr>
          <w:noProof/>
        </w:rPr>
      </w:pPr>
      <w:r>
        <w:t>3.</w:t>
      </w:r>
      <w:r>
        <w:tab/>
      </w:r>
      <w:r>
        <w:rPr>
          <w:noProof/>
        </w:rPr>
        <w:t>Η Επιτροπή επιβεβαιώνει ότι οι χρηματοδοτικές και επενδυτικές δραστηριότητες που προτείνουν οι εταίροι υλοποίησης συμμορφώνονται με το δίκαιο και τις πολιτικές της Ένωσης.</w:t>
      </w:r>
    </w:p>
    <w:p>
      <w:pPr>
        <w:pStyle w:val="ManualNumPar1"/>
        <w:rPr>
          <w:noProof/>
        </w:rPr>
      </w:pPr>
      <w:r>
        <w:t>4.</w:t>
      </w:r>
      <w:r>
        <w:tab/>
      </w:r>
      <w:r>
        <w:rPr>
          <w:noProof/>
        </w:rPr>
        <w:t xml:space="preserve">Με την επιφύλαξη της επιβεβαίωσης από την Επιτροπή που αναφέρεται στην παράγραφο 3, η ομάδα έργου διενεργεί ποιοτικό έλεγχο της διαδικασίας δέουσας επιμέλειας επί των χρηματοδοτικών και επενδυτικών δραστηριοτήτων που προτείνουν οι εταίροι υλοποίησης. Οι χρηματοδοτικές και επενδυτικές δραστηριότητες υποβάλλονται κατόπιν στην Επιτροπή Επενδύσεων προκειμένου να εγκριθεί η κάλυψή τους από την εγγύηση της ΕΕ. </w:t>
      </w:r>
    </w:p>
    <w:p>
      <w:pPr>
        <w:pStyle w:val="Text1"/>
        <w:rPr>
          <w:noProof/>
        </w:rPr>
      </w:pPr>
      <w:r>
        <w:rPr>
          <w:noProof/>
        </w:rPr>
        <w:lastRenderedPageBreak/>
        <w:t xml:space="preserve">Η ομάδα έργου καταρτίζει τον πίνακα αποτελεσμάτων αναφορικά με τις προτεινόμενες χρηματοδοτικές και επενδυτικές δραστηριότητες για την Επιτροπή Επενδύσεων. </w:t>
      </w:r>
    </w:p>
    <w:p>
      <w:pPr>
        <w:pStyle w:val="Corps"/>
        <w:ind w:left="709"/>
        <w:outlineLvl w:val="0"/>
        <w:rPr>
          <w:noProof/>
        </w:rPr>
      </w:pPr>
      <w:r>
        <w:rPr>
          <w:noProof/>
        </w:rPr>
        <w:t xml:space="preserve">Ο πίνακας αποτελεσμάτων περιλαμβάνει, ιδίως, αξιολόγηση: </w:t>
      </w:r>
    </w:p>
    <w:p>
      <w:pPr>
        <w:pStyle w:val="ListNumberLevel2"/>
        <w:numPr>
          <w:ilvl w:val="1"/>
          <w:numId w:val="45"/>
        </w:numPr>
        <w:rPr>
          <w:noProof/>
        </w:rPr>
      </w:pPr>
      <w:r>
        <w:rPr>
          <w:noProof/>
        </w:rPr>
        <w:t>του προφίλ κινδύνου των προτεινόμενων χρηματοδοτικών και επενδυτικών δραστηριοτήτων·</w:t>
      </w:r>
    </w:p>
    <w:p>
      <w:pPr>
        <w:pStyle w:val="ListNumberLevel2"/>
        <w:numPr>
          <w:ilvl w:val="1"/>
          <w:numId w:val="43"/>
        </w:numPr>
        <w:rPr>
          <w:noProof/>
        </w:rPr>
      </w:pPr>
      <w:r>
        <w:rPr>
          <w:noProof/>
        </w:rPr>
        <w:t>του οφέλους για τους τελικούς αποδέκτες·</w:t>
      </w:r>
    </w:p>
    <w:p>
      <w:pPr>
        <w:pStyle w:val="ListNumberLevel2"/>
        <w:numPr>
          <w:ilvl w:val="1"/>
          <w:numId w:val="43"/>
        </w:numPr>
        <w:rPr>
          <w:noProof/>
        </w:rPr>
      </w:pPr>
      <w:r>
        <w:rPr>
          <w:noProof/>
        </w:rPr>
        <w:t>του σεβασμού για τα κριτήρια επιλεξιμότητας.</w:t>
      </w:r>
    </w:p>
    <w:p>
      <w:pPr>
        <w:pStyle w:val="Text1"/>
        <w:rPr>
          <w:noProof/>
        </w:rPr>
      </w:pPr>
      <w:r>
        <w:rPr>
          <w:noProof/>
        </w:rPr>
        <w:t>Κάθε εταίρος υλοποίησης παρέχει επαρκή και εναρμονισμένα στοιχεία στην ομάδα έργου προκειμένου να της δώσει τη δυνατότητα να διενεργήσει την ανάλυση κινδύνου και να καταρτίσει τον πίνακα αποτελεσμάτων.</w:t>
      </w:r>
    </w:p>
    <w:p>
      <w:pPr>
        <w:pStyle w:val="ManualNumPar1"/>
        <w:rPr>
          <w:noProof/>
        </w:rPr>
      </w:pPr>
      <w:r>
        <w:t>5.</w:t>
      </w:r>
      <w:r>
        <w:tab/>
      </w:r>
      <w:r>
        <w:rPr>
          <w:noProof/>
        </w:rPr>
        <w:t>Οι εμπειρογνώμονες της ομάδας έργου δεν αξιολογούν τη διαδικασία δέουσας επιμέλειας ή εκτίμησης που αφορά δυνητική χρηματοδοτική ή επενδυτική δραστηριότητα την οποία υπέβαλε ο εταίρος υλοποίησης ο οποίος τους έθεσε στη διάθεση της Επιτροπής. Οι συγκεκριμένοι εμπειρογνώμονες δεν καταρτίζουν τον πίνακα αποτελεσμάτων για τις εν λόγω προτάσεις.</w:t>
      </w:r>
    </w:p>
    <w:p>
      <w:pPr>
        <w:pStyle w:val="ManualNumPar1"/>
        <w:rPr>
          <w:noProof/>
        </w:rPr>
      </w:pPr>
      <w:r>
        <w:t>6.</w:t>
      </w:r>
      <w:r>
        <w:tab/>
      </w:r>
      <w:r>
        <w:rPr>
          <w:noProof/>
        </w:rPr>
        <w:t xml:space="preserve">Κάθε εμπειρογνώμονας της ομάδας έργου δηλώνει στην Επιτροπή τυχόν σύγκρουση συμφερόντων και κοινοποιεί αμελλητί στην Επιτροπή όλα τα στοιχεία που απαιτούνται προκειμένου να επαληθεύεται διαρκώς η απουσία τυχόν σύγκρουσης συμφερόντων. </w:t>
      </w:r>
    </w:p>
    <w:p>
      <w:pPr>
        <w:pStyle w:val="ManualNumPar1"/>
        <w:rPr>
          <w:noProof/>
        </w:rPr>
      </w:pPr>
      <w:r>
        <w:t>7.</w:t>
      </w:r>
      <w:r>
        <w:tab/>
      </w:r>
      <w:r>
        <w:rPr>
          <w:noProof/>
        </w:rPr>
        <w:t>Η Επιτροπή θεσπίζει λεπτομερείς κανόνες για τη λειτουργία της ομάδας έργου και για την επαλήθευση της απουσίας καταστάσεων σύγκρουσης συμφερόντων.</w:t>
      </w:r>
    </w:p>
    <w:p>
      <w:pPr>
        <w:pStyle w:val="ManualNumPar1"/>
        <w:rPr>
          <w:noProof/>
        </w:rPr>
      </w:pPr>
      <w:r>
        <w:t>8.</w:t>
      </w:r>
      <w:r>
        <w:tab/>
      </w:r>
      <w:r>
        <w:rPr>
          <w:noProof/>
        </w:rPr>
        <w:t>Η Επιτροπή θεσπίζει λεπτομερείς κανόνες για τον πίνακα αποτελεσμάτων προκειμένου να είναι σε θέση η Επιτροπή Επενδύσεων να εγκρίνει τη χρήση της εγγύησης της ΕΕ για προτεινόμενη χρηματοδοτική ή επενδυτική δραστηριότητα.</w:t>
      </w:r>
    </w:p>
    <w:p>
      <w:pPr>
        <w:pStyle w:val="Titrearticle"/>
        <w:rPr>
          <w:noProof/>
        </w:rPr>
      </w:pPr>
      <w:r>
        <w:rPr>
          <w:noProof/>
        </w:rPr>
        <w:t>Άρθρο 19</w:t>
      </w:r>
    </w:p>
    <w:p>
      <w:pPr>
        <w:pStyle w:val="Titrearticle"/>
        <w:rPr>
          <w:noProof/>
        </w:rPr>
      </w:pPr>
      <w:r>
        <w:rPr>
          <w:noProof/>
        </w:rPr>
        <w:t>Επιτροπή Επενδύσεων</w:t>
      </w:r>
    </w:p>
    <w:p>
      <w:pPr>
        <w:rPr>
          <w:noProof/>
        </w:rPr>
      </w:pPr>
      <w:r>
        <w:rPr>
          <w:noProof/>
        </w:rPr>
        <w:tab/>
        <w:t xml:space="preserve"> </w:t>
      </w:r>
    </w:p>
    <w:p>
      <w:pPr>
        <w:pStyle w:val="ManualNumPar1"/>
        <w:rPr>
          <w:noProof/>
        </w:rPr>
      </w:pPr>
      <w:r>
        <w:t>1.</w:t>
      </w:r>
      <w:r>
        <w:tab/>
      </w:r>
      <w:r>
        <w:rPr>
          <w:noProof/>
        </w:rPr>
        <w:t xml:space="preserve">Συστήνεται Επιτροπή Επενδύσεων. Η επιτροπή επενδύσεων: </w:t>
      </w:r>
    </w:p>
    <w:p>
      <w:pPr>
        <w:pStyle w:val="Point1letter"/>
        <w:numPr>
          <w:ilvl w:val="3"/>
          <w:numId w:val="12"/>
        </w:numPr>
        <w:pBdr>
          <w:top w:val="nil"/>
          <w:left w:val="nil"/>
          <w:bottom w:val="nil"/>
          <w:right w:val="nil"/>
          <w:between w:val="nil"/>
          <w:bar w:val="nil"/>
        </w:pBdr>
        <w:tabs>
          <w:tab w:val="left" w:pos="1417"/>
        </w:tabs>
        <w:rPr>
          <w:noProof/>
        </w:rPr>
      </w:pPr>
      <w:r>
        <w:rPr>
          <w:noProof/>
        </w:rPr>
        <w:t xml:space="preserve">εξετάζει τις προτάσεις για χρηματοδοτικές και επενδυτικές δραστηριότητες που υποβάλλουν οι εταίροι υλοποίησης για κάλυψη στο πλαίσιο της εγγύησης της ΕΕ· </w:t>
      </w:r>
    </w:p>
    <w:p>
      <w:pPr>
        <w:pStyle w:val="Point1letter"/>
        <w:numPr>
          <w:ilvl w:val="3"/>
          <w:numId w:val="12"/>
        </w:numPr>
        <w:pBdr>
          <w:top w:val="nil"/>
          <w:left w:val="nil"/>
          <w:bottom w:val="nil"/>
          <w:right w:val="nil"/>
          <w:between w:val="nil"/>
          <w:bar w:val="nil"/>
        </w:pBdr>
        <w:tabs>
          <w:tab w:val="left" w:pos="1417"/>
        </w:tabs>
        <w:rPr>
          <w:noProof/>
        </w:rPr>
      </w:pPr>
      <w:r>
        <w:rPr>
          <w:noProof/>
        </w:rPr>
        <w:t xml:space="preserve">επαληθεύει τη συμμόρφωσή τους με τον παρόντα κανονισμό και τις σχετικές κατευθυντήριες γραμμές περί επενδύσεων, δίνοντας ιδιαίτερη προσοχή στην απαίτηση περί προσθετικότητας που προβλέπεται στο [άρθρο 209 παράγραφος 2 στοιχείο β)] του [δημοσιονομικού κανονισμού] και την απαίτηση περί συμμετοχής ιδιωτικών επενδύσεων που προβλέπεται στο [άρθρο 209 παράγραφος 2 στοιχείο δ)] του [δημοσιονομικού κανονισμού]· και </w:t>
      </w:r>
    </w:p>
    <w:p>
      <w:pPr>
        <w:pStyle w:val="Point1letter"/>
        <w:numPr>
          <w:ilvl w:val="3"/>
          <w:numId w:val="12"/>
        </w:numPr>
        <w:pBdr>
          <w:top w:val="nil"/>
          <w:left w:val="nil"/>
          <w:bottom w:val="nil"/>
          <w:right w:val="nil"/>
          <w:between w:val="nil"/>
          <w:bar w:val="nil"/>
        </w:pBdr>
        <w:tabs>
          <w:tab w:val="left" w:pos="1417"/>
        </w:tabs>
        <w:rPr>
          <w:noProof/>
        </w:rPr>
      </w:pPr>
      <w:r>
        <w:rPr>
          <w:noProof/>
        </w:rPr>
        <w:t>ελέγχει κατά πόσον οι χρηματοδοτικές και επενδυτικές δραστηριότητες που θα μπορούσαν να επωφεληθούν από τη στήριξη της εγγύησης της ΕΕ συμμορφώνονται με όλες τις σχετικές απαιτήσεις.</w:t>
      </w:r>
    </w:p>
    <w:p>
      <w:pPr>
        <w:pStyle w:val="ManualNumPar1"/>
        <w:rPr>
          <w:noProof/>
        </w:rPr>
      </w:pPr>
      <w:r>
        <w:lastRenderedPageBreak/>
        <w:t>2.</w:t>
      </w:r>
      <w:r>
        <w:tab/>
      </w:r>
      <w:r>
        <w:rPr>
          <w:noProof/>
        </w:rPr>
        <w:t xml:space="preserve">Η Επιτροπή Επενδύσεων συνεδριάσει με τέσσερις διαφορετικές συνθέσεις, οι οποίες αντιστοιχούν στα σκέλη πολιτικής που αναφέρονται στο άρθρο 7 παράγραφος 1. </w:t>
      </w:r>
    </w:p>
    <w:p>
      <w:pPr>
        <w:pStyle w:val="Text1"/>
        <w:rPr>
          <w:noProof/>
        </w:rPr>
      </w:pPr>
      <w:r>
        <w:rPr>
          <w:noProof/>
        </w:rPr>
        <w:t>Κάθε σύνθεση της Επιτροπής Επενδύσεων αποτελείται από έξι αμειβόμενους εξωτερικούς εμπειρογνώμονες. Οι εμπειρογνώμονες επιλέγονται σύμφωνα με το [άρθρο 237] του [δημοσιονομικού κανονισμού] και διορίζονται από την Επιτροπή για καθορισμένη τετραετή θητεία. Η θητεία τους είναι ανανεώσιμη, αλλά δεν υπερβαίνει τα έξι έτη συνολικά. Η Επιτροπή δύναται να αποφασίσει την ανανέωση της θητείας ενός απερχόμενου μέλους της Επιτροπής Επενδύσεων χωρίς να ακολουθήσει τη διαδικασία της παρούσας παραγράφου.</w:t>
      </w:r>
    </w:p>
    <w:p>
      <w:pPr>
        <w:pStyle w:val="Text1"/>
        <w:rPr>
          <w:noProof/>
        </w:rPr>
      </w:pPr>
      <w:r>
        <w:rPr>
          <w:noProof/>
        </w:rPr>
        <w:t>Οι εμπειρογνώμονες διαθέτουν αυξημένη σχετική πείρα από την αγορά όσον αφορά τη διάρθρωση και τη χρηματοδότηση έργων ή τη χρηματοδότηση ΜΜΕ ή εταιριών.</w:t>
      </w:r>
    </w:p>
    <w:p>
      <w:pPr>
        <w:pStyle w:val="Text1"/>
        <w:rPr>
          <w:noProof/>
        </w:rPr>
      </w:pPr>
      <w:r>
        <w:rPr>
          <w:noProof/>
        </w:rPr>
        <w:t>Η σύνθεση της Επιτροπής Επενδύσεων διασφαλίζει ότι η επιτροπή διαθέτει ευρεία γνώση των τομέων που καλύπτονται από τα σκέλη πολιτικής τα οποία αναφέρεται στο άρθρο 7 παράγραφος 1 και των γεωγραφικών αγορών εντός της Ένωσης. Διασφαλίζει επίσης ότι η επιτροπή είναι ισόρροπη όσον αφορά την εκπροσώπηση των δύο φύλων.</w:t>
      </w:r>
    </w:p>
    <w:p>
      <w:pPr>
        <w:pStyle w:val="Text1"/>
        <w:rPr>
          <w:noProof/>
        </w:rPr>
      </w:pPr>
      <w:r>
        <w:rPr>
          <w:noProof/>
        </w:rPr>
        <w:t>Τέσσερα μέλη είναι μόνιμα μέλη και στις τέσσερις συνθέσεις της Επιτροπής Επενδύσεων. Επιπρόσθετα, η καθεμιά από τις τέσσερις συνθέσεις περιλαμβάνει δύο εμπειρογνώμονες με πείρα στις επενδύσεις σε τομείς που καλύπτονται από το εν λόγω σκέλος πολιτικής. Τουλάχιστον ένα εκ των μονίμων μελών διαθέτει εμπειρογνωμοσύνη στις βιώσιμες επενδύσεις. Η Επιτροπή διορίζει τα μέλη της Επιτροπής Επενδύσεων σε μία ή περισσότερες κατάλληλες συνθέσεις. Η Επιτροπή Επενδύσεων εκλέγει πρόεδρο μεταξύ των μόνιμων μελών της.</w:t>
      </w:r>
    </w:p>
    <w:p>
      <w:pPr>
        <w:pStyle w:val="Text1"/>
        <w:rPr>
          <w:noProof/>
        </w:rPr>
      </w:pPr>
      <w:r>
        <w:rPr>
          <w:noProof/>
        </w:rPr>
        <w:t xml:space="preserve">Η Επιτροπή θεσπίζει τον εσωτερικό κανονισμό και διαχειρίζεται τη γραμματεία της Επιτροπής Επενδύσεων. </w:t>
      </w:r>
    </w:p>
    <w:p>
      <w:pPr>
        <w:pStyle w:val="ManualNumPar1"/>
        <w:rPr>
          <w:noProof/>
        </w:rPr>
      </w:pPr>
      <w:r>
        <w:t>3.</w:t>
      </w:r>
      <w:r>
        <w:tab/>
      </w:r>
      <w:r>
        <w:rPr>
          <w:noProof/>
        </w:rPr>
        <w:t>Κατά τη συμμετοχή τους στις δραστηριότητες της Επιτροπής Επενδύσεων, τα μέλη της ασκούν τα καθήκοντά τους με αμεροληψία και προς το συμφέρον του ταμείου InvestEU. Δεν ζητούν ούτε λαμβάνουν οδηγίες από τους εταίρους υλοποίησης, τα θεσμικά όργανα της Ένωσης, τα κράτη μέλη ή οποιονδήποτε άλλο δημόσιο ή ιδιωτικό φορέα.</w:t>
      </w:r>
    </w:p>
    <w:p>
      <w:pPr>
        <w:pStyle w:val="Text1"/>
        <w:rPr>
          <w:noProof/>
        </w:rPr>
      </w:pPr>
      <w:r>
        <w:rPr>
          <w:noProof/>
        </w:rPr>
        <w:t>Τα βιογραφικά σημειώματα και οι δηλώσεις συμφερόντων των μελών της Επιτροπής Επενδύσεων δημοσιοποιούνται και ενημερώνονται συνεχώς. Κάθε μέλος της Επιτροπής Επενδύσεων κοινοποιεί χωρίς καθυστέρηση στην Επιτροπή όλες τις πληροφορίες που είναι αναγκαίες για να ελέγχεται διαρκώς η απουσία σύγκρουσης συμφερόντων.</w:t>
      </w:r>
    </w:p>
    <w:p>
      <w:pPr>
        <w:pStyle w:val="Text1"/>
        <w:rPr>
          <w:noProof/>
        </w:rPr>
      </w:pPr>
      <w:r>
        <w:rPr>
          <w:noProof/>
        </w:rPr>
        <w:t>Η Επιτροπή δύναται να απαλλάξει ένα μέλος από τα καθήκοντά του εάν αυτός/αυτή δεν ικανοποιεί τις απαιτήσεις που ορίζονται στην παρούσα παράγραφο ή για άλλους λόγους δεόντως αιτιολογημένους.</w:t>
      </w:r>
    </w:p>
    <w:p>
      <w:pPr>
        <w:pStyle w:val="ManualNumPar1"/>
        <w:rPr>
          <w:noProof/>
        </w:rPr>
      </w:pPr>
      <w:r>
        <w:t>4.</w:t>
      </w:r>
      <w:r>
        <w:tab/>
      </w:r>
      <w:r>
        <w:rPr>
          <w:noProof/>
        </w:rPr>
        <w:t xml:space="preserve">Όταν ενεργεί σύμφωνα με το παρόν άρθρο, η Επιτροπή Επενδύσεων υποστηρίζεται από τα έγγραφα που παρέχουν οι εταίροι υλοποίησης και κάθε άλλο έγγραφο που η Επιτροπή Επενδύσεων κρίνει κατάλληλο. Τυχόν αξιολόγηση έργου που διενεργεί εταίρος υλοποίησης δεν είναι δεσμευτική για την Επιτροπή Επενδύσεων για τους σκοπούς χρηματοδοτικής ή επενδυτικής δραστηριότητας που επωφελείται από την κάλυψη της εγγύησης της ΕΕ. </w:t>
      </w:r>
    </w:p>
    <w:p>
      <w:pPr>
        <w:pStyle w:val="Text1"/>
        <w:rPr>
          <w:noProof/>
        </w:rPr>
      </w:pPr>
      <w:r>
        <w:rPr>
          <w:noProof/>
        </w:rPr>
        <w:t xml:space="preserve">Η Επιτροπή Επενδύσεων χρησιμοποιεί, κατά την αξιολόγηση και την επαλήθευση των προτάσεων, πίνακα δεικτών σύμφωνα το άρθρο 18 παράγραφος 3. </w:t>
      </w:r>
    </w:p>
    <w:p>
      <w:pPr>
        <w:pStyle w:val="ManualNumPar1"/>
        <w:rPr>
          <w:noProof/>
        </w:rPr>
      </w:pPr>
      <w:r>
        <w:lastRenderedPageBreak/>
        <w:t>5.</w:t>
      </w:r>
      <w:r>
        <w:tab/>
      </w:r>
      <w:r>
        <w:rPr>
          <w:noProof/>
        </w:rPr>
        <w:t>Τα συμπεράσματα της Επιτροπής Επενδύσεων εγκρίνονται με απλή πλειοψηφία όλων των μελών. Σε περίπτωση ισοψηφίας, υπερισχύει η ψήφος του προέδρου της Επιτροπής Επενδύσεων.</w:t>
      </w:r>
    </w:p>
    <w:p>
      <w:pPr>
        <w:pStyle w:val="Text1"/>
        <w:rPr>
          <w:noProof/>
        </w:rPr>
      </w:pPr>
      <w:r>
        <w:rPr>
          <w:noProof/>
        </w:rPr>
        <w:t xml:space="preserve">Τα συμπεράσματα της Επιτροπής Επενδύσεων για την έγκριση της ενίσχυσης χρηματοδοτικής ή επενδυτικής δραστηριότητας στο πλαίσιο της εγγύησης της ΕΕ είναι δημόσια προσβάσιμα και περιλαμβάνουν το σκεπτικό της έγκρισης. Η δημοσίευση δεν περιέχει εμπορικά ευαίσθητες πληροφορίες. </w:t>
      </w:r>
    </w:p>
    <w:p>
      <w:pPr>
        <w:pStyle w:val="Text1"/>
        <w:rPr>
          <w:noProof/>
        </w:rPr>
      </w:pPr>
      <w:r>
        <w:rPr>
          <w:noProof/>
        </w:rPr>
        <w:t>Ο πίνακας δεικτών γίνεται διαθέσιμος στο κοινό μετά την υπογραφή της χρηματοδοτικής ή επενδυτικής δραστηριότητας ή το υπο-έργου, κατά περίπτωση. Η δημοσίευση δεν περιλαμβάνει εμπορικά ευαίσθητες πληροφορίες ή δεδομένα προσωπικού χαρακτήρα που δεν πρέπει να δημοσιοποιούνται σύμφωνα με τους κανόνες της Ένωσης περί προστασίας των δεδομένων προσωπικού χαρακτήρα.</w:t>
      </w:r>
    </w:p>
    <w:p>
      <w:pPr>
        <w:pStyle w:val="Text1"/>
        <w:rPr>
          <w:noProof/>
        </w:rPr>
      </w:pPr>
      <w:r>
        <w:rPr>
          <w:noProof/>
        </w:rPr>
        <w:t>Τα απορριπτικά συμπεράσματα της Επιτροπής Επενδύσεων για τη χρήση της εγγύησης της ΕΕ κοινοποιούνται στο Ευρωπαϊκό Κοινοβούλιο και το Συμβούλιο δύο φορές το χρόνο, τηρουμένων αυστηρών απαιτήσεων εμπιστευτικότητας.</w:t>
      </w:r>
    </w:p>
    <w:p>
      <w:pPr>
        <w:pStyle w:val="ManualNumPar1"/>
        <w:rPr>
          <w:noProof/>
        </w:rPr>
      </w:pPr>
      <w:r>
        <w:t>6.</w:t>
      </w:r>
      <w:r>
        <w:tab/>
      </w:r>
      <w:r>
        <w:rPr>
          <w:noProof/>
        </w:rPr>
        <w:t>Όταν η Επιτροπή Επενδύσεων καλείται να εγκρίνει τη χρήση της εγγύησης της ΕΕ για χρηματοδοτική ή επενδυτική δραστηριότητα η οποία είναι διευκόλυνση, πρόγραμμα ή δομή που εμπεριέχει υποκείμενα υπο-έργα, η έγκριση περιλαμβάνει τα εν λόγω υπο-έργα, εκτός εάν η Επιτροπή Επενδύσεων αποφασίσει να διατηρήσει το δικαίωμα να τα εγκρίνει χωριστά.</w:t>
      </w:r>
    </w:p>
    <w:p>
      <w:pPr>
        <w:rPr>
          <w:noProof/>
        </w:rPr>
      </w:pPr>
    </w:p>
    <w:p>
      <w:pPr>
        <w:pStyle w:val="Titrearticle"/>
        <w:rPr>
          <w:rStyle w:val="Aucun"/>
          <w:b/>
          <w:bCs/>
          <w:noProof/>
        </w:rPr>
      </w:pPr>
      <w:r>
        <w:rPr>
          <w:rStyle w:val="Aucun"/>
          <w:b/>
          <w:noProof/>
        </w:rPr>
        <w:t>ΚΕΦΑΛΑΙΟ V</w:t>
      </w:r>
    </w:p>
    <w:p>
      <w:pPr>
        <w:pStyle w:val="Titrearticle"/>
        <w:rPr>
          <w:rStyle w:val="Aucun"/>
          <w:b/>
          <w:bCs/>
          <w:noProof/>
        </w:rPr>
      </w:pPr>
      <w:r>
        <w:rPr>
          <w:rStyle w:val="Aucun"/>
          <w:b/>
          <w:noProof/>
        </w:rPr>
        <w:t>Συμβουλευτικός κόμβος InvestEU</w:t>
      </w:r>
    </w:p>
    <w:p>
      <w:pPr>
        <w:pStyle w:val="Titrearticle"/>
        <w:rPr>
          <w:noProof/>
        </w:rPr>
      </w:pPr>
      <w:r>
        <w:rPr>
          <w:noProof/>
        </w:rPr>
        <w:t>Άρθρο 20</w:t>
      </w:r>
    </w:p>
    <w:p>
      <w:pPr>
        <w:pStyle w:val="Titrearticle"/>
        <w:rPr>
          <w:noProof/>
        </w:rPr>
      </w:pPr>
      <w:r>
        <w:rPr>
          <w:noProof/>
        </w:rPr>
        <w:t>Συμβουλευτικός κόμβος InvestEU</w:t>
      </w:r>
    </w:p>
    <w:p>
      <w:pPr>
        <w:rPr>
          <w:noProof/>
        </w:rPr>
      </w:pPr>
    </w:p>
    <w:p>
      <w:pPr>
        <w:pStyle w:val="ManualNumPar1"/>
        <w:rPr>
          <w:noProof/>
        </w:rPr>
      </w:pPr>
      <w:r>
        <w:t>1.</w:t>
      </w:r>
      <w:r>
        <w:tab/>
      </w:r>
      <w:r>
        <w:rPr>
          <w:noProof/>
        </w:rPr>
        <w:t>Ο συμβουλευτικός κόμβος InvestEU παρέχει συμβουλευτική στήριξη για τον προσδιορισμό, την προετοιμασία, την ανάπτυξη, τη διάρθρωση, την ανάθεση και την υλοποίηση των επενδυτικών έργων, ή για την ενίσχυση της δυνατότητας των φορέων υλοποίησης και των χρηματοδοτικών ενδιάμεσων φορέων να υλοποιούν χρηματοδοτικές και επενδυτικές δραστηριότητες. Η στήριξή της δύναται να καλύπτει όλα τα στάδια του κύκλου ζωής ενός έργου ή της χρηματοδότησης μιας οντότητας που λαμβάνει ενίσχυση, κατά περίπτωση.</w:t>
      </w:r>
    </w:p>
    <w:p>
      <w:pPr>
        <w:pStyle w:val="Corps"/>
        <w:ind w:left="720"/>
        <w:outlineLvl w:val="0"/>
        <w:rPr>
          <w:noProof/>
        </w:rPr>
      </w:pPr>
      <w:r>
        <w:rPr>
          <w:noProof/>
        </w:rPr>
        <w:t xml:space="preserve">Ο συμβουλευτικός κόμβος InvestEU είναι διαθέσιμη ως συνιστώσα στο πλαίσιο κάθε σκέλους πολιτικής που αναφέρεται στο άρθρο 7 παράγραφος 1 η οποία καλύπτει όλους τους τομείς στο πλαίσιο του εν λόγω σκέλους. Διατίθενται επίσης διατομεακές συμβουλευτικές υπηρεσίες. </w:t>
      </w:r>
    </w:p>
    <w:p>
      <w:pPr>
        <w:pStyle w:val="ManualNumPar1"/>
        <w:rPr>
          <w:noProof/>
        </w:rPr>
      </w:pPr>
      <w:r>
        <w:t>2.</w:t>
      </w:r>
      <w:r>
        <w:tab/>
      </w:r>
      <w:r>
        <w:rPr>
          <w:noProof/>
        </w:rPr>
        <w:t>Ο συμβουλευτικός κόμβος InvestEU παρέχει κατά κύριο λόγο τις κάτωθι υπηρεσίες:</w:t>
      </w:r>
    </w:p>
    <w:p>
      <w:pPr>
        <w:pStyle w:val="ListNumberLevel2"/>
        <w:numPr>
          <w:ilvl w:val="1"/>
          <w:numId w:val="48"/>
        </w:numPr>
        <w:rPr>
          <w:noProof/>
        </w:rPr>
      </w:pPr>
      <w:r>
        <w:rPr>
          <w:noProof/>
        </w:rPr>
        <w:t>την παροχή ενιαίου σημείου εξυπηρέτησης όσον αφορά τη βοήθεια ανάπτυξης έργων για τις αρχές και τους φορείς υλοποίησης έργων σε σχέση με ενωσιακά προγράμματα που τελούν υπό κεντρική διαχείριση·</w:t>
      </w:r>
    </w:p>
    <w:p>
      <w:pPr>
        <w:pStyle w:val="ListNumberLevel2"/>
        <w:numPr>
          <w:ilvl w:val="1"/>
          <w:numId w:val="43"/>
        </w:numPr>
        <w:rPr>
          <w:noProof/>
        </w:rPr>
      </w:pPr>
      <w:r>
        <w:rPr>
          <w:noProof/>
        </w:rPr>
        <w:lastRenderedPageBreak/>
        <w:t>τη συνδρομή προς τους φορείς υλοποίησης έργων, κατά περίπτωση, για την ανάπτυξη των έργων τους ώστε να πληρούν τους στόχους και τα κριτήρια επιλεξιμότητας που ορίζονται στα άρθρα 3, 7 και 11 και για τη διευκόλυνση των φορέων συγκέντρωσης για έργα μικρής κλίμακας· ωστόσο, η εν λόγω συνδρομή δεν προδικάζει τα συμπεράσματα της Επιτροπής Επενδύσεων για την κάλυψη της ενίσχυσης τέτοιων έργων στο πλαίσιο της εγγύησης της ΕΕ·</w:t>
      </w:r>
    </w:p>
    <w:p>
      <w:pPr>
        <w:pStyle w:val="ListNumberLevel2"/>
        <w:numPr>
          <w:ilvl w:val="1"/>
          <w:numId w:val="43"/>
        </w:numPr>
        <w:rPr>
          <w:noProof/>
        </w:rPr>
      </w:pPr>
      <w:r>
        <w:rPr>
          <w:noProof/>
        </w:rPr>
        <w:t>την υποστήριξη δράσεων και την αναβάθμιση των τοπικών γνώσεων για τη διευκόλυνση της στήριξης του ταμείου InvestEU σε ολόκληρη την Ένωση και την ενεργό συμβολή, όπου αυτό είναι δυνατόν, για την επίτευξη του στόχου της τομεακής και γεωγραφικής διαφοροποίησης του ταμείου InvestEU μέσω στήριξης των εταίρων υλοποίησης για τη δημιουργία και την ανάπτυξη δυνητικών χρηματοδοτικών και επενδυτικών δραστηριοτήτων·</w:t>
      </w:r>
    </w:p>
    <w:p>
      <w:pPr>
        <w:pStyle w:val="ListNumberLevel2"/>
        <w:numPr>
          <w:ilvl w:val="1"/>
          <w:numId w:val="43"/>
        </w:numPr>
        <w:rPr>
          <w:noProof/>
        </w:rPr>
      </w:pPr>
      <w:r>
        <w:rPr>
          <w:noProof/>
        </w:rPr>
        <w:t>τη διευκόλυνση της δημιουργίας συλλογικών πλατφορμών για ανταλλαγές μεταξύ ομοτίμων και την κοινοχρησία δεδομένων, τεχνογνωσίας και βέλτιστων πρακτικών για την υποστήριξη σειράς έργων και της ανάπτυξης τομέων·</w:t>
      </w:r>
    </w:p>
    <w:p>
      <w:pPr>
        <w:pStyle w:val="ListNumberLevel2"/>
        <w:numPr>
          <w:ilvl w:val="1"/>
          <w:numId w:val="43"/>
        </w:numPr>
        <w:rPr>
          <w:noProof/>
        </w:rPr>
      </w:pPr>
      <w:r>
        <w:rPr>
          <w:noProof/>
        </w:rPr>
        <w:t>την παροχή ενεργού συμβουλευτικής υποστήριξης σχετικά με τη δημιουργία επενδυτικών πλατφορμών, ιδίως διασυνοριακών επενδυτικών πλατφορμών με συμμετοχή διάφορων κρατών μελών·</w:t>
      </w:r>
    </w:p>
    <w:p>
      <w:pPr>
        <w:pStyle w:val="ListNumberLevel2"/>
        <w:numPr>
          <w:ilvl w:val="1"/>
          <w:numId w:val="43"/>
        </w:numPr>
        <w:rPr>
          <w:noProof/>
        </w:rPr>
      </w:pPr>
      <w:r>
        <w:rPr>
          <w:noProof/>
        </w:rPr>
        <w:t>την ενίσχυση δράσεων για την ανάπτυξη ικανοτήτων με σκοπό τη δημιουργία οργανωτικών ικανοτήτων, δεξιοτήτων και διεργασιών και για την επιτάχυνση της επενδυτικής ετοιμότητας των οργανισμών, προκειμένου οι φορείς υλοποίησης και οι αρχές να δημιουργούν σειρές επενδυτικών έργων και να διαχειρίζονται έργα και οι χρηματοδοτικοί ενδιάμεσοι φορείς να υλοποιούν χρηματοδοτικές και επενδυτικές δραστηριότητες προς όφελος οντοτήτων που αντιμετωπίζουν δυσκολίες στην εξασφάλιση πρόσβασης σε χρηματοδότηση, μεταξύ άλλων μέσω στήριξης για την ανάπτυξη της δυνατότητας αξιολόγησης κινδύνου ή γνώσεων για ειδικά κάθε τομέα.</w:t>
      </w:r>
    </w:p>
    <w:p>
      <w:pPr>
        <w:pStyle w:val="ManualNumPar1"/>
        <w:rPr>
          <w:noProof/>
        </w:rPr>
      </w:pPr>
      <w:r>
        <w:t>3.</w:t>
      </w:r>
      <w:r>
        <w:tab/>
      </w:r>
      <w:r>
        <w:rPr>
          <w:noProof/>
        </w:rPr>
        <w:t>Ο συμβουλευτικός κόμβος InvestEU είναι διαθέσιμος για δημόσιους και ιδιωτικούς φορείς υλοποίησης έργων, καθώς και για χρηματοδοτικούς και άλλους ενδιάμεσους φορείς.</w:t>
      </w:r>
    </w:p>
    <w:p>
      <w:pPr>
        <w:pStyle w:val="ManualNumPar1"/>
        <w:rPr>
          <w:noProof/>
        </w:rPr>
      </w:pPr>
      <w:r>
        <w:t>4.</w:t>
      </w:r>
      <w:r>
        <w:tab/>
      </w:r>
      <w:r>
        <w:rPr>
          <w:noProof/>
        </w:rPr>
        <w:t xml:space="preserve">Είναι δυνατή η επιβολή τελών για τις υπηρεσίες που αναφέρονται στην παράγραφο 2 για την κάλυψη μέρους των εξόδων παροχής των εν λόγω υπηρεσιών. </w:t>
      </w:r>
    </w:p>
    <w:p>
      <w:pPr>
        <w:pStyle w:val="ManualNumPar1"/>
        <w:rPr>
          <w:noProof/>
        </w:rPr>
      </w:pPr>
      <w:r>
        <w:t>5.</w:t>
      </w:r>
      <w:r>
        <w:tab/>
      </w:r>
      <w:r>
        <w:rPr>
          <w:noProof/>
        </w:rPr>
        <w:t>Ο συμβουλευτικός κόμβος InvestEU αξιοποιεί την εμπειρογνωμοσύνη της Επιτροπής και των εταίρων υλοποίησης με σκοπό την επίτευξη του στόχου που αναφέρεται στην παράγραφο 1 και τη διευκόλυνση της παροχής συμβουλευτικής στήριξης.</w:t>
      </w:r>
    </w:p>
    <w:p>
      <w:pPr>
        <w:pStyle w:val="ManualNumPar1"/>
        <w:rPr>
          <w:noProof/>
        </w:rPr>
      </w:pPr>
      <w:r>
        <w:t>6.</w:t>
      </w:r>
      <w:r>
        <w:tab/>
      </w:r>
      <w:r>
        <w:rPr>
          <w:noProof/>
        </w:rPr>
        <w:t>Ο συμβουλευτικός κόμβος InvestEU διαθέτει τοπική παρουσία, εφόσον αυτό είναι αναγκαίο. Διαθέτει παρουσία ιδίως σε κράτη μέλη ή περιφέρειες που αντιμετωπίζουν δυσκολίες ως προς την ανάπτυξη έργων στο πλαίσιο του ταμείου InvestEU. Ο συμβουλευτικός κόμβος InvestEU συνδράμει στη μεταφορά γνώσης σε περιφερειακό και τοπικό επίπεδο με σκοπό την ανάπτυξη ικανοτήτων και εμπειρογνωμοσύνης σε περιφερειακό και τοπικό επίπεδο για τη στήριξη που αναφέρεται στην παράγραφο 1.</w:t>
      </w:r>
    </w:p>
    <w:p>
      <w:pPr>
        <w:pStyle w:val="ManualNumPar1"/>
        <w:rPr>
          <w:noProof/>
        </w:rPr>
      </w:pPr>
      <w:r>
        <w:t>7.</w:t>
      </w:r>
      <w:r>
        <w:tab/>
      </w:r>
      <w:r>
        <w:rPr>
          <w:noProof/>
        </w:rPr>
        <w:t xml:space="preserve">Οι εταίροι υλοποίησης προτείνουν στους φορείς υλοποίησης έργων που αιτούνται χρηματοδότηση, συμπεριλαμβανομένων ιδίως έργων μικρότερου μεγέθους, να υποβάλλουν τα έργα τους στον συμβουλευτικό κόμβο InvestEU ζητώντας στήριξη </w:t>
      </w:r>
      <w:r>
        <w:rPr>
          <w:noProof/>
        </w:rPr>
        <w:lastRenderedPageBreak/>
        <w:t xml:space="preserve">για τη βελτίωση, όπου αυτό κρίνεται σκόπιμο, της προετοιμασίας των έργων τους και για την αξιολόγηση της δυνατότητας ομαδοποίησης έργων. </w:t>
      </w:r>
    </w:p>
    <w:p>
      <w:pPr>
        <w:pStyle w:val="Text1"/>
        <w:rPr>
          <w:noProof/>
        </w:rPr>
      </w:pPr>
      <w:r>
        <w:rPr>
          <w:noProof/>
        </w:rPr>
        <w:t>Οι εταίροι υλοποίησης ενημερώνουν επίσης τους φορείς υλοποίησης, κατά περίπτωση, για τη δυνατότητα να συμπεριλάβουν τα έργα τους στην πύλη InvestEU που αναφέρεται στο άρθρο 21.</w:t>
      </w:r>
    </w:p>
    <w:p>
      <w:pPr>
        <w:rPr>
          <w:noProof/>
        </w:rPr>
      </w:pPr>
    </w:p>
    <w:p>
      <w:pPr>
        <w:pStyle w:val="Titrearticle"/>
        <w:rPr>
          <w:rStyle w:val="Aucun"/>
          <w:b/>
          <w:bCs/>
          <w:noProof/>
        </w:rPr>
      </w:pPr>
      <w:r>
        <w:rPr>
          <w:rStyle w:val="Aucun"/>
          <w:b/>
          <w:noProof/>
        </w:rPr>
        <w:t xml:space="preserve">ΚΕΦΑΛΑΙΟ VI </w:t>
      </w:r>
    </w:p>
    <w:p>
      <w:pPr>
        <w:pStyle w:val="Titrearticle"/>
        <w:rPr>
          <w:noProof/>
        </w:rPr>
      </w:pPr>
      <w:r>
        <w:rPr>
          <w:noProof/>
        </w:rPr>
        <w:t>Άρθρο 21</w:t>
      </w:r>
    </w:p>
    <w:p>
      <w:pPr>
        <w:pStyle w:val="Titrearticle"/>
        <w:rPr>
          <w:noProof/>
        </w:rPr>
      </w:pPr>
      <w:r>
        <w:rPr>
          <w:noProof/>
        </w:rPr>
        <w:t>Πύλη InvestEU</w:t>
      </w:r>
    </w:p>
    <w:p>
      <w:pPr>
        <w:rPr>
          <w:noProof/>
        </w:rPr>
      </w:pPr>
    </w:p>
    <w:p>
      <w:pPr>
        <w:pStyle w:val="ManualNumPar1"/>
        <w:rPr>
          <w:noProof/>
        </w:rPr>
      </w:pPr>
      <w:r>
        <w:t>1.</w:t>
      </w:r>
      <w:r>
        <w:tab/>
      </w:r>
      <w:r>
        <w:rPr>
          <w:noProof/>
        </w:rPr>
        <w:t>Η πύλη InvestEU θεσπίζεται από την Επιτροπή. Πρόκειται για μια εύκολα προσβάσιμη και φιλική για το χρήστη βάση δεδομένων έργων που παρέχει χρήσιμες πληροφορίες για κάθε έργο.</w:t>
      </w:r>
    </w:p>
    <w:p>
      <w:pPr>
        <w:pStyle w:val="ManualNumPar1"/>
        <w:rPr>
          <w:noProof/>
        </w:rPr>
      </w:pPr>
      <w:r>
        <w:t>2.</w:t>
      </w:r>
      <w:r>
        <w:tab/>
      </w:r>
      <w:r>
        <w:rPr>
          <w:noProof/>
        </w:rPr>
        <w:t>Η πύλη InvestEU παρέχει έναν δίαυλο μέσω του οποίου οι φορείς υλοποίησης έργων δύνανται να προβάλλουν τα έργα τους για τα οποία αναζητούν χρηματοδότηση και, συνεπώς, να ενημερώνουν τους επενδυτές για αυτά. Η προσθήκη ενός έργου στην πύλη InvestEU δεν προδικάζει τις αποφάσεις για τα τελικά έργα που επιλέγονται για στήριξη δυνάμει του παρόντος κανονισμού ή άλλου ενωσιακού μέσου, ή για δημόσια χρηματοδότηση.</w:t>
      </w:r>
    </w:p>
    <w:p>
      <w:pPr>
        <w:pStyle w:val="ManualNumPar1"/>
        <w:rPr>
          <w:noProof/>
        </w:rPr>
      </w:pPr>
      <w:r>
        <w:t>3.</w:t>
      </w:r>
      <w:r>
        <w:tab/>
      </w:r>
      <w:r>
        <w:rPr>
          <w:noProof/>
        </w:rPr>
        <w:t xml:space="preserve">Μόνο τα έργα που είναι συμβατά με το δίκαιο και τις πολιτικές της Ένωσης αναρτώνται στην πύλη. </w:t>
      </w:r>
    </w:p>
    <w:p>
      <w:pPr>
        <w:pStyle w:val="ManualNumPar1"/>
        <w:rPr>
          <w:noProof/>
        </w:rPr>
      </w:pPr>
      <w:r>
        <w:t>4.</w:t>
      </w:r>
      <w:r>
        <w:tab/>
      </w:r>
      <w:r>
        <w:rPr>
          <w:noProof/>
        </w:rPr>
        <w:t>Τα έργα που πληρούν τις προϋποθέσεις οι οποίες ορίζονται στην παράγραφο 3 διαβιβάζονται από την Επιτροπή στους οικείους εταίρους υλοποίησης.</w:t>
      </w:r>
    </w:p>
    <w:p>
      <w:pPr>
        <w:pStyle w:val="ManualNumPar1"/>
        <w:rPr>
          <w:noProof/>
        </w:rPr>
      </w:pPr>
      <w:r>
        <w:t>5.</w:t>
      </w:r>
      <w:r>
        <w:tab/>
      </w:r>
      <w:r>
        <w:rPr>
          <w:noProof/>
        </w:rPr>
        <w:t>Οι εταίροι υλοποίησης εξετάζουν τα έργα που εμπίπτουν στο γεωγραφικό πεδίο και στο πεδίο δραστηριοτήτων τους.</w:t>
      </w:r>
    </w:p>
    <w:p>
      <w:pPr>
        <w:rPr>
          <w:noProof/>
        </w:rPr>
      </w:pPr>
    </w:p>
    <w:p>
      <w:pPr>
        <w:pStyle w:val="Titrearticle"/>
        <w:rPr>
          <w:rStyle w:val="Aucun"/>
          <w:b/>
          <w:bCs/>
          <w:noProof/>
        </w:rPr>
      </w:pPr>
      <w:r>
        <w:rPr>
          <w:rStyle w:val="Aucun"/>
          <w:b/>
          <w:noProof/>
        </w:rPr>
        <w:t>ΚΕΦΑΛΑΙΟ VII</w:t>
      </w:r>
    </w:p>
    <w:p>
      <w:pPr>
        <w:pStyle w:val="Titrearticle"/>
        <w:rPr>
          <w:rStyle w:val="Aucun"/>
          <w:b/>
          <w:bCs/>
          <w:noProof/>
        </w:rPr>
      </w:pPr>
      <w:r>
        <w:rPr>
          <w:rStyle w:val="Aucun"/>
          <w:b/>
          <w:caps/>
          <w:noProof/>
        </w:rPr>
        <w:t>Παρακολούθηση, υποβολή εκθέσεων, αξιολόγηση και έλεγχος</w:t>
      </w:r>
    </w:p>
    <w:p>
      <w:pPr>
        <w:pStyle w:val="Titrearticle"/>
        <w:rPr>
          <w:noProof/>
        </w:rPr>
      </w:pPr>
      <w:r>
        <w:rPr>
          <w:noProof/>
        </w:rPr>
        <w:t>Άρθρο 22</w:t>
      </w:r>
    </w:p>
    <w:p>
      <w:pPr>
        <w:pStyle w:val="Titrearticle"/>
        <w:rPr>
          <w:noProof/>
        </w:rPr>
      </w:pPr>
      <w:r>
        <w:rPr>
          <w:noProof/>
        </w:rPr>
        <w:t>Παρακολούθηση και υποβολή εκθέσεων</w:t>
      </w:r>
    </w:p>
    <w:p>
      <w:pPr>
        <w:rPr>
          <w:noProof/>
        </w:rPr>
      </w:pPr>
    </w:p>
    <w:p>
      <w:pPr>
        <w:pStyle w:val="ManualNumPar1"/>
        <w:rPr>
          <w:noProof/>
        </w:rPr>
      </w:pPr>
      <w:r>
        <w:t>1.</w:t>
      </w:r>
      <w:r>
        <w:tab/>
      </w:r>
      <w:r>
        <w:rPr>
          <w:noProof/>
        </w:rPr>
        <w:t>Στο παράρτημα ΙΙΙ παρατίθενται δείκτες για την κατάρτιση εκθέσεων σχετικά με την πρόοδο του προγράμματος InvestEU ως προς την επίτευξη των γενικών και των ειδικών στόχων που καθορίζονται στο άρθρο 3.</w:t>
      </w:r>
    </w:p>
    <w:p>
      <w:pPr>
        <w:pStyle w:val="ManualNumPar1"/>
        <w:rPr>
          <w:noProof/>
        </w:rPr>
      </w:pPr>
      <w:r>
        <w:t>2.</w:t>
      </w:r>
      <w:r>
        <w:tab/>
      </w:r>
      <w:r>
        <w:rPr>
          <w:noProof/>
        </w:rPr>
        <w:t xml:space="preserve">Για να διασφαλιστεί η αποτελεσματική αξιολόγηση της προόδου του προγράμματος InvestEU όσον αφορά την επίτευξη των στόχων του, η Επιτροπή εξουσιοδοτείται να </w:t>
      </w:r>
      <w:r>
        <w:rPr>
          <w:noProof/>
        </w:rPr>
        <w:lastRenderedPageBreak/>
        <w:t>εκδίδει κατ’ εξουσιοδότηση πράξεις σύμφωνα με το άρθρο 26 για την τροποποίηση του παραρτήματος III του παρόντος κανονισμού, προκειμένου να επανεξετάσει ή να συμπληρώσει τους δείκτες, όταν κρίνεται αναγκαίο, και να συμπληρώσει τον παρόντα κανονισμό με διατάξεις σχετικά με τη θέσπιση πλαισίου παρακολούθησης και αξιολόγησης.</w:t>
      </w:r>
    </w:p>
    <w:p>
      <w:pPr>
        <w:pStyle w:val="ManualNumPar1"/>
        <w:rPr>
          <w:noProof/>
        </w:rPr>
      </w:pPr>
      <w:r>
        <w:t>3.</w:t>
      </w:r>
      <w:r>
        <w:tab/>
      </w:r>
      <w:r>
        <w:rPr>
          <w:noProof/>
        </w:rPr>
        <w:t>Το σύστημα υποβολής εκθέσεων για τις επιδόσεις διασφαλίζει ότι τα στοιχεία για την παρακολούθηση της υλοποίησης του προγράμματος και των αποτελεσμάτων συλλέγονται κατά τρόπο αποδοτικό, αποτελεσματικό και έγκαιρο. Για τον σκοπό αυτό, επιβάλλονται αναλογικές απαιτήσεις υποβολής εκθέσεων στους εταίρους υλοποίησης και άλλους αποδέκτες των πόρων της Ένωσης, κατά περίπτωση.</w:t>
      </w:r>
    </w:p>
    <w:p>
      <w:pPr>
        <w:pStyle w:val="ManualNumPar1"/>
        <w:rPr>
          <w:noProof/>
        </w:rPr>
      </w:pPr>
      <w:r>
        <w:t>4.</w:t>
      </w:r>
      <w:r>
        <w:tab/>
      </w:r>
      <w:r>
        <w:rPr>
          <w:noProof/>
        </w:rPr>
        <w:t>Η Επιτροπή υποβάλλει εκθέσεις σχετικά με την εφαρμογή του προγράμματος InvestEU σύμφωνα με τα [άρθρα 241 και 250] του [δημοσιονομικού κανονισμού]. Για τον σκοπό αυτό, οι εταίροι υλοποίησης παρέχουν ανά έτος τα στοιχεία που είναι απαραίτητα για να είναι η Επιτροπή σε θέση να εκπληρώνει τις υποχρεώσεις υποβολής εκθέσεων.</w:t>
      </w:r>
    </w:p>
    <w:p>
      <w:pPr>
        <w:pStyle w:val="ManualNumPar1"/>
        <w:rPr>
          <w:noProof/>
        </w:rPr>
      </w:pPr>
      <w:r>
        <w:t>5.</w:t>
      </w:r>
      <w:r>
        <w:tab/>
      </w:r>
      <w:r>
        <w:rPr>
          <w:noProof/>
        </w:rPr>
        <w:t>Επιπρόσθετα, κάθε εταίρος υλοποίησης υποβάλλει ανά εξάμηνο έκθεση στην Επιτροπή σχετικά με τις χρηματοδοτικές και επενδυτικές δραστηριότητες που καλύπτονται από τον παρόντα κανονισμό, με ανάλυση για τη συνιστώσα ΕΕ και τη συνιστώσα για τα κράτη μέλη, κατά περίπτωση. Η έκθεση περιλαμβάνει αξιολόγηση της συμμόρφωσης με τις απαιτήσεις για τη χρήση της εγγύησης της ΕΕ και με τους βασικούς δείκτες επιδόσεων που αναφέρονται στο παράρτημα ΙΙΙ του παρόντος κανονισμού. Η έκθεση περιλαμβάνει επίσης επιχειρησιακά, στατιστικά, χρηματοοικονομικά και λογιστικά δεδομένα για κάθε χρηματοδοτική και επενδυτική δραστηριότητα, καθώς και σε επίπεδο συνιστώσας, σκέλους πολιτικής και ταμείου InvestEU. Μία από τις εν λόγω εκθέσεις περιέχει τα στοιχεία που παρέχουν οι εταίροι υλοποίησης σύμφωνα με το [άρθρο 155 παράγραφος 1 στοιχείο α)] του [δημοσιονομικού κανονισμού].</w:t>
      </w:r>
    </w:p>
    <w:p>
      <w:pPr>
        <w:pStyle w:val="Titrearticle"/>
        <w:rPr>
          <w:noProof/>
        </w:rPr>
      </w:pPr>
      <w:r>
        <w:rPr>
          <w:noProof/>
        </w:rPr>
        <w:t>Άρθρο 23</w:t>
      </w:r>
    </w:p>
    <w:p>
      <w:pPr>
        <w:pStyle w:val="Titrearticle"/>
        <w:rPr>
          <w:noProof/>
        </w:rPr>
      </w:pPr>
      <w:r>
        <w:rPr>
          <w:noProof/>
        </w:rPr>
        <w:t xml:space="preserve">Αξιολόγηση </w:t>
      </w:r>
    </w:p>
    <w:p>
      <w:pPr>
        <w:rPr>
          <w:noProof/>
        </w:rPr>
      </w:pPr>
    </w:p>
    <w:p>
      <w:pPr>
        <w:pStyle w:val="ManualNumPar1"/>
        <w:rPr>
          <w:noProof/>
        </w:rPr>
      </w:pPr>
      <w:r>
        <w:t>1.</w:t>
      </w:r>
      <w:r>
        <w:tab/>
      </w:r>
      <w:r>
        <w:rPr>
          <w:noProof/>
        </w:rPr>
        <w:t>Οι αξιολογήσεις διενεργούνται εγκαίρως ώστε να τροφοδοτούν με στοιχεία τη διαδικασία λήψης αποφάσεων.</w:t>
      </w:r>
    </w:p>
    <w:p>
      <w:pPr>
        <w:pStyle w:val="ManualNumPar1"/>
        <w:rPr>
          <w:noProof/>
        </w:rPr>
      </w:pPr>
      <w:r>
        <w:t>2.</w:t>
      </w:r>
      <w:r>
        <w:tab/>
      </w:r>
      <w:r>
        <w:rPr>
          <w:noProof/>
        </w:rPr>
        <w:t xml:space="preserve">Έως την 30ή Σεπτεμβρίου 2025, η Επιτροπή διενεργεί ενδιάμεση αξιολόγηση του προγράμματος InvestEU, ιδίως όσον αφορά τη χρήση της εγγύησης της ΕΕ. </w:t>
      </w:r>
    </w:p>
    <w:p>
      <w:pPr>
        <w:pStyle w:val="ManualNumPar1"/>
        <w:rPr>
          <w:noProof/>
        </w:rPr>
      </w:pPr>
      <w:r>
        <w:t>3.</w:t>
      </w:r>
      <w:r>
        <w:tab/>
      </w:r>
      <w:r>
        <w:rPr>
          <w:noProof/>
        </w:rPr>
        <w:t>Στο τέλος της υλοποίησης του προγράμματος InvestEU, αλλά το αργότερο εντός τεσσάρων ετών από τη λήξη της περιόδου που ορίζει το άρθρο 1, η Επιτροπή διενεργεί τελική αξιολόγηση του προγράμματος InvestEU, ιδίως όσον αφορά τη χρήση της εγγύησης της ΕΕ.</w:t>
      </w:r>
    </w:p>
    <w:p>
      <w:pPr>
        <w:pStyle w:val="ManualNumPar1"/>
        <w:rPr>
          <w:noProof/>
        </w:rPr>
      </w:pPr>
      <w:r>
        <w:t>4.</w:t>
      </w:r>
      <w:r>
        <w:tab/>
      </w:r>
      <w:r>
        <w:rPr>
          <w:noProof/>
        </w:rPr>
        <w:t xml:space="preserve">Η Επιτροπή ανακοινώνει τα αποτελέσματα των αξιολογήσεων, μαζί με τις παρατηρήσεις της, στο Ευρωπαϊκό Κοινοβούλιο, το Συμβούλιο, την Ευρωπαϊκή Οικονομική και Κοινωνική Επιτροπή και την Επιτροπή των Περιφερειών. </w:t>
      </w:r>
    </w:p>
    <w:p>
      <w:pPr>
        <w:pStyle w:val="ManualNumPar1"/>
        <w:rPr>
          <w:noProof/>
        </w:rPr>
      </w:pPr>
      <w:r>
        <w:t>5.</w:t>
      </w:r>
      <w:r>
        <w:tab/>
      </w:r>
      <w:r>
        <w:rPr>
          <w:noProof/>
        </w:rPr>
        <w:t>Οι εταίροι υλοποίησης εισφέρουν και παρέχουν στην Επιτροπή τα στοιχεία που είναι απαραίτητα για τη διενέργεια των αξιολογήσεων που αναφέρονται στις παραγράφους 1 και 2.</w:t>
      </w:r>
    </w:p>
    <w:p>
      <w:pPr>
        <w:pStyle w:val="ManualNumPar1"/>
        <w:rPr>
          <w:noProof/>
        </w:rPr>
      </w:pPr>
      <w:r>
        <w:lastRenderedPageBreak/>
        <w:t>6.</w:t>
      </w:r>
      <w:r>
        <w:tab/>
      </w:r>
      <w:r>
        <w:rPr>
          <w:noProof/>
        </w:rPr>
        <w:t>Σύμφωνα με το [άρθρο 211 παράγραφος 1] του [δημοσιονομικού κανονισμού], ανά τριετία η Επιτροπή συμπεριλαμβάνει στην ετήσια έκθεση που αναφέρεται στο [άρθρο 250] του [δημοσιονομικού κανονισμού] ανασκόπηση της επάρκειας του ποσοστού τροφοδότησης που ορίζεται στο άρθρο 4 παράγραφος 1 του παρόντος κανονισμού σε συνάρτηση με το πραγματικό προφίλ κινδύνου των χρηματοδοτικών και επενδυτικών δραστηριοτήτων που καλύπτονται από την εγγύηση της ΕΕ. Η Επιτροπή εξουσιοδοτείται να εκδίδει κατ’ εξουσιοδότηση πράξεις σύμφωνα με το άρθρο 26 για την αναπροσαρμογή, βάσει της εν λόγω ανασκόπησης, του ποσοστού τροφοδότησης που ορίζεται στο άρθρο 4 παράγραφος 1 του παρόντος κανονισμού έως και το ύψος του 15 %.</w:t>
      </w:r>
    </w:p>
    <w:p>
      <w:pPr>
        <w:pStyle w:val="Titrearticle"/>
        <w:rPr>
          <w:noProof/>
        </w:rPr>
      </w:pPr>
      <w:r>
        <w:rPr>
          <w:noProof/>
        </w:rPr>
        <w:t>Άρθρο 24</w:t>
      </w:r>
    </w:p>
    <w:p>
      <w:pPr>
        <w:pStyle w:val="Titrearticle"/>
        <w:rPr>
          <w:noProof/>
        </w:rPr>
      </w:pPr>
      <w:r>
        <w:rPr>
          <w:noProof/>
        </w:rPr>
        <w:t xml:space="preserve">Λογιστικοί έλεγχοι </w:t>
      </w:r>
    </w:p>
    <w:p>
      <w:pPr>
        <w:rPr>
          <w:noProof/>
        </w:rPr>
      </w:pPr>
    </w:p>
    <w:p>
      <w:pPr>
        <w:rPr>
          <w:noProof/>
        </w:rPr>
      </w:pPr>
      <w:r>
        <w:rPr>
          <w:noProof/>
        </w:rPr>
        <w:t>Οι λογιστικοί έλεγχοι σχετικά με τη χρήση της ενωσιακής χρηματοδότησης, οι οποίοι διενεργούνται από πρόσωπα ή οντότητες, είτε αυτά ενεργούν κατ’ εντολή των ενωσιακών θεσμικών οργάνων ή οργανισμών είτε όχι, αποτελούν τη βάση της συνολικής δήλωσης αξιοπιστίας δυνάμει του [άρθρου 127] του [δημοσιονομικού κανονισμού].</w:t>
      </w:r>
    </w:p>
    <w:p>
      <w:pPr>
        <w:rPr>
          <w:noProof/>
        </w:rPr>
      </w:pPr>
    </w:p>
    <w:p>
      <w:pPr>
        <w:pStyle w:val="Titrearticle"/>
        <w:rPr>
          <w:noProof/>
        </w:rPr>
      </w:pPr>
      <w:r>
        <w:rPr>
          <w:noProof/>
        </w:rPr>
        <w:t>Άρθρο 25</w:t>
      </w:r>
    </w:p>
    <w:p>
      <w:pPr>
        <w:pStyle w:val="Titrearticle"/>
        <w:rPr>
          <w:noProof/>
        </w:rPr>
      </w:pPr>
      <w:r>
        <w:rPr>
          <w:noProof/>
        </w:rPr>
        <w:t>Προστασία των οικονομικών συμφερόντων της Ένωσης</w:t>
      </w:r>
    </w:p>
    <w:p>
      <w:pPr>
        <w:rPr>
          <w:noProof/>
        </w:rPr>
      </w:pPr>
    </w:p>
    <w:p>
      <w:pPr>
        <w:rPr>
          <w:noProof/>
        </w:rPr>
      </w:pPr>
      <w:r>
        <w:rPr>
          <w:noProof/>
        </w:rPr>
        <w:t>Όταν συμμετέχει τρίτη χώρα στο πρόγραμμα InvestEU βάσει απόφασης που λαμβάνεται δυνάμει διεθνούς συμφωνίας ή βάσει οποιασδήποτε άλλης νομικής πράξης, η εν λόγω τρίτη χώρα χορηγεί τα αναγκαία δικαιώματα και την πρόσβαση που απαιτούνται για την πλήρη άσκηση των αντίστοιχων αρμοδιοτήτων του αρμόδιου διατάκτη, της Ευρωπαϊκής Υπηρεσίας Καταπολέμησης της Απάτης (OLAF) και του Ευρωπαϊκού Ελεγκτικού Συνεδρίου. Στην περίπτωση της OLAF, στα δικαιώματα αυτά περιλαμβάνεται το δικαίωμα διενέργειας ερευνών, συμπεριλαμβανομένων επιτόπιων ελέγχων και επιθεωρήσεων, που προβλέπονται στον κανονισμό (ΕΕ, Ευρατόμ) αριθ. 883/2013 του Ευρωπαϊκού Κοινοβουλίου και του Συμβουλίου σχετικά με τις έρευνες που πραγματοποιούνται από την Ευρωπαϊκή Υπηρεσία Καταπολέμησης της Απάτης (OLAF).</w:t>
      </w:r>
    </w:p>
    <w:p>
      <w:pPr>
        <w:pStyle w:val="Titrearticle"/>
        <w:rPr>
          <w:noProof/>
        </w:rPr>
      </w:pPr>
      <w:r>
        <w:rPr>
          <w:noProof/>
        </w:rPr>
        <w:t>Άρθρο 26</w:t>
      </w:r>
    </w:p>
    <w:p>
      <w:pPr>
        <w:pStyle w:val="Titrearticle"/>
        <w:rPr>
          <w:noProof/>
        </w:rPr>
      </w:pPr>
      <w:r>
        <w:rPr>
          <w:noProof/>
        </w:rPr>
        <w:t>Άσκηση της εξουσιοδότησης</w:t>
      </w:r>
    </w:p>
    <w:p>
      <w:pPr>
        <w:rPr>
          <w:noProof/>
        </w:rPr>
      </w:pPr>
    </w:p>
    <w:p>
      <w:pPr>
        <w:pStyle w:val="ManualNumPar1"/>
        <w:rPr>
          <w:noProof/>
        </w:rPr>
      </w:pPr>
      <w:r>
        <w:t>1.</w:t>
      </w:r>
      <w:r>
        <w:tab/>
      </w:r>
      <w:r>
        <w:rPr>
          <w:noProof/>
        </w:rPr>
        <w:t>Ανατίθεται στην Επιτροπή η εξουσία να εκδίδει κατ’ εξουσιοδότηση πράξεις υπό τους όρους του παρόντος άρθρου.</w:t>
      </w:r>
    </w:p>
    <w:p>
      <w:pPr>
        <w:pStyle w:val="ManualNumPar1"/>
        <w:rPr>
          <w:noProof/>
        </w:rPr>
      </w:pPr>
      <w:r>
        <w:t>2.</w:t>
      </w:r>
      <w:r>
        <w:tab/>
      </w:r>
      <w:r>
        <w:rPr>
          <w:noProof/>
        </w:rPr>
        <w:t xml:space="preserve">Η εξουσία έκδοσης κατ’ εξουσιοδότηση πράξεων που προβλέπεται στα άρθρα 7 παράγραφος 6, 22 παράγραφος 2 και 23 παράγραφος 6 ανατίθεται στην Επιτροπή για περίοδο πέντε ετών [από την έναρξη ισχύος του παρόντος κανονισμού]. Η Επιτροπή </w:t>
      </w:r>
      <w:r>
        <w:rPr>
          <w:noProof/>
        </w:rPr>
        <w:lastRenderedPageBreak/>
        <w:t>υποβάλλει έκθεση σχετικά με τις εξουσίες που της έχουν ανατεθεί το αργότερο εννέα μήνες πριν από τη λήξη της εν λόγω περιόδου των πέντε ετών. Η εξουσιοδότηση ανανεώνεται αυτομάτως για περιόδους ίδιας διάρκειας, εκτός αν το Ευρωπαϊκό Κοινοβούλιο ή το Συμβούλιο προβάλουν σχετικές αντιρρήσεις το αργότερο εντός τριών μηνών πριν από τη λήξη της κάθε περιόδου.</w:t>
      </w:r>
    </w:p>
    <w:p>
      <w:pPr>
        <w:pStyle w:val="ManualNumPar1"/>
        <w:rPr>
          <w:noProof/>
        </w:rPr>
      </w:pPr>
      <w:r>
        <w:t>3.</w:t>
      </w:r>
      <w:r>
        <w:tab/>
      </w:r>
      <w:r>
        <w:rPr>
          <w:noProof/>
        </w:rPr>
        <w:t>Η προβλεπόμενη στο άρθρο 7 παράγραφος 6, στο άρθρο 22 παράγραφος 2 και στο άρθρο 23 παράγραφος 6 εξουσιοδότηση δύναται να ανακληθεί ανά πάσα στιγμή από το Ευρωπαϊκό Κοινοβούλιο ή το Συμβούλιο. Η απόφαση ανάκλησης περατώνει την εξουσιοδότηση που προσδιορίζεται στην εν λόγω απόφαση. Τίθεται σε ισχύ την επόμενη ημέρα από τη δημοσίευση της απόφασης στην Επίσημη Εφημερίδα της Ευρωπαϊκής Ένωσης ή σε μεταγενέστερη ημερομηνία που ορίζεται σε αυτήν. Δεν θίγει το κύρος των κατ’ εξουσιοδότηση πράξεων που ισχύουν ήδη.</w:t>
      </w:r>
    </w:p>
    <w:p>
      <w:pPr>
        <w:pStyle w:val="ManualNumPar1"/>
        <w:rPr>
          <w:noProof/>
        </w:rPr>
      </w:pPr>
      <w:r>
        <w:t>4.</w:t>
      </w:r>
      <w:r>
        <w:tab/>
      </w:r>
      <w:r>
        <w:rPr>
          <w:noProof/>
        </w:rPr>
        <w:t>Πριν από την έκδοση κατ’ εξουσιοδότηση πράξης, η Επιτροπή διαβουλεύεται με εμπειρογνώμονες οι οποίοι ορίζονται από κάθε κράτος μέλος σύμφωνα με τις αρχές που καθορίζονται στη διοργανική συμφωνία για τη βελτίωση του νομοθετικού έργου της 13ης Απριλίου 2016.</w:t>
      </w:r>
    </w:p>
    <w:p>
      <w:pPr>
        <w:pStyle w:val="ManualNumPar1"/>
        <w:rPr>
          <w:noProof/>
        </w:rPr>
      </w:pPr>
      <w:r>
        <w:t>5.</w:t>
      </w:r>
      <w:r>
        <w:tab/>
      </w:r>
      <w:r>
        <w:rPr>
          <w:noProof/>
        </w:rPr>
        <w:t>Η Επιτροπή, μόλις εκδώσει κατ’ εξουσιοδότηση πράξη, την κοινοποιεί ταυτοχρόνως στο Ευρωπαϊκό Κοινοβούλιο και στο Συμβούλιο.</w:t>
      </w:r>
    </w:p>
    <w:p>
      <w:pPr>
        <w:pStyle w:val="ManualNumPar1"/>
        <w:rPr>
          <w:noProof/>
        </w:rPr>
      </w:pPr>
      <w:r>
        <w:t>6.</w:t>
      </w:r>
      <w:r>
        <w:tab/>
      </w:r>
      <w:r>
        <w:rPr>
          <w:noProof/>
        </w:rPr>
        <w:t>Η κατ’ εξουσιοδότηση πράξη που εκδίδεται σύμφωνα με τα άρθρα 7 παράγραφος 6, 22 παράγραφος 2 και 23 παράγραφος 6 τίθεται σε ισχύ μόνο εφόσον δεν διατυπωθεί αντίρρηση από το Ευρωπαϊκό Κοινοβούλιο ή το Συμβούλιο εντός προθεσμίας δύο μηνών από την κοινοποίηση της εν λόγω πράξης στο Ευρωπαϊκό Κοινοβούλιο και το Συμβούλιο ή εάν, πριν από τη λήξη της περιόδου αυτής, το Ευρωπαϊκό Κοινοβούλιο και το Συμβούλιο ενημερώσουν αμφότερα την Επιτροπή ότι δεν πρόκειται να προβάλλουν αντιρρήσεις. Η προθεσμία αυτή παρατείνεται κατά δύο μήνες με πρωτοβουλία του Ευρωπαϊκού Κοινοβουλίου ή του Συμβουλίου.</w:t>
      </w:r>
    </w:p>
    <w:p>
      <w:pPr>
        <w:rPr>
          <w:noProof/>
        </w:rPr>
      </w:pPr>
    </w:p>
    <w:p>
      <w:pPr>
        <w:pStyle w:val="Titrearticle"/>
        <w:rPr>
          <w:rStyle w:val="Aucun"/>
          <w:b/>
          <w:bCs/>
          <w:noProof/>
        </w:rPr>
      </w:pPr>
      <w:r>
        <w:rPr>
          <w:rStyle w:val="Aucun"/>
          <w:b/>
          <w:noProof/>
        </w:rPr>
        <w:t>ΚΕΦΑΛΑΙΟ VIII</w:t>
      </w:r>
    </w:p>
    <w:p>
      <w:pPr>
        <w:pStyle w:val="Titrearticle"/>
        <w:rPr>
          <w:rStyle w:val="Aucun"/>
          <w:b/>
          <w:bCs/>
          <w:caps/>
          <w:noProof/>
        </w:rPr>
      </w:pPr>
      <w:r>
        <w:rPr>
          <w:rStyle w:val="Aucun"/>
          <w:b/>
          <w:caps/>
          <w:noProof/>
        </w:rPr>
        <w:t>Διαφάνεια και προβολή</w:t>
      </w:r>
    </w:p>
    <w:p>
      <w:pPr>
        <w:pStyle w:val="Titrearticle"/>
        <w:rPr>
          <w:noProof/>
        </w:rPr>
      </w:pPr>
      <w:r>
        <w:rPr>
          <w:noProof/>
        </w:rPr>
        <w:t>Άρθρο 27</w:t>
      </w:r>
    </w:p>
    <w:p>
      <w:pPr>
        <w:pStyle w:val="Titrearticle"/>
        <w:rPr>
          <w:noProof/>
        </w:rPr>
      </w:pPr>
      <w:r>
        <w:rPr>
          <w:noProof/>
        </w:rPr>
        <w:t>Πληροφόρηση, επικοινωνία και δημοσιότητα</w:t>
      </w:r>
    </w:p>
    <w:p>
      <w:pPr>
        <w:rPr>
          <w:noProof/>
        </w:rPr>
      </w:pPr>
    </w:p>
    <w:p>
      <w:pPr>
        <w:pStyle w:val="ManualNumPar1"/>
        <w:rPr>
          <w:noProof/>
        </w:rPr>
      </w:pPr>
      <w:r>
        <w:t>1.</w:t>
      </w:r>
      <w:r>
        <w:tab/>
      </w:r>
      <w:r>
        <w:rPr>
          <w:noProof/>
        </w:rPr>
        <w:t>Οι εταίροι υλοποίησης μνημονεύουν ρητώς την προέλευση της ενωσιακής χρηματοδότησης και διασφαλίζουν την προβολή της (ιδίως κατά την προώθηση των δράσεων και των αποτελεσμάτων τους), παρέχοντας συνεκτική, αποτελεσματική και στοχευμένη πληροφόρηση σε πολλαπλά ακροατήρια, συμπεριλαμβανομένων των μέσων ενημέρωσης και του κοινού.</w:t>
      </w:r>
    </w:p>
    <w:p>
      <w:pPr>
        <w:pStyle w:val="ManualNumPar1"/>
        <w:rPr>
          <w:noProof/>
        </w:rPr>
      </w:pPr>
      <w:r>
        <w:t>2.</w:t>
      </w:r>
      <w:r>
        <w:tab/>
      </w:r>
      <w:r>
        <w:rPr>
          <w:noProof/>
        </w:rPr>
        <w:t>Η Επιτροπή προβαίνει σε ενέργειες πληροφόρησης και επικοινωνίας για το πρόγραμμα InvestEU, τις δράσεις και τα αποτελέσματά του. Οι χρηματοδοτικοί πόροι που διατίθενται στο πρόγραμμα InvestEU συμβάλλουν επίσης στην εταιρική προβολή των πολιτικών προτεραιοτήτων της Ένωσης, στον βαθμό που αυτές είναι συναφείς με τους στόχους που αναφέρονται στο άρθρο 3.</w:t>
      </w:r>
    </w:p>
    <w:p>
      <w:pPr>
        <w:rPr>
          <w:noProof/>
        </w:rPr>
      </w:pPr>
    </w:p>
    <w:p>
      <w:pPr>
        <w:pStyle w:val="Titrearticle"/>
        <w:rPr>
          <w:rStyle w:val="Aucun"/>
          <w:b/>
          <w:bCs/>
          <w:noProof/>
        </w:rPr>
      </w:pPr>
      <w:r>
        <w:rPr>
          <w:rStyle w:val="Aucun"/>
          <w:b/>
          <w:noProof/>
        </w:rPr>
        <w:t>ΚΕΦΑΛΑΙΟ ΙΧ</w:t>
      </w:r>
    </w:p>
    <w:p>
      <w:pPr>
        <w:pStyle w:val="Titrearticle"/>
        <w:rPr>
          <w:rStyle w:val="Aucun"/>
          <w:b/>
          <w:bCs/>
          <w:noProof/>
        </w:rPr>
      </w:pPr>
      <w:r>
        <w:rPr>
          <w:rStyle w:val="Aucun"/>
          <w:b/>
          <w:noProof/>
        </w:rPr>
        <w:t>ΜΕΤΑΒΑΤΙΚΕΣ ΚΑΙ  ΤΕΛΙΚΕΣ ΔΙΑΤΑΞΕΙΣ</w:t>
      </w:r>
    </w:p>
    <w:p>
      <w:pPr>
        <w:pStyle w:val="Titrearticle"/>
        <w:rPr>
          <w:noProof/>
        </w:rPr>
      </w:pPr>
      <w:r>
        <w:rPr>
          <w:noProof/>
        </w:rPr>
        <w:t>Άρθρο 28</w:t>
      </w:r>
    </w:p>
    <w:p>
      <w:pPr>
        <w:pStyle w:val="Titrearticle"/>
        <w:rPr>
          <w:noProof/>
        </w:rPr>
      </w:pPr>
      <w:r>
        <w:rPr>
          <w:noProof/>
        </w:rPr>
        <w:t>Μεταβατικές διατάξεις</w:t>
      </w:r>
    </w:p>
    <w:p>
      <w:pPr>
        <w:rPr>
          <w:noProof/>
        </w:rPr>
      </w:pPr>
    </w:p>
    <w:p>
      <w:pPr>
        <w:pStyle w:val="ManualNumPar1"/>
        <w:rPr>
          <w:noProof/>
        </w:rPr>
      </w:pPr>
      <w:r>
        <w:t>1.</w:t>
      </w:r>
      <w:r>
        <w:tab/>
      </w:r>
      <w:r>
        <w:rPr>
          <w:noProof/>
        </w:rPr>
        <w:t xml:space="preserve">Τα έσοδα, οι αποπληρωμές και οι ανακτήσεις από χρηματοδοτικά μέσα που θεσπίστηκαν στο πλαίσιο των προγραμμάτων τα οποία αναφέρονται στο παράρτημα IV του παρόντος κανονισμού δύνανται να χρησιμοποιηθούν για την τροφοδότηση της εγγύησης της ΕΕ δυνάμει του παρόντος κανονισμού. </w:t>
      </w:r>
    </w:p>
    <w:p>
      <w:pPr>
        <w:pStyle w:val="ManualNumPar1"/>
        <w:rPr>
          <w:noProof/>
        </w:rPr>
      </w:pPr>
      <w:r>
        <w:t>2.</w:t>
      </w:r>
      <w:r>
        <w:tab/>
      </w:r>
      <w:r>
        <w:rPr>
          <w:noProof/>
        </w:rPr>
        <w:t>Τα έσοδα, οι αποπληρωμές και οι ανακτήσεις από την εγγύηση της ΕΕ που συστάθηκε βάσει του κανονισμού (ΕΕ) 2015/1017 δύνανται να χρησιμοποιηθούν για την τροφοδότηση της εγγύησης της ΕΕ δυνάμει του παρόντος κανονισμού, εκτός εάν χρησιμοποιούνται για τους σκοπούς που αναφέρονται στα άρθρα 4, 9 και 12 του κανονισμού (ΕΕ) 2015/ 1017.</w:t>
      </w:r>
    </w:p>
    <w:p>
      <w:pPr>
        <w:rPr>
          <w:noProof/>
        </w:rPr>
      </w:pPr>
    </w:p>
    <w:p>
      <w:pPr>
        <w:pStyle w:val="Titrearticle"/>
        <w:rPr>
          <w:noProof/>
        </w:rPr>
      </w:pPr>
      <w:r>
        <w:rPr>
          <w:noProof/>
        </w:rPr>
        <w:t>Άρθρο 29</w:t>
      </w:r>
    </w:p>
    <w:p>
      <w:pPr>
        <w:pStyle w:val="Titrearticle"/>
        <w:rPr>
          <w:noProof/>
        </w:rPr>
      </w:pPr>
      <w:r>
        <w:rPr>
          <w:noProof/>
        </w:rPr>
        <w:t>Έναρξη ισχύος</w:t>
      </w:r>
    </w:p>
    <w:p>
      <w:pPr>
        <w:rPr>
          <w:noProof/>
        </w:rPr>
      </w:pPr>
    </w:p>
    <w:p>
      <w:pPr>
        <w:rPr>
          <w:noProof/>
        </w:rPr>
      </w:pPr>
      <w:r>
        <w:rPr>
          <w:noProof/>
        </w:rPr>
        <w:t xml:space="preserve">Ο παρών κανονισμός τίθεται σε ισχύ την εικοστή ημέρα από τη δημοσίευσή του στην Επίσημη Εφημερίδα της Ευρωπαϊκής Ένωσης. </w:t>
      </w:r>
    </w:p>
    <w:p>
      <w:pPr>
        <w:rPr>
          <w:noProof/>
        </w:rPr>
      </w:pPr>
      <w:r>
        <w:rPr>
          <w:noProof/>
        </w:rPr>
        <w:t>Εφαρμόζεται από την 1η Ιανουαρίου 2021.</w:t>
      </w:r>
    </w:p>
    <w:p>
      <w:pPr>
        <w:pStyle w:val="Applicationdirecte"/>
        <w:rPr>
          <w:noProof/>
        </w:rPr>
      </w:pPr>
      <w:r>
        <w:rPr>
          <w:noProof/>
        </w:rPr>
        <w:t>Ο παρών κανονισμός είναι δεσμευτικός ως προς όλα τα μέρη του και ισχύει άμεσα σε κάθε κράτος μέλος.</w:t>
      </w:r>
    </w:p>
    <w:p>
      <w:pPr>
        <w:pStyle w:val="Fait"/>
        <w:rPr>
          <w:noProof/>
        </w:rPr>
      </w:pPr>
      <w:r>
        <w:t>Βρυξέλλες,</w:t>
      </w:r>
    </w:p>
    <w:p>
      <w:pPr>
        <w:pStyle w:val="Institutionquisigne"/>
        <w:rPr>
          <w:noProof/>
        </w:rPr>
      </w:pPr>
      <w:r>
        <w:rPr>
          <w:noProof/>
        </w:rPr>
        <w:t>Για το Ευρωπαϊκό Κοινοβούλιο</w:t>
      </w:r>
      <w:r>
        <w:rPr>
          <w:noProof/>
        </w:rPr>
        <w:tab/>
        <w:t>Για το Συμβούλιο</w:t>
      </w:r>
    </w:p>
    <w:p>
      <w:pPr>
        <w:pStyle w:val="Personnequisigne"/>
        <w:rPr>
          <w:noProof/>
        </w:rPr>
      </w:pPr>
      <w:r>
        <w:rPr>
          <w:noProof/>
        </w:rPr>
        <w:t>Ο Πρόεδρος</w:t>
      </w:r>
      <w:r>
        <w:rPr>
          <w:noProof/>
        </w:rPr>
        <w:tab/>
        <w:t>Ο Πρόεδρος</w:t>
      </w:r>
    </w:p>
    <w:p>
      <w:pPr>
        <w:rPr>
          <w:noProof/>
        </w:rPr>
        <w:sectPr>
          <w:pgSz w:w="11907" w:h="16839"/>
          <w:pgMar w:top="1134" w:right="1417" w:bottom="1134" w:left="1417" w:header="709" w:footer="709" w:gutter="0"/>
          <w:cols w:space="708"/>
          <w:docGrid w:linePitch="360"/>
        </w:sectPr>
      </w:pPr>
    </w:p>
    <w:p>
      <w:pPr>
        <w:pStyle w:val="Fichefinanciretitre"/>
        <w:rPr>
          <w:noProof/>
        </w:rPr>
      </w:pPr>
      <w:r>
        <w:rPr>
          <w:noProof/>
        </w:rPr>
        <w:lastRenderedPageBreak/>
        <w:t>ΝΟΜΟΘΕΤΙΚΟ ΔΗΜΟΣΙΟΝΟΜΙΚΟ ΔΕΛΤΙΟ</w:t>
      </w:r>
    </w:p>
    <w:p>
      <w:pPr>
        <w:pStyle w:val="ManualHeading1"/>
        <w:rPr>
          <w:noProof/>
        </w:rPr>
      </w:pPr>
      <w:r>
        <w:rPr>
          <w:noProof/>
        </w:rPr>
        <w:t>1.</w:t>
      </w:r>
      <w:r>
        <w:rPr>
          <w:noProof/>
        </w:rPr>
        <w:tab/>
        <w:t xml:space="preserve">ΠΛΑΙΣΙΟ ΤΗΣ ΠΡΟΤΑΣΗΣ/ΠΡΩΤΟΒΟΥΛΙΑΣ </w:t>
      </w:r>
    </w:p>
    <w:p>
      <w:pPr>
        <w:pStyle w:val="ManualHeading2"/>
        <w:rPr>
          <w:b w:val="0"/>
          <w:noProof/>
        </w:rPr>
      </w:pPr>
      <w:r>
        <w:rPr>
          <w:noProof/>
        </w:rPr>
        <w:tab/>
      </w:r>
      <w:r>
        <w:rPr>
          <w:b w:val="0"/>
          <w:noProof/>
        </w:rPr>
        <w:t>1.1.</w:t>
      </w:r>
      <w:r>
        <w:rPr>
          <w:noProof/>
        </w:rPr>
        <w:tab/>
      </w:r>
      <w:r>
        <w:rPr>
          <w:b w:val="0"/>
          <w:noProof/>
        </w:rPr>
        <w:t xml:space="preserve">Τίτλος της πρότασης/πρωτοβουλίας </w:t>
      </w:r>
    </w:p>
    <w:p>
      <w:pPr>
        <w:pStyle w:val="ManualHeading2"/>
        <w:rPr>
          <w:b w:val="0"/>
          <w:noProof/>
        </w:rPr>
      </w:pPr>
      <w:r>
        <w:rPr>
          <w:noProof/>
        </w:rPr>
        <w:tab/>
      </w:r>
      <w:r>
        <w:rPr>
          <w:b w:val="0"/>
          <w:noProof/>
        </w:rPr>
        <w:t>1.2.</w:t>
      </w:r>
      <w:r>
        <w:rPr>
          <w:noProof/>
        </w:rPr>
        <w:tab/>
      </w:r>
      <w:r>
        <w:rPr>
          <w:b w:val="0"/>
          <w:noProof/>
        </w:rPr>
        <w:t>Σχετικός/-οί τομέας/-είς πολιτικής στη δομή ΔΒΔ/ΠΒΔ</w:t>
      </w:r>
    </w:p>
    <w:p>
      <w:pPr>
        <w:pStyle w:val="ManualHeading2"/>
        <w:rPr>
          <w:b w:val="0"/>
          <w:noProof/>
        </w:rPr>
      </w:pPr>
      <w:r>
        <w:rPr>
          <w:noProof/>
        </w:rPr>
        <w:tab/>
      </w:r>
      <w:r>
        <w:rPr>
          <w:b w:val="0"/>
          <w:noProof/>
        </w:rPr>
        <w:t>1.3.</w:t>
      </w:r>
      <w:r>
        <w:rPr>
          <w:noProof/>
        </w:rPr>
        <w:tab/>
      </w:r>
      <w:r>
        <w:rPr>
          <w:b w:val="0"/>
          <w:noProof/>
        </w:rPr>
        <w:t xml:space="preserve">Χαρακτήρας της πρότασης/πρωτοβουλίας </w:t>
      </w:r>
    </w:p>
    <w:p>
      <w:pPr>
        <w:pStyle w:val="ManualHeading2"/>
        <w:rPr>
          <w:b w:val="0"/>
          <w:noProof/>
        </w:rPr>
      </w:pPr>
      <w:r>
        <w:rPr>
          <w:noProof/>
        </w:rPr>
        <w:tab/>
      </w:r>
      <w:r>
        <w:rPr>
          <w:b w:val="0"/>
          <w:noProof/>
        </w:rPr>
        <w:t>1.4.</w:t>
      </w:r>
      <w:r>
        <w:rPr>
          <w:noProof/>
        </w:rPr>
        <w:tab/>
      </w:r>
      <w:r>
        <w:rPr>
          <w:b w:val="0"/>
          <w:noProof/>
        </w:rPr>
        <w:t xml:space="preserve">Στόχος/-οι </w:t>
      </w:r>
    </w:p>
    <w:p>
      <w:pPr>
        <w:pStyle w:val="ManualHeading2"/>
        <w:rPr>
          <w:b w:val="0"/>
          <w:noProof/>
        </w:rPr>
      </w:pPr>
      <w:r>
        <w:rPr>
          <w:noProof/>
        </w:rPr>
        <w:tab/>
      </w:r>
      <w:r>
        <w:rPr>
          <w:b w:val="0"/>
          <w:noProof/>
        </w:rPr>
        <w:t>1.5.</w:t>
      </w:r>
      <w:r>
        <w:rPr>
          <w:noProof/>
        </w:rPr>
        <w:tab/>
      </w:r>
      <w:r>
        <w:rPr>
          <w:b w:val="0"/>
          <w:noProof/>
        </w:rPr>
        <w:t xml:space="preserve">Αιτιολόγηση της πρότασης/πρωτοβουλίας </w:t>
      </w:r>
    </w:p>
    <w:p>
      <w:pPr>
        <w:pStyle w:val="ManualHeading2"/>
        <w:rPr>
          <w:b w:val="0"/>
          <w:noProof/>
        </w:rPr>
      </w:pPr>
      <w:r>
        <w:rPr>
          <w:noProof/>
        </w:rPr>
        <w:tab/>
      </w:r>
      <w:r>
        <w:rPr>
          <w:b w:val="0"/>
          <w:noProof/>
        </w:rPr>
        <w:t>1.6.</w:t>
      </w:r>
      <w:r>
        <w:rPr>
          <w:noProof/>
        </w:rPr>
        <w:tab/>
      </w:r>
      <w:r>
        <w:rPr>
          <w:b w:val="0"/>
          <w:noProof/>
        </w:rPr>
        <w:t xml:space="preserve">Διάρκεια και δημοσιονομικές επιπτώσεις </w:t>
      </w:r>
    </w:p>
    <w:p>
      <w:pPr>
        <w:pStyle w:val="ManualHeading2"/>
        <w:rPr>
          <w:b w:val="0"/>
          <w:noProof/>
        </w:rPr>
      </w:pPr>
      <w:r>
        <w:rPr>
          <w:noProof/>
        </w:rPr>
        <w:tab/>
      </w:r>
      <w:r>
        <w:rPr>
          <w:b w:val="0"/>
          <w:noProof/>
        </w:rPr>
        <w:t>1.7.</w:t>
      </w:r>
      <w:r>
        <w:rPr>
          <w:noProof/>
        </w:rPr>
        <w:tab/>
      </w:r>
      <w:r>
        <w:rPr>
          <w:b w:val="0"/>
          <w:noProof/>
        </w:rPr>
        <w:t xml:space="preserve">Προβλεπόμενος(-οι) τρόπος(-οι) διαχείρισης </w:t>
      </w:r>
    </w:p>
    <w:p>
      <w:pPr>
        <w:pStyle w:val="ManualHeading1"/>
        <w:rPr>
          <w:noProof/>
        </w:rPr>
      </w:pPr>
      <w:r>
        <w:rPr>
          <w:noProof/>
        </w:rPr>
        <w:t>2.</w:t>
      </w:r>
      <w:r>
        <w:rPr>
          <w:noProof/>
        </w:rPr>
        <w:tab/>
        <w:t xml:space="preserve">ΜΕΤΡΑ ΔΙΑΧΕΙΡΙΣΗΣ </w:t>
      </w:r>
    </w:p>
    <w:p>
      <w:pPr>
        <w:pStyle w:val="ManualHeading2"/>
        <w:rPr>
          <w:b w:val="0"/>
          <w:noProof/>
        </w:rPr>
      </w:pPr>
      <w:r>
        <w:rPr>
          <w:noProof/>
        </w:rPr>
        <w:tab/>
      </w:r>
      <w:r>
        <w:rPr>
          <w:b w:val="0"/>
          <w:noProof/>
        </w:rPr>
        <w:t>2.1.</w:t>
      </w:r>
      <w:r>
        <w:rPr>
          <w:noProof/>
        </w:rPr>
        <w:tab/>
      </w:r>
      <w:r>
        <w:rPr>
          <w:b w:val="0"/>
          <w:noProof/>
        </w:rPr>
        <w:t xml:space="preserve">Κανόνες παρακολούθησης και υποβολής εκθέσεων </w:t>
      </w:r>
    </w:p>
    <w:p>
      <w:pPr>
        <w:pStyle w:val="ManualHeading2"/>
        <w:rPr>
          <w:b w:val="0"/>
          <w:noProof/>
        </w:rPr>
      </w:pPr>
      <w:r>
        <w:rPr>
          <w:noProof/>
        </w:rPr>
        <w:tab/>
      </w:r>
      <w:r>
        <w:rPr>
          <w:b w:val="0"/>
          <w:noProof/>
        </w:rPr>
        <w:t>2.2.</w:t>
      </w:r>
      <w:r>
        <w:rPr>
          <w:noProof/>
        </w:rPr>
        <w:tab/>
      </w:r>
      <w:r>
        <w:rPr>
          <w:b w:val="0"/>
          <w:noProof/>
        </w:rPr>
        <w:t xml:space="preserve">Σύστημα διαχείρισης και ελέγχου </w:t>
      </w:r>
    </w:p>
    <w:p>
      <w:pPr>
        <w:pStyle w:val="ManualHeading2"/>
        <w:rPr>
          <w:b w:val="0"/>
          <w:noProof/>
        </w:rPr>
      </w:pPr>
      <w:r>
        <w:rPr>
          <w:noProof/>
        </w:rPr>
        <w:tab/>
      </w:r>
      <w:r>
        <w:rPr>
          <w:b w:val="0"/>
          <w:noProof/>
        </w:rPr>
        <w:t>2.3.</w:t>
      </w:r>
      <w:r>
        <w:rPr>
          <w:noProof/>
        </w:rPr>
        <w:tab/>
      </w:r>
      <w:r>
        <w:rPr>
          <w:b w:val="0"/>
          <w:noProof/>
        </w:rPr>
        <w:t xml:space="preserve">Μέτρα για την πρόληψη περιπτώσεων απάτης και παρατυπίας </w:t>
      </w:r>
    </w:p>
    <w:p>
      <w:pPr>
        <w:pStyle w:val="ManualHeading1"/>
        <w:rPr>
          <w:noProof/>
        </w:rPr>
      </w:pPr>
      <w:r>
        <w:rPr>
          <w:noProof/>
        </w:rPr>
        <w:t>3.</w:t>
      </w:r>
      <w:r>
        <w:rPr>
          <w:noProof/>
        </w:rPr>
        <w:tab/>
        <w:t xml:space="preserve">ΕΚΤΙΜΩΜΕΝΕΣ ΔΗΜΟΣΙΟΝΟΜΙΚΕΣ ΕΠΙΠΤΩΣΕΙΣ ΤΗΣ ΠΡΟΤΑΣΗΣ/ΠΡΩΤΟΒΟΥΛΙΑΣ </w:t>
      </w:r>
    </w:p>
    <w:p>
      <w:pPr>
        <w:pStyle w:val="ManualHeading2"/>
        <w:rPr>
          <w:b w:val="0"/>
          <w:noProof/>
        </w:rPr>
      </w:pPr>
      <w:r>
        <w:rPr>
          <w:noProof/>
        </w:rPr>
        <w:tab/>
      </w:r>
      <w:r>
        <w:rPr>
          <w:b w:val="0"/>
          <w:noProof/>
        </w:rPr>
        <w:t>3.1.</w:t>
      </w:r>
      <w:r>
        <w:rPr>
          <w:noProof/>
        </w:rPr>
        <w:tab/>
      </w:r>
      <w:r>
        <w:rPr>
          <w:b w:val="0"/>
          <w:noProof/>
        </w:rPr>
        <w:t xml:space="preserve">Τομείς του πολυετούς δημοσιονομικού πλαισίου και γραμμές δαπανών του προϋπολογισμού που επηρεάζονται </w:t>
      </w:r>
    </w:p>
    <w:p>
      <w:pPr>
        <w:pStyle w:val="ManualHeading2"/>
        <w:rPr>
          <w:noProof/>
        </w:rPr>
      </w:pPr>
      <w:r>
        <w:rPr>
          <w:noProof/>
        </w:rPr>
        <w:tab/>
      </w:r>
      <w:r>
        <w:rPr>
          <w:b w:val="0"/>
          <w:noProof/>
        </w:rPr>
        <w:t>3.2.</w:t>
      </w:r>
      <w:r>
        <w:rPr>
          <w:noProof/>
        </w:rPr>
        <w:tab/>
      </w:r>
      <w:r>
        <w:rPr>
          <w:b w:val="0"/>
          <w:noProof/>
        </w:rPr>
        <w:t>Εκτιμώμενες επιπτώσεις στις δαπάνες</w:t>
      </w:r>
      <w:r>
        <w:rPr>
          <w:noProof/>
        </w:rPr>
        <w:t xml:space="preserve"> </w:t>
      </w:r>
    </w:p>
    <w:p>
      <w:pPr>
        <w:pStyle w:val="ManualHeading3"/>
        <w:rPr>
          <w:noProof/>
        </w:rPr>
      </w:pPr>
      <w:r>
        <w:rPr>
          <w:noProof/>
        </w:rPr>
        <w:tab/>
        <w:t>3.2.1.</w:t>
      </w:r>
      <w:r>
        <w:rPr>
          <w:noProof/>
        </w:rPr>
        <w:tab/>
        <w:t xml:space="preserve">Συνοπτική παρουσίαση των εκτιμώμενων επιπτώσεων στις δαπάνες </w:t>
      </w:r>
    </w:p>
    <w:p>
      <w:pPr>
        <w:pStyle w:val="ManualHeading3"/>
        <w:rPr>
          <w:noProof/>
        </w:rPr>
      </w:pPr>
      <w:r>
        <w:rPr>
          <w:noProof/>
        </w:rPr>
        <w:tab/>
        <w:t>3.2.2.</w:t>
      </w:r>
      <w:r>
        <w:rPr>
          <w:noProof/>
        </w:rPr>
        <w:tab/>
        <w:t xml:space="preserve">Εκτιμώμενες επιπτώσεις στις επιχειρησιακές πιστώσεις </w:t>
      </w:r>
    </w:p>
    <w:p>
      <w:pPr>
        <w:pStyle w:val="ManualHeading3"/>
        <w:rPr>
          <w:noProof/>
        </w:rPr>
      </w:pPr>
      <w:r>
        <w:rPr>
          <w:noProof/>
        </w:rPr>
        <w:tab/>
        <w:t>3.2.3.</w:t>
      </w:r>
      <w:r>
        <w:rPr>
          <w:noProof/>
        </w:rPr>
        <w:tab/>
        <w:t>Εκτιμώμενες επιπτώσεις στις πιστώσεις διοικητικού χαρακτήρα</w:t>
      </w:r>
    </w:p>
    <w:p>
      <w:pPr>
        <w:pStyle w:val="ManualHeading3"/>
        <w:rPr>
          <w:noProof/>
        </w:rPr>
      </w:pPr>
      <w:r>
        <w:rPr>
          <w:noProof/>
        </w:rPr>
        <w:tab/>
        <w:t>3.2.4.</w:t>
      </w:r>
      <w:r>
        <w:rPr>
          <w:noProof/>
        </w:rPr>
        <w:tab/>
        <w:t>Συμβατότητα με το ισχύον πολυετές δημοσιονομικό πλαίσιο</w:t>
      </w:r>
    </w:p>
    <w:p>
      <w:pPr>
        <w:pStyle w:val="ManualHeading3"/>
        <w:rPr>
          <w:noProof/>
        </w:rPr>
      </w:pPr>
      <w:r>
        <w:rPr>
          <w:noProof/>
        </w:rPr>
        <w:tab/>
        <w:t>3.2.5.</w:t>
      </w:r>
      <w:r>
        <w:rPr>
          <w:noProof/>
        </w:rPr>
        <w:tab/>
        <w:t xml:space="preserve">Συμμετοχή τρίτων μερών στη χρηματοδότηση </w:t>
      </w:r>
    </w:p>
    <w:p>
      <w:pPr>
        <w:pStyle w:val="ManualHeading2"/>
        <w:jc w:val="left"/>
        <w:rPr>
          <w:b w:val="0"/>
          <w:noProof/>
        </w:rPr>
        <w:sectPr>
          <w:pgSz w:w="11907" w:h="16840" w:code="9"/>
          <w:pgMar w:top="1134" w:right="1418" w:bottom="1134" w:left="1418" w:header="709" w:footer="709" w:gutter="0"/>
          <w:cols w:space="708"/>
          <w:docGrid w:linePitch="360"/>
        </w:sectPr>
      </w:pPr>
      <w:r>
        <w:rPr>
          <w:noProof/>
        </w:rPr>
        <w:tab/>
      </w:r>
      <w:r>
        <w:rPr>
          <w:b w:val="0"/>
          <w:noProof/>
        </w:rPr>
        <w:t>3.3.</w:t>
      </w:r>
      <w:r>
        <w:rPr>
          <w:noProof/>
        </w:rPr>
        <w:tab/>
      </w:r>
      <w:r>
        <w:rPr>
          <w:b w:val="0"/>
          <w:noProof/>
        </w:rPr>
        <w:t>Εκτιμώμενες επιπτώσεις στα έσοδα</w:t>
      </w:r>
    </w:p>
    <w:p>
      <w:pPr>
        <w:pStyle w:val="NormalCentered"/>
        <w:rPr>
          <w:b/>
          <w:noProof/>
          <w:color w:val="000000" w:themeColor="text1"/>
        </w:rPr>
      </w:pPr>
      <w:r>
        <w:rPr>
          <w:b/>
          <w:noProof/>
          <w:color w:val="000000" w:themeColor="text1"/>
        </w:rPr>
        <w:lastRenderedPageBreak/>
        <w:t>ΝΟΜΟΘΕΤΙΚΟ ΔΗΜΟΣΙΟΝΟΜΙΚΟ ΔΕΛΤΙΟ</w:t>
      </w:r>
    </w:p>
    <w:p>
      <w:pPr>
        <w:spacing w:before="0" w:after="0"/>
        <w:jc w:val="left"/>
        <w:rPr>
          <w:noProof/>
          <w:color w:val="000000" w:themeColor="text1"/>
        </w:rPr>
      </w:pPr>
    </w:p>
    <w:p>
      <w:pPr>
        <w:pStyle w:val="ManualHeading1"/>
        <w:rPr>
          <w:noProof/>
          <w:color w:val="000000" w:themeColor="text1"/>
        </w:rPr>
      </w:pPr>
      <w:r>
        <w:rPr>
          <w:noProof/>
          <w:color w:val="000000" w:themeColor="text1"/>
        </w:rPr>
        <w:t>1.</w:t>
      </w:r>
      <w:r>
        <w:rPr>
          <w:noProof/>
        </w:rPr>
        <w:tab/>
      </w:r>
      <w:r>
        <w:rPr>
          <w:noProof/>
          <w:color w:val="000000" w:themeColor="text1"/>
        </w:rPr>
        <w:t xml:space="preserve">ΠΛΑΙΣΙΟ ΤΗΣ ΠΡΟΤΑΣΗΣ/ΠΡΩΤΟΒΟΥΛΙΑΣ </w:t>
      </w:r>
    </w:p>
    <w:p>
      <w:pPr>
        <w:pStyle w:val="ManualHeading2"/>
        <w:rPr>
          <w:b w:val="0"/>
          <w:noProof/>
          <w:color w:val="000000" w:themeColor="text1"/>
        </w:rPr>
      </w:pPr>
      <w:r>
        <w:rPr>
          <w:noProof/>
        </w:rPr>
        <w:tab/>
      </w:r>
      <w:r>
        <w:rPr>
          <w:b w:val="0"/>
          <w:noProof/>
          <w:color w:val="000000" w:themeColor="text1"/>
        </w:rPr>
        <w:t>1.1.</w:t>
      </w:r>
      <w:r>
        <w:rPr>
          <w:noProof/>
        </w:rPr>
        <w:tab/>
      </w:r>
      <w:r>
        <w:rPr>
          <w:b w:val="0"/>
          <w:noProof/>
          <w:color w:val="000000" w:themeColor="text1"/>
        </w:rPr>
        <w:t xml:space="preserve">Τίτλος της πρότασης/πρωτοβουλίας </w:t>
      </w:r>
    </w:p>
    <w:p>
      <w:pPr>
        <w:pStyle w:val="ManualHeading2"/>
        <w:rPr>
          <w:b w:val="0"/>
          <w:noProof/>
          <w:color w:val="000000" w:themeColor="text1"/>
        </w:rPr>
      </w:pPr>
      <w:r>
        <w:rPr>
          <w:noProof/>
        </w:rPr>
        <w:tab/>
      </w:r>
      <w:r>
        <w:rPr>
          <w:b w:val="0"/>
          <w:noProof/>
          <w:color w:val="000000" w:themeColor="text1"/>
        </w:rPr>
        <w:t>1.2.</w:t>
      </w:r>
      <w:r>
        <w:rPr>
          <w:noProof/>
        </w:rPr>
        <w:tab/>
      </w:r>
      <w:r>
        <w:rPr>
          <w:b w:val="0"/>
          <w:noProof/>
          <w:color w:val="000000" w:themeColor="text1"/>
        </w:rPr>
        <w:t xml:space="preserve">Σχετικοί τομείς πολιτικής </w:t>
      </w:r>
      <w:r>
        <w:rPr>
          <w:b w:val="0"/>
          <w:i/>
          <w:noProof/>
          <w:color w:val="000000" w:themeColor="text1"/>
        </w:rPr>
        <w:t>(ομάδα προγραμμάτων)</w:t>
      </w:r>
    </w:p>
    <w:p>
      <w:pPr>
        <w:pStyle w:val="ManualHeading2"/>
        <w:rPr>
          <w:b w:val="0"/>
          <w:noProof/>
          <w:color w:val="000000" w:themeColor="text1"/>
        </w:rPr>
      </w:pPr>
      <w:r>
        <w:rPr>
          <w:noProof/>
        </w:rPr>
        <w:tab/>
      </w:r>
      <w:r>
        <w:rPr>
          <w:b w:val="0"/>
          <w:noProof/>
          <w:color w:val="000000" w:themeColor="text1"/>
        </w:rPr>
        <w:t>1.3.</w:t>
      </w:r>
      <w:r>
        <w:rPr>
          <w:noProof/>
        </w:rPr>
        <w:tab/>
      </w:r>
      <w:r>
        <w:rPr>
          <w:b w:val="0"/>
          <w:noProof/>
          <w:color w:val="000000" w:themeColor="text1"/>
        </w:rPr>
        <w:t xml:space="preserve">Χαρακτήρας της πρότασης/πρωτοβουλίας </w:t>
      </w:r>
    </w:p>
    <w:p>
      <w:pPr>
        <w:pStyle w:val="ManualHeading2"/>
        <w:rPr>
          <w:b w:val="0"/>
          <w:noProof/>
          <w:color w:val="000000" w:themeColor="text1"/>
        </w:rPr>
      </w:pPr>
      <w:r>
        <w:rPr>
          <w:noProof/>
        </w:rPr>
        <w:tab/>
      </w:r>
      <w:r>
        <w:rPr>
          <w:b w:val="0"/>
          <w:noProof/>
          <w:color w:val="000000" w:themeColor="text1"/>
        </w:rPr>
        <w:t>1.4.</w:t>
      </w:r>
      <w:r>
        <w:rPr>
          <w:noProof/>
        </w:rPr>
        <w:tab/>
      </w:r>
      <w:r>
        <w:rPr>
          <w:b w:val="0"/>
          <w:noProof/>
          <w:color w:val="000000" w:themeColor="text1"/>
        </w:rPr>
        <w:t xml:space="preserve">Αιτιολόγηση της πρότασης/πρωτοβουλίας </w:t>
      </w:r>
    </w:p>
    <w:p>
      <w:pPr>
        <w:pStyle w:val="ManualHeading2"/>
        <w:rPr>
          <w:b w:val="0"/>
          <w:noProof/>
          <w:color w:val="000000" w:themeColor="text1"/>
        </w:rPr>
      </w:pPr>
      <w:r>
        <w:rPr>
          <w:noProof/>
        </w:rPr>
        <w:tab/>
      </w:r>
      <w:r>
        <w:rPr>
          <w:b w:val="0"/>
          <w:noProof/>
          <w:color w:val="000000" w:themeColor="text1"/>
        </w:rPr>
        <w:t>1.5.</w:t>
      </w:r>
      <w:r>
        <w:rPr>
          <w:noProof/>
        </w:rPr>
        <w:tab/>
      </w:r>
      <w:r>
        <w:rPr>
          <w:b w:val="0"/>
          <w:noProof/>
          <w:color w:val="000000" w:themeColor="text1"/>
        </w:rPr>
        <w:t xml:space="preserve">Διάρκεια και δημοσιονομικές επιπτώσεις </w:t>
      </w:r>
    </w:p>
    <w:p>
      <w:pPr>
        <w:pStyle w:val="ManualHeading2"/>
        <w:rPr>
          <w:b w:val="0"/>
          <w:noProof/>
          <w:color w:val="000000" w:themeColor="text1"/>
        </w:rPr>
      </w:pPr>
      <w:r>
        <w:rPr>
          <w:noProof/>
        </w:rPr>
        <w:tab/>
      </w:r>
      <w:r>
        <w:rPr>
          <w:b w:val="0"/>
          <w:noProof/>
          <w:color w:val="000000" w:themeColor="text1"/>
        </w:rPr>
        <w:t>1.6.</w:t>
      </w:r>
      <w:r>
        <w:rPr>
          <w:noProof/>
        </w:rPr>
        <w:tab/>
      </w:r>
      <w:r>
        <w:rPr>
          <w:b w:val="0"/>
          <w:noProof/>
          <w:color w:val="000000" w:themeColor="text1"/>
        </w:rPr>
        <w:t xml:space="preserve">Προβλεπόμενοι τρόποι διαχείρισης </w:t>
      </w:r>
    </w:p>
    <w:p>
      <w:pPr>
        <w:pStyle w:val="ManualHeading1"/>
        <w:rPr>
          <w:noProof/>
          <w:color w:val="000000" w:themeColor="text1"/>
        </w:rPr>
      </w:pPr>
      <w:r>
        <w:rPr>
          <w:noProof/>
          <w:color w:val="000000" w:themeColor="text1"/>
        </w:rPr>
        <w:t>2.</w:t>
      </w:r>
      <w:r>
        <w:rPr>
          <w:noProof/>
        </w:rPr>
        <w:tab/>
      </w:r>
      <w:r>
        <w:rPr>
          <w:noProof/>
          <w:color w:val="000000" w:themeColor="text1"/>
        </w:rPr>
        <w:t xml:space="preserve">ΜΕΤΡΑ ΔΙΑΧΕΙΡΙΣΗΣ </w:t>
      </w:r>
    </w:p>
    <w:p>
      <w:pPr>
        <w:pStyle w:val="ManualHeading2"/>
        <w:rPr>
          <w:b w:val="0"/>
          <w:noProof/>
          <w:color w:val="000000" w:themeColor="text1"/>
        </w:rPr>
      </w:pPr>
      <w:r>
        <w:rPr>
          <w:noProof/>
        </w:rPr>
        <w:tab/>
      </w:r>
      <w:r>
        <w:rPr>
          <w:b w:val="0"/>
          <w:noProof/>
          <w:color w:val="000000" w:themeColor="text1"/>
        </w:rPr>
        <w:t>2.1.</w:t>
      </w:r>
      <w:r>
        <w:rPr>
          <w:noProof/>
        </w:rPr>
        <w:tab/>
      </w:r>
      <w:r>
        <w:rPr>
          <w:b w:val="0"/>
          <w:noProof/>
          <w:color w:val="000000" w:themeColor="text1"/>
        </w:rPr>
        <w:t xml:space="preserve">Κανόνες παρακολούθησης και υποβολής εκθέσεων </w:t>
      </w:r>
    </w:p>
    <w:p>
      <w:pPr>
        <w:pStyle w:val="ManualHeading2"/>
        <w:rPr>
          <w:b w:val="0"/>
          <w:noProof/>
          <w:color w:val="000000" w:themeColor="text1"/>
        </w:rPr>
      </w:pPr>
      <w:r>
        <w:rPr>
          <w:noProof/>
        </w:rPr>
        <w:tab/>
      </w:r>
      <w:r>
        <w:rPr>
          <w:b w:val="0"/>
          <w:noProof/>
          <w:color w:val="000000" w:themeColor="text1"/>
        </w:rPr>
        <w:t>2.2.</w:t>
      </w:r>
      <w:r>
        <w:rPr>
          <w:noProof/>
        </w:rPr>
        <w:tab/>
      </w:r>
      <w:r>
        <w:rPr>
          <w:b w:val="0"/>
          <w:noProof/>
          <w:color w:val="000000" w:themeColor="text1"/>
        </w:rPr>
        <w:t xml:space="preserve">Σύστημα διαχείρισης και ελέγχου </w:t>
      </w:r>
    </w:p>
    <w:p>
      <w:pPr>
        <w:pStyle w:val="ManualHeading2"/>
        <w:rPr>
          <w:b w:val="0"/>
          <w:noProof/>
          <w:color w:val="000000" w:themeColor="text1"/>
        </w:rPr>
      </w:pPr>
      <w:r>
        <w:rPr>
          <w:noProof/>
        </w:rPr>
        <w:tab/>
      </w:r>
      <w:r>
        <w:rPr>
          <w:b w:val="0"/>
          <w:noProof/>
          <w:color w:val="000000" w:themeColor="text1"/>
        </w:rPr>
        <w:t>2.3.</w:t>
      </w:r>
      <w:r>
        <w:rPr>
          <w:noProof/>
        </w:rPr>
        <w:tab/>
      </w:r>
      <w:r>
        <w:rPr>
          <w:b w:val="0"/>
          <w:noProof/>
          <w:color w:val="000000" w:themeColor="text1"/>
        </w:rPr>
        <w:t xml:space="preserve">Μέτρα για την πρόληψη περιπτώσεων απάτης και παρατυπίας </w:t>
      </w:r>
    </w:p>
    <w:p>
      <w:pPr>
        <w:pStyle w:val="ManualHeading1"/>
        <w:rPr>
          <w:noProof/>
          <w:color w:val="000000" w:themeColor="text1"/>
        </w:rPr>
      </w:pPr>
      <w:r>
        <w:rPr>
          <w:noProof/>
          <w:color w:val="000000" w:themeColor="text1"/>
        </w:rPr>
        <w:t>3.</w:t>
      </w:r>
      <w:r>
        <w:rPr>
          <w:noProof/>
        </w:rPr>
        <w:tab/>
      </w:r>
      <w:r>
        <w:rPr>
          <w:noProof/>
          <w:color w:val="000000" w:themeColor="text1"/>
        </w:rPr>
        <w:t xml:space="preserve">ΕΚΤΙΜΩΜΕΝΕΣ ΔΗΜΟΣΙΟΝΟΜΙΚΕΣ ΕΠΙΠΤΩΣΕΙΣ ΤΗΣ ΠΡΟΤΑΣΗΣ/ΠΡΩΤΟΒΟΥΛΙΑΣ </w:t>
      </w:r>
    </w:p>
    <w:p>
      <w:pPr>
        <w:pStyle w:val="ManualHeading2"/>
        <w:rPr>
          <w:b w:val="0"/>
          <w:noProof/>
          <w:color w:val="000000" w:themeColor="text1"/>
        </w:rPr>
      </w:pPr>
      <w:r>
        <w:rPr>
          <w:noProof/>
        </w:rPr>
        <w:tab/>
      </w:r>
      <w:r>
        <w:rPr>
          <w:b w:val="0"/>
          <w:noProof/>
          <w:color w:val="000000" w:themeColor="text1"/>
        </w:rPr>
        <w:t>3.1.</w:t>
      </w:r>
      <w:r>
        <w:rPr>
          <w:noProof/>
        </w:rPr>
        <w:tab/>
      </w:r>
      <w:r>
        <w:rPr>
          <w:b w:val="0"/>
          <w:noProof/>
          <w:color w:val="000000" w:themeColor="text1"/>
        </w:rPr>
        <w:t xml:space="preserve">Τομείς του πολυετούς δημοσιονομικού πλαισίου και γραμμές δαπανών του προϋπολογισμού που επηρεάζονται </w:t>
      </w:r>
    </w:p>
    <w:p>
      <w:pPr>
        <w:pStyle w:val="ManualHeading2"/>
        <w:rPr>
          <w:noProof/>
          <w:color w:val="000000" w:themeColor="text1"/>
        </w:rPr>
      </w:pPr>
      <w:r>
        <w:rPr>
          <w:noProof/>
        </w:rPr>
        <w:tab/>
      </w:r>
      <w:r>
        <w:rPr>
          <w:b w:val="0"/>
          <w:noProof/>
          <w:color w:val="000000" w:themeColor="text1"/>
        </w:rPr>
        <w:t>3.2.</w:t>
      </w:r>
      <w:r>
        <w:rPr>
          <w:noProof/>
        </w:rPr>
        <w:tab/>
      </w:r>
      <w:r>
        <w:rPr>
          <w:b w:val="0"/>
          <w:noProof/>
          <w:color w:val="000000" w:themeColor="text1"/>
        </w:rPr>
        <w:t>Εκτιμώμενες επιπτώσεις στις δαπάνες</w:t>
      </w:r>
      <w:r>
        <w:rPr>
          <w:noProof/>
          <w:color w:val="000000" w:themeColor="text1"/>
        </w:rPr>
        <w:t xml:space="preserve"> </w:t>
      </w:r>
    </w:p>
    <w:p>
      <w:pPr>
        <w:pStyle w:val="ManualHeading3"/>
        <w:rPr>
          <w:noProof/>
          <w:color w:val="000000" w:themeColor="text1"/>
        </w:rPr>
      </w:pPr>
      <w:r>
        <w:rPr>
          <w:noProof/>
        </w:rPr>
        <w:tab/>
      </w:r>
      <w:r>
        <w:rPr>
          <w:noProof/>
          <w:color w:val="000000" w:themeColor="text1"/>
        </w:rPr>
        <w:t>3.2.1.</w:t>
      </w:r>
      <w:r>
        <w:rPr>
          <w:noProof/>
        </w:rPr>
        <w:tab/>
      </w:r>
      <w:r>
        <w:rPr>
          <w:noProof/>
          <w:color w:val="000000" w:themeColor="text1"/>
        </w:rPr>
        <w:t xml:space="preserve">Συνοπτική παρουσίαση των εκτιμώμενων επιπτώσεων στις δαπάνες </w:t>
      </w:r>
    </w:p>
    <w:p>
      <w:pPr>
        <w:pStyle w:val="ManualHeading3"/>
        <w:rPr>
          <w:noProof/>
          <w:color w:val="000000" w:themeColor="text1"/>
        </w:rPr>
      </w:pPr>
      <w:r>
        <w:rPr>
          <w:noProof/>
        </w:rPr>
        <w:tab/>
      </w:r>
      <w:r>
        <w:rPr>
          <w:noProof/>
          <w:color w:val="000000" w:themeColor="text1"/>
        </w:rPr>
        <w:t>3.2.2.</w:t>
      </w:r>
      <w:r>
        <w:rPr>
          <w:noProof/>
        </w:rPr>
        <w:tab/>
      </w:r>
      <w:r>
        <w:rPr>
          <w:noProof/>
          <w:color w:val="000000" w:themeColor="text1"/>
        </w:rPr>
        <w:t>Εκτιμώμενες επιπτώσεις στις πιστώσεις διοικητικού χαρακτήρα</w:t>
      </w:r>
    </w:p>
    <w:p>
      <w:pPr>
        <w:pStyle w:val="ManualHeading3"/>
        <w:rPr>
          <w:noProof/>
          <w:color w:val="000000" w:themeColor="text1"/>
        </w:rPr>
      </w:pPr>
      <w:r>
        <w:rPr>
          <w:noProof/>
        </w:rPr>
        <w:tab/>
      </w:r>
      <w:r>
        <w:rPr>
          <w:noProof/>
          <w:color w:val="000000" w:themeColor="text1"/>
        </w:rPr>
        <w:t>3.2.3.</w:t>
      </w:r>
      <w:r>
        <w:rPr>
          <w:noProof/>
        </w:rPr>
        <w:tab/>
      </w:r>
      <w:r>
        <w:rPr>
          <w:noProof/>
          <w:color w:val="000000" w:themeColor="text1"/>
        </w:rPr>
        <w:t xml:space="preserve">Συμμετοχή τρίτων στη χρηματοδότηση </w:t>
      </w:r>
    </w:p>
    <w:p>
      <w:pPr>
        <w:pStyle w:val="ManualHeading2"/>
        <w:jc w:val="left"/>
        <w:rPr>
          <w:b w:val="0"/>
          <w:noProof/>
          <w:color w:val="000000" w:themeColor="text1"/>
        </w:rPr>
        <w:sectPr>
          <w:pgSz w:w="11907" w:h="16840" w:code="9"/>
          <w:pgMar w:top="1134" w:right="1418" w:bottom="1134" w:left="1418" w:header="709" w:footer="709" w:gutter="0"/>
          <w:cols w:space="708"/>
          <w:docGrid w:linePitch="360"/>
        </w:sectPr>
      </w:pPr>
      <w:r>
        <w:rPr>
          <w:noProof/>
        </w:rPr>
        <w:tab/>
      </w:r>
      <w:r>
        <w:rPr>
          <w:b w:val="0"/>
          <w:noProof/>
          <w:color w:val="000000" w:themeColor="text1"/>
        </w:rPr>
        <w:t>3.3.</w:t>
      </w:r>
      <w:r>
        <w:rPr>
          <w:noProof/>
        </w:rPr>
        <w:tab/>
      </w:r>
      <w:r>
        <w:rPr>
          <w:b w:val="0"/>
          <w:noProof/>
          <w:color w:val="000000" w:themeColor="text1"/>
        </w:rPr>
        <w:t>Εκτιμώμενες επιπτώσεις στα έσοδα</w:t>
      </w:r>
    </w:p>
    <w:p>
      <w:pPr>
        <w:jc w:val="center"/>
        <w:rPr>
          <w:b/>
          <w:noProof/>
          <w:color w:val="000000" w:themeColor="text1"/>
          <w:u w:val="single"/>
        </w:rPr>
      </w:pPr>
      <w:r>
        <w:rPr>
          <w:b/>
          <w:noProof/>
          <w:color w:val="000000" w:themeColor="text1"/>
          <w:u w:val="single"/>
        </w:rPr>
        <w:lastRenderedPageBreak/>
        <w:t>ΝΟΜΟΘΕΤΙΚΟ ΔΗΜΟΣΙΟΝΟΜΙΚΟ ΔΕΛΤΙΟ</w:t>
      </w:r>
    </w:p>
    <w:p>
      <w:pPr>
        <w:pStyle w:val="ManualHeading1"/>
        <w:rPr>
          <w:noProof/>
        </w:rPr>
      </w:pPr>
      <w:r>
        <w:t>1.</w:t>
      </w:r>
      <w:r>
        <w:tab/>
      </w:r>
      <w:r>
        <w:rPr>
          <w:noProof/>
        </w:rPr>
        <w:t xml:space="preserve">ΠΛΑΙΣΙΟ ΤΗΣ ΠΡΟΤΑΣΗΣ/ΠΡΩΤΟΒΟΥΛΙΑΣ </w:t>
      </w:r>
    </w:p>
    <w:p>
      <w:pPr>
        <w:pStyle w:val="ManualHeading2"/>
        <w:rPr>
          <w:noProof/>
        </w:rPr>
      </w:pPr>
      <w:r>
        <w:t>1.1.</w:t>
      </w:r>
      <w:r>
        <w:tab/>
      </w:r>
      <w:r>
        <w:rPr>
          <w:noProof/>
        </w:rPr>
        <w:t xml:space="preserve">Τίτλος της πρότασης/πρωτοβουλίας </w:t>
      </w:r>
    </w:p>
    <w:p>
      <w:pPr>
        <w:pStyle w:val="Text1"/>
        <w:pBdr>
          <w:top w:val="single" w:sz="4" w:space="1" w:color="auto"/>
          <w:left w:val="single" w:sz="4" w:space="4" w:color="auto"/>
          <w:bottom w:val="single" w:sz="4" w:space="1" w:color="auto"/>
          <w:right w:val="single" w:sz="4" w:space="4" w:color="auto"/>
        </w:pBdr>
        <w:rPr>
          <w:noProof/>
        </w:rPr>
      </w:pPr>
      <w:r>
        <w:rPr>
          <w:noProof/>
        </w:rPr>
        <w:t>Πρόγραμμα InvestEU</w:t>
      </w:r>
    </w:p>
    <w:p>
      <w:pPr>
        <w:pStyle w:val="Text1"/>
        <w:pBdr>
          <w:top w:val="single" w:sz="4" w:space="1" w:color="auto"/>
          <w:left w:val="single" w:sz="4" w:space="4" w:color="auto"/>
          <w:bottom w:val="single" w:sz="4" w:space="1" w:color="auto"/>
          <w:right w:val="single" w:sz="4" w:space="4" w:color="auto"/>
        </w:pBdr>
        <w:rPr>
          <w:noProof/>
          <w:color w:val="000000" w:themeColor="text1"/>
        </w:rPr>
      </w:pPr>
      <w:r>
        <w:rPr>
          <w:noProof/>
        </w:rPr>
        <w:t>Κανονισμός (ΕΕ) 2018/xx του Ευρωπαϊκού Κοινοβουλίου και του Συμβουλίου για τη θέσπιση του προγράμματος InvestEU</w:t>
      </w:r>
    </w:p>
    <w:p>
      <w:pPr>
        <w:pStyle w:val="ManualHeading2"/>
        <w:rPr>
          <w:noProof/>
          <w:szCs w:val="24"/>
        </w:rPr>
      </w:pPr>
      <w:r>
        <w:t>1.2.</w:t>
      </w:r>
      <w:r>
        <w:tab/>
      </w:r>
      <w:r>
        <w:rPr>
          <w:noProof/>
        </w:rPr>
        <w:t xml:space="preserve">Σχετικοί τομείς πολιτικής </w:t>
      </w:r>
      <w:r>
        <w:rPr>
          <w:i/>
          <w:noProof/>
        </w:rPr>
        <w:t>(ομάδα προγραμμάτων)</w:t>
      </w:r>
    </w:p>
    <w:p>
      <w:pPr>
        <w:pStyle w:val="Text1"/>
        <w:pBdr>
          <w:top w:val="single" w:sz="4" w:space="1" w:color="auto"/>
          <w:left w:val="single" w:sz="4" w:space="4" w:color="auto"/>
          <w:bottom w:val="single" w:sz="4" w:space="1" w:color="auto"/>
          <w:right w:val="single" w:sz="4" w:space="4" w:color="auto"/>
        </w:pBdr>
        <w:rPr>
          <w:noProof/>
          <w:color w:val="000000" w:themeColor="text1"/>
        </w:rPr>
      </w:pPr>
      <w:r>
        <w:rPr>
          <w:noProof/>
        </w:rPr>
        <w:t>Ευρωπαϊκές στρατηγικές επενδύσεις</w:t>
      </w:r>
    </w:p>
    <w:p>
      <w:pPr>
        <w:pStyle w:val="ManualHeading2"/>
        <w:rPr>
          <w:bCs/>
          <w:noProof/>
          <w:szCs w:val="24"/>
        </w:rPr>
      </w:pPr>
      <w:r>
        <w:t>1.3.</w:t>
      </w:r>
      <w:r>
        <w:tab/>
      </w:r>
      <w:r>
        <w:rPr>
          <w:noProof/>
        </w:rPr>
        <w:t xml:space="preserve">Η πρόταση/πρωτοβουλία αφορά: </w:t>
      </w:r>
    </w:p>
    <w:p>
      <w:pPr>
        <w:pStyle w:val="Text1"/>
        <w:rPr>
          <w:b/>
          <w:noProof/>
          <w:color w:val="000000" w:themeColor="text1"/>
          <w:sz w:val="22"/>
        </w:rPr>
      </w:pPr>
      <w:r>
        <w:rPr>
          <w:noProof/>
          <w:color w:val="000000" w:themeColor="text1"/>
          <w:sz w:val="22"/>
        </w:rPr>
        <w:sym w:font="Wingdings" w:char="F0A8"/>
      </w:r>
      <w:r>
        <w:rPr>
          <w:b/>
          <w:i/>
          <w:noProof/>
          <w:sz w:val="22"/>
        </w:rPr>
        <w:t xml:space="preserve"> </w:t>
      </w:r>
      <w:r>
        <w:rPr>
          <w:b/>
          <w:noProof/>
        </w:rPr>
        <w:t>νέα δράση</w:t>
      </w:r>
      <w:r>
        <w:rPr>
          <w:b/>
          <w:noProof/>
          <w:color w:val="000000" w:themeColor="text1"/>
          <w:sz w:val="22"/>
        </w:rPr>
        <w:t xml:space="preserve"> </w:t>
      </w:r>
    </w:p>
    <w:p>
      <w:pPr>
        <w:pStyle w:val="Text1"/>
        <w:rPr>
          <w:noProof/>
          <w:color w:val="000000" w:themeColor="text1"/>
          <w:sz w:val="22"/>
        </w:rPr>
      </w:pPr>
      <w:r>
        <w:rPr>
          <w:noProof/>
          <w:color w:val="000000" w:themeColor="text1"/>
          <w:sz w:val="22"/>
        </w:rPr>
        <w:sym w:font="Wingdings" w:char="F0A8"/>
      </w:r>
      <w:r>
        <w:rPr>
          <w:i/>
          <w:noProof/>
          <w:color w:val="000000" w:themeColor="text1"/>
          <w:sz w:val="22"/>
        </w:rPr>
        <w:t xml:space="preserve"> </w:t>
      </w:r>
      <w:r>
        <w:rPr>
          <w:b/>
          <w:noProof/>
          <w:color w:val="000000" w:themeColor="text1"/>
        </w:rPr>
        <w:t>νέα δράση έπειτα από πιλοτικό έργο/προπαρασκευαστική δράση</w:t>
      </w:r>
      <w:r>
        <w:rPr>
          <w:rStyle w:val="FootnoteReference"/>
          <w:b/>
          <w:noProof/>
          <w:color w:val="000000" w:themeColor="text1"/>
        </w:rPr>
        <w:footnoteReference w:id="30"/>
      </w:r>
      <w:r>
        <w:rPr>
          <w:noProof/>
          <w:color w:val="000000" w:themeColor="text1"/>
          <w:sz w:val="22"/>
        </w:rPr>
        <w:t xml:space="preserve"> </w:t>
      </w:r>
    </w:p>
    <w:p>
      <w:pPr>
        <w:pStyle w:val="Text1"/>
        <w:rPr>
          <w:noProof/>
          <w:color w:val="000000" w:themeColor="text1"/>
          <w:sz w:val="22"/>
        </w:rPr>
      </w:pPr>
      <w:r>
        <w:rPr>
          <w:noProof/>
          <w:color w:val="000000" w:themeColor="text1"/>
          <w:sz w:val="22"/>
        </w:rPr>
        <w:sym w:font="Wingdings" w:char="F0A8"/>
      </w:r>
      <w:r>
        <w:rPr>
          <w:i/>
          <w:noProof/>
          <w:sz w:val="22"/>
        </w:rPr>
        <w:t xml:space="preserve"> </w:t>
      </w:r>
      <w:r>
        <w:rPr>
          <w:b/>
          <w:noProof/>
        </w:rPr>
        <w:t>την παράταση υφιστάμενης δράσης</w:t>
      </w:r>
      <w:r>
        <w:rPr>
          <w:noProof/>
          <w:color w:val="000000" w:themeColor="text1"/>
          <w:sz w:val="22"/>
        </w:rPr>
        <w:t xml:space="preserve"> </w:t>
      </w:r>
    </w:p>
    <w:p>
      <w:pPr>
        <w:pStyle w:val="Text1"/>
        <w:rPr>
          <w:noProof/>
          <w:color w:val="000000" w:themeColor="text1"/>
        </w:rPr>
      </w:pPr>
      <w:r>
        <w:rPr>
          <w:noProof/>
          <w:color w:val="000000" w:themeColor="text1"/>
          <w:sz w:val="22"/>
        </w:rPr>
        <w:t xml:space="preserve">X </w:t>
      </w:r>
      <w:r>
        <w:rPr>
          <w:i/>
          <w:noProof/>
          <w:color w:val="000000" w:themeColor="text1"/>
          <w:sz w:val="22"/>
        </w:rPr>
        <w:t xml:space="preserve"> </w:t>
      </w:r>
      <w:r>
        <w:rPr>
          <w:b/>
          <w:noProof/>
          <w:color w:val="000000" w:themeColor="text1"/>
        </w:rPr>
        <w:t>τη συγχώνευση ή τον αναπροσανατολισμό μίας ή περισσότερων δράσεων προς άλλη/νέα δράση</w:t>
      </w:r>
      <w:r>
        <w:rPr>
          <w:noProof/>
          <w:color w:val="000000" w:themeColor="text1"/>
        </w:rPr>
        <w:t xml:space="preserve"> </w:t>
      </w:r>
    </w:p>
    <w:p>
      <w:pPr>
        <w:pStyle w:val="ManualHeading2"/>
        <w:rPr>
          <w:bCs/>
          <w:noProof/>
          <w:szCs w:val="24"/>
        </w:rPr>
      </w:pPr>
      <w:r>
        <w:t>1.4.</w:t>
      </w:r>
      <w:r>
        <w:tab/>
      </w:r>
      <w:r>
        <w:rPr>
          <w:noProof/>
        </w:rPr>
        <w:t xml:space="preserve">Αιτιολόγηση της πρότασης/πρωτοβουλίας </w:t>
      </w:r>
    </w:p>
    <w:p>
      <w:pPr>
        <w:pStyle w:val="ManualHeading3"/>
        <w:rPr>
          <w:noProof/>
        </w:rPr>
      </w:pPr>
      <w:r>
        <w:t>1.4.1.</w:t>
      </w:r>
      <w:r>
        <w:tab/>
      </w:r>
      <w:r>
        <w:rPr>
          <w:noProof/>
        </w:rPr>
        <w:t>Βραχυπρόθεσμη ή μακροπρόθεσμη κάλυψη αναγκών, συμπεριλαμβανομένου λεπτομερούς χρονοδιαγράμματος για τη σταδιακή υλοποίηση της πρωτοβουλίας</w:t>
      </w:r>
    </w:p>
    <w:p>
      <w:pPr>
        <w:pBdr>
          <w:top w:val="single" w:sz="4" w:space="1" w:color="auto"/>
          <w:left w:val="single" w:sz="4" w:space="4" w:color="auto"/>
          <w:bottom w:val="single" w:sz="4" w:space="1" w:color="auto"/>
          <w:right w:val="single" w:sz="4" w:space="4" w:color="auto"/>
        </w:pBdr>
        <w:ind w:left="709"/>
        <w:rPr>
          <w:noProof/>
        </w:rPr>
      </w:pPr>
      <w:r>
        <w:rPr>
          <w:noProof/>
        </w:rPr>
        <w:t>Για τους μακροπρόθεσμους στόχους της ΕΕ σχετικά με τη βιωσιμότητα, την ανταγωνιστικότητα και την ανάπτυξη χωρίς αποκλεισμούς απαιτούνται σημαντικές επενδύσεις σε διάφορους τομείς, λόγου χάρη σε νέα μοντέλα κινητικότητας, ανανεώσιμες πηγές ενέργειας, ενεργειακή απόδοση, έρευνα και καινοτομία, ψηφιοποίηση, εκπαίδευση και δεξιότητες, κοινωνική οικονομία και κοινωνικές υποδομές, στην κυκλική οικονομία, στο φυσικό κεφάλαιο, στη δράση για το κλίμα ή τη δημιουργία και ανάπτυξη των μικρομεσαίων επιχειρήσεων. Η εγγύηση από τον προϋπολογισμό που παρέχει ικανότητα ανάληψης κινδύνου σε εταίρους υλοποίησης προκειμένου να χρηματοδοτούν επενδύσεις στην Ένωση αξιοποιώντας την επιτυχία του ΕΤΣΕ και χρηματοδοτικών μέσων επιτρέπει την ομαλή συνέχιση της επενδυτικής στήριξης από το 2021.</w:t>
      </w:r>
    </w:p>
    <w:p>
      <w:pPr>
        <w:pStyle w:val="ManualHeading3"/>
        <w:rPr>
          <w:bCs/>
          <w:noProof/>
          <w:szCs w:val="24"/>
        </w:rPr>
      </w:pPr>
      <w:r>
        <w:t>1.4.2.</w:t>
      </w:r>
      <w:r>
        <w:tab/>
      </w:r>
      <w:r>
        <w:rPr>
          <w:noProof/>
        </w:rPr>
        <w:t>Προστιθέμενη αξία της ενωσιακής παρέμβασης (που μπορεί να προκύπτει από διάφορους παράγοντες, π.χ. οφέλη από τον συντονισμό, ασφάλεια δικαίου, μεγαλύτερη αποτελεσματικότητα ή συμπληρωματικότητα). Για τους σκοπούς του παρόντος σημείου «προστιθέμενη αξία της ενωσιακής παρέμβασης» είναι η αξία που απορρέει από την παρέμβαση της Ένωσης και η οποία είναι επιπρόσθετη στην αξία που θα είχε δημιουργηθεί αν τα κράτη μέλη ενεργούσαν μεμονωμένα.</w:t>
      </w:r>
    </w:p>
    <w:p>
      <w:pPr>
        <w:pStyle w:val="Text1"/>
        <w:pBdr>
          <w:top w:val="single" w:sz="4" w:space="1" w:color="auto"/>
          <w:left w:val="single" w:sz="4" w:space="4" w:color="auto"/>
          <w:bottom w:val="single" w:sz="4" w:space="1" w:color="auto"/>
          <w:right w:val="single" w:sz="4" w:space="4" w:color="auto"/>
        </w:pBdr>
        <w:rPr>
          <w:noProof/>
        </w:rPr>
      </w:pPr>
      <w:r>
        <w:rPr>
          <w:noProof/>
          <w:color w:val="000000" w:themeColor="text1"/>
        </w:rPr>
        <w:t>Λόγοι για την ανάληψη δράσης σε ευρωπαϊκό επίπεδο (εκ των προτέρων):</w:t>
      </w:r>
      <w:r>
        <w:rPr>
          <w:noProof/>
        </w:rPr>
        <w:t xml:space="preserve"> </w:t>
      </w:r>
    </w:p>
    <w:p>
      <w:pPr>
        <w:pBdr>
          <w:top w:val="single" w:sz="4" w:space="1" w:color="auto"/>
          <w:left w:val="single" w:sz="4" w:space="4" w:color="auto"/>
          <w:bottom w:val="single" w:sz="4" w:space="1" w:color="auto"/>
          <w:right w:val="single" w:sz="4" w:space="4" w:color="auto"/>
        </w:pBdr>
        <w:spacing w:after="0"/>
        <w:ind w:left="851"/>
        <w:rPr>
          <w:noProof/>
        </w:rPr>
      </w:pPr>
      <w:r>
        <w:rPr>
          <w:noProof/>
        </w:rPr>
        <w:t xml:space="preserve">Παρότι η ανάκαμψη των δεικτών επενδύσεων προς το ΑΕΠ στην Ένωση είναι ορατή, δεν επαρκεί για να αντισταθμίσει τα χρόνια κατά τα οποία οι επενδύσεις ήταν ανεπαρκείς και να καλύψει τις διαρθρωτικές επενδυτικές ανάγκες της Ένωσης δεδομένης της τεχνολογικής εξέλιξης και της παγκόσμιας ανταγωνιστικότητας, </w:t>
      </w:r>
      <w:r>
        <w:rPr>
          <w:noProof/>
        </w:rPr>
        <w:lastRenderedPageBreak/>
        <w:t>μεταξύ άλλων σε σχέση με την καινοτομία, τις δεξιότητες, τις υποδομές, τις ΜΜΕ και την ανάγκη αντιμετώπισης βασικών κοινωνικών προκλήσεων όπως η βιωσιμότητα ή η γήρανση του πληθυσμού. Τα κράτη μέλη δεν μπορούν να γεφυρώσουν από μόνα τους αυτά τα επενδυτικά κενά. Απαιτείται διαρκής ενίσχυση προκειμένου να αντιμετωπιστούν οι αστοχίες της αγοράς και οι μη βέλτιστες επενδυτικές καταστάσεις, να μειωθεί το επενδυτικό κενό στους τομείς-στόχους και να επιτευχθούν οι στόχοι πολιτικής της Ένωσης. Η χρήση εγγύησης από τον προϋπολογισμό, με αποτέλεσμα μόχλευσης και εγγύτερα στην αγορά, συμπληρώνει αποδοτικά τις επιδοτήσεις ως εργαλείο του προϋπολογισμού της Ένωσης. Με την παρέμβαση σε επίπεδο Ένωσης εξασφαλίζονται οικονομίες κλίμακας στη χρήση καινοτόμων χρηματοπιστωτικών προϊόντων, με την κινητοποίηση ιδιωτικών επενδύσεων σε ολόκληρη την Ένωση και τη βέλτιστη χρήση της συμβολής των ευρωπαϊκών θεσμικών οργάνων και της εμπειρογνωσίας τους για αυτόν τον σκοπό. Με την παρέμβαση της Ένωσης παρέχεται επίσης πρόσβαση σε διαφοροποιημένο χαρτοφυλάκιο έργων εντός της Ένωσης, και προβλέπεται η ανάπτυξη καινοτόμων χρηματοδοτικών λύσεων, οι οποίες είναι δυνατό να αναβαθμιστούν ή να αναπαραχθούν σε όλα τα κράτη μέλη. Κατ’ αυτόν τον τρόπο, το πολλαπλασιαστικό αποτέλεσμα και οι επιτόπιες επιπτώσεις υπερβαίνουν κατά πολύ αυτό που θα μπορούσε να επιτευχθεί με μια πρωτοβουλία σε ένα μόνο κράτος μέλος, ιδίως για επενδυτικά προγράμματα μεγάλης κλίμακας.</w:t>
      </w:r>
    </w:p>
    <w:p>
      <w:pPr>
        <w:pStyle w:val="Text1"/>
        <w:pBdr>
          <w:top w:val="single" w:sz="4" w:space="1" w:color="auto"/>
          <w:left w:val="single" w:sz="4" w:space="4" w:color="auto"/>
          <w:bottom w:val="single" w:sz="4" w:space="1" w:color="auto"/>
          <w:right w:val="single" w:sz="4" w:space="4" w:color="auto"/>
        </w:pBdr>
        <w:rPr>
          <w:noProof/>
          <w:color w:val="000000" w:themeColor="text1"/>
        </w:rPr>
      </w:pPr>
      <w:r>
        <w:rPr>
          <w:noProof/>
          <w:color w:val="000000" w:themeColor="text1"/>
        </w:rPr>
        <w:t xml:space="preserve">Αναμενόμενη προστιθέμενη αξία της Ένωσης (εκ των υστέρων) </w:t>
      </w:r>
    </w:p>
    <w:p>
      <w:pPr>
        <w:pStyle w:val="Text1"/>
        <w:pBdr>
          <w:top w:val="single" w:sz="4" w:space="1" w:color="auto"/>
          <w:left w:val="single" w:sz="4" w:space="4" w:color="auto"/>
          <w:bottom w:val="single" w:sz="4" w:space="1" w:color="auto"/>
          <w:right w:val="single" w:sz="4" w:space="4" w:color="auto"/>
        </w:pBdr>
        <w:rPr>
          <w:noProof/>
        </w:rPr>
      </w:pPr>
      <w:r>
        <w:rPr>
          <w:noProof/>
        </w:rPr>
        <w:t>Η παρούσα πρωτοβουλία θα πρέπει να δίνει στους εταίρους υλοποίησης τη δυνατότητα εκτέλεσης χρηματοδοτικών και επενδυτικών δραστηριοτήτων σε στοχευμένους τομείς των στρατηγικών στόχων πολιτικής της Ένωσης. Θα πρέπει να δημιουργείται πολλαπλασιαστικό αποτέλεσμα μέσω της παροχής εγγύησης της ΕΕ και μέσω προσέλκυσης ιδιωτικών και δημόσιων επενδύσεων.</w:t>
      </w:r>
    </w:p>
    <w:p>
      <w:pPr>
        <w:pStyle w:val="Text1"/>
        <w:pBdr>
          <w:top w:val="single" w:sz="4" w:space="1" w:color="auto"/>
          <w:left w:val="single" w:sz="4" w:space="4" w:color="auto"/>
          <w:bottom w:val="single" w:sz="4" w:space="1" w:color="auto"/>
          <w:right w:val="single" w:sz="4" w:space="4" w:color="auto"/>
        </w:pBdr>
        <w:rPr>
          <w:noProof/>
        </w:rPr>
      </w:pPr>
      <w:r>
        <w:rPr>
          <w:noProof/>
        </w:rPr>
        <w:t xml:space="preserve">Η πρωτοβουλία θα πρέπει να συμβάλει στην κινητοποίηση χρηματοδότησης για έργα ύψους έως και 650 δισ. ευρώ έως το τέλος του ΠΔΠ. Αυτό θα συμβάλει στην αντιμετώπιση αδυναμιών της αγοράς και θα παράσχει πρόσβαση σε χρηματοδότηση για οντότητες οι οποίες διαφορετικά δεν θα κατάφερναν να εξασφαλίσουν χρηματοδότηση υπό εύλογους όρους. Ως εκ τούτου, θα αυξήσει τις συνολικές επενδύσεις στην Ένωση και, κατά συνέπεια, την ανάπτυξη και την απασχόληση. </w:t>
      </w:r>
    </w:p>
    <w:p>
      <w:pPr>
        <w:pStyle w:val="Text1"/>
        <w:rPr>
          <w:noProof/>
          <w:color w:val="000000" w:themeColor="text1"/>
        </w:rPr>
      </w:pPr>
    </w:p>
    <w:p>
      <w:pPr>
        <w:pStyle w:val="ManualHeading3"/>
        <w:rPr>
          <w:bCs/>
          <w:noProof/>
          <w:szCs w:val="24"/>
        </w:rPr>
      </w:pPr>
      <w:r>
        <w:t>1.4.3.</w:t>
      </w:r>
      <w:r>
        <w:tab/>
      </w:r>
      <w:r>
        <w:rPr>
          <w:noProof/>
        </w:rPr>
        <w:t>Διδάγματα από ανάλογες εμπειρίες του παρελθόντος</w:t>
      </w:r>
    </w:p>
    <w:p>
      <w:pPr>
        <w:pStyle w:val="ListParagraph"/>
        <w:pBdr>
          <w:top w:val="single" w:sz="4" w:space="1" w:color="auto"/>
          <w:left w:val="single" w:sz="4" w:space="4" w:color="auto"/>
          <w:bottom w:val="single" w:sz="4" w:space="1" w:color="auto"/>
          <w:right w:val="single" w:sz="4" w:space="4" w:color="auto"/>
        </w:pBdr>
        <w:ind w:left="714"/>
        <w:rPr>
          <w:noProof/>
        </w:rPr>
      </w:pPr>
      <w:r>
        <w:rPr>
          <w:noProof/>
        </w:rPr>
        <w:t xml:space="preserve">Το ΕΤΣΕ έχει αποδειχθεί χρήσιμο μέσο για την αντιμετώπιση των επενδυτικών κενών στην αγορά και των μη βέλτιστων επενδυτικών καταστάσεων, στον απόηχο της οικονομικής κρίσης. Δεδομένου ότι εξακολουθούν να υφίστανται επενδυτικά κενά στην αγορά, υπάρχει ανάγκη για επενδυτική στήριξη που θα είναι περισσότερο προσανατολισμένη στις πολιτικές προκειμένου να στοχεύει σε συγκεκριμένες μη βέλτιστες επενδυτικές καταστάσεις. </w:t>
      </w:r>
    </w:p>
    <w:p>
      <w:pPr>
        <w:pStyle w:val="ListParagraph"/>
        <w:pBdr>
          <w:top w:val="single" w:sz="4" w:space="1" w:color="auto"/>
          <w:left w:val="single" w:sz="4" w:space="4" w:color="auto"/>
          <w:bottom w:val="single" w:sz="4" w:space="1" w:color="auto"/>
          <w:right w:val="single" w:sz="4" w:space="4" w:color="auto"/>
        </w:pBdr>
        <w:ind w:left="714"/>
        <w:rPr>
          <w:noProof/>
        </w:rPr>
      </w:pPr>
      <w:r>
        <w:rPr>
          <w:noProof/>
        </w:rPr>
        <w:t xml:space="preserve">Η εγγύηση από τον προϋπολογισμό στο πλαίσιο του ΕΤΣΕ απέδειξε την αποτελεσματικότητα στην αύξηση του αντίκτυπου των περιορισμένων δημοσιονομικών πόρων. </w:t>
      </w:r>
    </w:p>
    <w:p>
      <w:pPr>
        <w:pStyle w:val="ListParagraph"/>
        <w:pBdr>
          <w:top w:val="single" w:sz="4" w:space="1" w:color="auto"/>
          <w:left w:val="single" w:sz="4" w:space="4" w:color="auto"/>
          <w:bottom w:val="single" w:sz="4" w:space="1" w:color="auto"/>
          <w:right w:val="single" w:sz="4" w:space="4" w:color="auto"/>
        </w:pBdr>
        <w:ind w:left="714"/>
        <w:rPr>
          <w:noProof/>
        </w:rPr>
      </w:pPr>
      <w:r>
        <w:rPr>
          <w:noProof/>
        </w:rPr>
        <w:t xml:space="preserve">Σε αρκετές περιπτώσεις παρατηρήθηκαν επικαλύψεις μεταξύ της στήριξης από το ΕΤΣΕ και των χρηματοδοτικών μέσων που τελούν υπό κεντρική διαχείριση, καθώς επίσης μεταξύ διαφορετικών χρηματοδοτικών μέσων που τελούν υπό κεντρική διαχείριση. Η ενοποίηση όλων των μελλοντικών ενωσιακών επενδυτικών </w:t>
      </w:r>
      <w:r>
        <w:rPr>
          <w:noProof/>
        </w:rPr>
        <w:lastRenderedPageBreak/>
        <w:t>προγραμμάτων σε ένα ενιαίο ταμείο αποσκοπεί στην απλοποίηση, την αυξημένη ευελιξία και την εξάλειψη των δυνητικών επικαλύψεων μεταξύ παρόμοιων ενωσιακών μέσων ενίσχυσης των επενδύσεων.</w:t>
      </w:r>
    </w:p>
    <w:p>
      <w:pPr>
        <w:pStyle w:val="ListParagraph"/>
        <w:pBdr>
          <w:top w:val="single" w:sz="4" w:space="1" w:color="auto"/>
          <w:left w:val="single" w:sz="4" w:space="4" w:color="auto"/>
          <w:bottom w:val="single" w:sz="4" w:space="1" w:color="auto"/>
          <w:right w:val="single" w:sz="4" w:space="4" w:color="auto"/>
        </w:pBdr>
        <w:ind w:left="714"/>
        <w:rPr>
          <w:noProof/>
        </w:rPr>
      </w:pPr>
      <w:r>
        <w:rPr>
          <w:noProof/>
        </w:rPr>
        <w:t>Οι υπηρεσίες παροχής συμβουλών και η τεχνική βοήθεια είναι άκρως απαραίτητες για τη βελτίωση της δυνατότητας των κρατών μελών και των φορέων υλοποίησης έργων για τη δημιουργία, την ανάπτυξη και την υλοποίηση επενδυτικών έργων. Για την περίοδο 2027-2021, προτείνεται η ενοποίηση των πρωτοβουλιών τεχνικής βοήθειας για την ενίσχυση επενδυτικών έργων στο πλαίσιο του προγράμματος InvestEU οι οποίες τελούν υπό κεντρική διαχείριση.</w:t>
      </w:r>
    </w:p>
    <w:p>
      <w:pPr>
        <w:pStyle w:val="Text1"/>
        <w:rPr>
          <w:noProof/>
          <w:color w:val="000000" w:themeColor="text1"/>
        </w:rPr>
      </w:pPr>
    </w:p>
    <w:p>
      <w:pPr>
        <w:pStyle w:val="Text1"/>
        <w:rPr>
          <w:noProof/>
          <w:color w:val="000000" w:themeColor="text1"/>
        </w:rPr>
      </w:pPr>
    </w:p>
    <w:p>
      <w:pPr>
        <w:pStyle w:val="ManualHeading3"/>
        <w:rPr>
          <w:bCs/>
          <w:noProof/>
          <w:szCs w:val="24"/>
        </w:rPr>
      </w:pPr>
      <w:r>
        <w:t>1.4.4.</w:t>
      </w:r>
      <w:r>
        <w:tab/>
      </w:r>
      <w:r>
        <w:rPr>
          <w:noProof/>
        </w:rPr>
        <w:t>Συμβατότητα και ενδεχόμενη συνέργεια με άλλα κατάλληλα μέσα</w:t>
      </w:r>
    </w:p>
    <w:p>
      <w:pPr>
        <w:pStyle w:val="Text1"/>
        <w:pBdr>
          <w:top w:val="single" w:sz="4" w:space="1" w:color="auto"/>
          <w:left w:val="single" w:sz="4" w:space="4" w:color="auto"/>
          <w:bottom w:val="single" w:sz="4" w:space="1" w:color="auto"/>
          <w:right w:val="single" w:sz="4" w:space="4" w:color="auto"/>
        </w:pBdr>
        <w:rPr>
          <w:noProof/>
        </w:rPr>
      </w:pPr>
      <w:r>
        <w:rPr>
          <w:noProof/>
        </w:rPr>
        <w:t>Το ταμείο InvestEU περιλαμβάνει ενωσιακή επιστρεπτέα ενίσχυση για χρηματοδοτικές και επενδυτικές δραστηριότητες μέσω παροχής ικανότητας ανάληψης κινδύνων με τη χρήση εγγύησης από τον προϋπολογισμό η οποία χορηγείται σε εταίρους υλοποίησης σε βασικούς τομείς πολιτικής. Επομένως, όλη αυτή η ενίσχυση χορηγείται στο πλαίσιο ενός ενιαίου μέσου για την ενίσχυση της μόχλευσης, τη μείωση της τροφοδότησης, την αποφυγή δυνητικών επικαλύψεων και την αύξηση της προβολής της δράσης της Ένωσης. Είναι δυνατός ο συνδυασμός με τη χορήγηση χρηματοδότησης, κατά περίπτωση, με σκοπό τη δημιουργία συνεργειών, π.χ. στους τομείς των μεταφορών, της έρευνας και της ψηφιακής τεχνολογίας.</w:t>
      </w:r>
    </w:p>
    <w:p>
      <w:pPr>
        <w:pStyle w:val="Text1"/>
        <w:pBdr>
          <w:top w:val="single" w:sz="4" w:space="1" w:color="auto"/>
          <w:left w:val="single" w:sz="4" w:space="4" w:color="auto"/>
          <w:bottom w:val="single" w:sz="4" w:space="1" w:color="auto"/>
          <w:right w:val="single" w:sz="4" w:space="4" w:color="auto"/>
        </w:pBdr>
        <w:rPr>
          <w:noProof/>
          <w:color w:val="000000" w:themeColor="text1"/>
        </w:rPr>
      </w:pPr>
      <w:r>
        <w:rPr>
          <w:noProof/>
        </w:rPr>
        <w:t>Η συνιστώσα για τα κράτη μέλη θα δώσει στα κράτη μέλη τη δυνατότητα μόχλευσης των κεφαλαίων που είναι διαθέσιμα στο πλαίσιο της χρηματοδότησης για τη συνοχή με ελκυστικό και απλουστευμένο τρόπο.</w:t>
      </w:r>
    </w:p>
    <w:p>
      <w:pPr>
        <w:pStyle w:val="ManualHeading2"/>
        <w:rPr>
          <w:bCs/>
          <w:noProof/>
          <w:szCs w:val="24"/>
        </w:rPr>
      </w:pPr>
      <w:r>
        <w:t>1.5.</w:t>
      </w:r>
      <w:r>
        <w:tab/>
      </w:r>
      <w:r>
        <w:rPr>
          <w:noProof/>
        </w:rPr>
        <w:t xml:space="preserve">Διάρκεια και δημοσιονομικές επιπτώσεις </w:t>
      </w:r>
    </w:p>
    <w:p>
      <w:pPr>
        <w:pStyle w:val="Text1"/>
        <w:rPr>
          <w:noProof/>
          <w:color w:val="000000" w:themeColor="text1"/>
        </w:rPr>
      </w:pPr>
      <w:r>
        <w:rPr>
          <w:noProof/>
          <w:color w:val="000000" w:themeColor="text1"/>
        </w:rPr>
        <w:t>X</w:t>
      </w:r>
      <w:r>
        <w:rPr>
          <w:b/>
          <w:i/>
          <w:noProof/>
          <w:color w:val="000000" w:themeColor="text1"/>
        </w:rPr>
        <w:t xml:space="preserve"> </w:t>
      </w:r>
      <w:r>
        <w:rPr>
          <w:b/>
          <w:noProof/>
          <w:color w:val="000000" w:themeColor="text1"/>
        </w:rPr>
        <w:t xml:space="preserve">περιορισμένη διάρκεια </w:t>
      </w:r>
    </w:p>
    <w:p>
      <w:pPr>
        <w:pStyle w:val="ListDash2"/>
        <w:rPr>
          <w:noProof/>
          <w:color w:val="000000" w:themeColor="text1"/>
        </w:rPr>
      </w:pPr>
      <w:r>
        <w:rPr>
          <w:noProof/>
          <w:color w:val="000000" w:themeColor="text1"/>
        </w:rPr>
        <w:t>X</w:t>
      </w:r>
      <w:r>
        <w:rPr>
          <w:noProof/>
        </w:rPr>
        <w:tab/>
      </w:r>
      <w:r>
        <w:rPr>
          <w:noProof/>
          <w:color w:val="000000" w:themeColor="text1"/>
        </w:rPr>
        <w:t>με ισχύ από 01/01/2021 έως 31/12/2027</w:t>
      </w:r>
    </w:p>
    <w:p>
      <w:pPr>
        <w:pStyle w:val="ListDash2"/>
        <w:rPr>
          <w:noProof/>
          <w:color w:val="000000" w:themeColor="text1"/>
        </w:rPr>
      </w:pPr>
      <w:r>
        <w:rPr>
          <w:noProof/>
          <w:color w:val="000000" w:themeColor="text1"/>
        </w:rPr>
        <w:t>X</w:t>
      </w:r>
      <w:r>
        <w:rPr>
          <w:noProof/>
        </w:rPr>
        <w:tab/>
      </w:r>
      <w:r>
        <w:rPr>
          <w:noProof/>
          <w:color w:val="000000" w:themeColor="text1"/>
        </w:rPr>
        <w:t>Δημοσιονομικές επιπτώσεις από το 2021 έως το 2027 για τις πιστώσεις ανάληψης υποχρεώσεων και από το 2021 έως το 2030 για τις πιστώσεις πληρωμών για την τροφοδότηση της εγγύησης της ΕΕ</w:t>
      </w:r>
    </w:p>
    <w:p>
      <w:pPr>
        <w:pStyle w:val="Text1"/>
        <w:rPr>
          <w:noProof/>
          <w:color w:val="000000" w:themeColor="text1"/>
        </w:rPr>
      </w:pPr>
      <w:r>
        <w:rPr>
          <w:noProof/>
          <w:color w:val="000000" w:themeColor="text1"/>
        </w:rPr>
        <w:sym w:font="Wingdings" w:char="F0A8"/>
      </w:r>
      <w:r>
        <w:rPr>
          <w:b/>
          <w:i/>
          <w:noProof/>
        </w:rPr>
        <w:t xml:space="preserve"> </w:t>
      </w:r>
      <w:r>
        <w:rPr>
          <w:b/>
          <w:noProof/>
        </w:rPr>
        <w:t>απεριόριστη διάρκεια</w:t>
      </w:r>
    </w:p>
    <w:p>
      <w:pPr>
        <w:pStyle w:val="ListDash1"/>
        <w:rPr>
          <w:noProof/>
          <w:color w:val="000000" w:themeColor="text1"/>
        </w:rPr>
      </w:pPr>
      <w:r>
        <w:rPr>
          <w:noProof/>
          <w:color w:val="000000" w:themeColor="text1"/>
        </w:rPr>
        <w:t>Περίοδος σταδιακής εφαρμογής από το ΕΕΕΕ έως το ΕΕΕΕ,</w:t>
      </w:r>
    </w:p>
    <w:p>
      <w:pPr>
        <w:pStyle w:val="ListDash1"/>
        <w:rPr>
          <w:noProof/>
          <w:color w:val="000000" w:themeColor="text1"/>
        </w:rPr>
      </w:pPr>
      <w:r>
        <w:rPr>
          <w:noProof/>
          <w:color w:val="000000" w:themeColor="text1"/>
        </w:rPr>
        <w:t>και στη συνέχεια πλήρης εφαρμογή.</w:t>
      </w:r>
    </w:p>
    <w:p>
      <w:pPr>
        <w:pStyle w:val="ManualHeading2"/>
        <w:rPr>
          <w:bCs/>
          <w:noProof/>
          <w:szCs w:val="24"/>
        </w:rPr>
      </w:pPr>
      <w:r>
        <w:t>1.6.</w:t>
      </w:r>
      <w:r>
        <w:tab/>
      </w:r>
      <w:r>
        <w:rPr>
          <w:noProof/>
        </w:rPr>
        <w:t>Προβλεπόμενος/-οι τρόπος/-οι διαχείρισης</w:t>
      </w:r>
      <w:r>
        <w:rPr>
          <w:rStyle w:val="FootnoteReference"/>
          <w:noProof/>
          <w:color w:val="000000" w:themeColor="text1"/>
        </w:rPr>
        <w:footnoteReference w:id="31"/>
      </w:r>
      <w:r>
        <w:rPr>
          <w:rStyle w:val="FootnoteReference"/>
          <w:noProof/>
          <w:color w:val="000000" w:themeColor="text1"/>
        </w:rPr>
        <w:t xml:space="preserve"> </w:t>
      </w:r>
    </w:p>
    <w:p>
      <w:pPr>
        <w:pStyle w:val="Text1"/>
        <w:rPr>
          <w:noProof/>
          <w:color w:val="000000" w:themeColor="text1"/>
        </w:rPr>
      </w:pPr>
      <w:r>
        <w:rPr>
          <w:noProof/>
          <w:color w:val="000000" w:themeColor="text1"/>
        </w:rPr>
        <w:t>X</w:t>
      </w:r>
      <w:r>
        <w:rPr>
          <w:i/>
          <w:noProof/>
          <w:color w:val="000000" w:themeColor="text1"/>
        </w:rPr>
        <w:t xml:space="preserve"> </w:t>
      </w:r>
      <w:r>
        <w:rPr>
          <w:b/>
          <w:noProof/>
          <w:color w:val="000000" w:themeColor="text1"/>
        </w:rPr>
        <w:t>Άμεση διαχείριση</w:t>
      </w:r>
      <w:r>
        <w:rPr>
          <w:noProof/>
          <w:color w:val="000000" w:themeColor="text1"/>
        </w:rPr>
        <w:t xml:space="preserve"> από την Επιτροπή</w:t>
      </w:r>
    </w:p>
    <w:p>
      <w:pPr>
        <w:pStyle w:val="ListDash2"/>
        <w:rPr>
          <w:rFonts w:cs="EUAlbertina"/>
          <w:noProof/>
          <w:color w:val="000000" w:themeColor="text1"/>
        </w:rPr>
      </w:pPr>
      <w:r>
        <w:rPr>
          <w:noProof/>
          <w:color w:val="000000" w:themeColor="text1"/>
        </w:rPr>
        <w:t xml:space="preserve">X από τις υπηρεσίες της, συμπεριλαμβανομένου του προσωπικού της στις αντιπροσωπείες της Ένωσης· </w:t>
      </w:r>
    </w:p>
    <w:p>
      <w:pPr>
        <w:pStyle w:val="ListDash2"/>
        <w:rPr>
          <w:noProof/>
          <w:color w:val="000000" w:themeColor="text1"/>
        </w:rPr>
      </w:pPr>
      <w:r>
        <w:rPr>
          <w:noProof/>
          <w:color w:val="000000" w:themeColor="text1"/>
        </w:rPr>
        <w:sym w:font="Wingdings" w:char="F0A8"/>
      </w:r>
      <w:r>
        <w:rPr>
          <w:noProof/>
        </w:rPr>
        <w:tab/>
        <w:t>από τους εκτελεστικούς οργανισμούς</w:t>
      </w:r>
      <w:r>
        <w:rPr>
          <w:noProof/>
          <w:color w:val="000000" w:themeColor="text1"/>
        </w:rPr>
        <w:t xml:space="preserve"> </w:t>
      </w:r>
    </w:p>
    <w:p>
      <w:pPr>
        <w:pStyle w:val="Text1"/>
        <w:rPr>
          <w:noProof/>
          <w:color w:val="000000" w:themeColor="text1"/>
        </w:rPr>
      </w:pPr>
      <w:r>
        <w:rPr>
          <w:noProof/>
          <w:color w:val="000000" w:themeColor="text1"/>
        </w:rPr>
        <w:lastRenderedPageBreak/>
        <w:sym w:font="Wingdings" w:char="F0A8"/>
      </w:r>
      <w:r>
        <w:rPr>
          <w:b/>
          <w:i/>
          <w:noProof/>
        </w:rPr>
        <w:t xml:space="preserve"> </w:t>
      </w:r>
      <w:r>
        <w:rPr>
          <w:b/>
          <w:noProof/>
        </w:rPr>
        <w:t>Επιμερισμένη διαχείριση</w:t>
      </w:r>
      <w:r>
        <w:rPr>
          <w:noProof/>
        </w:rPr>
        <w:t xml:space="preserve"> με τα κράτη μέλη</w:t>
      </w:r>
      <w:r>
        <w:rPr>
          <w:noProof/>
          <w:color w:val="000000" w:themeColor="text1"/>
        </w:rPr>
        <w:t xml:space="preserve"> </w:t>
      </w:r>
    </w:p>
    <w:p>
      <w:pPr>
        <w:pStyle w:val="Text1"/>
        <w:rPr>
          <w:noProof/>
          <w:color w:val="000000" w:themeColor="text1"/>
        </w:rPr>
      </w:pPr>
      <w:r>
        <w:rPr>
          <w:noProof/>
          <w:color w:val="000000" w:themeColor="text1"/>
        </w:rPr>
        <w:t>X</w:t>
      </w:r>
      <w:r>
        <w:rPr>
          <w:i/>
          <w:noProof/>
          <w:color w:val="000000" w:themeColor="text1"/>
        </w:rPr>
        <w:t xml:space="preserve"> </w:t>
      </w:r>
      <w:r>
        <w:rPr>
          <w:b/>
          <w:noProof/>
          <w:color w:val="000000" w:themeColor="text1"/>
        </w:rPr>
        <w:t>Έμμεση διαχείριση</w:t>
      </w:r>
      <w:r>
        <w:rPr>
          <w:noProof/>
          <w:color w:val="000000" w:themeColor="text1"/>
        </w:rPr>
        <w:t xml:space="preserve"> με ανάθεση καθηκόντων εκτέλεσης του προϋπολογισμού:</w:t>
      </w:r>
    </w:p>
    <w:p>
      <w:pPr>
        <w:pStyle w:val="ListDash2"/>
        <w:rPr>
          <w:noProof/>
          <w:color w:val="000000" w:themeColor="text1"/>
        </w:rPr>
      </w:pPr>
      <w:r>
        <w:rPr>
          <w:noProof/>
          <w:color w:val="000000" w:themeColor="text1"/>
        </w:rPr>
        <w:sym w:font="Wingdings" w:char="F0A8"/>
      </w:r>
      <w:r>
        <w:rPr>
          <w:noProof/>
        </w:rPr>
        <w:t xml:space="preserve"> σε τρίτες χώρες ή οργανισμούς που αυτές έχουν ορίσει</w:t>
      </w:r>
    </w:p>
    <w:p>
      <w:pPr>
        <w:pStyle w:val="ListDash2"/>
        <w:rPr>
          <w:noProof/>
          <w:color w:val="000000" w:themeColor="text1"/>
        </w:rPr>
      </w:pPr>
      <w:r>
        <w:rPr>
          <w:noProof/>
          <w:color w:val="000000" w:themeColor="text1"/>
        </w:rPr>
        <w:t xml:space="preserve">X σε διεθνείς οργανισμούς και υπηρεσίες (ενδεχομένως, </w:t>
      </w:r>
      <w:r>
        <w:rPr>
          <w:i/>
          <w:noProof/>
          <w:color w:val="000000" w:themeColor="text1"/>
        </w:rPr>
        <w:t>μεταξύ άλλων</w:t>
      </w:r>
      <w:r>
        <w:rPr>
          <w:noProof/>
          <w:color w:val="000000" w:themeColor="text1"/>
        </w:rPr>
        <w:t>, την Ευρωπαϊκή Τράπεζα Ανασυγκρότησης και Ανάπτυξης, την Τράπεζα του Συμβουλίου της Ευρώπης, την Παγκόσμια Τράπεζα)·</w:t>
      </w:r>
    </w:p>
    <w:p>
      <w:pPr>
        <w:pStyle w:val="ListDash2"/>
        <w:rPr>
          <w:noProof/>
          <w:color w:val="000000" w:themeColor="text1"/>
        </w:rPr>
      </w:pPr>
      <w:r>
        <w:rPr>
          <w:noProof/>
          <w:color w:val="000000" w:themeColor="text1"/>
        </w:rPr>
        <w:t>X στην Ευρωπαϊκή Τράπεζα Επενδύσεων·</w:t>
      </w:r>
    </w:p>
    <w:p>
      <w:pPr>
        <w:pStyle w:val="ListDash2"/>
        <w:rPr>
          <w:noProof/>
          <w:color w:val="000000" w:themeColor="text1"/>
        </w:rPr>
      </w:pPr>
      <w:r>
        <w:rPr>
          <w:noProof/>
          <w:color w:val="000000" w:themeColor="text1"/>
        </w:rPr>
        <w:sym w:font="Wingdings" w:char="F0A8"/>
      </w:r>
      <w:r>
        <w:rPr>
          <w:noProof/>
        </w:rPr>
        <w:t xml:space="preserve"> στους οργανισμούς που αναφέρονται στα άρθρα 70 και 71 του δημοσιονομικού κανονισμού</w:t>
      </w:r>
    </w:p>
    <w:p>
      <w:pPr>
        <w:pStyle w:val="ListDash2"/>
        <w:rPr>
          <w:noProof/>
          <w:color w:val="000000" w:themeColor="text1"/>
        </w:rPr>
      </w:pPr>
      <w:r>
        <w:rPr>
          <w:noProof/>
          <w:color w:val="000000" w:themeColor="text1"/>
        </w:rPr>
        <w:t>X σε οργανισμούς δημοσίου δικαίου·</w:t>
      </w:r>
    </w:p>
    <w:p>
      <w:pPr>
        <w:pStyle w:val="ListDash2"/>
        <w:rPr>
          <w:noProof/>
          <w:color w:val="000000" w:themeColor="text1"/>
        </w:rPr>
      </w:pPr>
      <w:r>
        <w:rPr>
          <w:noProof/>
          <w:color w:val="000000" w:themeColor="text1"/>
        </w:rPr>
        <w:t>X σε οργανισμούς ιδιωτικού δικαίου επιφορτισμένους με αποστολή δημόσιας υπηρεσίας στον βαθμό που προσφέρουν επαρκείς οικονομικές εγγυήσεις·</w:t>
      </w:r>
    </w:p>
    <w:p>
      <w:pPr>
        <w:pStyle w:val="ListDash2"/>
        <w:rPr>
          <w:noProof/>
          <w:color w:val="000000" w:themeColor="text1"/>
        </w:rPr>
      </w:pPr>
      <w:r>
        <w:rPr>
          <w:noProof/>
          <w:color w:val="000000" w:themeColor="text1"/>
        </w:rPr>
        <w:t>X σε οργανισμούς που διέπονται από το ιδιωτικό δίκαιο κράτους μέλους, στους οποίους έχει ανατεθεί η εκτέλεση σύμπραξης δημόσιου και ιδιωτικού τομέα και που προσφέρουν επαρκείς οικονομικές εγγυήσεις·</w:t>
      </w:r>
    </w:p>
    <w:p>
      <w:pPr>
        <w:pStyle w:val="ListDash2"/>
        <w:rPr>
          <w:noProof/>
          <w:color w:val="000000" w:themeColor="text1"/>
        </w:rPr>
      </w:pPr>
      <w:r>
        <w:rPr>
          <w:noProof/>
          <w:color w:val="000000" w:themeColor="text1"/>
        </w:rPr>
        <w:sym w:font="Wingdings" w:char="F0A8"/>
      </w:r>
      <w:r>
        <w:rPr>
          <w:noProof/>
        </w:rPr>
        <w:t xml:space="preserve"> σε πρόσωπα επιφορτισμένα με την εκτέλεση συγκεκριμένων δράσεων στην ΚΕΠΠΑ βάσει του τίτλου V της ΣΕΕ και τα οποία προσδιορίζονται στην αντίστοιχη βασική πράξη</w:t>
      </w:r>
    </w:p>
    <w:p>
      <w:pPr>
        <w:rPr>
          <w:noProof/>
          <w:color w:val="000000" w:themeColor="text1"/>
        </w:rPr>
      </w:pPr>
      <w:r>
        <w:rPr>
          <w:noProof/>
          <w:color w:val="000000" w:themeColor="text1"/>
        </w:rPr>
        <w:t xml:space="preserve">Παρατηρήσεις </w:t>
      </w:r>
    </w:p>
    <w:p>
      <w:pPr>
        <w:pBdr>
          <w:top w:val="single" w:sz="4" w:space="1" w:color="auto"/>
          <w:left w:val="single" w:sz="4" w:space="4" w:color="auto"/>
          <w:bottom w:val="single" w:sz="4" w:space="1" w:color="auto"/>
          <w:right w:val="single" w:sz="4" w:space="4" w:color="auto"/>
        </w:pBdr>
        <w:rPr>
          <w:noProof/>
          <w:color w:val="000000" w:themeColor="text1"/>
        </w:rPr>
      </w:pPr>
      <w:r>
        <w:rPr>
          <w:noProof/>
        </w:rPr>
        <w:t>Οι εταίροι υλοποίησης επιλέγονται από την Επιτροπή βάσει των κριτηρίων που ορίζονται στη νομοθετική πρόταση. Δύνανται να περιλαμβάνουν όλους ή ορισμένους από τους ως άνω φορείς.</w:t>
      </w:r>
    </w:p>
    <w:p>
      <w:pPr>
        <w:pBdr>
          <w:top w:val="single" w:sz="4" w:space="1" w:color="auto"/>
          <w:left w:val="single" w:sz="4" w:space="4" w:color="auto"/>
          <w:bottom w:val="single" w:sz="4" w:space="1" w:color="auto"/>
          <w:right w:val="single" w:sz="4" w:space="4" w:color="auto"/>
        </w:pBdr>
        <w:rPr>
          <w:noProof/>
          <w:color w:val="000000" w:themeColor="text1"/>
        </w:rPr>
      </w:pPr>
      <w:r>
        <w:rPr>
          <w:noProof/>
          <w:color w:val="000000" w:themeColor="text1"/>
        </w:rPr>
        <w:t>Η άμεση διαχείριση δύναται να αφορά μέρος της υλοποίησης του συμβουλευτικού κόμβου InvestEU και της πύλης InvestEU.</w:t>
      </w:r>
    </w:p>
    <w:p>
      <w:pPr>
        <w:pStyle w:val="ManualHeading1"/>
        <w:rPr>
          <w:bCs/>
          <w:noProof/>
          <w:szCs w:val="24"/>
        </w:rPr>
      </w:pPr>
      <w:r>
        <w:t>2.</w:t>
      </w:r>
      <w:r>
        <w:tab/>
      </w:r>
      <w:r>
        <w:rPr>
          <w:noProof/>
        </w:rPr>
        <w:t xml:space="preserve">ΜΕΤΡΑ ΔΙΑΧΕΙΡΙΣΗΣ </w:t>
      </w:r>
    </w:p>
    <w:p>
      <w:pPr>
        <w:pStyle w:val="ManualHeading2"/>
        <w:rPr>
          <w:noProof/>
        </w:rPr>
      </w:pPr>
      <w:r>
        <w:t>2.1.</w:t>
      </w:r>
      <w:r>
        <w:tab/>
      </w:r>
      <w:r>
        <w:rPr>
          <w:noProof/>
        </w:rPr>
        <w:t xml:space="preserve">Κανόνες παρακολούθησης και υποβολής εκθέσεων </w:t>
      </w:r>
    </w:p>
    <w:p>
      <w:pPr>
        <w:pStyle w:val="Text1"/>
        <w:pBdr>
          <w:top w:val="single" w:sz="4" w:space="1" w:color="auto"/>
          <w:left w:val="single" w:sz="4" w:space="4" w:color="auto"/>
          <w:bottom w:val="single" w:sz="4" w:space="1" w:color="auto"/>
          <w:right w:val="single" w:sz="4" w:space="4" w:color="auto"/>
        </w:pBdr>
        <w:rPr>
          <w:noProof/>
        </w:rPr>
      </w:pPr>
      <w:r>
        <w:rPr>
          <w:noProof/>
        </w:rPr>
        <w:t>Οι εταίροι υλοποίησης υποβάλλουν εκθέσεις στην Επιτροπή σε τακτική βάση σύμφωνα με τον [δημοσιονομικό κανονισμό]. Για την παρακολούθηση, εφαρμόζουν τους κανόνες και τις διαδικασίες που έχουν αξιολογηθεί σύμφωνα με το [άρθρο 154] του [δημοσιονομικού κανονισμού], ώστε να πληρούν τις απαιτήσεις που ορίζονται σε αυτόν.</w:t>
      </w:r>
    </w:p>
    <w:p>
      <w:pPr>
        <w:pStyle w:val="Text1"/>
        <w:pBdr>
          <w:top w:val="single" w:sz="4" w:space="1" w:color="auto"/>
          <w:left w:val="single" w:sz="4" w:space="4" w:color="auto"/>
          <w:bottom w:val="single" w:sz="4" w:space="1" w:color="auto"/>
          <w:right w:val="single" w:sz="4" w:space="4" w:color="auto"/>
        </w:pBdr>
        <w:rPr>
          <w:noProof/>
          <w:color w:val="000000" w:themeColor="text1"/>
        </w:rPr>
      </w:pPr>
      <w:r>
        <w:rPr>
          <w:noProof/>
        </w:rPr>
        <w:t>Η Επιτροπή θα παρακολουθεί τις επιδόσεις ανά σκέλος πολιτικής.</w:t>
      </w:r>
    </w:p>
    <w:p>
      <w:pPr>
        <w:pStyle w:val="ManualHeading2"/>
        <w:rPr>
          <w:bCs/>
          <w:noProof/>
          <w:szCs w:val="24"/>
        </w:rPr>
      </w:pPr>
      <w:r>
        <w:t>2.2.</w:t>
      </w:r>
      <w:r>
        <w:tab/>
      </w:r>
      <w:r>
        <w:rPr>
          <w:noProof/>
        </w:rPr>
        <w:t xml:space="preserve">Σύστημα διαχείρισης και ελέγχου </w:t>
      </w:r>
    </w:p>
    <w:p>
      <w:pPr>
        <w:pStyle w:val="ManualHeading3"/>
        <w:rPr>
          <w:noProof/>
        </w:rPr>
      </w:pPr>
      <w:r>
        <w:t>2.2.1.</w:t>
      </w:r>
      <w:r>
        <w:tab/>
      </w:r>
      <w:r>
        <w:rPr>
          <w:noProof/>
        </w:rPr>
        <w:t>Αιτιολόγηση των τρόπων διαχείρισης, των μηχανισμών εκτέλεσης της χρηματοδότησης, των όρων πληρωμής και της προτεινόμενης στρατηγικής ελέγχου</w:t>
      </w:r>
    </w:p>
    <w:p>
      <w:pPr>
        <w:pStyle w:val="Text1"/>
        <w:pBdr>
          <w:top w:val="single" w:sz="4" w:space="1" w:color="auto"/>
          <w:left w:val="single" w:sz="4" w:space="4" w:color="auto"/>
          <w:bottom w:val="single" w:sz="4" w:space="1" w:color="auto"/>
          <w:right w:val="single" w:sz="4" w:space="4" w:color="auto"/>
        </w:pBdr>
        <w:rPr>
          <w:noProof/>
          <w:color w:val="000000" w:themeColor="text1"/>
        </w:rPr>
      </w:pPr>
      <w:r>
        <w:rPr>
          <w:noProof/>
        </w:rPr>
        <w:t xml:space="preserve">Η εγγύηση της ΕΕ στο πλαίσιο του ταμείου InvestEU δύναται να χορηγηθεί μόνο υπό έμμεση διαχείριση μέσω εταίρων υλοποίησης, που συμβάλλουν κατά κανόνα και αυτοί στην ενίσχυση η οποία παρέχεται στους τελικούς αποδέκτες. Οι εταίροι υλοποίησης αποτελούνται από διεθνή χρηματοπιστωτικά ιδρύματα, εθνικές αναπτυξιακές τράπεζες και ιδρύματα και λοιπούς χρηματοδοτικούς ενδιάμεσους φορείς που είναι οργανισμοί της Ένωσης, οι οποίοι τελούν υπό ρύθμιση ή/και υπό </w:t>
      </w:r>
      <w:r>
        <w:rPr>
          <w:noProof/>
        </w:rPr>
        <w:lastRenderedPageBreak/>
        <w:t xml:space="preserve">την εποπτεία του τραπεζικού τομέα. Οι δραστηριότητες που επωφελούνται από την ενίσχυση της εγγύησης της ΕΕ εξακολουθούν να είναι δραστηριότητες εγκεκριμένες από τα διοικητικά όργανα των εταίρων υλοποίησης, τα οποία θα πρέπει να εφαρμόζουν το πλαίσιο δέουσας επιμέλειας και ελέγχου τους επί των δραστηριοτήτων αυτών. Οι εταίροι υλοποίησης παρέχουν ελεγμένες οικονομικές καταστάσεις στην Επιτροπή. </w:t>
      </w:r>
    </w:p>
    <w:p>
      <w:pPr>
        <w:pStyle w:val="Text1"/>
        <w:pBdr>
          <w:top w:val="single" w:sz="4" w:space="1" w:color="auto"/>
          <w:left w:val="single" w:sz="4" w:space="4" w:color="auto"/>
          <w:bottom w:val="single" w:sz="4" w:space="1" w:color="auto"/>
          <w:right w:val="single" w:sz="4" w:space="4" w:color="auto"/>
        </w:pBdr>
        <w:rPr>
          <w:noProof/>
          <w:color w:val="000000" w:themeColor="text1"/>
        </w:rPr>
      </w:pPr>
    </w:p>
    <w:p>
      <w:pPr>
        <w:pStyle w:val="ManualHeading3"/>
        <w:rPr>
          <w:bCs/>
          <w:noProof/>
          <w:szCs w:val="24"/>
        </w:rPr>
      </w:pPr>
      <w:r>
        <w:t>2.2.2.</w:t>
      </w:r>
      <w:r>
        <w:tab/>
      </w:r>
      <w:r>
        <w:rPr>
          <w:noProof/>
        </w:rPr>
        <w:t>Πληροφορίες σχετικά με τους κινδύνους που έχουν εντοπιστεί και τα συστήματα εσωτερικού ελέγχου που έχουν δημιουργηθεί για τον μετριασμό τους</w:t>
      </w:r>
    </w:p>
    <w:p>
      <w:pPr>
        <w:pStyle w:val="Text1"/>
        <w:pBdr>
          <w:top w:val="single" w:sz="4" w:space="1" w:color="auto"/>
          <w:left w:val="single" w:sz="4" w:space="4" w:color="auto"/>
          <w:bottom w:val="single" w:sz="4" w:space="1" w:color="auto"/>
          <w:right w:val="single" w:sz="4" w:space="4" w:color="auto"/>
        </w:pBdr>
        <w:rPr>
          <w:noProof/>
        </w:rPr>
      </w:pPr>
      <w:r>
        <w:rPr>
          <w:noProof/>
        </w:rPr>
        <w:t>Ο κίνδυνος για τον προϋπολογισμό της Ένωσης συνδέεται με την εγγύηση που παρέχεται από τον προϋπολογισμό της Ένωσης στους εταίρους υλοποίησης για τις χρηματοδοτικές και επενδυτικές δραστηριότητές τους. Η εγγύηση της ΕΕ παρέχει αμετάκλητη εγγύηση σε πρώτη ζήτηση επί τη βάσει χαρτοφυλακίου για τις καλυπτόμενες δραστηριότητες. Ο προϋπολογισμός της Ένωσης και ο εταίρος υλοποίησης μοιράζονται το αντίτιμο που σχετίζεται με την ανάληψη κινδύνου από τις δραστηριότητες σύμφωνα με το μερίδιο του καθενός στην ανάληψη κινδύνου.</w:t>
      </w:r>
    </w:p>
    <w:p>
      <w:pPr>
        <w:pStyle w:val="Text1"/>
        <w:pBdr>
          <w:top w:val="single" w:sz="4" w:space="1" w:color="auto"/>
          <w:left w:val="single" w:sz="4" w:space="4" w:color="auto"/>
          <w:bottom w:val="single" w:sz="4" w:space="1" w:color="auto"/>
          <w:right w:val="single" w:sz="4" w:space="4" w:color="auto"/>
        </w:pBdr>
        <w:rPr>
          <w:noProof/>
        </w:rPr>
      </w:pPr>
      <w:r>
        <w:rPr>
          <w:noProof/>
        </w:rPr>
        <w:t xml:space="preserve">Η εγγύηση της ΕΕ περιορίζεται στα 38 000 000 000 ευρώ. </w:t>
      </w:r>
    </w:p>
    <w:p>
      <w:pPr>
        <w:pStyle w:val="Text1"/>
        <w:pBdr>
          <w:top w:val="single" w:sz="4" w:space="1" w:color="auto"/>
          <w:left w:val="single" w:sz="4" w:space="4" w:color="auto"/>
          <w:bottom w:val="single" w:sz="4" w:space="1" w:color="auto"/>
          <w:right w:val="single" w:sz="4" w:space="4" w:color="auto"/>
        </w:pBdr>
        <w:rPr>
          <w:noProof/>
        </w:rPr>
      </w:pPr>
      <w:r>
        <w:rPr>
          <w:noProof/>
        </w:rPr>
        <w:t>Η εγγραφή στον προϋπολογισμό («p.m.») που αντιστοιχεί στην εγγύηση του προϋπολογισμού για τον εταίρο υλοποίησης ενεργοποιείται μόνο σε περίπτωση πραγματικής κατάπτωσης της εγγύησης η οποία δεν μπορεί να καλυφθεί εξ ολοκλήρου από την τροφοδότηση (που χρηματοδοτείται τουλάχιστον με 15 200 000 ευρώ σταδιακά έως το τέλος του 2030). Το ποσοστό τροφοδότησης του 40 % βασίζεται στην προηγούμενη πείρα από το ΕΤΣΕ και τα χρηματοδοτικά μέσα.</w:t>
      </w:r>
    </w:p>
    <w:p>
      <w:pPr>
        <w:pStyle w:val="Text1"/>
        <w:pBdr>
          <w:top w:val="single" w:sz="4" w:space="1" w:color="auto"/>
          <w:left w:val="single" w:sz="4" w:space="4" w:color="auto"/>
          <w:bottom w:val="single" w:sz="4" w:space="1" w:color="auto"/>
          <w:right w:val="single" w:sz="4" w:space="4" w:color="auto"/>
        </w:pBdr>
        <w:rPr>
          <w:noProof/>
        </w:rPr>
      </w:pPr>
      <w:r>
        <w:rPr>
          <w:noProof/>
        </w:rPr>
        <w:t>Η ενδεχόμενη υποχρέωση που αφορά τη συνιστώσα για τα κράτη μέλη θα καλύπτεται μέσω αντεγγύησης από κάθε οικείο κράτος μέλος.</w:t>
      </w:r>
    </w:p>
    <w:p>
      <w:pPr>
        <w:pStyle w:val="Text1"/>
        <w:pBdr>
          <w:top w:val="single" w:sz="4" w:space="1" w:color="auto"/>
          <w:left w:val="single" w:sz="4" w:space="4" w:color="auto"/>
          <w:bottom w:val="single" w:sz="4" w:space="1" w:color="auto"/>
          <w:right w:val="single" w:sz="4" w:space="4" w:color="auto"/>
        </w:pBdr>
        <w:rPr>
          <w:noProof/>
        </w:rPr>
      </w:pPr>
      <w:r>
        <w:rPr>
          <w:noProof/>
        </w:rPr>
        <w:t xml:space="preserve">Οι χρηματοδοτικές και επενδυτικές δραστηριότητες στο πλαίσιο του προγράμματος InvestEU υλοποιούνται σύμφωνα με τους τυποποιημένους εσωτερικούς κανονισμούς των εταίρων υλοποίησης και την ορθή τραπεζική πρακτική. Οι επιλεχθέντες εταίροι υλοποίησης και η Επιτροπή συνάπτουν συμφωνία εγγύησης η οποία ορίζει τις λεπτομερείς διατάξεις και διαδικασίες σχετικά με την υλοποίηση του ταμείου InvestEU. </w:t>
      </w:r>
    </w:p>
    <w:p>
      <w:pPr>
        <w:pStyle w:val="Text1"/>
        <w:pBdr>
          <w:top w:val="single" w:sz="4" w:space="1" w:color="auto"/>
          <w:left w:val="single" w:sz="4" w:space="4" w:color="auto"/>
          <w:bottom w:val="single" w:sz="4" w:space="1" w:color="auto"/>
          <w:right w:val="single" w:sz="4" w:space="4" w:color="auto"/>
        </w:pBdr>
        <w:rPr>
          <w:noProof/>
        </w:rPr>
      </w:pPr>
      <w:r>
        <w:rPr>
          <w:noProof/>
        </w:rPr>
        <w:t>Εφόσον ο εταίρος υλοποίησης αναλαμβάνει κατά κανόνα μέρος του κινδύνου, τα συμφέροντα της Ένωσης και του εταίρου υλοποίησης ευθυγραμμίζονται, γεγονός που μετριάζει τον κίνδυνο για τον προϋπολογισμό. Είναι επίσης χρηματοπιστωτικά ιδρύματα που εφαρμόζουν κατάλληλους κανόνες και διαδικασίες που θα ελέγχονται μέσω της αξιολόγησης των πυλώνων σύμφωνα με τον [δημοσιονομικό κανονισμό].</w:t>
      </w:r>
    </w:p>
    <w:p>
      <w:pPr>
        <w:pStyle w:val="Text1"/>
        <w:pBdr>
          <w:top w:val="single" w:sz="4" w:space="1" w:color="auto"/>
          <w:left w:val="single" w:sz="4" w:space="4" w:color="auto"/>
          <w:bottom w:val="single" w:sz="4" w:space="1" w:color="auto"/>
          <w:right w:val="single" w:sz="4" w:space="4" w:color="auto"/>
        </w:pBdr>
        <w:rPr>
          <w:noProof/>
        </w:rPr>
      </w:pPr>
      <w:r>
        <w:rPr>
          <w:noProof/>
        </w:rPr>
        <w:t>Θα εφαρμοστεί ειδική διάρθρωση διακυβέρνησης για την αξιολόγηση των σχετικών χρηματοοικονομικών κινδύνων των δραστηριοτήτων (ομάδα έργου) ή για τη χορήγηση της χρήσης της εγγύησης της ΕΕ (Επιτροπή Επενδύσεων).</w:t>
      </w:r>
    </w:p>
    <w:p>
      <w:pPr>
        <w:pStyle w:val="Text1"/>
        <w:pBdr>
          <w:top w:val="single" w:sz="4" w:space="1" w:color="auto"/>
          <w:left w:val="single" w:sz="4" w:space="4" w:color="auto"/>
          <w:bottom w:val="single" w:sz="4" w:space="1" w:color="auto"/>
          <w:right w:val="single" w:sz="4" w:space="4" w:color="auto"/>
        </w:pBdr>
        <w:rPr>
          <w:noProof/>
        </w:rPr>
      </w:pPr>
      <w:r>
        <w:rPr>
          <w:noProof/>
        </w:rPr>
        <w:t>Η Επιτροπή θα λαμβάνει από τους εταίρους υλοποίησης ετήσιες ελεγμένες οικονομικές καταστάσεις που καλύπτουν τις δραστηριότητες.</w:t>
      </w:r>
    </w:p>
    <w:p>
      <w:pPr>
        <w:pStyle w:val="ManualHeading3"/>
        <w:rPr>
          <w:noProof/>
        </w:rPr>
      </w:pPr>
      <w:r>
        <w:lastRenderedPageBreak/>
        <w:t>2.2.3.</w:t>
      </w:r>
      <w:r>
        <w:tab/>
      </w:r>
      <w:r>
        <w:rPr>
          <w:noProof/>
        </w:rPr>
        <w:t xml:space="preserve">Εκτίμηση και αιτιολόγηση της οικονομικής αποδοτικότητας των ελέγχων (λόγος του κόστους του ελέγχου ÷ της αξίας των σχετικών κονδυλίων που αποτελούν αντικείμενο διαχείρισης) και αξιολόγηση του εκτιμώμενου επιπέδου κινδύνου σφάλματος (κατά την πληρωμή και κατά το κλείσιμο) </w:t>
      </w:r>
    </w:p>
    <w:p>
      <w:pPr>
        <w:pStyle w:val="Text1"/>
        <w:pBdr>
          <w:top w:val="single" w:sz="4" w:space="1" w:color="auto"/>
          <w:left w:val="single" w:sz="4" w:space="4" w:color="auto"/>
          <w:bottom w:val="single" w:sz="4" w:space="1" w:color="auto"/>
          <w:right w:val="single" w:sz="4" w:space="4" w:color="auto"/>
        </w:pBdr>
        <w:rPr>
          <w:noProof/>
        </w:rPr>
      </w:pPr>
      <w:r>
        <w:rPr>
          <w:noProof/>
        </w:rPr>
        <w:t xml:space="preserve">Α/Α </w:t>
      </w:r>
    </w:p>
    <w:p>
      <w:pPr>
        <w:pStyle w:val="Text1"/>
        <w:pBdr>
          <w:top w:val="single" w:sz="4" w:space="1" w:color="auto"/>
          <w:left w:val="single" w:sz="4" w:space="4" w:color="auto"/>
          <w:bottom w:val="single" w:sz="4" w:space="1" w:color="auto"/>
          <w:right w:val="single" w:sz="4" w:space="4" w:color="auto"/>
        </w:pBdr>
        <w:rPr>
          <w:noProof/>
        </w:rPr>
      </w:pPr>
      <w:r>
        <w:rPr>
          <w:noProof/>
        </w:rPr>
        <w:t>Η ΕΕ εγγυάται δραστηριότητες που εκτελούνται από εντεταλμένες οντότητες σύμφωνα με τους κανόνες και τις διαδικασίες τους, συμπεριλαμβανομένου του πλαισίου εσωτερικού ελέγχου τους. Θα προκύψουν δαπάνες για τον προϋπολογισμό της ΕΕ μόνο σε σχέση με τις συγκεκριμένες απαιτήσεις που επιβάλλει η ΕΕ πέραν του πλαισίου εσωτερικού ελέγχου των εντεταλμένων οντοτήτων. Οι δαπάνες αυτές δεν δύνανται να υπολογιστούν ακόμη.</w:t>
      </w:r>
    </w:p>
    <w:p>
      <w:pPr>
        <w:pStyle w:val="Text1"/>
        <w:pBdr>
          <w:top w:val="single" w:sz="4" w:space="1" w:color="auto"/>
          <w:left w:val="single" w:sz="4" w:space="4" w:color="auto"/>
          <w:bottom w:val="single" w:sz="4" w:space="1" w:color="auto"/>
          <w:right w:val="single" w:sz="4" w:space="4" w:color="auto"/>
        </w:pBdr>
        <w:rPr>
          <w:noProof/>
          <w:color w:val="000000" w:themeColor="text1"/>
        </w:rPr>
      </w:pPr>
    </w:p>
    <w:p>
      <w:pPr>
        <w:pStyle w:val="ManualHeading2"/>
        <w:rPr>
          <w:bCs/>
          <w:noProof/>
          <w:szCs w:val="24"/>
        </w:rPr>
      </w:pPr>
      <w:r>
        <w:t>2.3.</w:t>
      </w:r>
      <w:r>
        <w:tab/>
      </w:r>
      <w:r>
        <w:rPr>
          <w:noProof/>
        </w:rPr>
        <w:t xml:space="preserve">Μέτρα για την πρόληψη περιπτώσεων απάτης και παρατυπίας </w:t>
      </w:r>
    </w:p>
    <w:p>
      <w:pPr>
        <w:pStyle w:val="Text1"/>
        <w:rPr>
          <w:i/>
          <w:noProof/>
          <w:color w:val="000000" w:themeColor="text1"/>
          <w:sz w:val="20"/>
        </w:rPr>
      </w:pPr>
      <w:r>
        <w:rPr>
          <w:i/>
          <w:noProof/>
          <w:color w:val="000000" w:themeColor="text1"/>
          <w:sz w:val="20"/>
        </w:rPr>
        <w:t>Να προσδιοριστούν τα ισχύοντα ή τα προβλεπόμενα μέτρα πρόληψης και προστασίας, π.χ. στη στρατηγική για την καταπολέμηση της απάτης.</w:t>
      </w:r>
    </w:p>
    <w:p>
      <w:pPr>
        <w:pStyle w:val="Text1"/>
        <w:pBdr>
          <w:top w:val="single" w:sz="4" w:space="1" w:color="auto"/>
          <w:left w:val="single" w:sz="4" w:space="4" w:color="auto"/>
          <w:bottom w:val="single" w:sz="4" w:space="1" w:color="auto"/>
          <w:right w:val="single" w:sz="4" w:space="4" w:color="auto"/>
        </w:pBdr>
        <w:rPr>
          <w:rFonts w:ascii="TimesNewRoman" w:hAnsi="TimesNewRoman"/>
          <w:noProof/>
          <w:color w:val="000000" w:themeColor="text1"/>
        </w:rPr>
      </w:pPr>
      <w:r>
        <w:rPr>
          <w:noProof/>
        </w:rPr>
        <w:t>Οι επιλεχθέντες εταίροι υλοποίησης θα έχουν υποβληθεί στην αξιολόγηση των πυλώνων που προβλέπεται στον [άρθρο 154] του [δημοσιονομικού κανονισμού], η οποία διασφαλίζει την εγγυημένη ποιότητα του εσωτερικού ελέγχου και των ανεξάρτητων συστημάτων εξωτερικού ελέγχου. Επιπλέον, θα πρέπει να πληρούν τις απαιτήσεις του [τίτλου X] του [δημοσιονομικού κανονισμού]. Ως χρηματοπιστωτικά ιδρύματα, οι εταίροι υλοποίησης θα εφαρμόζουν πλαίσια εσωτερικού ελέγχου. Δεδομένου ότι το ταμείο InvestEU αποτελείται από επιστρεπτέα ενίσχυση, θα αξιοποιούνται οι διαδικασίες δέουσας επιμέλειας, παρακολούθησης και ελέγχου που εφαρμόζουν οι εταίροι υλοποίησης, εκτός εάν εντοπιστούν ανεπάρκειες στις διαδικασίες αυτές. Επιπλέον, το άρθρο 24 του προτεινόμενου κανονισμού προβλέπει ότι οι λογιστικοί έλεγχοι σχετικά με τη χρήση της ενωσιακής χρηματοδότησης, οι οποίοι διενεργούνται από πρόσωπα ή οντότητες, είτε αυτά ενεργούν κατ’ εντολή των ενωσιακών θεσμικών οργάνων ή οργανισμών είτε όχι, αποτελούν τη βάση της συνολικής δήλωσης αξιοπιστίας δυνάμει του [άρθρου 127] του [δημοσιονομικού κανονισμού].</w:t>
      </w:r>
      <w:r>
        <w:rPr>
          <w:rFonts w:ascii="TimesNewRoman" w:hAnsi="TimesNewRoman"/>
          <w:noProof/>
          <w:color w:val="000000" w:themeColor="text1"/>
        </w:rPr>
        <w:t xml:space="preserve"> </w:t>
      </w:r>
    </w:p>
    <w:p>
      <w:pPr>
        <w:pStyle w:val="ManualHeading1"/>
        <w:rPr>
          <w:noProof/>
        </w:rPr>
      </w:pPr>
      <w:r>
        <w:t>3.</w:t>
      </w:r>
      <w:r>
        <w:tab/>
      </w:r>
      <w:r>
        <w:rPr>
          <w:noProof/>
        </w:rPr>
        <w:t xml:space="preserve">ΕΚΤΙΜΩΜΕΝΕΣ ΔΗΜΟΣΙΟΝΟΜΙΚΕΣ ΕΠΙΠΤΩΣΕΙΣ ΤΗΣ ΠΡΟΤΑΣΗΣ/ΠΡΩΤΟΒΟΥΛΙΑΣ </w:t>
      </w:r>
    </w:p>
    <w:p>
      <w:pPr>
        <w:pStyle w:val="ManualHeading2"/>
        <w:rPr>
          <w:noProof/>
        </w:rPr>
      </w:pPr>
      <w:r>
        <w:t>3.1.</w:t>
      </w:r>
      <w:r>
        <w:tab/>
      </w:r>
      <w:r>
        <w:rPr>
          <w:noProof/>
        </w:rPr>
        <w:t xml:space="preserve">Τομείς του πολυετούς δημοσιονομικού πλαισίου και νέες γραμμές δαπανών του προϋπολογισμού που προτείνονται </w:t>
      </w:r>
    </w:p>
    <w:tbl>
      <w:tblPr>
        <w:tblW w:w="105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3960"/>
        <w:gridCol w:w="1080"/>
        <w:gridCol w:w="956"/>
        <w:gridCol w:w="1080"/>
        <w:gridCol w:w="956"/>
        <w:gridCol w:w="1448"/>
      </w:tblGrid>
      <w:tr>
        <w:tc>
          <w:tcPr>
            <w:tcW w:w="1080" w:type="dxa"/>
            <w:vMerge w:val="restart"/>
            <w:vAlign w:val="center"/>
          </w:tcPr>
          <w:p>
            <w:pPr>
              <w:spacing w:before="60" w:after="60"/>
              <w:jc w:val="center"/>
              <w:rPr>
                <w:noProof/>
                <w:color w:val="000000" w:themeColor="text1"/>
              </w:rPr>
            </w:pPr>
            <w:r>
              <w:rPr>
                <w:noProof/>
                <w:color w:val="000000" w:themeColor="text1"/>
                <w:sz w:val="18"/>
              </w:rPr>
              <w:t>Τομέας του πολυετούς δημοσιονομικού πλαισίου</w:t>
            </w:r>
          </w:p>
        </w:tc>
        <w:tc>
          <w:tcPr>
            <w:tcW w:w="3960" w:type="dxa"/>
            <w:vAlign w:val="center"/>
          </w:tcPr>
          <w:p>
            <w:pPr>
              <w:spacing w:before="60" w:after="60"/>
              <w:jc w:val="center"/>
              <w:rPr>
                <w:noProof/>
                <w:color w:val="000000" w:themeColor="text1"/>
              </w:rPr>
            </w:pPr>
            <w:r>
              <w:rPr>
                <w:noProof/>
                <w:color w:val="000000" w:themeColor="text1"/>
                <w:sz w:val="20"/>
              </w:rPr>
              <w:t>Γραμμή του προϋπολογισμού</w:t>
            </w:r>
          </w:p>
        </w:tc>
        <w:tc>
          <w:tcPr>
            <w:tcW w:w="1080" w:type="dxa"/>
            <w:vAlign w:val="center"/>
          </w:tcPr>
          <w:p>
            <w:pPr>
              <w:spacing w:before="60" w:after="60"/>
              <w:jc w:val="center"/>
              <w:rPr>
                <w:noProof/>
                <w:color w:val="000000" w:themeColor="text1"/>
              </w:rPr>
            </w:pPr>
            <w:r>
              <w:rPr>
                <w:noProof/>
                <w:color w:val="000000" w:themeColor="text1"/>
                <w:sz w:val="18"/>
              </w:rPr>
              <w:t>Είδος</w:t>
            </w:r>
            <w:r>
              <w:rPr>
                <w:noProof/>
                <w:color w:val="000000" w:themeColor="text1"/>
                <w:sz w:val="22"/>
              </w:rPr>
              <w:br/>
            </w:r>
            <w:r>
              <w:rPr>
                <w:noProof/>
              </w:rPr>
              <w:t xml:space="preserve"> </w:t>
            </w:r>
            <w:r>
              <w:rPr>
                <w:noProof/>
              </w:rPr>
              <w:br/>
            </w:r>
            <w:r>
              <w:rPr>
                <w:noProof/>
                <w:color w:val="000000" w:themeColor="text1"/>
                <w:sz w:val="18"/>
              </w:rPr>
              <w:t>δαπάνης</w:t>
            </w:r>
          </w:p>
        </w:tc>
        <w:tc>
          <w:tcPr>
            <w:tcW w:w="4440" w:type="dxa"/>
            <w:gridSpan w:val="4"/>
            <w:vAlign w:val="center"/>
          </w:tcPr>
          <w:p>
            <w:pPr>
              <w:spacing w:before="60" w:after="60"/>
              <w:jc w:val="center"/>
              <w:rPr>
                <w:noProof/>
                <w:color w:val="000000" w:themeColor="text1"/>
              </w:rPr>
            </w:pPr>
            <w:r>
              <w:rPr>
                <w:noProof/>
                <w:color w:val="000000" w:themeColor="text1"/>
                <w:sz w:val="20"/>
              </w:rPr>
              <w:t xml:space="preserve">Συμμετοχή </w:t>
            </w:r>
          </w:p>
        </w:tc>
      </w:tr>
      <w:tr>
        <w:tc>
          <w:tcPr>
            <w:tcW w:w="1080" w:type="dxa"/>
            <w:vMerge/>
            <w:vAlign w:val="center"/>
          </w:tcPr>
          <w:p>
            <w:pPr>
              <w:jc w:val="center"/>
              <w:rPr>
                <w:noProof/>
                <w:color w:val="000000" w:themeColor="text1"/>
              </w:rPr>
            </w:pPr>
          </w:p>
        </w:tc>
        <w:tc>
          <w:tcPr>
            <w:tcW w:w="3960" w:type="dxa"/>
            <w:vAlign w:val="center"/>
          </w:tcPr>
          <w:p>
            <w:pPr>
              <w:rPr>
                <w:noProof/>
                <w:color w:val="000000" w:themeColor="text1"/>
              </w:rPr>
            </w:pPr>
          </w:p>
        </w:tc>
        <w:tc>
          <w:tcPr>
            <w:tcW w:w="1080" w:type="dxa"/>
            <w:vAlign w:val="center"/>
          </w:tcPr>
          <w:p>
            <w:pPr>
              <w:jc w:val="center"/>
              <w:rPr>
                <w:noProof/>
                <w:color w:val="000000" w:themeColor="text1"/>
              </w:rPr>
            </w:pPr>
            <w:r>
              <w:rPr>
                <w:noProof/>
                <w:color w:val="000000" w:themeColor="text1"/>
                <w:sz w:val="18"/>
              </w:rPr>
              <w:t>ΔΠ/ΜΔΠ</w:t>
            </w:r>
            <w:r>
              <w:rPr>
                <w:rStyle w:val="FootnoteReference"/>
                <w:noProof/>
                <w:color w:val="000000" w:themeColor="text1"/>
                <w:sz w:val="18"/>
              </w:rPr>
              <w:footnoteReference w:id="32"/>
            </w:r>
            <w:r>
              <w:rPr>
                <w:noProof/>
              </w:rPr>
              <w:t>.</w:t>
            </w:r>
          </w:p>
        </w:tc>
        <w:tc>
          <w:tcPr>
            <w:tcW w:w="956" w:type="dxa"/>
            <w:vAlign w:val="center"/>
          </w:tcPr>
          <w:p>
            <w:pPr>
              <w:jc w:val="center"/>
              <w:rPr>
                <w:noProof/>
                <w:color w:val="000000" w:themeColor="text1"/>
              </w:rPr>
            </w:pPr>
            <w:r>
              <w:rPr>
                <w:noProof/>
                <w:color w:val="000000" w:themeColor="text1"/>
                <w:sz w:val="18"/>
              </w:rPr>
              <w:t>χωρών ΕΖΕΣ</w:t>
            </w:r>
            <w:r>
              <w:rPr>
                <w:rStyle w:val="FootnoteReference"/>
                <w:noProof/>
                <w:color w:val="000000" w:themeColor="text1"/>
                <w:sz w:val="18"/>
              </w:rPr>
              <w:footnoteReference w:id="33"/>
            </w:r>
          </w:p>
          <w:p>
            <w:pPr>
              <w:spacing w:before="0" w:after="0"/>
              <w:jc w:val="center"/>
              <w:rPr>
                <w:b/>
                <w:noProof/>
                <w:color w:val="000000" w:themeColor="text1"/>
                <w:sz w:val="18"/>
              </w:rPr>
            </w:pPr>
          </w:p>
        </w:tc>
        <w:tc>
          <w:tcPr>
            <w:tcW w:w="1080" w:type="dxa"/>
            <w:vAlign w:val="center"/>
          </w:tcPr>
          <w:p>
            <w:pPr>
              <w:jc w:val="center"/>
              <w:rPr>
                <w:noProof/>
                <w:color w:val="000000" w:themeColor="text1"/>
              </w:rPr>
            </w:pPr>
            <w:r>
              <w:rPr>
                <w:noProof/>
                <w:color w:val="000000" w:themeColor="text1"/>
                <w:sz w:val="18"/>
              </w:rPr>
              <w:t>υποψηφίων χωρών</w:t>
            </w:r>
            <w:r>
              <w:rPr>
                <w:rStyle w:val="FootnoteReference"/>
                <w:noProof/>
                <w:color w:val="000000" w:themeColor="text1"/>
                <w:sz w:val="18"/>
              </w:rPr>
              <w:footnoteReference w:id="34"/>
            </w:r>
          </w:p>
          <w:p>
            <w:pPr>
              <w:spacing w:before="0" w:after="0"/>
              <w:jc w:val="center"/>
              <w:rPr>
                <w:noProof/>
                <w:color w:val="000000" w:themeColor="text1"/>
                <w:sz w:val="18"/>
              </w:rPr>
            </w:pPr>
          </w:p>
        </w:tc>
        <w:tc>
          <w:tcPr>
            <w:tcW w:w="956" w:type="dxa"/>
            <w:vAlign w:val="center"/>
          </w:tcPr>
          <w:p>
            <w:pPr>
              <w:jc w:val="center"/>
              <w:rPr>
                <w:noProof/>
                <w:color w:val="000000" w:themeColor="text1"/>
                <w:sz w:val="18"/>
              </w:rPr>
            </w:pPr>
            <w:r>
              <w:rPr>
                <w:noProof/>
                <w:color w:val="000000" w:themeColor="text1"/>
                <w:sz w:val="18"/>
              </w:rPr>
              <w:t>τρίτων χωρών</w:t>
            </w:r>
          </w:p>
        </w:tc>
        <w:tc>
          <w:tcPr>
            <w:tcW w:w="1448" w:type="dxa"/>
            <w:vAlign w:val="center"/>
          </w:tcPr>
          <w:p>
            <w:pPr>
              <w:jc w:val="center"/>
              <w:rPr>
                <w:noProof/>
                <w:color w:val="000000" w:themeColor="text1"/>
              </w:rPr>
            </w:pPr>
            <w:r>
              <w:rPr>
                <w:noProof/>
                <w:color w:val="000000" w:themeColor="text1"/>
                <w:sz w:val="16"/>
              </w:rPr>
              <w:t xml:space="preserve">κατά την έννοια του άρθρου [21 παράγραφος 2 στοιχείο β)] του δημοσιονομικού κανονισμού </w:t>
            </w:r>
          </w:p>
        </w:tc>
      </w:tr>
      <w:tr>
        <w:tc>
          <w:tcPr>
            <w:tcW w:w="1080" w:type="dxa"/>
            <w:vMerge w:val="restart"/>
            <w:vAlign w:val="center"/>
          </w:tcPr>
          <w:p>
            <w:pPr>
              <w:jc w:val="center"/>
              <w:rPr>
                <w:noProof/>
                <w:color w:val="000000" w:themeColor="text1"/>
                <w:sz w:val="18"/>
                <w:szCs w:val="18"/>
              </w:rPr>
            </w:pPr>
            <w:r>
              <w:rPr>
                <w:noProof/>
                <w:color w:val="000000" w:themeColor="text1"/>
                <w:sz w:val="18"/>
              </w:rPr>
              <w:lastRenderedPageBreak/>
              <w:t>1</w:t>
            </w:r>
          </w:p>
        </w:tc>
        <w:tc>
          <w:tcPr>
            <w:tcW w:w="3960" w:type="dxa"/>
            <w:vAlign w:val="center"/>
          </w:tcPr>
          <w:p>
            <w:pPr>
              <w:spacing w:after="60"/>
            </w:pPr>
            <w:r>
              <w:rPr>
                <w:noProof/>
              </w:rPr>
              <w:t>02.02.01 Εγγύηση InvestEU</w:t>
            </w:r>
          </w:p>
        </w:tc>
        <w:tc>
          <w:tcPr>
            <w:tcW w:w="1080" w:type="dxa"/>
            <w:vAlign w:val="center"/>
          </w:tcPr>
          <w:p>
            <w:pPr>
              <w:jc w:val="center"/>
            </w:pPr>
            <w:r>
              <w:rPr>
                <w:noProof/>
              </w:rPr>
              <w:t>ΔΠ</w:t>
            </w:r>
          </w:p>
        </w:tc>
        <w:tc>
          <w:tcPr>
            <w:tcW w:w="956" w:type="dxa"/>
          </w:tcPr>
          <w:p>
            <w:pPr>
              <w:jc w:val="center"/>
            </w:pPr>
            <w:r>
              <w:rPr>
                <w:noProof/>
              </w:rPr>
              <w:t>Ναι</w:t>
            </w:r>
          </w:p>
        </w:tc>
        <w:tc>
          <w:tcPr>
            <w:tcW w:w="1080" w:type="dxa"/>
          </w:tcPr>
          <w:p>
            <w:pPr>
              <w:jc w:val="center"/>
            </w:pPr>
            <w:r>
              <w:rPr>
                <w:noProof/>
              </w:rPr>
              <w:t>Ναι</w:t>
            </w:r>
          </w:p>
        </w:tc>
        <w:tc>
          <w:tcPr>
            <w:tcW w:w="956" w:type="dxa"/>
          </w:tcPr>
          <w:p>
            <w:pPr>
              <w:jc w:val="center"/>
            </w:pPr>
            <w:r>
              <w:rPr>
                <w:noProof/>
              </w:rPr>
              <w:t>Ναι</w:t>
            </w:r>
          </w:p>
        </w:tc>
        <w:tc>
          <w:tcPr>
            <w:tcW w:w="1448" w:type="dxa"/>
            <w:vAlign w:val="center"/>
          </w:tcPr>
          <w:p>
            <w:pPr>
              <w:jc w:val="center"/>
            </w:pPr>
            <w:r>
              <w:rPr>
                <w:noProof/>
              </w:rPr>
              <w:t>Όχι</w:t>
            </w:r>
          </w:p>
        </w:tc>
      </w:tr>
      <w:tr>
        <w:tc>
          <w:tcPr>
            <w:tcW w:w="1080" w:type="dxa"/>
            <w:vMerge/>
            <w:vAlign w:val="center"/>
          </w:tcPr>
          <w:p>
            <w:pPr>
              <w:jc w:val="center"/>
              <w:rPr>
                <w:noProof/>
                <w:color w:val="000000" w:themeColor="text1"/>
                <w:sz w:val="18"/>
                <w:szCs w:val="18"/>
              </w:rPr>
            </w:pPr>
          </w:p>
        </w:tc>
        <w:tc>
          <w:tcPr>
            <w:tcW w:w="3960" w:type="dxa"/>
            <w:vAlign w:val="center"/>
          </w:tcPr>
          <w:p>
            <w:pPr>
              <w:spacing w:after="60"/>
            </w:pPr>
            <w:r>
              <w:rPr>
                <w:noProof/>
              </w:rPr>
              <w:t xml:space="preserve">02.02.02 Τροφοδότηση εγγύησης InvestEU </w:t>
            </w:r>
          </w:p>
        </w:tc>
        <w:tc>
          <w:tcPr>
            <w:tcW w:w="1080" w:type="dxa"/>
            <w:vAlign w:val="center"/>
          </w:tcPr>
          <w:p>
            <w:pPr>
              <w:jc w:val="center"/>
            </w:pPr>
            <w:r>
              <w:rPr>
                <w:noProof/>
              </w:rPr>
              <w:t>ΔΠ</w:t>
            </w:r>
          </w:p>
        </w:tc>
        <w:tc>
          <w:tcPr>
            <w:tcW w:w="956" w:type="dxa"/>
          </w:tcPr>
          <w:p>
            <w:pPr>
              <w:jc w:val="center"/>
            </w:pPr>
            <w:r>
              <w:rPr>
                <w:noProof/>
              </w:rPr>
              <w:t>Ναι</w:t>
            </w:r>
          </w:p>
        </w:tc>
        <w:tc>
          <w:tcPr>
            <w:tcW w:w="1080" w:type="dxa"/>
          </w:tcPr>
          <w:p>
            <w:pPr>
              <w:jc w:val="center"/>
            </w:pPr>
            <w:r>
              <w:rPr>
                <w:noProof/>
              </w:rPr>
              <w:t>Ναι</w:t>
            </w:r>
          </w:p>
        </w:tc>
        <w:tc>
          <w:tcPr>
            <w:tcW w:w="956" w:type="dxa"/>
          </w:tcPr>
          <w:p>
            <w:pPr>
              <w:jc w:val="center"/>
            </w:pPr>
            <w:r>
              <w:rPr>
                <w:noProof/>
              </w:rPr>
              <w:t>Ναι</w:t>
            </w:r>
          </w:p>
        </w:tc>
        <w:tc>
          <w:tcPr>
            <w:tcW w:w="1448" w:type="dxa"/>
            <w:vAlign w:val="center"/>
          </w:tcPr>
          <w:p>
            <w:pPr>
              <w:jc w:val="center"/>
            </w:pPr>
            <w:r>
              <w:rPr>
                <w:noProof/>
              </w:rPr>
              <w:t>Όχι</w:t>
            </w:r>
          </w:p>
        </w:tc>
      </w:tr>
      <w:tr>
        <w:tc>
          <w:tcPr>
            <w:tcW w:w="1080" w:type="dxa"/>
            <w:vMerge/>
            <w:vAlign w:val="center"/>
          </w:tcPr>
          <w:p>
            <w:pPr>
              <w:jc w:val="center"/>
              <w:rPr>
                <w:noProof/>
                <w:color w:val="000000" w:themeColor="text1"/>
                <w:sz w:val="18"/>
                <w:szCs w:val="18"/>
              </w:rPr>
            </w:pPr>
          </w:p>
        </w:tc>
        <w:tc>
          <w:tcPr>
            <w:tcW w:w="3960" w:type="dxa"/>
            <w:vAlign w:val="center"/>
          </w:tcPr>
          <w:p>
            <w:pPr>
              <w:spacing w:after="60"/>
            </w:pPr>
            <w:r>
              <w:rPr>
                <w:noProof/>
              </w:rPr>
              <w:t xml:space="preserve">02.02.03 Συμβουλευτικός κόμβος InvestEU, </w:t>
            </w:r>
            <w:r>
              <w:rPr>
                <w:noProof/>
                <w:color w:val="000000" w:themeColor="text1"/>
              </w:rPr>
              <w:t>πύλη InvestEU και συνοδευτικά μέτρα</w:t>
            </w:r>
          </w:p>
        </w:tc>
        <w:tc>
          <w:tcPr>
            <w:tcW w:w="1080" w:type="dxa"/>
            <w:vAlign w:val="center"/>
          </w:tcPr>
          <w:p>
            <w:pPr>
              <w:jc w:val="center"/>
            </w:pPr>
            <w:r>
              <w:rPr>
                <w:noProof/>
              </w:rPr>
              <w:t>ΔΠ</w:t>
            </w:r>
          </w:p>
        </w:tc>
        <w:tc>
          <w:tcPr>
            <w:tcW w:w="956" w:type="dxa"/>
          </w:tcPr>
          <w:p>
            <w:pPr>
              <w:jc w:val="center"/>
            </w:pPr>
            <w:r>
              <w:rPr>
                <w:noProof/>
              </w:rPr>
              <w:t>Ναι</w:t>
            </w:r>
          </w:p>
        </w:tc>
        <w:tc>
          <w:tcPr>
            <w:tcW w:w="1080" w:type="dxa"/>
          </w:tcPr>
          <w:p>
            <w:pPr>
              <w:jc w:val="center"/>
            </w:pPr>
            <w:r>
              <w:rPr>
                <w:noProof/>
              </w:rPr>
              <w:t>Ναι</w:t>
            </w:r>
          </w:p>
        </w:tc>
        <w:tc>
          <w:tcPr>
            <w:tcW w:w="956" w:type="dxa"/>
          </w:tcPr>
          <w:p>
            <w:pPr>
              <w:jc w:val="center"/>
            </w:pPr>
            <w:r>
              <w:rPr>
                <w:noProof/>
              </w:rPr>
              <w:t>Ναι</w:t>
            </w:r>
          </w:p>
        </w:tc>
        <w:tc>
          <w:tcPr>
            <w:tcW w:w="1448" w:type="dxa"/>
            <w:vAlign w:val="center"/>
          </w:tcPr>
          <w:p>
            <w:pPr>
              <w:jc w:val="center"/>
            </w:pPr>
            <w:r>
              <w:rPr>
                <w:noProof/>
              </w:rPr>
              <w:t>Όχι</w:t>
            </w:r>
          </w:p>
        </w:tc>
      </w:tr>
      <w:tr>
        <w:tc>
          <w:tcPr>
            <w:tcW w:w="1080" w:type="dxa"/>
            <w:vAlign w:val="center"/>
          </w:tcPr>
          <w:p>
            <w:pPr>
              <w:jc w:val="center"/>
              <w:rPr>
                <w:noProof/>
                <w:color w:val="000000" w:themeColor="text1"/>
                <w:sz w:val="18"/>
                <w:szCs w:val="18"/>
              </w:rPr>
            </w:pPr>
          </w:p>
        </w:tc>
        <w:tc>
          <w:tcPr>
            <w:tcW w:w="3960" w:type="dxa"/>
            <w:vAlign w:val="center"/>
          </w:tcPr>
          <w:p>
            <w:pPr>
              <w:spacing w:after="60"/>
            </w:pPr>
            <w:r>
              <w:rPr>
                <w:noProof/>
                <w:color w:val="000000" w:themeColor="text1"/>
              </w:rPr>
              <w:t xml:space="preserve">02.01 Διοικητική υποστήριξη InvestEU </w:t>
            </w:r>
          </w:p>
        </w:tc>
        <w:tc>
          <w:tcPr>
            <w:tcW w:w="1080" w:type="dxa"/>
            <w:vAlign w:val="center"/>
          </w:tcPr>
          <w:p>
            <w:pPr>
              <w:jc w:val="center"/>
            </w:pPr>
            <w:r>
              <w:rPr>
                <w:noProof/>
              </w:rPr>
              <w:t>ΜΔΠ</w:t>
            </w:r>
          </w:p>
        </w:tc>
        <w:tc>
          <w:tcPr>
            <w:tcW w:w="956" w:type="dxa"/>
          </w:tcPr>
          <w:p>
            <w:pPr>
              <w:jc w:val="center"/>
            </w:pPr>
            <w:r>
              <w:rPr>
                <w:noProof/>
              </w:rPr>
              <w:t>Ναι</w:t>
            </w:r>
          </w:p>
        </w:tc>
        <w:tc>
          <w:tcPr>
            <w:tcW w:w="1080" w:type="dxa"/>
          </w:tcPr>
          <w:p>
            <w:pPr>
              <w:jc w:val="center"/>
            </w:pPr>
            <w:r>
              <w:rPr>
                <w:noProof/>
              </w:rPr>
              <w:t>Ναι</w:t>
            </w:r>
          </w:p>
        </w:tc>
        <w:tc>
          <w:tcPr>
            <w:tcW w:w="956" w:type="dxa"/>
          </w:tcPr>
          <w:p>
            <w:pPr>
              <w:jc w:val="center"/>
            </w:pPr>
            <w:r>
              <w:rPr>
                <w:noProof/>
              </w:rPr>
              <w:t>Ναι</w:t>
            </w:r>
          </w:p>
        </w:tc>
        <w:tc>
          <w:tcPr>
            <w:tcW w:w="1448" w:type="dxa"/>
            <w:vAlign w:val="center"/>
          </w:tcPr>
          <w:p>
            <w:pPr>
              <w:jc w:val="center"/>
            </w:pPr>
            <w:r>
              <w:rPr>
                <w:noProof/>
              </w:rPr>
              <w:t>Όχι</w:t>
            </w:r>
          </w:p>
        </w:tc>
      </w:tr>
    </w:tbl>
    <w:p>
      <w:pPr>
        <w:jc w:val="left"/>
        <w:rPr>
          <w:noProof/>
          <w:color w:val="000000" w:themeColor="text1"/>
        </w:rPr>
        <w:sectPr>
          <w:pgSz w:w="11907" w:h="16840" w:code="1"/>
          <w:pgMar w:top="1134" w:right="1418" w:bottom="1134" w:left="1418" w:header="709" w:footer="709" w:gutter="0"/>
          <w:cols w:space="708"/>
          <w:docGrid w:linePitch="360"/>
        </w:sectPr>
      </w:pPr>
    </w:p>
    <w:p>
      <w:pPr>
        <w:pStyle w:val="ManualHeading2"/>
        <w:rPr>
          <w:bCs/>
          <w:noProof/>
          <w:szCs w:val="24"/>
        </w:rPr>
      </w:pPr>
      <w:r>
        <w:lastRenderedPageBreak/>
        <w:t>3.2.</w:t>
      </w:r>
      <w:r>
        <w:tab/>
      </w:r>
      <w:r>
        <w:rPr>
          <w:noProof/>
        </w:rPr>
        <w:t xml:space="preserve">Εκτιμώμενες επιπτώσεις στις δαπάνες </w:t>
      </w:r>
    </w:p>
    <w:p>
      <w:pPr>
        <w:pStyle w:val="ManualHeading3"/>
        <w:rPr>
          <w:noProof/>
          <w:u w:val="single"/>
        </w:rPr>
      </w:pPr>
      <w:r>
        <w:t>3.2.1.</w:t>
      </w:r>
      <w:r>
        <w:tab/>
      </w:r>
      <w:r>
        <w:rPr>
          <w:noProof/>
        </w:rPr>
        <w:t>Συνοπτική παρουσίαση των εκτιμώμενων επιπτώσεων στις δαπάνες</w:t>
      </w:r>
      <w:r>
        <w:rPr>
          <w:rStyle w:val="FootnoteReference"/>
          <w:noProof/>
          <w:color w:val="000000" w:themeColor="text1"/>
        </w:rPr>
        <w:footnoteReference w:id="35"/>
      </w:r>
      <w:r>
        <w:rPr>
          <w:noProof/>
        </w:rPr>
        <w:t xml:space="preserve"> </w:t>
      </w:r>
    </w:p>
    <w:p>
      <w:pPr>
        <w:jc w:val="right"/>
        <w:rPr>
          <w:noProof/>
          <w:color w:val="000000" w:themeColor="text1"/>
          <w:sz w:val="20"/>
        </w:rPr>
      </w:pPr>
      <w:r>
        <w:rPr>
          <w:noProof/>
          <w:color w:val="000000" w:themeColor="text1"/>
          <w:sz w:val="20"/>
        </w:rPr>
        <w:t>Σε εκατ. EUR (με 3 δεκαδικά ψηφία)</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44"/>
        <w:gridCol w:w="1080"/>
        <w:gridCol w:w="7817"/>
      </w:tblGrid>
      <w:tr>
        <w:trPr>
          <w:jc w:val="center"/>
        </w:trPr>
        <w:tc>
          <w:tcPr>
            <w:tcW w:w="4744" w:type="dxa"/>
            <w:shd w:val="thinDiagStripe" w:color="C0C0C0" w:fill="auto"/>
            <w:vAlign w:val="center"/>
          </w:tcPr>
          <w:p>
            <w:pPr>
              <w:spacing w:before="60" w:after="60"/>
              <w:jc w:val="center"/>
              <w:rPr>
                <w:b/>
                <w:noProof/>
                <w:color w:val="000000" w:themeColor="text1"/>
              </w:rPr>
            </w:pPr>
            <w:r>
              <w:rPr>
                <w:b/>
                <w:noProof/>
              </w:rPr>
              <w:t>Τομέας του πολυετούς δημοσιονομικού</w:t>
            </w:r>
            <w:r>
              <w:rPr>
                <w:noProof/>
                <w:color w:val="000000" w:themeColor="text1"/>
                <w:sz w:val="22"/>
              </w:rPr>
              <w:br/>
            </w:r>
            <w:r>
              <w:rPr>
                <w:b/>
                <w:noProof/>
                <w:color w:val="000000" w:themeColor="text1"/>
                <w:sz w:val="22"/>
              </w:rPr>
              <w:t xml:space="preserve">πλαισίου </w:t>
            </w:r>
          </w:p>
        </w:tc>
        <w:tc>
          <w:tcPr>
            <w:tcW w:w="1080" w:type="dxa"/>
            <w:vAlign w:val="center"/>
          </w:tcPr>
          <w:p>
            <w:pPr>
              <w:spacing w:before="60" w:after="60"/>
              <w:jc w:val="center"/>
              <w:rPr>
                <w:noProof/>
                <w:color w:val="000000" w:themeColor="text1"/>
              </w:rPr>
            </w:pPr>
            <w:r>
              <w:rPr>
                <w:noProof/>
                <w:color w:val="000000" w:themeColor="text1"/>
              </w:rPr>
              <w:t>1</w:t>
            </w:r>
          </w:p>
        </w:tc>
        <w:tc>
          <w:tcPr>
            <w:tcW w:w="7817" w:type="dxa"/>
            <w:vAlign w:val="center"/>
          </w:tcPr>
          <w:p>
            <w:pPr>
              <w:spacing w:before="60" w:after="60"/>
              <w:rPr>
                <w:noProof/>
                <w:color w:val="000000" w:themeColor="text1"/>
                <w:szCs w:val="24"/>
              </w:rPr>
            </w:pPr>
            <w:r>
              <w:rPr>
                <w:noProof/>
                <w:color w:val="000000" w:themeColor="text1"/>
              </w:rPr>
              <w:t>«Ενιαία αγορά, καινοτομία &amp; ψηφιακή οικονομία»</w:t>
            </w:r>
          </w:p>
        </w:tc>
      </w:tr>
    </w:tbl>
    <w:p>
      <w:pPr>
        <w:rPr>
          <w:noProof/>
          <w:color w:val="000000" w:themeColor="text1"/>
          <w:sz w:val="16"/>
        </w:rPr>
      </w:pPr>
    </w:p>
    <w:tbl>
      <w:tblPr>
        <w:tblW w:w="14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50"/>
        <w:gridCol w:w="1250"/>
        <w:gridCol w:w="1249"/>
        <w:gridCol w:w="1200"/>
        <w:gridCol w:w="1200"/>
        <w:gridCol w:w="1200"/>
        <w:gridCol w:w="1200"/>
        <w:gridCol w:w="1200"/>
        <w:gridCol w:w="1200"/>
        <w:gridCol w:w="1200"/>
        <w:gridCol w:w="1362"/>
        <w:gridCol w:w="31"/>
      </w:tblGrid>
      <w:tr>
        <w:trPr>
          <w:jc w:val="center"/>
        </w:trPr>
        <w:tc>
          <w:tcPr>
            <w:tcW w:w="3900" w:type="dxa"/>
            <w:gridSpan w:val="2"/>
            <w:tcBorders>
              <w:top w:val="nil"/>
              <w:left w:val="nil"/>
              <w:bottom w:val="nil"/>
              <w:right w:val="single" w:sz="4" w:space="0" w:color="auto"/>
            </w:tcBorders>
            <w:vAlign w:val="center"/>
          </w:tcPr>
          <w:p>
            <w:pPr>
              <w:ind w:right="-164"/>
              <w:jc w:val="center"/>
              <w:rPr>
                <w:b/>
                <w:noProof/>
                <w:color w:val="000000" w:themeColor="text1"/>
                <w:sz w:val="20"/>
              </w:rPr>
            </w:pPr>
          </w:p>
        </w:tc>
        <w:tc>
          <w:tcPr>
            <w:tcW w:w="1249" w:type="dxa"/>
            <w:tcBorders>
              <w:left w:val="single" w:sz="4" w:space="0" w:color="auto"/>
            </w:tcBorders>
            <w:vAlign w:val="center"/>
          </w:tcPr>
          <w:p>
            <w:pPr>
              <w:jc w:val="center"/>
              <w:rPr>
                <w:b/>
                <w:noProof/>
                <w:color w:val="000000" w:themeColor="text1"/>
                <w:sz w:val="20"/>
              </w:rPr>
            </w:pPr>
            <w:r>
              <w:rPr>
                <w:b/>
                <w:noProof/>
                <w:color w:val="000000" w:themeColor="text1"/>
                <w:sz w:val="20"/>
              </w:rPr>
              <w:t>2021</w:t>
            </w:r>
          </w:p>
        </w:tc>
        <w:tc>
          <w:tcPr>
            <w:tcW w:w="1200" w:type="dxa"/>
            <w:vAlign w:val="center"/>
          </w:tcPr>
          <w:p>
            <w:pPr>
              <w:jc w:val="center"/>
              <w:rPr>
                <w:b/>
                <w:noProof/>
                <w:color w:val="000000" w:themeColor="text1"/>
                <w:sz w:val="20"/>
              </w:rPr>
            </w:pPr>
            <w:r>
              <w:rPr>
                <w:b/>
                <w:noProof/>
                <w:color w:val="000000" w:themeColor="text1"/>
                <w:sz w:val="20"/>
              </w:rPr>
              <w:t>2022</w:t>
            </w:r>
          </w:p>
        </w:tc>
        <w:tc>
          <w:tcPr>
            <w:tcW w:w="1200" w:type="dxa"/>
            <w:vAlign w:val="center"/>
          </w:tcPr>
          <w:p>
            <w:pPr>
              <w:jc w:val="center"/>
              <w:rPr>
                <w:b/>
                <w:noProof/>
                <w:color w:val="000000" w:themeColor="text1"/>
                <w:sz w:val="20"/>
              </w:rPr>
            </w:pPr>
            <w:r>
              <w:rPr>
                <w:b/>
                <w:noProof/>
                <w:color w:val="000000" w:themeColor="text1"/>
                <w:sz w:val="20"/>
              </w:rPr>
              <w:t>2023</w:t>
            </w:r>
          </w:p>
        </w:tc>
        <w:tc>
          <w:tcPr>
            <w:tcW w:w="1200" w:type="dxa"/>
            <w:vAlign w:val="center"/>
          </w:tcPr>
          <w:p>
            <w:pPr>
              <w:jc w:val="center"/>
              <w:rPr>
                <w:b/>
                <w:noProof/>
                <w:color w:val="000000" w:themeColor="text1"/>
                <w:sz w:val="20"/>
              </w:rPr>
            </w:pPr>
            <w:r>
              <w:rPr>
                <w:b/>
                <w:noProof/>
                <w:color w:val="000000" w:themeColor="text1"/>
                <w:sz w:val="20"/>
              </w:rPr>
              <w:t>2024</w:t>
            </w:r>
          </w:p>
        </w:tc>
        <w:tc>
          <w:tcPr>
            <w:tcW w:w="1200" w:type="dxa"/>
            <w:vAlign w:val="center"/>
          </w:tcPr>
          <w:p>
            <w:pPr>
              <w:jc w:val="center"/>
              <w:rPr>
                <w:b/>
                <w:noProof/>
                <w:color w:val="000000" w:themeColor="text1"/>
                <w:sz w:val="18"/>
              </w:rPr>
            </w:pPr>
            <w:r>
              <w:rPr>
                <w:b/>
                <w:noProof/>
                <w:color w:val="000000" w:themeColor="text1"/>
                <w:sz w:val="18"/>
              </w:rPr>
              <w:t>2025</w:t>
            </w:r>
          </w:p>
        </w:tc>
        <w:tc>
          <w:tcPr>
            <w:tcW w:w="1200" w:type="dxa"/>
            <w:vAlign w:val="center"/>
          </w:tcPr>
          <w:p>
            <w:pPr>
              <w:jc w:val="center"/>
              <w:rPr>
                <w:b/>
                <w:noProof/>
                <w:color w:val="000000" w:themeColor="text1"/>
                <w:sz w:val="18"/>
              </w:rPr>
            </w:pPr>
            <w:r>
              <w:rPr>
                <w:b/>
                <w:noProof/>
                <w:color w:val="000000" w:themeColor="text1"/>
                <w:sz w:val="18"/>
              </w:rPr>
              <w:t>2026</w:t>
            </w:r>
          </w:p>
        </w:tc>
        <w:tc>
          <w:tcPr>
            <w:tcW w:w="1200" w:type="dxa"/>
            <w:vAlign w:val="center"/>
          </w:tcPr>
          <w:p>
            <w:pPr>
              <w:jc w:val="center"/>
              <w:rPr>
                <w:b/>
                <w:noProof/>
                <w:color w:val="000000" w:themeColor="text1"/>
                <w:sz w:val="18"/>
              </w:rPr>
            </w:pPr>
            <w:r>
              <w:rPr>
                <w:b/>
                <w:noProof/>
                <w:color w:val="000000" w:themeColor="text1"/>
                <w:sz w:val="18"/>
              </w:rPr>
              <w:t>2027</w:t>
            </w:r>
          </w:p>
        </w:tc>
        <w:tc>
          <w:tcPr>
            <w:tcW w:w="1200" w:type="dxa"/>
          </w:tcPr>
          <w:p>
            <w:pPr>
              <w:jc w:val="center"/>
              <w:rPr>
                <w:b/>
                <w:i/>
                <w:noProof/>
                <w:color w:val="000000" w:themeColor="text1"/>
                <w:sz w:val="20"/>
              </w:rPr>
            </w:pPr>
            <w:r>
              <w:rPr>
                <w:b/>
                <w:i/>
                <w:noProof/>
                <w:color w:val="000000" w:themeColor="text1"/>
                <w:sz w:val="20"/>
              </w:rPr>
              <w:t>Μετά το 2027</w:t>
            </w:r>
          </w:p>
        </w:tc>
        <w:tc>
          <w:tcPr>
            <w:tcW w:w="1393" w:type="dxa"/>
            <w:gridSpan w:val="2"/>
            <w:vAlign w:val="center"/>
          </w:tcPr>
          <w:p>
            <w:pPr>
              <w:jc w:val="center"/>
              <w:rPr>
                <w:b/>
                <w:noProof/>
                <w:color w:val="000000" w:themeColor="text1"/>
                <w:sz w:val="20"/>
              </w:rPr>
            </w:pPr>
            <w:r>
              <w:rPr>
                <w:b/>
                <w:noProof/>
                <w:color w:val="000000" w:themeColor="text1"/>
                <w:sz w:val="20"/>
              </w:rPr>
              <w:t>ΣΥΝΟΛΟ</w:t>
            </w:r>
          </w:p>
        </w:tc>
      </w:tr>
      <w:tr>
        <w:trPr>
          <w:gridAfter w:val="1"/>
          <w:wAfter w:w="31" w:type="dxa"/>
          <w:trHeight w:val="433"/>
          <w:jc w:val="center"/>
        </w:trPr>
        <w:tc>
          <w:tcPr>
            <w:tcW w:w="2650" w:type="dxa"/>
            <w:vMerge w:val="restart"/>
            <w:vAlign w:val="center"/>
          </w:tcPr>
          <w:p>
            <w:r>
              <w:rPr>
                <w:noProof/>
              </w:rPr>
              <w:t>02.02.01 Εγγύηση InvestEU</w:t>
            </w:r>
          </w:p>
        </w:tc>
        <w:tc>
          <w:tcPr>
            <w:tcW w:w="1250" w:type="dxa"/>
            <w:vAlign w:val="center"/>
          </w:tcPr>
          <w:p>
            <w:pPr>
              <w:spacing w:before="20" w:after="20"/>
              <w:jc w:val="left"/>
              <w:rPr>
                <w:noProof/>
                <w:color w:val="000000" w:themeColor="text1"/>
                <w:sz w:val="14"/>
              </w:rPr>
            </w:pPr>
            <w:r>
              <w:rPr>
                <w:noProof/>
                <w:color w:val="000000" w:themeColor="text1"/>
                <w:sz w:val="18"/>
              </w:rPr>
              <w:t>Αναλήψεις υποχρεώσεων</w:t>
            </w:r>
          </w:p>
        </w:tc>
        <w:tc>
          <w:tcPr>
            <w:tcW w:w="1249" w:type="dxa"/>
            <w:vAlign w:val="center"/>
          </w:tcPr>
          <w:p>
            <w:pPr>
              <w:spacing w:before="20" w:after="20"/>
              <w:jc w:val="right"/>
              <w:rPr>
                <w:noProof/>
                <w:color w:val="000000" w:themeColor="text1"/>
                <w:sz w:val="20"/>
                <w:szCs w:val="20"/>
              </w:rPr>
            </w:pPr>
            <w:r>
              <w:rPr>
                <w:noProof/>
                <w:color w:val="000000" w:themeColor="text1"/>
                <w:sz w:val="20"/>
              </w:rPr>
              <w:t>pm</w:t>
            </w:r>
          </w:p>
        </w:tc>
        <w:tc>
          <w:tcPr>
            <w:tcW w:w="1200" w:type="dxa"/>
            <w:vAlign w:val="center"/>
          </w:tcPr>
          <w:p>
            <w:pPr>
              <w:spacing w:before="20" w:after="20"/>
              <w:jc w:val="right"/>
              <w:rPr>
                <w:noProof/>
                <w:color w:val="000000" w:themeColor="text1"/>
                <w:sz w:val="20"/>
                <w:szCs w:val="20"/>
              </w:rPr>
            </w:pPr>
            <w:r>
              <w:rPr>
                <w:noProof/>
                <w:color w:val="000000" w:themeColor="text1"/>
                <w:sz w:val="20"/>
              </w:rPr>
              <w:t>pm</w:t>
            </w:r>
          </w:p>
        </w:tc>
        <w:tc>
          <w:tcPr>
            <w:tcW w:w="1200" w:type="dxa"/>
            <w:vAlign w:val="center"/>
          </w:tcPr>
          <w:p>
            <w:pPr>
              <w:spacing w:before="20" w:after="20"/>
              <w:jc w:val="right"/>
              <w:rPr>
                <w:noProof/>
                <w:color w:val="000000" w:themeColor="text1"/>
                <w:sz w:val="20"/>
                <w:szCs w:val="20"/>
              </w:rPr>
            </w:pPr>
            <w:r>
              <w:rPr>
                <w:noProof/>
                <w:color w:val="000000" w:themeColor="text1"/>
                <w:sz w:val="20"/>
              </w:rPr>
              <w:t>pm</w:t>
            </w:r>
          </w:p>
        </w:tc>
        <w:tc>
          <w:tcPr>
            <w:tcW w:w="1200" w:type="dxa"/>
            <w:vAlign w:val="center"/>
          </w:tcPr>
          <w:p>
            <w:pPr>
              <w:spacing w:before="20" w:after="20"/>
              <w:jc w:val="right"/>
              <w:rPr>
                <w:noProof/>
                <w:color w:val="000000" w:themeColor="text1"/>
                <w:sz w:val="20"/>
                <w:szCs w:val="20"/>
              </w:rPr>
            </w:pPr>
            <w:r>
              <w:rPr>
                <w:noProof/>
                <w:color w:val="000000" w:themeColor="text1"/>
                <w:sz w:val="20"/>
              </w:rPr>
              <w:t>pm</w:t>
            </w:r>
          </w:p>
        </w:tc>
        <w:tc>
          <w:tcPr>
            <w:tcW w:w="1200" w:type="dxa"/>
            <w:vAlign w:val="center"/>
          </w:tcPr>
          <w:p>
            <w:pPr>
              <w:spacing w:before="20" w:after="20"/>
              <w:jc w:val="right"/>
              <w:rPr>
                <w:noProof/>
                <w:color w:val="000000" w:themeColor="text1"/>
                <w:sz w:val="20"/>
                <w:szCs w:val="20"/>
              </w:rPr>
            </w:pPr>
            <w:r>
              <w:rPr>
                <w:noProof/>
                <w:color w:val="000000" w:themeColor="text1"/>
                <w:sz w:val="20"/>
              </w:rPr>
              <w:t>pm</w:t>
            </w:r>
          </w:p>
        </w:tc>
        <w:tc>
          <w:tcPr>
            <w:tcW w:w="1200" w:type="dxa"/>
            <w:vAlign w:val="center"/>
          </w:tcPr>
          <w:p>
            <w:pPr>
              <w:spacing w:before="20" w:after="20"/>
              <w:jc w:val="right"/>
              <w:rPr>
                <w:noProof/>
                <w:color w:val="000000" w:themeColor="text1"/>
                <w:sz w:val="20"/>
                <w:szCs w:val="20"/>
              </w:rPr>
            </w:pPr>
            <w:r>
              <w:rPr>
                <w:noProof/>
                <w:color w:val="000000" w:themeColor="text1"/>
                <w:sz w:val="20"/>
              </w:rPr>
              <w:t>pm</w:t>
            </w:r>
          </w:p>
        </w:tc>
        <w:tc>
          <w:tcPr>
            <w:tcW w:w="1200" w:type="dxa"/>
            <w:vAlign w:val="center"/>
          </w:tcPr>
          <w:p>
            <w:pPr>
              <w:spacing w:before="20" w:after="20"/>
              <w:jc w:val="right"/>
              <w:rPr>
                <w:noProof/>
                <w:color w:val="000000" w:themeColor="text1"/>
                <w:sz w:val="20"/>
                <w:szCs w:val="20"/>
              </w:rPr>
            </w:pPr>
            <w:r>
              <w:rPr>
                <w:noProof/>
                <w:color w:val="000000" w:themeColor="text1"/>
                <w:sz w:val="20"/>
              </w:rPr>
              <w:t>pm</w:t>
            </w:r>
          </w:p>
        </w:tc>
        <w:tc>
          <w:tcPr>
            <w:tcW w:w="1200" w:type="dxa"/>
            <w:shd w:val="clear" w:color="auto" w:fill="A6A6A6" w:themeFill="background1" w:themeFillShade="A6"/>
          </w:tcPr>
          <w:p>
            <w:pPr>
              <w:spacing w:before="20" w:after="20"/>
              <w:jc w:val="right"/>
              <w:rPr>
                <w:noProof/>
                <w:color w:val="000000" w:themeColor="text1"/>
                <w:sz w:val="20"/>
                <w:szCs w:val="20"/>
              </w:rPr>
            </w:pPr>
          </w:p>
        </w:tc>
        <w:tc>
          <w:tcPr>
            <w:tcW w:w="1362" w:type="dxa"/>
            <w:vAlign w:val="center"/>
          </w:tcPr>
          <w:p>
            <w:pPr>
              <w:spacing w:before="20" w:after="20"/>
              <w:jc w:val="right"/>
              <w:rPr>
                <w:b/>
                <w:noProof/>
                <w:color w:val="000000" w:themeColor="text1"/>
                <w:sz w:val="20"/>
                <w:szCs w:val="20"/>
              </w:rPr>
            </w:pPr>
            <w:r>
              <w:rPr>
                <w:b/>
                <w:noProof/>
                <w:color w:val="000000" w:themeColor="text1"/>
                <w:sz w:val="20"/>
              </w:rPr>
              <w:t>pm</w:t>
            </w:r>
          </w:p>
        </w:tc>
      </w:tr>
      <w:tr>
        <w:trPr>
          <w:gridAfter w:val="1"/>
          <w:wAfter w:w="31" w:type="dxa"/>
          <w:trHeight w:val="433"/>
          <w:jc w:val="center"/>
        </w:trPr>
        <w:tc>
          <w:tcPr>
            <w:tcW w:w="2650" w:type="dxa"/>
            <w:vMerge/>
            <w:vAlign w:val="center"/>
          </w:tcPr>
          <w:p/>
        </w:tc>
        <w:tc>
          <w:tcPr>
            <w:tcW w:w="1250" w:type="dxa"/>
            <w:vAlign w:val="center"/>
          </w:tcPr>
          <w:p>
            <w:pPr>
              <w:spacing w:before="20" w:after="20"/>
              <w:jc w:val="left"/>
              <w:rPr>
                <w:noProof/>
                <w:color w:val="000000" w:themeColor="text1"/>
                <w:sz w:val="14"/>
              </w:rPr>
            </w:pPr>
            <w:r>
              <w:rPr>
                <w:noProof/>
                <w:color w:val="000000" w:themeColor="text1"/>
                <w:sz w:val="18"/>
              </w:rPr>
              <w:t>Πληρωμές</w:t>
            </w:r>
          </w:p>
        </w:tc>
        <w:tc>
          <w:tcPr>
            <w:tcW w:w="1249" w:type="dxa"/>
            <w:vAlign w:val="center"/>
          </w:tcPr>
          <w:p>
            <w:pPr>
              <w:spacing w:before="20" w:after="20"/>
              <w:jc w:val="right"/>
              <w:rPr>
                <w:noProof/>
                <w:color w:val="000000" w:themeColor="text1"/>
                <w:sz w:val="20"/>
                <w:szCs w:val="20"/>
              </w:rPr>
            </w:pPr>
          </w:p>
        </w:tc>
        <w:tc>
          <w:tcPr>
            <w:tcW w:w="1200" w:type="dxa"/>
            <w:vAlign w:val="center"/>
          </w:tcPr>
          <w:p>
            <w:pPr>
              <w:spacing w:before="20" w:after="20"/>
              <w:jc w:val="right"/>
              <w:rPr>
                <w:noProof/>
                <w:color w:val="000000" w:themeColor="text1"/>
                <w:sz w:val="20"/>
                <w:szCs w:val="20"/>
              </w:rPr>
            </w:pPr>
          </w:p>
        </w:tc>
        <w:tc>
          <w:tcPr>
            <w:tcW w:w="1200" w:type="dxa"/>
            <w:vAlign w:val="center"/>
          </w:tcPr>
          <w:p>
            <w:pPr>
              <w:spacing w:before="20" w:after="20"/>
              <w:jc w:val="right"/>
              <w:rPr>
                <w:noProof/>
                <w:color w:val="000000" w:themeColor="text1"/>
                <w:sz w:val="20"/>
                <w:szCs w:val="20"/>
              </w:rPr>
            </w:pPr>
          </w:p>
        </w:tc>
        <w:tc>
          <w:tcPr>
            <w:tcW w:w="1200" w:type="dxa"/>
            <w:vAlign w:val="center"/>
          </w:tcPr>
          <w:p>
            <w:pPr>
              <w:spacing w:before="20" w:after="20"/>
              <w:jc w:val="right"/>
              <w:rPr>
                <w:noProof/>
                <w:color w:val="000000" w:themeColor="text1"/>
                <w:sz w:val="20"/>
                <w:szCs w:val="20"/>
              </w:rPr>
            </w:pPr>
          </w:p>
        </w:tc>
        <w:tc>
          <w:tcPr>
            <w:tcW w:w="1200" w:type="dxa"/>
            <w:vAlign w:val="center"/>
          </w:tcPr>
          <w:p>
            <w:pPr>
              <w:spacing w:before="20" w:after="20"/>
              <w:jc w:val="right"/>
              <w:rPr>
                <w:noProof/>
                <w:color w:val="000000" w:themeColor="text1"/>
                <w:sz w:val="20"/>
                <w:szCs w:val="20"/>
              </w:rPr>
            </w:pPr>
          </w:p>
        </w:tc>
        <w:tc>
          <w:tcPr>
            <w:tcW w:w="1200" w:type="dxa"/>
            <w:vAlign w:val="center"/>
          </w:tcPr>
          <w:p>
            <w:pPr>
              <w:spacing w:before="20" w:after="20"/>
              <w:jc w:val="right"/>
              <w:rPr>
                <w:noProof/>
                <w:color w:val="000000" w:themeColor="text1"/>
                <w:sz w:val="20"/>
                <w:szCs w:val="20"/>
              </w:rPr>
            </w:pPr>
          </w:p>
        </w:tc>
        <w:tc>
          <w:tcPr>
            <w:tcW w:w="1200" w:type="dxa"/>
            <w:vAlign w:val="center"/>
          </w:tcPr>
          <w:p>
            <w:pPr>
              <w:spacing w:before="20" w:after="20"/>
              <w:jc w:val="right"/>
              <w:rPr>
                <w:noProof/>
                <w:color w:val="000000" w:themeColor="text1"/>
                <w:sz w:val="20"/>
                <w:szCs w:val="20"/>
              </w:rPr>
            </w:pPr>
          </w:p>
        </w:tc>
        <w:tc>
          <w:tcPr>
            <w:tcW w:w="1200" w:type="dxa"/>
            <w:shd w:val="clear" w:color="auto" w:fill="A6A6A6" w:themeFill="background1" w:themeFillShade="A6"/>
          </w:tcPr>
          <w:p>
            <w:pPr>
              <w:spacing w:before="20" w:after="20"/>
              <w:jc w:val="right"/>
              <w:rPr>
                <w:noProof/>
                <w:color w:val="000000" w:themeColor="text1"/>
                <w:sz w:val="20"/>
                <w:szCs w:val="20"/>
              </w:rPr>
            </w:pPr>
          </w:p>
        </w:tc>
        <w:tc>
          <w:tcPr>
            <w:tcW w:w="1362" w:type="dxa"/>
            <w:vAlign w:val="center"/>
          </w:tcPr>
          <w:p>
            <w:pPr>
              <w:spacing w:before="20" w:after="20"/>
              <w:jc w:val="right"/>
              <w:rPr>
                <w:b/>
                <w:noProof/>
                <w:color w:val="000000" w:themeColor="text1"/>
                <w:sz w:val="20"/>
                <w:szCs w:val="20"/>
              </w:rPr>
            </w:pPr>
          </w:p>
        </w:tc>
      </w:tr>
      <w:tr>
        <w:trPr>
          <w:gridAfter w:val="1"/>
          <w:wAfter w:w="31" w:type="dxa"/>
          <w:trHeight w:val="723"/>
          <w:jc w:val="center"/>
        </w:trPr>
        <w:tc>
          <w:tcPr>
            <w:tcW w:w="2650" w:type="dxa"/>
            <w:vMerge w:val="restart"/>
            <w:vAlign w:val="center"/>
          </w:tcPr>
          <w:p>
            <w:pPr>
              <w:spacing w:after="60"/>
              <w:rPr>
                <w:noProof/>
                <w:color w:val="000000" w:themeColor="text1"/>
              </w:rPr>
            </w:pPr>
            <w:r>
              <w:rPr>
                <w:noProof/>
              </w:rPr>
              <w:t xml:space="preserve">02.02.02 Τροφοδότηση εγγύησης InvestEU </w:t>
            </w:r>
          </w:p>
        </w:tc>
        <w:tc>
          <w:tcPr>
            <w:tcW w:w="1250" w:type="dxa"/>
            <w:vAlign w:val="center"/>
          </w:tcPr>
          <w:p>
            <w:pPr>
              <w:spacing w:before="20" w:after="20"/>
              <w:jc w:val="left"/>
              <w:rPr>
                <w:noProof/>
                <w:color w:val="000000" w:themeColor="text1"/>
                <w:sz w:val="14"/>
              </w:rPr>
            </w:pPr>
            <w:r>
              <w:rPr>
                <w:noProof/>
                <w:color w:val="000000" w:themeColor="text1"/>
                <w:sz w:val="18"/>
              </w:rPr>
              <w:t>Αναλήψεις υποχρεώσεων</w:t>
            </w:r>
          </w:p>
        </w:tc>
        <w:tc>
          <w:tcPr>
            <w:tcW w:w="1249" w:type="dxa"/>
            <w:vAlign w:val="center"/>
          </w:tcPr>
          <w:p>
            <w:pPr>
              <w:spacing w:before="20" w:after="20"/>
              <w:jc w:val="right"/>
              <w:rPr>
                <w:noProof/>
                <w:color w:val="000000" w:themeColor="text1"/>
                <w:sz w:val="22"/>
              </w:rPr>
            </w:pPr>
            <w:r>
              <w:rPr>
                <w:noProof/>
                <w:color w:val="000000"/>
                <w:sz w:val="22"/>
              </w:rPr>
              <w:t>1 906,742</w:t>
            </w:r>
          </w:p>
        </w:tc>
        <w:tc>
          <w:tcPr>
            <w:tcW w:w="1200" w:type="dxa"/>
            <w:vAlign w:val="center"/>
          </w:tcPr>
          <w:p>
            <w:pPr>
              <w:spacing w:before="20" w:after="20"/>
              <w:jc w:val="right"/>
              <w:rPr>
                <w:noProof/>
                <w:color w:val="000000" w:themeColor="text1"/>
                <w:sz w:val="22"/>
              </w:rPr>
            </w:pPr>
            <w:r>
              <w:rPr>
                <w:noProof/>
                <w:color w:val="000000"/>
                <w:sz w:val="22"/>
              </w:rPr>
              <w:t>1 945,387</w:t>
            </w:r>
          </w:p>
        </w:tc>
        <w:tc>
          <w:tcPr>
            <w:tcW w:w="1200" w:type="dxa"/>
            <w:vAlign w:val="center"/>
          </w:tcPr>
          <w:p>
            <w:pPr>
              <w:spacing w:before="20" w:after="20"/>
              <w:jc w:val="right"/>
              <w:rPr>
                <w:noProof/>
                <w:color w:val="000000" w:themeColor="text1"/>
                <w:sz w:val="22"/>
              </w:rPr>
            </w:pPr>
            <w:r>
              <w:rPr>
                <w:noProof/>
                <w:color w:val="000000"/>
                <w:sz w:val="22"/>
              </w:rPr>
              <w:t>1 984,325</w:t>
            </w:r>
          </w:p>
        </w:tc>
        <w:tc>
          <w:tcPr>
            <w:tcW w:w="1200" w:type="dxa"/>
            <w:vAlign w:val="center"/>
          </w:tcPr>
          <w:p>
            <w:pPr>
              <w:spacing w:before="20" w:after="20"/>
              <w:jc w:val="right"/>
              <w:rPr>
                <w:noProof/>
                <w:color w:val="000000" w:themeColor="text1"/>
                <w:sz w:val="22"/>
              </w:rPr>
            </w:pPr>
            <w:r>
              <w:rPr>
                <w:noProof/>
                <w:color w:val="000000"/>
                <w:sz w:val="22"/>
              </w:rPr>
              <w:t>2 026,571</w:t>
            </w:r>
          </w:p>
        </w:tc>
        <w:tc>
          <w:tcPr>
            <w:tcW w:w="1200" w:type="dxa"/>
            <w:vAlign w:val="center"/>
          </w:tcPr>
          <w:p>
            <w:pPr>
              <w:spacing w:before="20" w:after="20"/>
              <w:jc w:val="right"/>
              <w:rPr>
                <w:noProof/>
                <w:color w:val="000000" w:themeColor="text1"/>
                <w:sz w:val="22"/>
              </w:rPr>
            </w:pPr>
            <w:r>
              <w:rPr>
                <w:noProof/>
                <w:color w:val="000000"/>
                <w:sz w:val="22"/>
              </w:rPr>
              <w:t>2 071,143</w:t>
            </w:r>
          </w:p>
        </w:tc>
        <w:tc>
          <w:tcPr>
            <w:tcW w:w="1200" w:type="dxa"/>
            <w:vAlign w:val="center"/>
          </w:tcPr>
          <w:p>
            <w:pPr>
              <w:spacing w:before="20" w:after="20"/>
              <w:jc w:val="right"/>
              <w:rPr>
                <w:noProof/>
                <w:color w:val="000000" w:themeColor="text1"/>
                <w:sz w:val="22"/>
              </w:rPr>
            </w:pPr>
            <w:r>
              <w:rPr>
                <w:noProof/>
                <w:color w:val="000000"/>
                <w:sz w:val="22"/>
              </w:rPr>
              <w:t>2 114,056</w:t>
            </w:r>
          </w:p>
        </w:tc>
        <w:tc>
          <w:tcPr>
            <w:tcW w:w="1200" w:type="dxa"/>
            <w:vAlign w:val="center"/>
          </w:tcPr>
          <w:p>
            <w:pPr>
              <w:spacing w:before="20" w:after="20"/>
              <w:jc w:val="right"/>
              <w:rPr>
                <w:noProof/>
                <w:color w:val="000000" w:themeColor="text1"/>
                <w:sz w:val="22"/>
              </w:rPr>
            </w:pPr>
            <w:r>
              <w:rPr>
                <w:noProof/>
                <w:color w:val="000000"/>
                <w:sz w:val="22"/>
              </w:rPr>
              <w:t>2 151,776</w:t>
            </w:r>
          </w:p>
        </w:tc>
        <w:tc>
          <w:tcPr>
            <w:tcW w:w="1200" w:type="dxa"/>
            <w:shd w:val="clear" w:color="auto" w:fill="A6A6A6" w:themeFill="background1" w:themeFillShade="A6"/>
            <w:vAlign w:val="center"/>
          </w:tcPr>
          <w:p>
            <w:pPr>
              <w:spacing w:before="20" w:after="20"/>
              <w:jc w:val="right"/>
              <w:rPr>
                <w:noProof/>
                <w:color w:val="000000" w:themeColor="text1"/>
                <w:sz w:val="22"/>
              </w:rPr>
            </w:pPr>
            <w:r>
              <w:rPr>
                <w:noProof/>
                <w:color w:val="000000"/>
                <w:sz w:val="22"/>
              </w:rPr>
              <w:t> </w:t>
            </w:r>
          </w:p>
        </w:tc>
        <w:tc>
          <w:tcPr>
            <w:tcW w:w="1362" w:type="dxa"/>
            <w:vAlign w:val="center"/>
          </w:tcPr>
          <w:p>
            <w:pPr>
              <w:spacing w:before="20" w:after="20"/>
              <w:jc w:val="right"/>
              <w:rPr>
                <w:b/>
                <w:noProof/>
                <w:color w:val="000000" w:themeColor="text1"/>
                <w:sz w:val="22"/>
              </w:rPr>
            </w:pPr>
            <w:r>
              <w:rPr>
                <w:b/>
                <w:noProof/>
                <w:color w:val="000000"/>
                <w:sz w:val="22"/>
              </w:rPr>
              <w:t>14 200.000</w:t>
            </w:r>
          </w:p>
        </w:tc>
      </w:tr>
      <w:tr>
        <w:trPr>
          <w:gridAfter w:val="1"/>
          <w:wAfter w:w="31" w:type="dxa"/>
          <w:trHeight w:val="476"/>
          <w:jc w:val="center"/>
        </w:trPr>
        <w:tc>
          <w:tcPr>
            <w:tcW w:w="2650" w:type="dxa"/>
            <w:vMerge/>
          </w:tcPr>
          <w:p>
            <w:pPr>
              <w:jc w:val="center"/>
              <w:rPr>
                <w:noProof/>
                <w:color w:val="000000" w:themeColor="text1"/>
                <w:sz w:val="20"/>
              </w:rPr>
            </w:pPr>
          </w:p>
        </w:tc>
        <w:tc>
          <w:tcPr>
            <w:tcW w:w="1250" w:type="dxa"/>
            <w:vAlign w:val="center"/>
          </w:tcPr>
          <w:p>
            <w:pPr>
              <w:spacing w:before="20" w:after="20"/>
              <w:jc w:val="left"/>
              <w:rPr>
                <w:noProof/>
                <w:color w:val="000000" w:themeColor="text1"/>
                <w:sz w:val="14"/>
              </w:rPr>
            </w:pPr>
            <w:r>
              <w:rPr>
                <w:noProof/>
                <w:color w:val="000000" w:themeColor="text1"/>
                <w:sz w:val="18"/>
              </w:rPr>
              <w:t>Πληρωμές</w:t>
            </w:r>
          </w:p>
        </w:tc>
        <w:tc>
          <w:tcPr>
            <w:tcW w:w="1249" w:type="dxa"/>
            <w:vAlign w:val="center"/>
          </w:tcPr>
          <w:p>
            <w:pPr>
              <w:spacing w:before="20" w:after="20"/>
              <w:jc w:val="right"/>
              <w:rPr>
                <w:noProof/>
                <w:color w:val="000000" w:themeColor="text1"/>
                <w:sz w:val="22"/>
              </w:rPr>
            </w:pPr>
            <w:r>
              <w:rPr>
                <w:noProof/>
                <w:color w:val="000000"/>
                <w:sz w:val="22"/>
              </w:rPr>
              <w:t xml:space="preserve">1 402.505 </w:t>
            </w:r>
          </w:p>
        </w:tc>
        <w:tc>
          <w:tcPr>
            <w:tcW w:w="1200" w:type="dxa"/>
            <w:vAlign w:val="center"/>
          </w:tcPr>
          <w:p>
            <w:pPr>
              <w:spacing w:before="20" w:after="20"/>
              <w:jc w:val="right"/>
              <w:rPr>
                <w:noProof/>
                <w:color w:val="000000" w:themeColor="text1"/>
                <w:sz w:val="22"/>
              </w:rPr>
            </w:pPr>
            <w:r>
              <w:rPr>
                <w:noProof/>
                <w:color w:val="000000"/>
                <w:sz w:val="22"/>
              </w:rPr>
              <w:t>1 574.122</w:t>
            </w:r>
          </w:p>
        </w:tc>
        <w:tc>
          <w:tcPr>
            <w:tcW w:w="1200" w:type="dxa"/>
            <w:vAlign w:val="center"/>
          </w:tcPr>
          <w:p>
            <w:pPr>
              <w:spacing w:before="20" w:after="20"/>
              <w:jc w:val="right"/>
              <w:rPr>
                <w:noProof/>
                <w:color w:val="000000" w:themeColor="text1"/>
                <w:sz w:val="22"/>
              </w:rPr>
            </w:pPr>
            <w:r>
              <w:rPr>
                <w:noProof/>
                <w:color w:val="000000"/>
                <w:sz w:val="22"/>
              </w:rPr>
              <w:t>1 673.829</w:t>
            </w:r>
          </w:p>
        </w:tc>
        <w:tc>
          <w:tcPr>
            <w:tcW w:w="1200" w:type="dxa"/>
            <w:vAlign w:val="center"/>
          </w:tcPr>
          <w:p>
            <w:pPr>
              <w:spacing w:before="20" w:after="20"/>
              <w:jc w:val="right"/>
              <w:rPr>
                <w:noProof/>
                <w:color w:val="000000" w:themeColor="text1"/>
                <w:sz w:val="22"/>
              </w:rPr>
            </w:pPr>
            <w:r>
              <w:rPr>
                <w:noProof/>
                <w:color w:val="000000"/>
                <w:sz w:val="22"/>
              </w:rPr>
              <w:t>1 805.244</w:t>
            </w:r>
          </w:p>
        </w:tc>
        <w:tc>
          <w:tcPr>
            <w:tcW w:w="1200" w:type="dxa"/>
            <w:vAlign w:val="center"/>
          </w:tcPr>
          <w:p>
            <w:pPr>
              <w:spacing w:before="20" w:after="20"/>
              <w:jc w:val="right"/>
              <w:rPr>
                <w:noProof/>
                <w:color w:val="000000" w:themeColor="text1"/>
                <w:sz w:val="22"/>
              </w:rPr>
            </w:pPr>
            <w:r>
              <w:rPr>
                <w:noProof/>
                <w:color w:val="000000"/>
                <w:sz w:val="22"/>
              </w:rPr>
              <w:t>1 921.368</w:t>
            </w:r>
          </w:p>
        </w:tc>
        <w:tc>
          <w:tcPr>
            <w:tcW w:w="1200" w:type="dxa"/>
            <w:vAlign w:val="center"/>
          </w:tcPr>
          <w:p>
            <w:pPr>
              <w:spacing w:before="20" w:after="20"/>
              <w:jc w:val="right"/>
              <w:rPr>
                <w:noProof/>
                <w:color w:val="000000" w:themeColor="text1"/>
                <w:sz w:val="22"/>
              </w:rPr>
            </w:pPr>
            <w:r>
              <w:rPr>
                <w:noProof/>
                <w:color w:val="000000"/>
                <w:sz w:val="22"/>
              </w:rPr>
              <w:t>1 994.694</w:t>
            </w:r>
          </w:p>
        </w:tc>
        <w:tc>
          <w:tcPr>
            <w:tcW w:w="1200" w:type="dxa"/>
            <w:vAlign w:val="center"/>
          </w:tcPr>
          <w:p>
            <w:pPr>
              <w:spacing w:before="20" w:after="20"/>
              <w:jc w:val="right"/>
              <w:rPr>
                <w:noProof/>
                <w:color w:val="000000" w:themeColor="text1"/>
                <w:sz w:val="22"/>
              </w:rPr>
            </w:pPr>
            <w:r>
              <w:rPr>
                <w:noProof/>
                <w:color w:val="000000"/>
                <w:sz w:val="22"/>
              </w:rPr>
              <w:t>2 040.875</w:t>
            </w:r>
          </w:p>
        </w:tc>
        <w:tc>
          <w:tcPr>
            <w:tcW w:w="1200" w:type="dxa"/>
            <w:vAlign w:val="center"/>
          </w:tcPr>
          <w:p>
            <w:pPr>
              <w:spacing w:before="20" w:after="20"/>
              <w:jc w:val="right"/>
              <w:rPr>
                <w:noProof/>
                <w:color w:val="000000" w:themeColor="text1"/>
                <w:sz w:val="22"/>
              </w:rPr>
            </w:pPr>
            <w:r>
              <w:rPr>
                <w:noProof/>
                <w:color w:val="000000"/>
                <w:sz w:val="22"/>
              </w:rPr>
              <w:t>1 787.362</w:t>
            </w:r>
          </w:p>
        </w:tc>
        <w:tc>
          <w:tcPr>
            <w:tcW w:w="1362" w:type="dxa"/>
            <w:vAlign w:val="center"/>
          </w:tcPr>
          <w:p>
            <w:pPr>
              <w:spacing w:before="20" w:after="20"/>
              <w:jc w:val="right"/>
              <w:rPr>
                <w:b/>
                <w:noProof/>
                <w:color w:val="000000" w:themeColor="text1"/>
                <w:sz w:val="22"/>
              </w:rPr>
            </w:pPr>
            <w:r>
              <w:rPr>
                <w:b/>
                <w:noProof/>
                <w:color w:val="000000"/>
                <w:sz w:val="22"/>
              </w:rPr>
              <w:t>14 200.000</w:t>
            </w:r>
          </w:p>
        </w:tc>
      </w:tr>
      <w:tr>
        <w:trPr>
          <w:gridAfter w:val="1"/>
          <w:wAfter w:w="31" w:type="dxa"/>
          <w:trHeight w:val="293"/>
          <w:jc w:val="center"/>
        </w:trPr>
        <w:tc>
          <w:tcPr>
            <w:tcW w:w="2650" w:type="dxa"/>
            <w:vMerge w:val="restart"/>
            <w:vAlign w:val="center"/>
          </w:tcPr>
          <w:p>
            <w:pPr>
              <w:spacing w:before="20" w:after="20"/>
              <w:jc w:val="left"/>
              <w:rPr>
                <w:noProof/>
                <w:color w:val="000000" w:themeColor="text1"/>
                <w:szCs w:val="24"/>
              </w:rPr>
            </w:pPr>
            <w:r>
              <w:rPr>
                <w:noProof/>
              </w:rPr>
              <w:t xml:space="preserve">02.02.03 Συμβουλευτικός κόμβος InvestEU, </w:t>
            </w:r>
            <w:r>
              <w:rPr>
                <w:noProof/>
                <w:color w:val="000000" w:themeColor="text1"/>
              </w:rPr>
              <w:t>πύλη InvestEU και συνοδευτικά μέτρα</w:t>
            </w:r>
            <w:r>
              <w:rPr>
                <w:rStyle w:val="FootnoteReference"/>
                <w:noProof/>
                <w:color w:val="000000" w:themeColor="text1"/>
              </w:rPr>
              <w:footnoteReference w:id="36"/>
            </w:r>
          </w:p>
        </w:tc>
        <w:tc>
          <w:tcPr>
            <w:tcW w:w="1250" w:type="dxa"/>
            <w:vAlign w:val="center"/>
          </w:tcPr>
          <w:p>
            <w:pPr>
              <w:spacing w:before="40" w:after="40"/>
              <w:jc w:val="left"/>
              <w:rPr>
                <w:noProof/>
                <w:color w:val="000000" w:themeColor="text1"/>
                <w:sz w:val="14"/>
              </w:rPr>
            </w:pPr>
            <w:r>
              <w:rPr>
                <w:noProof/>
                <w:color w:val="000000" w:themeColor="text1"/>
                <w:sz w:val="18"/>
              </w:rPr>
              <w:t>Αναλήψεις υποχρεώσεων</w:t>
            </w:r>
          </w:p>
        </w:tc>
        <w:tc>
          <w:tcPr>
            <w:tcW w:w="1249" w:type="dxa"/>
            <w:vAlign w:val="center"/>
          </w:tcPr>
          <w:p>
            <w:pPr>
              <w:jc w:val="right"/>
              <w:rPr>
                <w:noProof/>
                <w:color w:val="000000"/>
                <w:sz w:val="22"/>
              </w:rPr>
            </w:pPr>
            <w:r>
              <w:rPr>
                <w:noProof/>
                <w:color w:val="000000"/>
                <w:sz w:val="22"/>
              </w:rPr>
              <w:t>72.658</w:t>
            </w:r>
          </w:p>
        </w:tc>
        <w:tc>
          <w:tcPr>
            <w:tcW w:w="1200" w:type="dxa"/>
            <w:vAlign w:val="center"/>
          </w:tcPr>
          <w:p>
            <w:pPr>
              <w:jc w:val="right"/>
              <w:rPr>
                <w:noProof/>
                <w:color w:val="000000"/>
                <w:sz w:val="22"/>
              </w:rPr>
            </w:pPr>
            <w:r>
              <w:rPr>
                <w:noProof/>
                <w:color w:val="000000"/>
                <w:sz w:val="22"/>
              </w:rPr>
              <w:t>73.658</w:t>
            </w:r>
          </w:p>
        </w:tc>
        <w:tc>
          <w:tcPr>
            <w:tcW w:w="1200" w:type="dxa"/>
            <w:vAlign w:val="center"/>
          </w:tcPr>
          <w:p>
            <w:pPr>
              <w:jc w:val="right"/>
              <w:rPr>
                <w:noProof/>
                <w:color w:val="000000"/>
                <w:sz w:val="22"/>
              </w:rPr>
            </w:pPr>
            <w:r>
              <w:rPr>
                <w:noProof/>
                <w:color w:val="000000"/>
                <w:sz w:val="22"/>
              </w:rPr>
              <w:t>76.158</w:t>
            </w:r>
          </w:p>
        </w:tc>
        <w:tc>
          <w:tcPr>
            <w:tcW w:w="1200" w:type="dxa"/>
            <w:vAlign w:val="center"/>
          </w:tcPr>
          <w:p>
            <w:pPr>
              <w:jc w:val="right"/>
              <w:rPr>
                <w:noProof/>
                <w:color w:val="000000"/>
                <w:sz w:val="22"/>
              </w:rPr>
            </w:pPr>
            <w:r>
              <w:rPr>
                <w:noProof/>
                <w:color w:val="000000"/>
                <w:sz w:val="22"/>
              </w:rPr>
              <w:t>76.158</w:t>
            </w:r>
          </w:p>
        </w:tc>
        <w:tc>
          <w:tcPr>
            <w:tcW w:w="1200" w:type="dxa"/>
            <w:vAlign w:val="center"/>
          </w:tcPr>
          <w:p>
            <w:pPr>
              <w:jc w:val="right"/>
              <w:rPr>
                <w:noProof/>
                <w:color w:val="000000"/>
                <w:sz w:val="22"/>
              </w:rPr>
            </w:pPr>
            <w:r>
              <w:rPr>
                <w:noProof/>
                <w:color w:val="000000"/>
                <w:sz w:val="22"/>
              </w:rPr>
              <w:t>73.658</w:t>
            </w:r>
          </w:p>
        </w:tc>
        <w:tc>
          <w:tcPr>
            <w:tcW w:w="1200" w:type="dxa"/>
            <w:vAlign w:val="center"/>
          </w:tcPr>
          <w:p>
            <w:pPr>
              <w:jc w:val="right"/>
              <w:rPr>
                <w:noProof/>
                <w:color w:val="000000"/>
                <w:sz w:val="22"/>
              </w:rPr>
            </w:pPr>
            <w:r>
              <w:rPr>
                <w:noProof/>
                <w:color w:val="000000"/>
                <w:sz w:val="22"/>
              </w:rPr>
              <w:t>73.658</w:t>
            </w:r>
          </w:p>
        </w:tc>
        <w:tc>
          <w:tcPr>
            <w:tcW w:w="1200" w:type="dxa"/>
            <w:vAlign w:val="center"/>
          </w:tcPr>
          <w:p>
            <w:pPr>
              <w:jc w:val="right"/>
              <w:rPr>
                <w:noProof/>
                <w:color w:val="000000"/>
                <w:sz w:val="22"/>
              </w:rPr>
            </w:pPr>
            <w:r>
              <w:rPr>
                <w:noProof/>
                <w:color w:val="000000"/>
                <w:sz w:val="22"/>
              </w:rPr>
              <w:t>73.158</w:t>
            </w:r>
          </w:p>
        </w:tc>
        <w:tc>
          <w:tcPr>
            <w:tcW w:w="1200" w:type="dxa"/>
            <w:shd w:val="clear" w:color="auto" w:fill="A6A6A6" w:themeFill="background1" w:themeFillShade="A6"/>
            <w:vAlign w:val="center"/>
          </w:tcPr>
          <w:p>
            <w:pPr>
              <w:spacing w:before="40" w:after="40"/>
              <w:jc w:val="right"/>
              <w:rPr>
                <w:b/>
                <w:noProof/>
                <w:color w:val="000000" w:themeColor="text1"/>
                <w:sz w:val="22"/>
              </w:rPr>
            </w:pPr>
            <w:r>
              <w:rPr>
                <w:noProof/>
                <w:color w:val="000000"/>
                <w:sz w:val="22"/>
              </w:rPr>
              <w:t> </w:t>
            </w:r>
          </w:p>
        </w:tc>
        <w:tc>
          <w:tcPr>
            <w:tcW w:w="1362" w:type="dxa"/>
            <w:vAlign w:val="center"/>
          </w:tcPr>
          <w:p>
            <w:pPr>
              <w:spacing w:before="40" w:after="40"/>
              <w:jc w:val="right"/>
              <w:rPr>
                <w:b/>
                <w:noProof/>
                <w:color w:val="000000" w:themeColor="text1"/>
                <w:sz w:val="22"/>
              </w:rPr>
            </w:pPr>
            <w:r>
              <w:rPr>
                <w:b/>
                <w:noProof/>
                <w:color w:val="000000"/>
                <w:sz w:val="22"/>
              </w:rPr>
              <w:t>519.106</w:t>
            </w:r>
          </w:p>
        </w:tc>
      </w:tr>
      <w:tr>
        <w:trPr>
          <w:gridAfter w:val="1"/>
          <w:wAfter w:w="31" w:type="dxa"/>
          <w:trHeight w:val="292"/>
          <w:jc w:val="center"/>
        </w:trPr>
        <w:tc>
          <w:tcPr>
            <w:tcW w:w="2650" w:type="dxa"/>
            <w:vMerge/>
            <w:vAlign w:val="center"/>
          </w:tcPr>
          <w:p>
            <w:pPr>
              <w:spacing w:before="20" w:after="20"/>
              <w:jc w:val="left"/>
            </w:pPr>
          </w:p>
        </w:tc>
        <w:tc>
          <w:tcPr>
            <w:tcW w:w="1250" w:type="dxa"/>
            <w:vAlign w:val="center"/>
          </w:tcPr>
          <w:p>
            <w:pPr>
              <w:spacing w:before="40" w:after="40"/>
              <w:jc w:val="left"/>
              <w:rPr>
                <w:noProof/>
                <w:color w:val="000000" w:themeColor="text1"/>
                <w:sz w:val="14"/>
              </w:rPr>
            </w:pPr>
            <w:r>
              <w:rPr>
                <w:noProof/>
                <w:color w:val="000000" w:themeColor="text1"/>
                <w:sz w:val="18"/>
              </w:rPr>
              <w:t>Πληρωμές</w:t>
            </w:r>
          </w:p>
        </w:tc>
        <w:tc>
          <w:tcPr>
            <w:tcW w:w="1249" w:type="dxa"/>
            <w:vAlign w:val="center"/>
          </w:tcPr>
          <w:p>
            <w:pPr>
              <w:jc w:val="right"/>
              <w:rPr>
                <w:noProof/>
                <w:color w:val="000000"/>
                <w:sz w:val="22"/>
              </w:rPr>
            </w:pPr>
            <w:r>
              <w:rPr>
                <w:noProof/>
                <w:color w:val="000000"/>
                <w:sz w:val="22"/>
              </w:rPr>
              <w:t>30.058</w:t>
            </w:r>
          </w:p>
        </w:tc>
        <w:tc>
          <w:tcPr>
            <w:tcW w:w="1200" w:type="dxa"/>
            <w:vAlign w:val="center"/>
          </w:tcPr>
          <w:p>
            <w:pPr>
              <w:jc w:val="right"/>
              <w:rPr>
                <w:noProof/>
                <w:color w:val="000000"/>
                <w:sz w:val="22"/>
              </w:rPr>
            </w:pPr>
            <w:r>
              <w:rPr>
                <w:noProof/>
                <w:color w:val="000000"/>
                <w:sz w:val="22"/>
              </w:rPr>
              <w:t>58.458</w:t>
            </w:r>
          </w:p>
        </w:tc>
        <w:tc>
          <w:tcPr>
            <w:tcW w:w="1200" w:type="dxa"/>
            <w:vAlign w:val="center"/>
          </w:tcPr>
          <w:p>
            <w:pPr>
              <w:jc w:val="right"/>
              <w:rPr>
                <w:noProof/>
                <w:color w:val="000000"/>
                <w:sz w:val="22"/>
              </w:rPr>
            </w:pPr>
            <w:r>
              <w:rPr>
                <w:noProof/>
                <w:color w:val="000000"/>
                <w:sz w:val="22"/>
              </w:rPr>
              <w:t>74.658</w:t>
            </w:r>
          </w:p>
        </w:tc>
        <w:tc>
          <w:tcPr>
            <w:tcW w:w="1200" w:type="dxa"/>
            <w:vAlign w:val="center"/>
          </w:tcPr>
          <w:p>
            <w:pPr>
              <w:jc w:val="right"/>
              <w:rPr>
                <w:noProof/>
                <w:color w:val="000000"/>
                <w:sz w:val="22"/>
              </w:rPr>
            </w:pPr>
            <w:r>
              <w:rPr>
                <w:noProof/>
                <w:color w:val="000000"/>
                <w:sz w:val="22"/>
              </w:rPr>
              <w:t>76.658</w:t>
            </w:r>
          </w:p>
        </w:tc>
        <w:tc>
          <w:tcPr>
            <w:tcW w:w="1200" w:type="dxa"/>
            <w:vAlign w:val="center"/>
          </w:tcPr>
          <w:p>
            <w:pPr>
              <w:jc w:val="right"/>
              <w:rPr>
                <w:noProof/>
                <w:color w:val="000000"/>
                <w:sz w:val="22"/>
              </w:rPr>
            </w:pPr>
            <w:r>
              <w:rPr>
                <w:noProof/>
                <w:color w:val="000000"/>
                <w:sz w:val="22"/>
              </w:rPr>
              <w:t>76.158</w:t>
            </w:r>
          </w:p>
        </w:tc>
        <w:tc>
          <w:tcPr>
            <w:tcW w:w="1200" w:type="dxa"/>
            <w:vAlign w:val="center"/>
          </w:tcPr>
          <w:p>
            <w:pPr>
              <w:jc w:val="right"/>
              <w:rPr>
                <w:noProof/>
                <w:color w:val="000000"/>
                <w:sz w:val="22"/>
              </w:rPr>
            </w:pPr>
            <w:r>
              <w:rPr>
                <w:noProof/>
                <w:color w:val="000000"/>
                <w:sz w:val="22"/>
              </w:rPr>
              <w:t>73.658</w:t>
            </w:r>
          </w:p>
        </w:tc>
        <w:tc>
          <w:tcPr>
            <w:tcW w:w="1200" w:type="dxa"/>
            <w:vAlign w:val="center"/>
          </w:tcPr>
          <w:p>
            <w:pPr>
              <w:jc w:val="right"/>
              <w:rPr>
                <w:noProof/>
                <w:color w:val="000000"/>
                <w:sz w:val="22"/>
              </w:rPr>
            </w:pPr>
            <w:r>
              <w:rPr>
                <w:noProof/>
                <w:color w:val="000000"/>
                <w:sz w:val="22"/>
              </w:rPr>
              <w:t>72.658</w:t>
            </w:r>
          </w:p>
        </w:tc>
        <w:tc>
          <w:tcPr>
            <w:tcW w:w="1200" w:type="dxa"/>
            <w:shd w:val="clear" w:color="auto" w:fill="auto"/>
            <w:vAlign w:val="center"/>
          </w:tcPr>
          <w:p>
            <w:pPr>
              <w:spacing w:before="40" w:after="40"/>
              <w:jc w:val="right"/>
              <w:rPr>
                <w:b/>
                <w:noProof/>
                <w:color w:val="000000" w:themeColor="text1"/>
                <w:sz w:val="22"/>
              </w:rPr>
            </w:pPr>
            <w:r>
              <w:rPr>
                <w:noProof/>
                <w:color w:val="000000"/>
                <w:sz w:val="22"/>
              </w:rPr>
              <w:t>56.800</w:t>
            </w:r>
          </w:p>
        </w:tc>
        <w:tc>
          <w:tcPr>
            <w:tcW w:w="1362" w:type="dxa"/>
            <w:vAlign w:val="center"/>
          </w:tcPr>
          <w:p>
            <w:pPr>
              <w:spacing w:before="40" w:after="40"/>
              <w:jc w:val="right"/>
              <w:rPr>
                <w:b/>
                <w:noProof/>
                <w:color w:val="000000" w:themeColor="text1"/>
                <w:sz w:val="22"/>
              </w:rPr>
            </w:pPr>
            <w:r>
              <w:rPr>
                <w:b/>
                <w:noProof/>
                <w:color w:val="000000"/>
                <w:sz w:val="22"/>
              </w:rPr>
              <w:t>519.106</w:t>
            </w:r>
          </w:p>
        </w:tc>
      </w:tr>
      <w:tr>
        <w:trPr>
          <w:gridAfter w:val="1"/>
          <w:wAfter w:w="31" w:type="dxa"/>
          <w:trHeight w:val="319"/>
          <w:jc w:val="center"/>
        </w:trPr>
        <w:tc>
          <w:tcPr>
            <w:tcW w:w="2650" w:type="dxa"/>
            <w:vAlign w:val="center"/>
          </w:tcPr>
          <w:p>
            <w:pPr>
              <w:spacing w:before="20" w:after="20"/>
              <w:jc w:val="left"/>
              <w:rPr>
                <w:noProof/>
                <w:color w:val="000000" w:themeColor="text1"/>
                <w:szCs w:val="24"/>
              </w:rPr>
            </w:pPr>
            <w:r>
              <w:rPr>
                <w:noProof/>
                <w:color w:val="000000" w:themeColor="text1"/>
              </w:rPr>
              <w:t xml:space="preserve">02.01 Διοικητική υποστήριξη InvestEU </w:t>
            </w:r>
          </w:p>
        </w:tc>
        <w:tc>
          <w:tcPr>
            <w:tcW w:w="1250" w:type="dxa"/>
            <w:vAlign w:val="center"/>
          </w:tcPr>
          <w:p>
            <w:pPr>
              <w:spacing w:before="40" w:after="40"/>
              <w:jc w:val="left"/>
              <w:rPr>
                <w:noProof/>
                <w:color w:val="000000" w:themeColor="text1"/>
                <w:sz w:val="14"/>
              </w:rPr>
            </w:pPr>
            <w:r>
              <w:rPr>
                <w:noProof/>
                <w:color w:val="000000" w:themeColor="text1"/>
                <w:sz w:val="18"/>
              </w:rPr>
              <w:t>Αναλήψεις υποχρεώσεων = Πληρωμές</w:t>
            </w:r>
          </w:p>
        </w:tc>
        <w:tc>
          <w:tcPr>
            <w:tcW w:w="1249" w:type="dxa"/>
            <w:vAlign w:val="center"/>
          </w:tcPr>
          <w:p>
            <w:pPr>
              <w:spacing w:before="40" w:after="40"/>
              <w:jc w:val="right"/>
              <w:rPr>
                <w:noProof/>
                <w:color w:val="000000" w:themeColor="text1"/>
                <w:sz w:val="22"/>
              </w:rPr>
            </w:pPr>
            <w:r>
              <w:rPr>
                <w:noProof/>
                <w:color w:val="000000" w:themeColor="text1"/>
                <w:sz w:val="22"/>
              </w:rPr>
              <w:t>0.842</w:t>
            </w:r>
          </w:p>
        </w:tc>
        <w:tc>
          <w:tcPr>
            <w:tcW w:w="1200" w:type="dxa"/>
            <w:vAlign w:val="center"/>
          </w:tcPr>
          <w:p>
            <w:pPr>
              <w:spacing w:before="40" w:after="40"/>
              <w:jc w:val="right"/>
              <w:rPr>
                <w:noProof/>
                <w:color w:val="000000" w:themeColor="text1"/>
                <w:sz w:val="22"/>
              </w:rPr>
            </w:pPr>
            <w:r>
              <w:rPr>
                <w:noProof/>
                <w:color w:val="000000" w:themeColor="text1"/>
                <w:sz w:val="22"/>
              </w:rPr>
              <w:t>0.842</w:t>
            </w:r>
          </w:p>
        </w:tc>
        <w:tc>
          <w:tcPr>
            <w:tcW w:w="1200" w:type="dxa"/>
            <w:vAlign w:val="center"/>
          </w:tcPr>
          <w:p>
            <w:pPr>
              <w:spacing w:before="40" w:after="40"/>
              <w:jc w:val="right"/>
              <w:rPr>
                <w:noProof/>
                <w:color w:val="000000" w:themeColor="text1"/>
                <w:sz w:val="22"/>
              </w:rPr>
            </w:pPr>
            <w:r>
              <w:rPr>
                <w:noProof/>
                <w:color w:val="000000" w:themeColor="text1"/>
                <w:sz w:val="22"/>
              </w:rPr>
              <w:t>0.842</w:t>
            </w:r>
          </w:p>
        </w:tc>
        <w:tc>
          <w:tcPr>
            <w:tcW w:w="1200" w:type="dxa"/>
            <w:vAlign w:val="center"/>
          </w:tcPr>
          <w:p>
            <w:pPr>
              <w:spacing w:before="40" w:after="40"/>
              <w:jc w:val="right"/>
              <w:rPr>
                <w:noProof/>
                <w:color w:val="000000" w:themeColor="text1"/>
                <w:sz w:val="22"/>
              </w:rPr>
            </w:pPr>
            <w:r>
              <w:rPr>
                <w:noProof/>
                <w:color w:val="000000" w:themeColor="text1"/>
                <w:sz w:val="22"/>
              </w:rPr>
              <w:t>0.842</w:t>
            </w:r>
          </w:p>
        </w:tc>
        <w:tc>
          <w:tcPr>
            <w:tcW w:w="1200" w:type="dxa"/>
            <w:vAlign w:val="center"/>
          </w:tcPr>
          <w:p>
            <w:pPr>
              <w:spacing w:before="40" w:after="40"/>
              <w:jc w:val="right"/>
              <w:rPr>
                <w:noProof/>
                <w:color w:val="000000" w:themeColor="text1"/>
                <w:sz w:val="22"/>
              </w:rPr>
            </w:pPr>
            <w:r>
              <w:rPr>
                <w:noProof/>
                <w:color w:val="000000" w:themeColor="text1"/>
                <w:sz w:val="22"/>
              </w:rPr>
              <w:t>0.842</w:t>
            </w:r>
          </w:p>
        </w:tc>
        <w:tc>
          <w:tcPr>
            <w:tcW w:w="1200" w:type="dxa"/>
            <w:vAlign w:val="center"/>
          </w:tcPr>
          <w:p>
            <w:pPr>
              <w:spacing w:before="40" w:after="40"/>
              <w:jc w:val="right"/>
              <w:rPr>
                <w:noProof/>
                <w:color w:val="000000" w:themeColor="text1"/>
                <w:sz w:val="22"/>
              </w:rPr>
            </w:pPr>
            <w:r>
              <w:rPr>
                <w:noProof/>
                <w:color w:val="000000" w:themeColor="text1"/>
                <w:sz w:val="22"/>
              </w:rPr>
              <w:t>0.842</w:t>
            </w:r>
          </w:p>
        </w:tc>
        <w:tc>
          <w:tcPr>
            <w:tcW w:w="1200" w:type="dxa"/>
            <w:vAlign w:val="center"/>
          </w:tcPr>
          <w:p>
            <w:pPr>
              <w:spacing w:before="40" w:after="40"/>
              <w:jc w:val="right"/>
              <w:rPr>
                <w:noProof/>
                <w:color w:val="000000" w:themeColor="text1"/>
                <w:sz w:val="22"/>
              </w:rPr>
            </w:pPr>
            <w:r>
              <w:rPr>
                <w:noProof/>
                <w:color w:val="000000" w:themeColor="text1"/>
                <w:sz w:val="22"/>
              </w:rPr>
              <w:t>0.842</w:t>
            </w:r>
          </w:p>
        </w:tc>
        <w:tc>
          <w:tcPr>
            <w:tcW w:w="1200" w:type="dxa"/>
            <w:shd w:val="clear" w:color="auto" w:fill="A6A6A6" w:themeFill="background1" w:themeFillShade="A6"/>
            <w:vAlign w:val="center"/>
          </w:tcPr>
          <w:p>
            <w:pPr>
              <w:spacing w:before="40" w:after="40"/>
              <w:jc w:val="right"/>
              <w:rPr>
                <w:b/>
                <w:noProof/>
                <w:color w:val="000000" w:themeColor="text1"/>
                <w:sz w:val="22"/>
              </w:rPr>
            </w:pPr>
          </w:p>
        </w:tc>
        <w:tc>
          <w:tcPr>
            <w:tcW w:w="1362" w:type="dxa"/>
            <w:vAlign w:val="center"/>
          </w:tcPr>
          <w:p>
            <w:pPr>
              <w:spacing w:before="40" w:after="40"/>
              <w:jc w:val="right"/>
              <w:rPr>
                <w:b/>
                <w:noProof/>
                <w:color w:val="000000" w:themeColor="text1"/>
                <w:sz w:val="22"/>
              </w:rPr>
            </w:pPr>
            <w:r>
              <w:rPr>
                <w:b/>
                <w:noProof/>
                <w:color w:val="000000" w:themeColor="text1"/>
                <w:sz w:val="22"/>
              </w:rPr>
              <w:t>5.894</w:t>
            </w:r>
          </w:p>
        </w:tc>
      </w:tr>
      <w:tr>
        <w:trPr>
          <w:gridAfter w:val="1"/>
          <w:wAfter w:w="31" w:type="dxa"/>
          <w:jc w:val="center"/>
        </w:trPr>
        <w:tc>
          <w:tcPr>
            <w:tcW w:w="2650" w:type="dxa"/>
            <w:vMerge w:val="restart"/>
            <w:vAlign w:val="center"/>
          </w:tcPr>
          <w:p>
            <w:pPr>
              <w:jc w:val="left"/>
              <w:rPr>
                <w:b/>
                <w:noProof/>
                <w:color w:val="000000" w:themeColor="text1"/>
              </w:rPr>
            </w:pPr>
            <w:r>
              <w:rPr>
                <w:b/>
                <w:noProof/>
                <w:color w:val="000000" w:themeColor="text1"/>
                <w:sz w:val="22"/>
              </w:rPr>
              <w:t>ΣΥΝΟΛΟ πιστώσεων για το χρηματοδοτικό κονδύλιο του προγράμματος</w:t>
            </w:r>
          </w:p>
        </w:tc>
        <w:tc>
          <w:tcPr>
            <w:tcW w:w="1250" w:type="dxa"/>
            <w:vAlign w:val="center"/>
          </w:tcPr>
          <w:p>
            <w:pPr>
              <w:jc w:val="left"/>
              <w:rPr>
                <w:noProof/>
                <w:color w:val="000000" w:themeColor="text1"/>
                <w:sz w:val="14"/>
              </w:rPr>
            </w:pPr>
            <w:r>
              <w:rPr>
                <w:noProof/>
                <w:color w:val="000000" w:themeColor="text1"/>
                <w:sz w:val="18"/>
              </w:rPr>
              <w:t>Αναλήψεις υποχρεώσεων</w:t>
            </w:r>
          </w:p>
        </w:tc>
        <w:tc>
          <w:tcPr>
            <w:tcW w:w="1249" w:type="dxa"/>
            <w:vAlign w:val="center"/>
          </w:tcPr>
          <w:p>
            <w:pPr>
              <w:spacing w:before="20" w:after="20"/>
              <w:jc w:val="right"/>
              <w:rPr>
                <w:noProof/>
                <w:sz w:val="22"/>
              </w:rPr>
            </w:pPr>
            <w:r>
              <w:rPr>
                <w:noProof/>
                <w:sz w:val="22"/>
              </w:rPr>
              <w:t>1 980.242</w:t>
            </w:r>
          </w:p>
        </w:tc>
        <w:tc>
          <w:tcPr>
            <w:tcW w:w="1200" w:type="dxa"/>
            <w:vAlign w:val="center"/>
          </w:tcPr>
          <w:p>
            <w:pPr>
              <w:spacing w:before="20" w:after="20"/>
              <w:jc w:val="right"/>
              <w:rPr>
                <w:noProof/>
                <w:sz w:val="22"/>
              </w:rPr>
            </w:pPr>
            <w:r>
              <w:rPr>
                <w:noProof/>
                <w:sz w:val="22"/>
              </w:rPr>
              <w:t>2 019.887</w:t>
            </w:r>
          </w:p>
        </w:tc>
        <w:tc>
          <w:tcPr>
            <w:tcW w:w="1200" w:type="dxa"/>
            <w:vAlign w:val="center"/>
          </w:tcPr>
          <w:p>
            <w:pPr>
              <w:spacing w:before="20" w:after="20"/>
              <w:jc w:val="right"/>
              <w:rPr>
                <w:noProof/>
                <w:sz w:val="22"/>
              </w:rPr>
            </w:pPr>
            <w:r>
              <w:rPr>
                <w:noProof/>
                <w:sz w:val="22"/>
              </w:rPr>
              <w:t>2 061.325</w:t>
            </w:r>
          </w:p>
        </w:tc>
        <w:tc>
          <w:tcPr>
            <w:tcW w:w="1200" w:type="dxa"/>
            <w:vAlign w:val="center"/>
          </w:tcPr>
          <w:p>
            <w:pPr>
              <w:spacing w:before="20" w:after="20"/>
              <w:jc w:val="right"/>
              <w:rPr>
                <w:noProof/>
                <w:sz w:val="22"/>
              </w:rPr>
            </w:pPr>
            <w:r>
              <w:rPr>
                <w:noProof/>
                <w:sz w:val="22"/>
              </w:rPr>
              <w:t>2 103.571</w:t>
            </w:r>
          </w:p>
        </w:tc>
        <w:tc>
          <w:tcPr>
            <w:tcW w:w="1200" w:type="dxa"/>
            <w:vAlign w:val="center"/>
          </w:tcPr>
          <w:p>
            <w:pPr>
              <w:spacing w:before="20" w:after="20"/>
              <w:jc w:val="right"/>
              <w:rPr>
                <w:noProof/>
                <w:sz w:val="22"/>
              </w:rPr>
            </w:pPr>
            <w:r>
              <w:rPr>
                <w:noProof/>
                <w:sz w:val="22"/>
              </w:rPr>
              <w:t>2 145.643</w:t>
            </w:r>
          </w:p>
        </w:tc>
        <w:tc>
          <w:tcPr>
            <w:tcW w:w="1200" w:type="dxa"/>
            <w:vAlign w:val="center"/>
          </w:tcPr>
          <w:p>
            <w:pPr>
              <w:spacing w:before="20" w:after="20"/>
              <w:jc w:val="right"/>
              <w:rPr>
                <w:noProof/>
                <w:sz w:val="22"/>
              </w:rPr>
            </w:pPr>
            <w:r>
              <w:rPr>
                <w:noProof/>
                <w:sz w:val="22"/>
              </w:rPr>
              <w:t>2 188.556</w:t>
            </w:r>
          </w:p>
        </w:tc>
        <w:tc>
          <w:tcPr>
            <w:tcW w:w="1200" w:type="dxa"/>
            <w:vAlign w:val="center"/>
          </w:tcPr>
          <w:p>
            <w:pPr>
              <w:spacing w:before="20" w:after="20"/>
              <w:jc w:val="right"/>
              <w:rPr>
                <w:noProof/>
                <w:sz w:val="22"/>
              </w:rPr>
            </w:pPr>
            <w:r>
              <w:rPr>
                <w:noProof/>
                <w:sz w:val="22"/>
              </w:rPr>
              <w:t>2 225.776</w:t>
            </w:r>
          </w:p>
        </w:tc>
        <w:tc>
          <w:tcPr>
            <w:tcW w:w="1200" w:type="dxa"/>
            <w:vAlign w:val="center"/>
          </w:tcPr>
          <w:p>
            <w:pPr>
              <w:spacing w:before="20" w:after="20"/>
              <w:jc w:val="right"/>
              <w:rPr>
                <w:b/>
                <w:noProof/>
                <w:sz w:val="22"/>
              </w:rPr>
            </w:pPr>
          </w:p>
        </w:tc>
        <w:tc>
          <w:tcPr>
            <w:tcW w:w="1362" w:type="dxa"/>
            <w:vAlign w:val="center"/>
          </w:tcPr>
          <w:p>
            <w:pPr>
              <w:jc w:val="right"/>
              <w:rPr>
                <w:b/>
                <w:iCs/>
                <w:noProof/>
                <w:color w:val="000000"/>
                <w:sz w:val="22"/>
              </w:rPr>
            </w:pPr>
            <w:r>
              <w:rPr>
                <w:b/>
                <w:noProof/>
                <w:color w:val="000000"/>
                <w:sz w:val="22"/>
              </w:rPr>
              <w:t>14 725.000</w:t>
            </w:r>
          </w:p>
        </w:tc>
      </w:tr>
      <w:tr>
        <w:trPr>
          <w:gridAfter w:val="1"/>
          <w:wAfter w:w="31" w:type="dxa"/>
          <w:jc w:val="center"/>
        </w:trPr>
        <w:tc>
          <w:tcPr>
            <w:tcW w:w="2650" w:type="dxa"/>
            <w:vMerge/>
          </w:tcPr>
          <w:p>
            <w:pPr>
              <w:rPr>
                <w:noProof/>
                <w:color w:val="000000" w:themeColor="text1"/>
                <w:sz w:val="20"/>
              </w:rPr>
            </w:pPr>
          </w:p>
        </w:tc>
        <w:tc>
          <w:tcPr>
            <w:tcW w:w="1250" w:type="dxa"/>
            <w:vAlign w:val="center"/>
          </w:tcPr>
          <w:p>
            <w:pPr>
              <w:jc w:val="left"/>
              <w:rPr>
                <w:noProof/>
                <w:color w:val="000000" w:themeColor="text1"/>
                <w:sz w:val="14"/>
              </w:rPr>
            </w:pPr>
            <w:r>
              <w:rPr>
                <w:noProof/>
                <w:color w:val="000000" w:themeColor="text1"/>
                <w:sz w:val="18"/>
              </w:rPr>
              <w:t>Πληρωμές</w:t>
            </w:r>
          </w:p>
        </w:tc>
        <w:tc>
          <w:tcPr>
            <w:tcW w:w="1249" w:type="dxa"/>
            <w:vAlign w:val="center"/>
          </w:tcPr>
          <w:p>
            <w:pPr>
              <w:spacing w:before="20" w:after="20"/>
              <w:jc w:val="right"/>
              <w:rPr>
                <w:noProof/>
                <w:sz w:val="22"/>
              </w:rPr>
            </w:pPr>
            <w:r>
              <w:rPr>
                <w:noProof/>
                <w:sz w:val="22"/>
              </w:rPr>
              <w:t>1 433.405</w:t>
            </w:r>
          </w:p>
        </w:tc>
        <w:tc>
          <w:tcPr>
            <w:tcW w:w="1200" w:type="dxa"/>
            <w:vAlign w:val="center"/>
          </w:tcPr>
          <w:p>
            <w:pPr>
              <w:spacing w:before="20" w:after="20"/>
              <w:jc w:val="right"/>
              <w:rPr>
                <w:noProof/>
                <w:sz w:val="22"/>
              </w:rPr>
            </w:pPr>
            <w:r>
              <w:rPr>
                <w:noProof/>
                <w:sz w:val="22"/>
              </w:rPr>
              <w:t>1 633.422</w:t>
            </w:r>
          </w:p>
        </w:tc>
        <w:tc>
          <w:tcPr>
            <w:tcW w:w="1200" w:type="dxa"/>
            <w:vAlign w:val="center"/>
          </w:tcPr>
          <w:p>
            <w:pPr>
              <w:spacing w:before="20" w:after="20"/>
              <w:jc w:val="right"/>
              <w:rPr>
                <w:noProof/>
                <w:sz w:val="22"/>
              </w:rPr>
            </w:pPr>
            <w:r>
              <w:rPr>
                <w:noProof/>
                <w:sz w:val="22"/>
              </w:rPr>
              <w:t>1 749.329</w:t>
            </w:r>
          </w:p>
        </w:tc>
        <w:tc>
          <w:tcPr>
            <w:tcW w:w="1200" w:type="dxa"/>
            <w:vAlign w:val="center"/>
          </w:tcPr>
          <w:p>
            <w:pPr>
              <w:spacing w:before="20" w:after="20"/>
              <w:jc w:val="right"/>
              <w:rPr>
                <w:noProof/>
                <w:sz w:val="22"/>
              </w:rPr>
            </w:pPr>
            <w:r>
              <w:rPr>
                <w:noProof/>
                <w:sz w:val="22"/>
              </w:rPr>
              <w:t>1 882.744</w:t>
            </w:r>
          </w:p>
        </w:tc>
        <w:tc>
          <w:tcPr>
            <w:tcW w:w="1200" w:type="dxa"/>
            <w:vAlign w:val="center"/>
          </w:tcPr>
          <w:p>
            <w:pPr>
              <w:spacing w:before="20" w:after="20"/>
              <w:jc w:val="right"/>
              <w:rPr>
                <w:noProof/>
                <w:sz w:val="22"/>
              </w:rPr>
            </w:pPr>
            <w:r>
              <w:rPr>
                <w:noProof/>
                <w:sz w:val="22"/>
              </w:rPr>
              <w:t>1 998.368</w:t>
            </w:r>
          </w:p>
        </w:tc>
        <w:tc>
          <w:tcPr>
            <w:tcW w:w="1200" w:type="dxa"/>
            <w:vAlign w:val="center"/>
          </w:tcPr>
          <w:p>
            <w:pPr>
              <w:spacing w:before="20" w:after="20"/>
              <w:jc w:val="right"/>
              <w:rPr>
                <w:noProof/>
                <w:sz w:val="22"/>
              </w:rPr>
            </w:pPr>
            <w:r>
              <w:rPr>
                <w:noProof/>
                <w:sz w:val="22"/>
              </w:rPr>
              <w:t>2 069.194</w:t>
            </w:r>
          </w:p>
        </w:tc>
        <w:tc>
          <w:tcPr>
            <w:tcW w:w="1200" w:type="dxa"/>
            <w:vAlign w:val="center"/>
          </w:tcPr>
          <w:p>
            <w:pPr>
              <w:spacing w:before="20" w:after="20"/>
              <w:jc w:val="right"/>
              <w:rPr>
                <w:b/>
                <w:noProof/>
                <w:sz w:val="22"/>
              </w:rPr>
            </w:pPr>
            <w:r>
              <w:rPr>
                <w:noProof/>
                <w:sz w:val="22"/>
              </w:rPr>
              <w:t>2 114.375</w:t>
            </w:r>
          </w:p>
        </w:tc>
        <w:tc>
          <w:tcPr>
            <w:tcW w:w="1200" w:type="dxa"/>
            <w:vAlign w:val="center"/>
          </w:tcPr>
          <w:p>
            <w:pPr>
              <w:spacing w:before="20" w:after="20"/>
              <w:jc w:val="right"/>
              <w:rPr>
                <w:b/>
                <w:noProof/>
                <w:sz w:val="22"/>
              </w:rPr>
            </w:pPr>
            <w:r>
              <w:rPr>
                <w:noProof/>
                <w:sz w:val="22"/>
              </w:rPr>
              <w:t>1 844.162</w:t>
            </w:r>
          </w:p>
        </w:tc>
        <w:tc>
          <w:tcPr>
            <w:tcW w:w="1362" w:type="dxa"/>
            <w:vAlign w:val="center"/>
          </w:tcPr>
          <w:p>
            <w:pPr>
              <w:spacing w:before="20" w:after="20"/>
              <w:jc w:val="right"/>
              <w:rPr>
                <w:b/>
                <w:noProof/>
                <w:sz w:val="22"/>
              </w:rPr>
            </w:pPr>
            <w:r>
              <w:rPr>
                <w:b/>
                <w:noProof/>
                <w:color w:val="000000"/>
                <w:sz w:val="22"/>
              </w:rPr>
              <w:t>14 725.000</w:t>
            </w:r>
          </w:p>
        </w:tc>
      </w:tr>
    </w:tbl>
    <w:p>
      <w:pPr>
        <w:rPr>
          <w:noProof/>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44"/>
        <w:gridCol w:w="1080"/>
        <w:gridCol w:w="7817"/>
      </w:tblGrid>
      <w:tr>
        <w:trPr>
          <w:jc w:val="center"/>
        </w:trPr>
        <w:tc>
          <w:tcPr>
            <w:tcW w:w="4744" w:type="dxa"/>
            <w:shd w:val="thinDiagStripe" w:color="C0C0C0" w:fill="auto"/>
            <w:vAlign w:val="center"/>
          </w:tcPr>
          <w:p>
            <w:pPr>
              <w:spacing w:before="60" w:after="60"/>
              <w:jc w:val="center"/>
              <w:rPr>
                <w:b/>
                <w:noProof/>
                <w:color w:val="000000" w:themeColor="text1"/>
              </w:rPr>
            </w:pPr>
            <w:r>
              <w:rPr>
                <w:noProof/>
              </w:rPr>
              <w:br w:type="page"/>
            </w:r>
            <w:r>
              <w:rPr>
                <w:b/>
                <w:noProof/>
                <w:color w:val="000000" w:themeColor="text1"/>
                <w:sz w:val="22"/>
              </w:rPr>
              <w:t xml:space="preserve">Τομέας του πολυετούς δημοσιονομικού </w:t>
            </w:r>
            <w:r>
              <w:rPr>
                <w:noProof/>
                <w:color w:val="000000" w:themeColor="text1"/>
                <w:sz w:val="22"/>
              </w:rPr>
              <w:br/>
            </w:r>
            <w:r>
              <w:rPr>
                <w:b/>
                <w:noProof/>
                <w:color w:val="000000" w:themeColor="text1"/>
                <w:sz w:val="22"/>
              </w:rPr>
              <w:t xml:space="preserve">πλαισίου </w:t>
            </w:r>
          </w:p>
        </w:tc>
        <w:tc>
          <w:tcPr>
            <w:tcW w:w="1080" w:type="dxa"/>
            <w:shd w:val="thinDiagStripe" w:color="C0C0C0" w:fill="auto"/>
            <w:vAlign w:val="center"/>
          </w:tcPr>
          <w:p>
            <w:pPr>
              <w:spacing w:before="60" w:after="60"/>
              <w:jc w:val="center"/>
              <w:rPr>
                <w:noProof/>
                <w:color w:val="000000" w:themeColor="text1"/>
              </w:rPr>
            </w:pPr>
            <w:r>
              <w:rPr>
                <w:noProof/>
                <w:color w:val="000000" w:themeColor="text1"/>
              </w:rPr>
              <w:t>7</w:t>
            </w:r>
          </w:p>
        </w:tc>
        <w:tc>
          <w:tcPr>
            <w:tcW w:w="7817" w:type="dxa"/>
            <w:vAlign w:val="center"/>
          </w:tcPr>
          <w:p>
            <w:pPr>
              <w:spacing w:before="60" w:after="60"/>
              <w:rPr>
                <w:noProof/>
                <w:color w:val="000000" w:themeColor="text1"/>
              </w:rPr>
            </w:pPr>
            <w:r>
              <w:rPr>
                <w:noProof/>
                <w:color w:val="000000" w:themeColor="text1"/>
                <w:sz w:val="22"/>
              </w:rPr>
              <w:t>«Διοικητικές δαπάνες»</w:t>
            </w:r>
          </w:p>
        </w:tc>
      </w:tr>
    </w:tbl>
    <w:p>
      <w:pPr>
        <w:jc w:val="right"/>
        <w:rPr>
          <w:noProof/>
          <w:color w:val="000000" w:themeColor="text1"/>
          <w:sz w:val="20"/>
        </w:rPr>
      </w:pPr>
    </w:p>
    <w:p>
      <w:pPr>
        <w:jc w:val="right"/>
        <w:rPr>
          <w:noProof/>
          <w:color w:val="000000" w:themeColor="text1"/>
          <w:sz w:val="20"/>
        </w:rPr>
      </w:pPr>
      <w:r>
        <w:rPr>
          <w:noProof/>
          <w:color w:val="000000" w:themeColor="text1"/>
          <w:sz w:val="20"/>
        </w:rPr>
        <w:t>Σε εκατ. EUR (με 3 δεκαδικά ψηφία)</w:t>
      </w:r>
    </w:p>
    <w:tbl>
      <w:tblPr>
        <w:tblW w:w="144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99"/>
        <w:gridCol w:w="2046"/>
        <w:gridCol w:w="868"/>
        <w:gridCol w:w="868"/>
        <w:gridCol w:w="868"/>
        <w:gridCol w:w="868"/>
        <w:gridCol w:w="868"/>
        <w:gridCol w:w="868"/>
        <w:gridCol w:w="868"/>
        <w:gridCol w:w="887"/>
        <w:gridCol w:w="1291"/>
      </w:tblGrid>
      <w:tr>
        <w:trPr>
          <w:jc w:val="center"/>
        </w:trPr>
        <w:tc>
          <w:tcPr>
            <w:tcW w:w="6245" w:type="dxa"/>
            <w:gridSpan w:val="2"/>
            <w:tcBorders>
              <w:top w:val="nil"/>
              <w:left w:val="nil"/>
            </w:tcBorders>
            <w:vAlign w:val="center"/>
          </w:tcPr>
          <w:p>
            <w:pPr>
              <w:jc w:val="center"/>
              <w:rPr>
                <w:noProof/>
                <w:color w:val="000000" w:themeColor="text1"/>
                <w:sz w:val="20"/>
              </w:rPr>
            </w:pPr>
          </w:p>
        </w:tc>
        <w:tc>
          <w:tcPr>
            <w:tcW w:w="868" w:type="dxa"/>
            <w:vAlign w:val="center"/>
          </w:tcPr>
          <w:p>
            <w:pPr>
              <w:jc w:val="center"/>
              <w:rPr>
                <w:b/>
                <w:noProof/>
                <w:color w:val="000000" w:themeColor="text1"/>
                <w:sz w:val="20"/>
              </w:rPr>
            </w:pPr>
            <w:r>
              <w:rPr>
                <w:b/>
                <w:noProof/>
                <w:color w:val="000000" w:themeColor="text1"/>
                <w:sz w:val="20"/>
              </w:rPr>
              <w:t>2021</w:t>
            </w:r>
          </w:p>
        </w:tc>
        <w:tc>
          <w:tcPr>
            <w:tcW w:w="868" w:type="dxa"/>
            <w:vAlign w:val="center"/>
          </w:tcPr>
          <w:p>
            <w:pPr>
              <w:jc w:val="center"/>
              <w:rPr>
                <w:b/>
                <w:noProof/>
                <w:color w:val="000000" w:themeColor="text1"/>
                <w:sz w:val="20"/>
              </w:rPr>
            </w:pPr>
            <w:r>
              <w:rPr>
                <w:b/>
                <w:noProof/>
                <w:color w:val="000000" w:themeColor="text1"/>
                <w:sz w:val="20"/>
              </w:rPr>
              <w:t>2022</w:t>
            </w:r>
          </w:p>
        </w:tc>
        <w:tc>
          <w:tcPr>
            <w:tcW w:w="868" w:type="dxa"/>
            <w:vAlign w:val="center"/>
          </w:tcPr>
          <w:p>
            <w:pPr>
              <w:jc w:val="center"/>
              <w:rPr>
                <w:b/>
                <w:noProof/>
                <w:color w:val="000000" w:themeColor="text1"/>
                <w:sz w:val="20"/>
              </w:rPr>
            </w:pPr>
            <w:r>
              <w:rPr>
                <w:b/>
                <w:noProof/>
                <w:color w:val="000000" w:themeColor="text1"/>
                <w:sz w:val="20"/>
              </w:rPr>
              <w:t>2023</w:t>
            </w:r>
          </w:p>
        </w:tc>
        <w:tc>
          <w:tcPr>
            <w:tcW w:w="868" w:type="dxa"/>
            <w:vAlign w:val="center"/>
          </w:tcPr>
          <w:p>
            <w:pPr>
              <w:jc w:val="center"/>
              <w:rPr>
                <w:b/>
                <w:noProof/>
                <w:color w:val="000000" w:themeColor="text1"/>
                <w:sz w:val="20"/>
              </w:rPr>
            </w:pPr>
            <w:r>
              <w:rPr>
                <w:b/>
                <w:noProof/>
                <w:color w:val="000000" w:themeColor="text1"/>
                <w:sz w:val="20"/>
              </w:rPr>
              <w:t>2024</w:t>
            </w:r>
          </w:p>
        </w:tc>
        <w:tc>
          <w:tcPr>
            <w:tcW w:w="868" w:type="dxa"/>
            <w:vAlign w:val="center"/>
          </w:tcPr>
          <w:p>
            <w:pPr>
              <w:jc w:val="center"/>
              <w:rPr>
                <w:b/>
                <w:noProof/>
                <w:color w:val="000000" w:themeColor="text1"/>
                <w:sz w:val="18"/>
              </w:rPr>
            </w:pPr>
            <w:r>
              <w:rPr>
                <w:b/>
                <w:noProof/>
                <w:color w:val="000000" w:themeColor="text1"/>
                <w:sz w:val="18"/>
              </w:rPr>
              <w:t>2025</w:t>
            </w:r>
          </w:p>
        </w:tc>
        <w:tc>
          <w:tcPr>
            <w:tcW w:w="868" w:type="dxa"/>
            <w:vAlign w:val="center"/>
          </w:tcPr>
          <w:p>
            <w:pPr>
              <w:jc w:val="center"/>
              <w:rPr>
                <w:b/>
                <w:noProof/>
                <w:color w:val="000000" w:themeColor="text1"/>
                <w:sz w:val="18"/>
              </w:rPr>
            </w:pPr>
            <w:r>
              <w:rPr>
                <w:b/>
                <w:noProof/>
                <w:color w:val="000000" w:themeColor="text1"/>
                <w:sz w:val="18"/>
              </w:rPr>
              <w:t>2026</w:t>
            </w:r>
          </w:p>
        </w:tc>
        <w:tc>
          <w:tcPr>
            <w:tcW w:w="868" w:type="dxa"/>
            <w:vAlign w:val="center"/>
          </w:tcPr>
          <w:p>
            <w:pPr>
              <w:jc w:val="center"/>
              <w:rPr>
                <w:b/>
                <w:noProof/>
                <w:color w:val="000000" w:themeColor="text1"/>
                <w:sz w:val="18"/>
              </w:rPr>
            </w:pPr>
            <w:r>
              <w:rPr>
                <w:b/>
                <w:noProof/>
                <w:color w:val="000000" w:themeColor="text1"/>
                <w:sz w:val="18"/>
              </w:rPr>
              <w:t>2027</w:t>
            </w:r>
          </w:p>
        </w:tc>
        <w:tc>
          <w:tcPr>
            <w:tcW w:w="887" w:type="dxa"/>
          </w:tcPr>
          <w:p>
            <w:pPr>
              <w:jc w:val="center"/>
              <w:rPr>
                <w:b/>
                <w:noProof/>
                <w:color w:val="000000" w:themeColor="text1"/>
                <w:sz w:val="20"/>
              </w:rPr>
            </w:pPr>
            <w:r>
              <w:rPr>
                <w:b/>
                <w:i/>
                <w:noProof/>
                <w:color w:val="000000" w:themeColor="text1"/>
                <w:sz w:val="20"/>
              </w:rPr>
              <w:t>Μετά το 2027</w:t>
            </w:r>
          </w:p>
        </w:tc>
        <w:tc>
          <w:tcPr>
            <w:tcW w:w="1291" w:type="dxa"/>
            <w:vAlign w:val="center"/>
          </w:tcPr>
          <w:p>
            <w:pPr>
              <w:jc w:val="center"/>
              <w:rPr>
                <w:b/>
                <w:noProof/>
                <w:color w:val="000000" w:themeColor="text1"/>
                <w:sz w:val="20"/>
              </w:rPr>
            </w:pPr>
            <w:r>
              <w:rPr>
                <w:b/>
                <w:noProof/>
                <w:color w:val="000000" w:themeColor="text1"/>
                <w:sz w:val="20"/>
              </w:rPr>
              <w:t>ΣΥΝΟΛΟ</w:t>
            </w:r>
          </w:p>
        </w:tc>
      </w:tr>
      <w:tr>
        <w:trPr>
          <w:trHeight w:val="313"/>
          <w:jc w:val="center"/>
        </w:trPr>
        <w:tc>
          <w:tcPr>
            <w:tcW w:w="6245" w:type="dxa"/>
            <w:gridSpan w:val="2"/>
            <w:vAlign w:val="center"/>
          </w:tcPr>
          <w:p>
            <w:pPr>
              <w:spacing w:before="20" w:after="20"/>
              <w:rPr>
                <w:noProof/>
                <w:color w:val="000000" w:themeColor="text1"/>
              </w:rPr>
            </w:pPr>
            <w:r>
              <w:rPr>
                <w:noProof/>
                <w:color w:val="000000" w:themeColor="text1"/>
                <w:sz w:val="22"/>
              </w:rPr>
              <w:t xml:space="preserve">Ανθρώπινοι πόροι </w:t>
            </w:r>
          </w:p>
        </w:tc>
        <w:tc>
          <w:tcPr>
            <w:tcW w:w="868" w:type="dxa"/>
            <w:vAlign w:val="center"/>
          </w:tcPr>
          <w:p>
            <w:pPr>
              <w:spacing w:before="60" w:after="60" w:line="200" w:lineRule="exact"/>
              <w:jc w:val="right"/>
              <w:rPr>
                <w:noProof/>
                <w:sz w:val="20"/>
                <w:szCs w:val="20"/>
              </w:rPr>
            </w:pPr>
            <w:r>
              <w:rPr>
                <w:noProof/>
                <w:sz w:val="20"/>
              </w:rPr>
              <w:t>3.432</w:t>
            </w:r>
          </w:p>
        </w:tc>
        <w:tc>
          <w:tcPr>
            <w:tcW w:w="868" w:type="dxa"/>
            <w:vAlign w:val="center"/>
          </w:tcPr>
          <w:p>
            <w:pPr>
              <w:spacing w:before="60" w:after="60" w:line="200" w:lineRule="exact"/>
              <w:jc w:val="right"/>
              <w:rPr>
                <w:noProof/>
                <w:sz w:val="20"/>
                <w:szCs w:val="20"/>
              </w:rPr>
            </w:pPr>
            <w:r>
              <w:rPr>
                <w:noProof/>
                <w:sz w:val="20"/>
              </w:rPr>
              <w:t>3.432</w:t>
            </w:r>
          </w:p>
        </w:tc>
        <w:tc>
          <w:tcPr>
            <w:tcW w:w="868" w:type="dxa"/>
            <w:vAlign w:val="center"/>
          </w:tcPr>
          <w:p>
            <w:pPr>
              <w:spacing w:before="60" w:after="60" w:line="200" w:lineRule="exact"/>
              <w:jc w:val="right"/>
              <w:rPr>
                <w:noProof/>
                <w:sz w:val="20"/>
                <w:szCs w:val="20"/>
              </w:rPr>
            </w:pPr>
            <w:r>
              <w:rPr>
                <w:noProof/>
                <w:sz w:val="20"/>
              </w:rPr>
              <w:t>3.432</w:t>
            </w:r>
          </w:p>
        </w:tc>
        <w:tc>
          <w:tcPr>
            <w:tcW w:w="868" w:type="dxa"/>
            <w:vAlign w:val="center"/>
          </w:tcPr>
          <w:p>
            <w:pPr>
              <w:spacing w:before="60" w:after="60" w:line="200" w:lineRule="exact"/>
              <w:jc w:val="right"/>
              <w:rPr>
                <w:noProof/>
                <w:sz w:val="20"/>
                <w:szCs w:val="20"/>
              </w:rPr>
            </w:pPr>
            <w:r>
              <w:rPr>
                <w:noProof/>
                <w:sz w:val="20"/>
              </w:rPr>
              <w:t>3.432</w:t>
            </w:r>
          </w:p>
        </w:tc>
        <w:tc>
          <w:tcPr>
            <w:tcW w:w="868" w:type="dxa"/>
            <w:vAlign w:val="center"/>
          </w:tcPr>
          <w:p>
            <w:pPr>
              <w:spacing w:before="60" w:after="60" w:line="200" w:lineRule="exact"/>
              <w:jc w:val="right"/>
              <w:rPr>
                <w:noProof/>
                <w:sz w:val="20"/>
                <w:szCs w:val="20"/>
              </w:rPr>
            </w:pPr>
            <w:r>
              <w:rPr>
                <w:noProof/>
                <w:sz w:val="20"/>
              </w:rPr>
              <w:t>3.432</w:t>
            </w:r>
          </w:p>
        </w:tc>
        <w:tc>
          <w:tcPr>
            <w:tcW w:w="868" w:type="dxa"/>
            <w:vAlign w:val="center"/>
          </w:tcPr>
          <w:p>
            <w:pPr>
              <w:spacing w:before="60" w:after="60" w:line="200" w:lineRule="exact"/>
              <w:jc w:val="right"/>
              <w:rPr>
                <w:noProof/>
                <w:sz w:val="20"/>
                <w:szCs w:val="20"/>
              </w:rPr>
            </w:pPr>
            <w:r>
              <w:rPr>
                <w:noProof/>
                <w:sz w:val="20"/>
              </w:rPr>
              <w:t>3.432</w:t>
            </w:r>
          </w:p>
        </w:tc>
        <w:tc>
          <w:tcPr>
            <w:tcW w:w="868" w:type="dxa"/>
            <w:vAlign w:val="center"/>
          </w:tcPr>
          <w:p>
            <w:pPr>
              <w:spacing w:before="60" w:after="60" w:line="200" w:lineRule="exact"/>
              <w:jc w:val="right"/>
              <w:rPr>
                <w:b/>
                <w:noProof/>
                <w:sz w:val="20"/>
                <w:szCs w:val="20"/>
              </w:rPr>
            </w:pPr>
            <w:r>
              <w:rPr>
                <w:noProof/>
                <w:sz w:val="20"/>
              </w:rPr>
              <w:t>3.432</w:t>
            </w:r>
          </w:p>
        </w:tc>
        <w:tc>
          <w:tcPr>
            <w:tcW w:w="887" w:type="dxa"/>
            <w:shd w:val="clear" w:color="auto" w:fill="A6A6A6" w:themeFill="background1" w:themeFillShade="A6"/>
          </w:tcPr>
          <w:p>
            <w:pPr>
              <w:spacing w:before="20" w:after="20"/>
              <w:jc w:val="right"/>
              <w:rPr>
                <w:b/>
                <w:noProof/>
                <w:color w:val="000000" w:themeColor="text1"/>
                <w:sz w:val="20"/>
                <w:szCs w:val="20"/>
              </w:rPr>
            </w:pPr>
          </w:p>
        </w:tc>
        <w:tc>
          <w:tcPr>
            <w:tcW w:w="1291" w:type="dxa"/>
            <w:vAlign w:val="center"/>
          </w:tcPr>
          <w:p>
            <w:pPr>
              <w:spacing w:before="20" w:after="20"/>
              <w:jc w:val="right"/>
              <w:rPr>
                <w:b/>
                <w:noProof/>
                <w:color w:val="000000" w:themeColor="text1"/>
                <w:sz w:val="20"/>
                <w:szCs w:val="20"/>
              </w:rPr>
            </w:pPr>
            <w:r>
              <w:rPr>
                <w:b/>
                <w:noProof/>
                <w:color w:val="000000" w:themeColor="text1"/>
                <w:sz w:val="20"/>
              </w:rPr>
              <w:t>24.024</w:t>
            </w:r>
          </w:p>
        </w:tc>
      </w:tr>
      <w:tr>
        <w:trPr>
          <w:trHeight w:val="351"/>
          <w:jc w:val="center"/>
        </w:trPr>
        <w:tc>
          <w:tcPr>
            <w:tcW w:w="6245" w:type="dxa"/>
            <w:gridSpan w:val="2"/>
            <w:vAlign w:val="center"/>
          </w:tcPr>
          <w:p>
            <w:pPr>
              <w:spacing w:before="20" w:after="20"/>
              <w:rPr>
                <w:noProof/>
                <w:color w:val="000000" w:themeColor="text1"/>
              </w:rPr>
            </w:pPr>
            <w:r>
              <w:rPr>
                <w:noProof/>
                <w:color w:val="000000" w:themeColor="text1"/>
                <w:sz w:val="22"/>
              </w:rPr>
              <w:t xml:space="preserve">Άλλες διοικητικές δαπάνες </w:t>
            </w:r>
          </w:p>
        </w:tc>
        <w:tc>
          <w:tcPr>
            <w:tcW w:w="868" w:type="dxa"/>
            <w:vAlign w:val="center"/>
          </w:tcPr>
          <w:p>
            <w:pPr>
              <w:spacing w:before="20" w:after="20"/>
              <w:jc w:val="right"/>
              <w:rPr>
                <w:b/>
                <w:noProof/>
                <w:color w:val="000000" w:themeColor="text1"/>
                <w:sz w:val="20"/>
                <w:szCs w:val="20"/>
              </w:rPr>
            </w:pPr>
            <w:r>
              <w:rPr>
                <w:noProof/>
                <w:color w:val="000000" w:themeColor="text1"/>
                <w:sz w:val="20"/>
              </w:rPr>
              <w:t>2.150</w:t>
            </w:r>
          </w:p>
        </w:tc>
        <w:tc>
          <w:tcPr>
            <w:tcW w:w="868" w:type="dxa"/>
            <w:vAlign w:val="center"/>
          </w:tcPr>
          <w:p>
            <w:pPr>
              <w:spacing w:before="20" w:after="20"/>
              <w:jc w:val="right"/>
              <w:rPr>
                <w:b/>
                <w:noProof/>
                <w:color w:val="000000" w:themeColor="text1"/>
                <w:sz w:val="20"/>
                <w:szCs w:val="20"/>
              </w:rPr>
            </w:pPr>
            <w:r>
              <w:rPr>
                <w:noProof/>
                <w:color w:val="000000" w:themeColor="text1"/>
                <w:sz w:val="20"/>
              </w:rPr>
              <w:t>2.150</w:t>
            </w:r>
          </w:p>
        </w:tc>
        <w:tc>
          <w:tcPr>
            <w:tcW w:w="868" w:type="dxa"/>
            <w:vAlign w:val="center"/>
          </w:tcPr>
          <w:p>
            <w:pPr>
              <w:spacing w:before="20" w:after="20"/>
              <w:jc w:val="right"/>
              <w:rPr>
                <w:b/>
                <w:noProof/>
                <w:color w:val="000000" w:themeColor="text1"/>
                <w:sz w:val="20"/>
                <w:szCs w:val="20"/>
              </w:rPr>
            </w:pPr>
            <w:r>
              <w:rPr>
                <w:noProof/>
                <w:color w:val="000000" w:themeColor="text1"/>
                <w:sz w:val="20"/>
              </w:rPr>
              <w:t>2.150</w:t>
            </w:r>
          </w:p>
        </w:tc>
        <w:tc>
          <w:tcPr>
            <w:tcW w:w="868" w:type="dxa"/>
            <w:vAlign w:val="center"/>
          </w:tcPr>
          <w:p>
            <w:pPr>
              <w:spacing w:before="20" w:after="20"/>
              <w:jc w:val="right"/>
              <w:rPr>
                <w:b/>
                <w:noProof/>
                <w:color w:val="000000" w:themeColor="text1"/>
                <w:sz w:val="20"/>
                <w:szCs w:val="20"/>
              </w:rPr>
            </w:pPr>
            <w:r>
              <w:rPr>
                <w:noProof/>
                <w:color w:val="000000" w:themeColor="text1"/>
                <w:sz w:val="20"/>
              </w:rPr>
              <w:t>2.150</w:t>
            </w:r>
          </w:p>
        </w:tc>
        <w:tc>
          <w:tcPr>
            <w:tcW w:w="868" w:type="dxa"/>
            <w:vAlign w:val="center"/>
          </w:tcPr>
          <w:p>
            <w:pPr>
              <w:spacing w:before="20" w:after="20"/>
              <w:jc w:val="right"/>
              <w:rPr>
                <w:b/>
                <w:noProof/>
                <w:color w:val="000000" w:themeColor="text1"/>
                <w:sz w:val="20"/>
                <w:szCs w:val="20"/>
              </w:rPr>
            </w:pPr>
            <w:r>
              <w:rPr>
                <w:noProof/>
                <w:color w:val="000000" w:themeColor="text1"/>
                <w:sz w:val="20"/>
              </w:rPr>
              <w:t>2.150</w:t>
            </w:r>
          </w:p>
        </w:tc>
        <w:tc>
          <w:tcPr>
            <w:tcW w:w="868" w:type="dxa"/>
            <w:vAlign w:val="center"/>
          </w:tcPr>
          <w:p>
            <w:pPr>
              <w:spacing w:before="20" w:after="20"/>
              <w:jc w:val="right"/>
              <w:rPr>
                <w:b/>
                <w:noProof/>
                <w:color w:val="000000" w:themeColor="text1"/>
                <w:sz w:val="20"/>
                <w:szCs w:val="20"/>
              </w:rPr>
            </w:pPr>
            <w:r>
              <w:rPr>
                <w:noProof/>
                <w:color w:val="000000" w:themeColor="text1"/>
                <w:sz w:val="20"/>
              </w:rPr>
              <w:t>2.150</w:t>
            </w:r>
          </w:p>
        </w:tc>
        <w:tc>
          <w:tcPr>
            <w:tcW w:w="868" w:type="dxa"/>
            <w:vAlign w:val="center"/>
          </w:tcPr>
          <w:p>
            <w:pPr>
              <w:spacing w:before="20" w:after="20"/>
              <w:jc w:val="right"/>
              <w:rPr>
                <w:b/>
                <w:noProof/>
                <w:color w:val="000000" w:themeColor="text1"/>
                <w:sz w:val="20"/>
                <w:szCs w:val="20"/>
              </w:rPr>
            </w:pPr>
            <w:r>
              <w:rPr>
                <w:noProof/>
                <w:color w:val="000000" w:themeColor="text1"/>
                <w:sz w:val="20"/>
              </w:rPr>
              <w:t>2.150</w:t>
            </w:r>
          </w:p>
        </w:tc>
        <w:tc>
          <w:tcPr>
            <w:tcW w:w="887" w:type="dxa"/>
            <w:shd w:val="clear" w:color="auto" w:fill="A6A6A6" w:themeFill="background1" w:themeFillShade="A6"/>
          </w:tcPr>
          <w:p>
            <w:pPr>
              <w:spacing w:before="20" w:after="20"/>
              <w:jc w:val="right"/>
              <w:rPr>
                <w:b/>
                <w:noProof/>
                <w:color w:val="000000" w:themeColor="text1"/>
                <w:sz w:val="20"/>
                <w:szCs w:val="20"/>
              </w:rPr>
            </w:pPr>
          </w:p>
        </w:tc>
        <w:tc>
          <w:tcPr>
            <w:tcW w:w="1291" w:type="dxa"/>
            <w:vAlign w:val="center"/>
          </w:tcPr>
          <w:p>
            <w:pPr>
              <w:spacing w:before="20" w:after="20"/>
              <w:jc w:val="right"/>
              <w:rPr>
                <w:b/>
                <w:noProof/>
                <w:color w:val="000000"/>
                <w:sz w:val="20"/>
                <w:szCs w:val="20"/>
              </w:rPr>
            </w:pPr>
            <w:r>
              <w:rPr>
                <w:b/>
                <w:noProof/>
                <w:color w:val="000000"/>
                <w:sz w:val="20"/>
              </w:rPr>
              <w:t>15.050</w:t>
            </w:r>
          </w:p>
        </w:tc>
      </w:tr>
      <w:tr>
        <w:trPr>
          <w:trHeight w:val="351"/>
          <w:jc w:val="center"/>
        </w:trPr>
        <w:tc>
          <w:tcPr>
            <w:tcW w:w="4199" w:type="dxa"/>
            <w:vAlign w:val="center"/>
          </w:tcPr>
          <w:p>
            <w:pPr>
              <w:spacing w:before="20" w:after="20"/>
              <w:jc w:val="left"/>
              <w:rPr>
                <w:b/>
                <w:noProof/>
                <w:color w:val="000000" w:themeColor="text1"/>
                <w:sz w:val="22"/>
              </w:rPr>
            </w:pPr>
            <w:r>
              <w:rPr>
                <w:b/>
                <w:noProof/>
                <w:color w:val="000000" w:themeColor="text1"/>
                <w:sz w:val="22"/>
              </w:rPr>
              <w:t>ΣΥΝΟΛΟ πιστώσεων του ΤΟΜΕΑ 7 του πολυετούς δημοσιονομικού πλαισίου</w:t>
            </w:r>
          </w:p>
        </w:tc>
        <w:tc>
          <w:tcPr>
            <w:tcW w:w="2046" w:type="dxa"/>
            <w:vAlign w:val="center"/>
          </w:tcPr>
          <w:p>
            <w:pPr>
              <w:spacing w:before="20" w:after="20"/>
              <w:rPr>
                <w:noProof/>
                <w:color w:val="000000" w:themeColor="text1"/>
                <w:sz w:val="22"/>
              </w:rPr>
            </w:pPr>
            <w:r>
              <w:rPr>
                <w:noProof/>
                <w:color w:val="000000" w:themeColor="text1"/>
                <w:sz w:val="18"/>
              </w:rPr>
              <w:t>(Σύνολο αναλήψεων υποχρεώσεων = Σύνολο πληρωμών)</w:t>
            </w:r>
          </w:p>
        </w:tc>
        <w:tc>
          <w:tcPr>
            <w:tcW w:w="868" w:type="dxa"/>
            <w:vAlign w:val="bottom"/>
          </w:tcPr>
          <w:p>
            <w:pPr>
              <w:spacing w:before="60" w:after="60" w:line="200" w:lineRule="exact"/>
              <w:jc w:val="right"/>
              <w:rPr>
                <w:b/>
                <w:noProof/>
                <w:sz w:val="20"/>
                <w:szCs w:val="20"/>
              </w:rPr>
            </w:pPr>
            <w:r>
              <w:rPr>
                <w:b/>
                <w:noProof/>
                <w:sz w:val="20"/>
              </w:rPr>
              <w:t>5,582</w:t>
            </w:r>
          </w:p>
        </w:tc>
        <w:tc>
          <w:tcPr>
            <w:tcW w:w="868" w:type="dxa"/>
            <w:vAlign w:val="bottom"/>
          </w:tcPr>
          <w:p>
            <w:pPr>
              <w:spacing w:before="60" w:after="60" w:line="200" w:lineRule="exact"/>
              <w:jc w:val="right"/>
              <w:rPr>
                <w:b/>
                <w:noProof/>
                <w:sz w:val="20"/>
                <w:szCs w:val="20"/>
              </w:rPr>
            </w:pPr>
            <w:r>
              <w:rPr>
                <w:b/>
                <w:noProof/>
                <w:sz w:val="20"/>
              </w:rPr>
              <w:t>5,582</w:t>
            </w:r>
          </w:p>
        </w:tc>
        <w:tc>
          <w:tcPr>
            <w:tcW w:w="868" w:type="dxa"/>
            <w:vAlign w:val="bottom"/>
          </w:tcPr>
          <w:p>
            <w:pPr>
              <w:spacing w:before="60" w:after="60" w:line="200" w:lineRule="exact"/>
              <w:jc w:val="right"/>
              <w:rPr>
                <w:b/>
                <w:noProof/>
                <w:sz w:val="20"/>
                <w:szCs w:val="20"/>
              </w:rPr>
            </w:pPr>
            <w:r>
              <w:rPr>
                <w:b/>
                <w:noProof/>
                <w:sz w:val="20"/>
              </w:rPr>
              <w:t>5,582</w:t>
            </w:r>
          </w:p>
        </w:tc>
        <w:tc>
          <w:tcPr>
            <w:tcW w:w="868" w:type="dxa"/>
            <w:vAlign w:val="bottom"/>
          </w:tcPr>
          <w:p>
            <w:pPr>
              <w:spacing w:before="60" w:after="60" w:line="200" w:lineRule="exact"/>
              <w:jc w:val="right"/>
              <w:rPr>
                <w:b/>
                <w:noProof/>
                <w:sz w:val="20"/>
                <w:szCs w:val="20"/>
              </w:rPr>
            </w:pPr>
            <w:r>
              <w:rPr>
                <w:b/>
                <w:noProof/>
                <w:sz w:val="20"/>
              </w:rPr>
              <w:t>5,582</w:t>
            </w:r>
          </w:p>
        </w:tc>
        <w:tc>
          <w:tcPr>
            <w:tcW w:w="868" w:type="dxa"/>
            <w:vAlign w:val="bottom"/>
          </w:tcPr>
          <w:p>
            <w:pPr>
              <w:spacing w:before="60" w:after="60" w:line="200" w:lineRule="exact"/>
              <w:jc w:val="right"/>
              <w:rPr>
                <w:b/>
                <w:noProof/>
                <w:sz w:val="20"/>
                <w:szCs w:val="20"/>
              </w:rPr>
            </w:pPr>
            <w:r>
              <w:rPr>
                <w:b/>
                <w:noProof/>
                <w:sz w:val="20"/>
              </w:rPr>
              <w:t>5,582</w:t>
            </w:r>
          </w:p>
        </w:tc>
        <w:tc>
          <w:tcPr>
            <w:tcW w:w="868" w:type="dxa"/>
            <w:vAlign w:val="bottom"/>
          </w:tcPr>
          <w:p>
            <w:pPr>
              <w:spacing w:before="60" w:after="60" w:line="200" w:lineRule="exact"/>
              <w:jc w:val="right"/>
              <w:rPr>
                <w:b/>
                <w:noProof/>
                <w:sz w:val="20"/>
                <w:szCs w:val="20"/>
              </w:rPr>
            </w:pPr>
            <w:r>
              <w:rPr>
                <w:b/>
                <w:noProof/>
                <w:sz w:val="20"/>
              </w:rPr>
              <w:t>5,582</w:t>
            </w:r>
          </w:p>
        </w:tc>
        <w:tc>
          <w:tcPr>
            <w:tcW w:w="868" w:type="dxa"/>
            <w:vAlign w:val="bottom"/>
          </w:tcPr>
          <w:p>
            <w:pPr>
              <w:spacing w:before="60" w:after="60" w:line="200" w:lineRule="exact"/>
              <w:jc w:val="right"/>
              <w:rPr>
                <w:b/>
                <w:noProof/>
                <w:sz w:val="20"/>
                <w:szCs w:val="20"/>
              </w:rPr>
            </w:pPr>
            <w:r>
              <w:rPr>
                <w:b/>
                <w:noProof/>
                <w:sz w:val="20"/>
              </w:rPr>
              <w:t>5,582</w:t>
            </w:r>
          </w:p>
        </w:tc>
        <w:tc>
          <w:tcPr>
            <w:tcW w:w="887" w:type="dxa"/>
            <w:shd w:val="clear" w:color="auto" w:fill="A6A6A6" w:themeFill="background1" w:themeFillShade="A6"/>
            <w:vAlign w:val="bottom"/>
          </w:tcPr>
          <w:p>
            <w:pPr>
              <w:spacing w:before="60" w:after="60" w:line="200" w:lineRule="exact"/>
              <w:jc w:val="right"/>
              <w:rPr>
                <w:b/>
                <w:noProof/>
                <w:sz w:val="20"/>
                <w:szCs w:val="20"/>
              </w:rPr>
            </w:pPr>
          </w:p>
        </w:tc>
        <w:tc>
          <w:tcPr>
            <w:tcW w:w="1291" w:type="dxa"/>
            <w:vAlign w:val="center"/>
          </w:tcPr>
          <w:p>
            <w:pPr>
              <w:spacing w:before="20" w:after="20"/>
              <w:jc w:val="right"/>
              <w:rPr>
                <w:b/>
                <w:noProof/>
                <w:sz w:val="20"/>
                <w:szCs w:val="20"/>
              </w:rPr>
            </w:pPr>
            <w:r>
              <w:rPr>
                <w:b/>
                <w:noProof/>
                <w:sz w:val="20"/>
              </w:rPr>
              <w:t>39,074</w:t>
            </w:r>
          </w:p>
        </w:tc>
      </w:tr>
    </w:tbl>
    <w:p>
      <w:pPr>
        <w:jc w:val="right"/>
        <w:rPr>
          <w:noProof/>
          <w:color w:val="000000" w:themeColor="text1"/>
          <w:sz w:val="20"/>
        </w:rPr>
      </w:pPr>
      <w:r>
        <w:rPr>
          <w:noProof/>
          <w:color w:val="000000" w:themeColor="text1"/>
          <w:sz w:val="20"/>
        </w:rPr>
        <w:t>Σε εκατ. EUR (με 3 δεκαδικά ψηφία)</w:t>
      </w:r>
    </w:p>
    <w:tbl>
      <w:tblPr>
        <w:tblW w:w="147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4"/>
        <w:gridCol w:w="937"/>
        <w:gridCol w:w="938"/>
        <w:gridCol w:w="1016"/>
        <w:gridCol w:w="983"/>
        <w:gridCol w:w="983"/>
        <w:gridCol w:w="983"/>
        <w:gridCol w:w="983"/>
        <w:gridCol w:w="983"/>
        <w:gridCol w:w="983"/>
        <w:gridCol w:w="1100"/>
        <w:gridCol w:w="1417"/>
        <w:gridCol w:w="39"/>
      </w:tblGrid>
      <w:tr>
        <w:trPr>
          <w:jc w:val="center"/>
        </w:trPr>
        <w:tc>
          <w:tcPr>
            <w:tcW w:w="0" w:type="auto"/>
            <w:tcBorders>
              <w:top w:val="nil"/>
              <w:left w:val="nil"/>
              <w:right w:val="nil"/>
            </w:tcBorders>
            <w:vAlign w:val="center"/>
          </w:tcPr>
          <w:p>
            <w:pPr>
              <w:jc w:val="center"/>
              <w:rPr>
                <w:noProof/>
                <w:color w:val="000000" w:themeColor="text1"/>
              </w:rPr>
            </w:pPr>
          </w:p>
        </w:tc>
        <w:tc>
          <w:tcPr>
            <w:tcW w:w="0" w:type="auto"/>
            <w:tcBorders>
              <w:top w:val="nil"/>
              <w:left w:val="nil"/>
              <w:right w:val="nil"/>
            </w:tcBorders>
          </w:tcPr>
          <w:p>
            <w:pPr>
              <w:rPr>
                <w:noProof/>
                <w:color w:val="000000" w:themeColor="text1"/>
                <w:sz w:val="20"/>
              </w:rPr>
            </w:pPr>
          </w:p>
        </w:tc>
        <w:tc>
          <w:tcPr>
            <w:tcW w:w="0" w:type="auto"/>
            <w:tcBorders>
              <w:top w:val="nil"/>
              <w:left w:val="nil"/>
            </w:tcBorders>
          </w:tcPr>
          <w:p>
            <w:pPr>
              <w:jc w:val="center"/>
              <w:rPr>
                <w:noProof/>
                <w:color w:val="000000" w:themeColor="text1"/>
                <w:sz w:val="20"/>
              </w:rPr>
            </w:pPr>
          </w:p>
        </w:tc>
        <w:tc>
          <w:tcPr>
            <w:tcW w:w="0" w:type="auto"/>
            <w:vAlign w:val="center"/>
          </w:tcPr>
          <w:p>
            <w:pPr>
              <w:jc w:val="center"/>
              <w:rPr>
                <w:noProof/>
                <w:color w:val="000000" w:themeColor="text1"/>
                <w:sz w:val="20"/>
              </w:rPr>
            </w:pPr>
            <w:r>
              <w:rPr>
                <w:b/>
                <w:noProof/>
                <w:color w:val="000000" w:themeColor="text1"/>
                <w:sz w:val="20"/>
              </w:rPr>
              <w:t>2021</w:t>
            </w:r>
          </w:p>
        </w:tc>
        <w:tc>
          <w:tcPr>
            <w:tcW w:w="0" w:type="auto"/>
            <w:vAlign w:val="center"/>
          </w:tcPr>
          <w:p>
            <w:pPr>
              <w:jc w:val="center"/>
              <w:rPr>
                <w:noProof/>
                <w:color w:val="000000" w:themeColor="text1"/>
                <w:sz w:val="20"/>
              </w:rPr>
            </w:pPr>
            <w:r>
              <w:rPr>
                <w:b/>
                <w:noProof/>
                <w:color w:val="000000" w:themeColor="text1"/>
                <w:sz w:val="20"/>
              </w:rPr>
              <w:t>2022</w:t>
            </w:r>
          </w:p>
        </w:tc>
        <w:tc>
          <w:tcPr>
            <w:tcW w:w="0" w:type="auto"/>
            <w:vAlign w:val="center"/>
          </w:tcPr>
          <w:p>
            <w:pPr>
              <w:jc w:val="center"/>
              <w:rPr>
                <w:noProof/>
                <w:color w:val="000000" w:themeColor="text1"/>
                <w:sz w:val="20"/>
              </w:rPr>
            </w:pPr>
            <w:r>
              <w:rPr>
                <w:b/>
                <w:noProof/>
                <w:color w:val="000000" w:themeColor="text1"/>
                <w:sz w:val="20"/>
              </w:rPr>
              <w:t>2023</w:t>
            </w:r>
          </w:p>
        </w:tc>
        <w:tc>
          <w:tcPr>
            <w:tcW w:w="0" w:type="auto"/>
            <w:vAlign w:val="center"/>
          </w:tcPr>
          <w:p>
            <w:pPr>
              <w:jc w:val="center"/>
              <w:rPr>
                <w:noProof/>
                <w:color w:val="000000" w:themeColor="text1"/>
                <w:sz w:val="20"/>
              </w:rPr>
            </w:pPr>
            <w:r>
              <w:rPr>
                <w:b/>
                <w:noProof/>
                <w:color w:val="000000" w:themeColor="text1"/>
                <w:sz w:val="20"/>
              </w:rPr>
              <w:t>2024</w:t>
            </w:r>
          </w:p>
        </w:tc>
        <w:tc>
          <w:tcPr>
            <w:tcW w:w="0" w:type="auto"/>
            <w:vAlign w:val="center"/>
          </w:tcPr>
          <w:p>
            <w:pPr>
              <w:jc w:val="center"/>
              <w:rPr>
                <w:b/>
                <w:noProof/>
                <w:color w:val="000000" w:themeColor="text1"/>
                <w:sz w:val="18"/>
              </w:rPr>
            </w:pPr>
            <w:r>
              <w:rPr>
                <w:b/>
                <w:noProof/>
                <w:color w:val="000000" w:themeColor="text1"/>
                <w:sz w:val="18"/>
              </w:rPr>
              <w:t>2025</w:t>
            </w:r>
          </w:p>
        </w:tc>
        <w:tc>
          <w:tcPr>
            <w:tcW w:w="0" w:type="auto"/>
            <w:vAlign w:val="center"/>
          </w:tcPr>
          <w:p>
            <w:pPr>
              <w:jc w:val="center"/>
              <w:rPr>
                <w:b/>
                <w:noProof/>
                <w:color w:val="000000" w:themeColor="text1"/>
                <w:sz w:val="18"/>
              </w:rPr>
            </w:pPr>
            <w:r>
              <w:rPr>
                <w:b/>
                <w:noProof/>
                <w:color w:val="000000" w:themeColor="text1"/>
                <w:sz w:val="18"/>
              </w:rPr>
              <w:t>2026</w:t>
            </w:r>
          </w:p>
        </w:tc>
        <w:tc>
          <w:tcPr>
            <w:tcW w:w="0" w:type="auto"/>
            <w:vAlign w:val="center"/>
          </w:tcPr>
          <w:p>
            <w:pPr>
              <w:jc w:val="center"/>
              <w:rPr>
                <w:b/>
                <w:noProof/>
                <w:color w:val="000000" w:themeColor="text1"/>
                <w:sz w:val="18"/>
              </w:rPr>
            </w:pPr>
            <w:r>
              <w:rPr>
                <w:b/>
                <w:noProof/>
                <w:color w:val="000000" w:themeColor="text1"/>
                <w:sz w:val="18"/>
              </w:rPr>
              <w:t>2027</w:t>
            </w:r>
          </w:p>
        </w:tc>
        <w:tc>
          <w:tcPr>
            <w:tcW w:w="1100" w:type="dxa"/>
          </w:tcPr>
          <w:p>
            <w:pPr>
              <w:jc w:val="center"/>
              <w:rPr>
                <w:b/>
                <w:noProof/>
                <w:color w:val="000000" w:themeColor="text1"/>
                <w:sz w:val="20"/>
              </w:rPr>
            </w:pPr>
            <w:r>
              <w:rPr>
                <w:b/>
                <w:i/>
                <w:noProof/>
                <w:color w:val="000000" w:themeColor="text1"/>
                <w:sz w:val="20"/>
              </w:rPr>
              <w:t>Μετά το 2027</w:t>
            </w:r>
          </w:p>
        </w:tc>
        <w:tc>
          <w:tcPr>
            <w:tcW w:w="1456" w:type="dxa"/>
            <w:gridSpan w:val="2"/>
            <w:vAlign w:val="center"/>
          </w:tcPr>
          <w:p>
            <w:pPr>
              <w:jc w:val="center"/>
              <w:rPr>
                <w:b/>
                <w:noProof/>
                <w:color w:val="000000" w:themeColor="text1"/>
                <w:sz w:val="20"/>
              </w:rPr>
            </w:pPr>
            <w:r>
              <w:rPr>
                <w:b/>
                <w:noProof/>
                <w:color w:val="000000" w:themeColor="text1"/>
                <w:sz w:val="20"/>
              </w:rPr>
              <w:t>ΣΥΝΟΛΟ</w:t>
            </w:r>
          </w:p>
        </w:tc>
      </w:tr>
      <w:tr>
        <w:trPr>
          <w:jc w:val="center"/>
        </w:trPr>
        <w:tc>
          <w:tcPr>
            <w:tcW w:w="0" w:type="auto"/>
            <w:vMerge w:val="restart"/>
            <w:shd w:val="clear" w:color="auto" w:fill="C0C0C0"/>
            <w:vAlign w:val="center"/>
          </w:tcPr>
          <w:p>
            <w:pPr>
              <w:jc w:val="center"/>
              <w:rPr>
                <w:b/>
                <w:noProof/>
                <w:color w:val="000000" w:themeColor="text1"/>
              </w:rPr>
            </w:pPr>
            <w:r>
              <w:rPr>
                <w:b/>
                <w:noProof/>
                <w:sz w:val="22"/>
              </w:rPr>
              <w:t>ΣΥΝΟΛΟ πιστώσεων</w:t>
            </w:r>
            <w:r>
              <w:rPr>
                <w:noProof/>
                <w:sz w:val="22"/>
              </w:rPr>
              <w:br/>
            </w:r>
            <w:r>
              <w:rPr>
                <w:b/>
                <w:noProof/>
                <w:sz w:val="22"/>
              </w:rPr>
              <w:t xml:space="preserve">μεταξύ ΤΟΜΕΩΝ </w:t>
            </w:r>
            <w:r>
              <w:rPr>
                <w:noProof/>
                <w:sz w:val="22"/>
              </w:rPr>
              <w:br/>
              <w:t>του πολυετούς δημοσιονομικού πλαισίου</w:t>
            </w:r>
            <w:r>
              <w:rPr>
                <w:b/>
                <w:noProof/>
                <w:sz w:val="22"/>
              </w:rPr>
              <w:t xml:space="preserve"> </w:t>
            </w:r>
          </w:p>
        </w:tc>
        <w:tc>
          <w:tcPr>
            <w:tcW w:w="0" w:type="auto"/>
            <w:gridSpan w:val="2"/>
            <w:vAlign w:val="center"/>
          </w:tcPr>
          <w:p>
            <w:pPr>
              <w:rPr>
                <w:noProof/>
                <w:color w:val="000000" w:themeColor="text1"/>
                <w:sz w:val="14"/>
              </w:rPr>
            </w:pPr>
            <w:r>
              <w:rPr>
                <w:noProof/>
                <w:color w:val="000000" w:themeColor="text1"/>
                <w:sz w:val="18"/>
              </w:rPr>
              <w:t>Αναλήψεις υποχρεώσεων</w:t>
            </w:r>
          </w:p>
        </w:tc>
        <w:tc>
          <w:tcPr>
            <w:tcW w:w="0" w:type="auto"/>
            <w:vAlign w:val="bottom"/>
          </w:tcPr>
          <w:p>
            <w:pPr>
              <w:spacing w:before="20" w:after="20"/>
              <w:jc w:val="right"/>
              <w:rPr>
                <w:noProof/>
                <w:color w:val="000000" w:themeColor="text1"/>
                <w:sz w:val="20"/>
                <w:szCs w:val="20"/>
              </w:rPr>
            </w:pPr>
            <w:r>
              <w:rPr>
                <w:noProof/>
                <w:color w:val="000000" w:themeColor="text1"/>
                <w:sz w:val="20"/>
              </w:rPr>
              <w:t>1 985,824</w:t>
            </w:r>
          </w:p>
        </w:tc>
        <w:tc>
          <w:tcPr>
            <w:tcW w:w="0" w:type="auto"/>
            <w:vAlign w:val="bottom"/>
          </w:tcPr>
          <w:p>
            <w:pPr>
              <w:spacing w:before="20" w:after="20"/>
              <w:jc w:val="right"/>
              <w:rPr>
                <w:noProof/>
                <w:color w:val="000000" w:themeColor="text1"/>
                <w:sz w:val="20"/>
                <w:szCs w:val="20"/>
              </w:rPr>
            </w:pPr>
            <w:r>
              <w:rPr>
                <w:noProof/>
                <w:color w:val="000000" w:themeColor="text1"/>
                <w:sz w:val="20"/>
              </w:rPr>
              <w:t>2 025,469</w:t>
            </w:r>
          </w:p>
        </w:tc>
        <w:tc>
          <w:tcPr>
            <w:tcW w:w="0" w:type="auto"/>
            <w:vAlign w:val="bottom"/>
          </w:tcPr>
          <w:p>
            <w:pPr>
              <w:spacing w:before="20" w:after="20"/>
              <w:jc w:val="right"/>
              <w:rPr>
                <w:noProof/>
                <w:color w:val="000000" w:themeColor="text1"/>
                <w:sz w:val="20"/>
                <w:szCs w:val="20"/>
              </w:rPr>
            </w:pPr>
            <w:r>
              <w:rPr>
                <w:noProof/>
                <w:color w:val="000000" w:themeColor="text1"/>
                <w:sz w:val="20"/>
              </w:rPr>
              <w:t>2 066,907</w:t>
            </w:r>
          </w:p>
        </w:tc>
        <w:tc>
          <w:tcPr>
            <w:tcW w:w="0" w:type="auto"/>
            <w:vAlign w:val="bottom"/>
          </w:tcPr>
          <w:p>
            <w:pPr>
              <w:spacing w:before="20" w:after="20"/>
              <w:jc w:val="right"/>
              <w:rPr>
                <w:noProof/>
                <w:color w:val="000000" w:themeColor="text1"/>
                <w:sz w:val="20"/>
                <w:szCs w:val="20"/>
              </w:rPr>
            </w:pPr>
            <w:r>
              <w:rPr>
                <w:noProof/>
                <w:color w:val="000000" w:themeColor="text1"/>
                <w:sz w:val="20"/>
              </w:rPr>
              <w:t>2 109,153</w:t>
            </w:r>
          </w:p>
        </w:tc>
        <w:tc>
          <w:tcPr>
            <w:tcW w:w="0" w:type="auto"/>
            <w:vAlign w:val="bottom"/>
          </w:tcPr>
          <w:p>
            <w:pPr>
              <w:spacing w:before="20" w:after="20"/>
              <w:jc w:val="right"/>
              <w:rPr>
                <w:noProof/>
                <w:color w:val="000000" w:themeColor="text1"/>
                <w:sz w:val="20"/>
                <w:szCs w:val="20"/>
              </w:rPr>
            </w:pPr>
            <w:r>
              <w:rPr>
                <w:noProof/>
                <w:color w:val="000000" w:themeColor="text1"/>
                <w:sz w:val="20"/>
              </w:rPr>
              <w:t>2 151,225</w:t>
            </w:r>
          </w:p>
        </w:tc>
        <w:tc>
          <w:tcPr>
            <w:tcW w:w="0" w:type="auto"/>
            <w:vAlign w:val="bottom"/>
          </w:tcPr>
          <w:p>
            <w:pPr>
              <w:spacing w:before="20" w:after="20"/>
              <w:jc w:val="right"/>
              <w:rPr>
                <w:noProof/>
                <w:color w:val="000000" w:themeColor="text1"/>
                <w:sz w:val="20"/>
                <w:szCs w:val="20"/>
              </w:rPr>
            </w:pPr>
            <w:r>
              <w:rPr>
                <w:noProof/>
                <w:color w:val="000000" w:themeColor="text1"/>
                <w:sz w:val="20"/>
              </w:rPr>
              <w:t>2 194,138</w:t>
            </w:r>
          </w:p>
        </w:tc>
        <w:tc>
          <w:tcPr>
            <w:tcW w:w="0" w:type="auto"/>
            <w:vAlign w:val="bottom"/>
          </w:tcPr>
          <w:p>
            <w:pPr>
              <w:spacing w:before="20" w:after="20"/>
              <w:jc w:val="right"/>
              <w:rPr>
                <w:noProof/>
                <w:color w:val="000000" w:themeColor="text1"/>
                <w:sz w:val="20"/>
                <w:szCs w:val="20"/>
              </w:rPr>
            </w:pPr>
            <w:r>
              <w:rPr>
                <w:noProof/>
                <w:color w:val="000000" w:themeColor="text1"/>
                <w:sz w:val="20"/>
              </w:rPr>
              <w:t>2 231,358</w:t>
            </w:r>
          </w:p>
        </w:tc>
        <w:tc>
          <w:tcPr>
            <w:tcW w:w="1100" w:type="dxa"/>
            <w:shd w:val="clear" w:color="auto" w:fill="A6A6A6" w:themeFill="background1" w:themeFillShade="A6"/>
            <w:vAlign w:val="bottom"/>
          </w:tcPr>
          <w:p>
            <w:pPr>
              <w:spacing w:before="60" w:after="60"/>
              <w:jc w:val="right"/>
              <w:rPr>
                <w:noProof/>
                <w:color w:val="000000" w:themeColor="text1"/>
                <w:sz w:val="20"/>
                <w:szCs w:val="20"/>
              </w:rPr>
            </w:pPr>
          </w:p>
        </w:tc>
        <w:tc>
          <w:tcPr>
            <w:tcW w:w="1456" w:type="dxa"/>
            <w:gridSpan w:val="2"/>
            <w:vAlign w:val="bottom"/>
          </w:tcPr>
          <w:p>
            <w:pPr>
              <w:spacing w:before="20" w:after="20"/>
              <w:jc w:val="right"/>
              <w:rPr>
                <w:b/>
                <w:noProof/>
                <w:color w:val="000000" w:themeColor="text1"/>
                <w:sz w:val="20"/>
                <w:szCs w:val="20"/>
              </w:rPr>
            </w:pPr>
            <w:r>
              <w:rPr>
                <w:b/>
                <w:noProof/>
                <w:color w:val="000000" w:themeColor="text1"/>
                <w:sz w:val="20"/>
              </w:rPr>
              <w:t>14 764,074</w:t>
            </w:r>
          </w:p>
        </w:tc>
      </w:tr>
      <w:tr>
        <w:trPr>
          <w:gridAfter w:val="1"/>
          <w:wAfter w:w="39" w:type="dxa"/>
          <w:jc w:val="center"/>
        </w:trPr>
        <w:tc>
          <w:tcPr>
            <w:tcW w:w="0" w:type="auto"/>
            <w:vMerge/>
            <w:shd w:val="clear" w:color="auto" w:fill="C0C0C0"/>
          </w:tcPr>
          <w:p>
            <w:pPr>
              <w:rPr>
                <w:noProof/>
                <w:color w:val="000000" w:themeColor="text1"/>
                <w:sz w:val="20"/>
              </w:rPr>
            </w:pPr>
          </w:p>
        </w:tc>
        <w:tc>
          <w:tcPr>
            <w:tcW w:w="0" w:type="auto"/>
            <w:gridSpan w:val="2"/>
            <w:vAlign w:val="center"/>
          </w:tcPr>
          <w:p>
            <w:pPr>
              <w:rPr>
                <w:noProof/>
                <w:color w:val="000000" w:themeColor="text1"/>
                <w:sz w:val="14"/>
              </w:rPr>
            </w:pPr>
            <w:r>
              <w:rPr>
                <w:noProof/>
                <w:color w:val="000000" w:themeColor="text1"/>
                <w:sz w:val="18"/>
              </w:rPr>
              <w:t>Πληρωμές</w:t>
            </w:r>
          </w:p>
        </w:tc>
        <w:tc>
          <w:tcPr>
            <w:tcW w:w="0" w:type="auto"/>
            <w:vAlign w:val="bottom"/>
          </w:tcPr>
          <w:p>
            <w:pPr>
              <w:spacing w:before="20" w:after="20"/>
              <w:jc w:val="right"/>
              <w:rPr>
                <w:noProof/>
                <w:color w:val="000000" w:themeColor="text1"/>
                <w:sz w:val="20"/>
                <w:szCs w:val="20"/>
              </w:rPr>
            </w:pPr>
            <w:r>
              <w:rPr>
                <w:noProof/>
                <w:color w:val="000000" w:themeColor="text1"/>
                <w:sz w:val="20"/>
              </w:rPr>
              <w:t>1 438,987</w:t>
            </w:r>
          </w:p>
        </w:tc>
        <w:tc>
          <w:tcPr>
            <w:tcW w:w="0" w:type="auto"/>
            <w:vAlign w:val="bottom"/>
          </w:tcPr>
          <w:p>
            <w:pPr>
              <w:spacing w:before="20" w:after="20"/>
              <w:jc w:val="right"/>
              <w:rPr>
                <w:noProof/>
                <w:color w:val="000000" w:themeColor="text1"/>
                <w:sz w:val="20"/>
                <w:szCs w:val="20"/>
              </w:rPr>
            </w:pPr>
            <w:r>
              <w:rPr>
                <w:noProof/>
                <w:color w:val="000000" w:themeColor="text1"/>
                <w:sz w:val="20"/>
              </w:rPr>
              <w:t>1 639,004</w:t>
            </w:r>
          </w:p>
        </w:tc>
        <w:tc>
          <w:tcPr>
            <w:tcW w:w="0" w:type="auto"/>
            <w:vAlign w:val="bottom"/>
          </w:tcPr>
          <w:p>
            <w:pPr>
              <w:spacing w:before="20" w:after="20"/>
              <w:jc w:val="right"/>
              <w:rPr>
                <w:noProof/>
                <w:color w:val="000000" w:themeColor="text1"/>
                <w:sz w:val="20"/>
                <w:szCs w:val="20"/>
              </w:rPr>
            </w:pPr>
            <w:r>
              <w:rPr>
                <w:noProof/>
                <w:color w:val="000000" w:themeColor="text1"/>
                <w:sz w:val="20"/>
              </w:rPr>
              <w:t>1 754,911</w:t>
            </w:r>
          </w:p>
        </w:tc>
        <w:tc>
          <w:tcPr>
            <w:tcW w:w="0" w:type="auto"/>
            <w:vAlign w:val="bottom"/>
          </w:tcPr>
          <w:p>
            <w:pPr>
              <w:spacing w:before="20" w:after="20"/>
              <w:jc w:val="right"/>
              <w:rPr>
                <w:noProof/>
                <w:color w:val="000000" w:themeColor="text1"/>
                <w:sz w:val="20"/>
                <w:szCs w:val="20"/>
              </w:rPr>
            </w:pPr>
            <w:r>
              <w:rPr>
                <w:noProof/>
                <w:color w:val="000000" w:themeColor="text1"/>
                <w:sz w:val="20"/>
              </w:rPr>
              <w:t>1 888,326</w:t>
            </w:r>
          </w:p>
        </w:tc>
        <w:tc>
          <w:tcPr>
            <w:tcW w:w="0" w:type="auto"/>
            <w:vAlign w:val="bottom"/>
          </w:tcPr>
          <w:p>
            <w:pPr>
              <w:spacing w:before="20" w:after="20"/>
              <w:jc w:val="right"/>
              <w:rPr>
                <w:noProof/>
                <w:color w:val="000000" w:themeColor="text1"/>
                <w:sz w:val="20"/>
                <w:szCs w:val="20"/>
              </w:rPr>
            </w:pPr>
            <w:r>
              <w:rPr>
                <w:noProof/>
                <w:color w:val="000000" w:themeColor="text1"/>
                <w:sz w:val="20"/>
              </w:rPr>
              <w:t>2 003,950</w:t>
            </w:r>
          </w:p>
        </w:tc>
        <w:tc>
          <w:tcPr>
            <w:tcW w:w="0" w:type="auto"/>
            <w:vAlign w:val="bottom"/>
          </w:tcPr>
          <w:p>
            <w:pPr>
              <w:spacing w:before="20" w:after="20"/>
              <w:jc w:val="right"/>
              <w:rPr>
                <w:noProof/>
                <w:color w:val="000000" w:themeColor="text1"/>
                <w:sz w:val="20"/>
                <w:szCs w:val="20"/>
              </w:rPr>
            </w:pPr>
            <w:r>
              <w:rPr>
                <w:noProof/>
                <w:color w:val="000000" w:themeColor="text1"/>
                <w:sz w:val="20"/>
              </w:rPr>
              <w:t>2 074,776</w:t>
            </w:r>
          </w:p>
        </w:tc>
        <w:tc>
          <w:tcPr>
            <w:tcW w:w="0" w:type="auto"/>
            <w:vAlign w:val="bottom"/>
          </w:tcPr>
          <w:p>
            <w:pPr>
              <w:spacing w:before="20" w:after="20"/>
              <w:jc w:val="right"/>
              <w:rPr>
                <w:noProof/>
                <w:color w:val="000000" w:themeColor="text1"/>
                <w:sz w:val="20"/>
                <w:szCs w:val="20"/>
              </w:rPr>
            </w:pPr>
            <w:r>
              <w:rPr>
                <w:noProof/>
                <w:color w:val="000000" w:themeColor="text1"/>
                <w:sz w:val="20"/>
              </w:rPr>
              <w:t>2 119,957</w:t>
            </w:r>
          </w:p>
        </w:tc>
        <w:tc>
          <w:tcPr>
            <w:tcW w:w="1100" w:type="dxa"/>
            <w:vAlign w:val="bottom"/>
          </w:tcPr>
          <w:p>
            <w:pPr>
              <w:spacing w:before="20" w:after="20"/>
              <w:jc w:val="right"/>
              <w:rPr>
                <w:noProof/>
                <w:color w:val="000000" w:themeColor="text1"/>
                <w:sz w:val="20"/>
                <w:szCs w:val="20"/>
              </w:rPr>
            </w:pPr>
            <w:r>
              <w:rPr>
                <w:noProof/>
                <w:color w:val="000000" w:themeColor="text1"/>
                <w:sz w:val="20"/>
              </w:rPr>
              <w:t>1 844,162</w:t>
            </w:r>
          </w:p>
        </w:tc>
        <w:tc>
          <w:tcPr>
            <w:tcW w:w="1417" w:type="dxa"/>
            <w:vAlign w:val="bottom"/>
          </w:tcPr>
          <w:p>
            <w:pPr>
              <w:spacing w:before="20" w:after="20"/>
              <w:jc w:val="right"/>
              <w:rPr>
                <w:b/>
                <w:noProof/>
                <w:color w:val="000000" w:themeColor="text1"/>
                <w:sz w:val="20"/>
                <w:szCs w:val="20"/>
              </w:rPr>
            </w:pPr>
            <w:r>
              <w:rPr>
                <w:b/>
                <w:noProof/>
                <w:color w:val="000000" w:themeColor="text1"/>
                <w:sz w:val="20"/>
              </w:rPr>
              <w:t>14 764,074</w:t>
            </w:r>
          </w:p>
        </w:tc>
      </w:tr>
    </w:tbl>
    <w:p>
      <w:pPr>
        <w:rPr>
          <w:noProof/>
          <w:color w:val="000000" w:themeColor="text1"/>
        </w:rPr>
        <w:sectPr>
          <w:headerReference w:type="default" r:id="rId18"/>
          <w:footerReference w:type="default" r:id="rId19"/>
          <w:headerReference w:type="first" r:id="rId20"/>
          <w:footerReference w:type="first" r:id="rId21"/>
          <w:pgSz w:w="16840" w:h="11907" w:orient="landscape" w:code="9"/>
          <w:pgMar w:top="1134" w:right="1418" w:bottom="1134" w:left="1418" w:header="709" w:footer="709" w:gutter="0"/>
          <w:cols w:space="708"/>
          <w:docGrid w:linePitch="360"/>
        </w:sectPr>
      </w:pPr>
    </w:p>
    <w:p>
      <w:pPr>
        <w:pStyle w:val="ManualHeading3"/>
        <w:rPr>
          <w:bCs/>
          <w:noProof/>
          <w:szCs w:val="24"/>
        </w:rPr>
      </w:pPr>
      <w:r>
        <w:t>3.2.2.</w:t>
      </w:r>
      <w:r>
        <w:tab/>
      </w:r>
      <w:r>
        <w:rPr>
          <w:noProof/>
        </w:rPr>
        <w:t>Συνοπτική παρουσίαση των εκτιμώμενων επιπτώσεων στις πιστώσεις διοικητικού χαρακτήρα</w:t>
      </w:r>
    </w:p>
    <w:p>
      <w:pPr>
        <w:pStyle w:val="ListDash1"/>
        <w:rPr>
          <w:noProof/>
          <w:color w:val="000000" w:themeColor="text1"/>
        </w:rPr>
      </w:pPr>
      <w:r>
        <w:rPr>
          <w:noProof/>
          <w:color w:val="000000" w:themeColor="text1"/>
        </w:rPr>
        <w:sym w:font="Wingdings" w:char="F0A8"/>
      </w:r>
      <w:r>
        <w:rPr>
          <w:noProof/>
        </w:rPr>
        <w:tab/>
        <w:t>Η πρόταση/πρωτοβουλία δεν συνεπάγεται τη χρησιμοποίηση πιστώσεων διοικητικού χαρακτήρα</w:t>
      </w:r>
      <w:r>
        <w:rPr>
          <w:noProof/>
          <w:color w:val="000000" w:themeColor="text1"/>
        </w:rPr>
        <w:t xml:space="preserve"> </w:t>
      </w:r>
    </w:p>
    <w:p>
      <w:pPr>
        <w:pStyle w:val="ListDash1"/>
        <w:rPr>
          <w:noProof/>
          <w:color w:val="000000" w:themeColor="text1"/>
        </w:rPr>
      </w:pPr>
      <w:r>
        <w:rPr>
          <w:b/>
          <w:noProof/>
          <w:color w:val="000000" w:themeColor="text1"/>
        </w:rPr>
        <w:t>X</w:t>
      </w:r>
      <w:r>
        <w:rPr>
          <w:noProof/>
        </w:rPr>
        <w:tab/>
      </w:r>
      <w:r>
        <w:rPr>
          <w:noProof/>
          <w:color w:val="000000" w:themeColor="text1"/>
        </w:rPr>
        <w:t>Η πρόταση/πρωτοβουλία συνεπάγεται τη χρησιμοποίηση πιστώσεων διοικητικού χαρακτήρα, όπως εξηγείται κατωτέρω:</w:t>
      </w:r>
    </w:p>
    <w:p>
      <w:pPr>
        <w:rPr>
          <w:noProof/>
          <w:color w:val="000000" w:themeColor="text1"/>
          <w:sz w:val="20"/>
        </w:rPr>
      </w:pPr>
      <w:r>
        <w:rPr>
          <w:noProof/>
          <w:color w:val="000000" w:themeColor="text1"/>
          <w:sz w:val="20"/>
        </w:rPr>
        <w:t>Σε εκατ. EUR (με 3 δεκαδικά ψηφία)</w:t>
      </w:r>
    </w:p>
    <w:tbl>
      <w:tblPr>
        <w:tblW w:w="1062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trPr>
          <w:trHeight w:val="585"/>
        </w:trPr>
        <w:tc>
          <w:tcPr>
            <w:tcW w:w="1980" w:type="dxa"/>
            <w:vAlign w:val="center"/>
          </w:tcPr>
          <w:p>
            <w:pPr>
              <w:spacing w:before="60" w:after="60" w:line="200" w:lineRule="exact"/>
              <w:jc w:val="center"/>
              <w:rPr>
                <w:b/>
                <w:noProof/>
                <w:color w:val="000000" w:themeColor="text1"/>
                <w:sz w:val="16"/>
                <w:szCs w:val="16"/>
              </w:rPr>
            </w:pPr>
            <w:r>
              <w:rPr>
                <w:b/>
                <w:noProof/>
                <w:color w:val="000000" w:themeColor="text1"/>
                <w:sz w:val="16"/>
              </w:rPr>
              <w:t>Έτη</w:t>
            </w:r>
          </w:p>
        </w:tc>
        <w:tc>
          <w:tcPr>
            <w:tcW w:w="1080" w:type="dxa"/>
            <w:vAlign w:val="center"/>
          </w:tcPr>
          <w:p>
            <w:pPr>
              <w:spacing w:before="60" w:after="60" w:line="200" w:lineRule="exact"/>
              <w:jc w:val="center"/>
              <w:rPr>
                <w:noProof/>
                <w:color w:val="000000" w:themeColor="text1"/>
                <w:sz w:val="16"/>
                <w:szCs w:val="16"/>
              </w:rPr>
            </w:pPr>
            <w:r>
              <w:rPr>
                <w:b/>
                <w:noProof/>
                <w:color w:val="000000" w:themeColor="text1"/>
                <w:sz w:val="20"/>
              </w:rPr>
              <w:t>2021</w:t>
            </w:r>
          </w:p>
        </w:tc>
        <w:tc>
          <w:tcPr>
            <w:tcW w:w="1080" w:type="dxa"/>
            <w:vAlign w:val="center"/>
          </w:tcPr>
          <w:p>
            <w:pPr>
              <w:spacing w:before="60" w:after="60" w:line="200" w:lineRule="exact"/>
              <w:jc w:val="center"/>
              <w:rPr>
                <w:noProof/>
                <w:color w:val="000000" w:themeColor="text1"/>
                <w:sz w:val="16"/>
                <w:szCs w:val="16"/>
              </w:rPr>
            </w:pPr>
            <w:r>
              <w:rPr>
                <w:b/>
                <w:noProof/>
                <w:color w:val="000000" w:themeColor="text1"/>
                <w:sz w:val="20"/>
              </w:rPr>
              <w:t>2022</w:t>
            </w:r>
          </w:p>
        </w:tc>
        <w:tc>
          <w:tcPr>
            <w:tcW w:w="1080" w:type="dxa"/>
            <w:vAlign w:val="center"/>
          </w:tcPr>
          <w:p>
            <w:pPr>
              <w:spacing w:before="60" w:after="60" w:line="200" w:lineRule="exact"/>
              <w:jc w:val="center"/>
              <w:rPr>
                <w:noProof/>
                <w:color w:val="000000" w:themeColor="text1"/>
                <w:sz w:val="16"/>
                <w:szCs w:val="16"/>
              </w:rPr>
            </w:pPr>
            <w:r>
              <w:rPr>
                <w:b/>
                <w:noProof/>
                <w:color w:val="000000" w:themeColor="text1"/>
                <w:sz w:val="20"/>
              </w:rPr>
              <w:t>2023</w:t>
            </w:r>
          </w:p>
        </w:tc>
        <w:tc>
          <w:tcPr>
            <w:tcW w:w="1080" w:type="dxa"/>
            <w:vAlign w:val="center"/>
          </w:tcPr>
          <w:p>
            <w:pPr>
              <w:spacing w:before="60" w:after="60" w:line="200" w:lineRule="exact"/>
              <w:jc w:val="center"/>
              <w:rPr>
                <w:noProof/>
                <w:color w:val="000000" w:themeColor="text1"/>
                <w:sz w:val="16"/>
                <w:szCs w:val="16"/>
              </w:rPr>
            </w:pPr>
            <w:r>
              <w:rPr>
                <w:b/>
                <w:noProof/>
                <w:color w:val="000000" w:themeColor="text1"/>
                <w:sz w:val="20"/>
              </w:rPr>
              <w:t>2024</w:t>
            </w:r>
          </w:p>
        </w:tc>
        <w:tc>
          <w:tcPr>
            <w:tcW w:w="1080" w:type="dxa"/>
            <w:vAlign w:val="center"/>
          </w:tcPr>
          <w:p>
            <w:pPr>
              <w:spacing w:line="200" w:lineRule="exact"/>
              <w:jc w:val="center"/>
              <w:rPr>
                <w:b/>
                <w:noProof/>
                <w:color w:val="000000" w:themeColor="text1"/>
                <w:sz w:val="16"/>
                <w:szCs w:val="16"/>
              </w:rPr>
            </w:pPr>
            <w:r>
              <w:rPr>
                <w:b/>
                <w:noProof/>
                <w:color w:val="000000" w:themeColor="text1"/>
                <w:sz w:val="18"/>
              </w:rPr>
              <w:t>2025</w:t>
            </w:r>
          </w:p>
        </w:tc>
        <w:tc>
          <w:tcPr>
            <w:tcW w:w="1080" w:type="dxa"/>
            <w:vAlign w:val="center"/>
          </w:tcPr>
          <w:p>
            <w:pPr>
              <w:spacing w:line="200" w:lineRule="exact"/>
              <w:jc w:val="center"/>
              <w:rPr>
                <w:b/>
                <w:noProof/>
                <w:color w:val="000000" w:themeColor="text1"/>
                <w:sz w:val="16"/>
                <w:szCs w:val="16"/>
              </w:rPr>
            </w:pPr>
            <w:r>
              <w:rPr>
                <w:b/>
                <w:noProof/>
                <w:color w:val="000000" w:themeColor="text1"/>
                <w:sz w:val="18"/>
              </w:rPr>
              <w:t>2026</w:t>
            </w:r>
          </w:p>
        </w:tc>
        <w:tc>
          <w:tcPr>
            <w:tcW w:w="1080" w:type="dxa"/>
            <w:vAlign w:val="center"/>
          </w:tcPr>
          <w:p>
            <w:pPr>
              <w:spacing w:line="200" w:lineRule="exact"/>
              <w:jc w:val="center"/>
              <w:rPr>
                <w:b/>
                <w:noProof/>
                <w:color w:val="000000" w:themeColor="text1"/>
                <w:sz w:val="16"/>
                <w:szCs w:val="16"/>
              </w:rPr>
            </w:pPr>
            <w:r>
              <w:rPr>
                <w:b/>
                <w:noProof/>
                <w:color w:val="000000" w:themeColor="text1"/>
                <w:sz w:val="18"/>
              </w:rPr>
              <w:t>2027</w:t>
            </w:r>
          </w:p>
        </w:tc>
        <w:tc>
          <w:tcPr>
            <w:tcW w:w="1080" w:type="dxa"/>
            <w:vAlign w:val="center"/>
          </w:tcPr>
          <w:p>
            <w:pPr>
              <w:spacing w:before="60" w:after="60" w:line="200" w:lineRule="exact"/>
              <w:jc w:val="center"/>
              <w:rPr>
                <w:b/>
                <w:noProof/>
                <w:color w:val="000000" w:themeColor="text1"/>
                <w:sz w:val="16"/>
                <w:szCs w:val="16"/>
              </w:rPr>
            </w:pPr>
            <w:r>
              <w:rPr>
                <w:b/>
                <w:noProof/>
                <w:color w:val="000000" w:themeColor="text1"/>
                <w:sz w:val="16"/>
              </w:rPr>
              <w:t>ΣΥΝΟΛΟ</w:t>
            </w:r>
          </w:p>
        </w:tc>
      </w:tr>
    </w:tbl>
    <w:p>
      <w:pPr>
        <w:spacing w:line="200" w:lineRule="exact"/>
        <w:rPr>
          <w:noProof/>
          <w:color w:val="000000" w:themeColor="text1"/>
          <w:sz w:val="16"/>
          <w:szCs w:val="16"/>
        </w:rPr>
      </w:pPr>
    </w:p>
    <w:tbl>
      <w:tblPr>
        <w:tblW w:w="1062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trPr>
          <w:trHeight w:val="585"/>
        </w:trPr>
        <w:tc>
          <w:tcPr>
            <w:tcW w:w="1980" w:type="dxa"/>
            <w:shd w:val="clear" w:color="auto" w:fill="CCCCCC"/>
            <w:vAlign w:val="center"/>
          </w:tcPr>
          <w:p>
            <w:pPr>
              <w:spacing w:before="60" w:after="60" w:line="200" w:lineRule="exact"/>
              <w:jc w:val="center"/>
              <w:rPr>
                <w:b/>
                <w:noProof/>
                <w:color w:val="000000" w:themeColor="text1"/>
                <w:sz w:val="16"/>
                <w:szCs w:val="16"/>
              </w:rPr>
            </w:pPr>
            <w:r>
              <w:rPr>
                <w:b/>
                <w:noProof/>
                <w:color w:val="000000" w:themeColor="text1"/>
                <w:sz w:val="16"/>
              </w:rPr>
              <w:t>ΤΟΜΕΑΣ 7</w:t>
            </w:r>
            <w:r>
              <w:rPr>
                <w:noProof/>
                <w:color w:val="000000" w:themeColor="text1"/>
                <w:sz w:val="22"/>
              </w:rPr>
              <w:br/>
            </w:r>
            <w:r>
              <w:rPr>
                <w:b/>
                <w:noProof/>
                <w:color w:val="000000" w:themeColor="text1"/>
                <w:sz w:val="16"/>
              </w:rPr>
              <w:t>του πολυετούς δημοσιονομικού πλαισίου</w:t>
            </w:r>
          </w:p>
        </w:tc>
        <w:tc>
          <w:tcPr>
            <w:tcW w:w="1080" w:type="dxa"/>
            <w:vAlign w:val="center"/>
          </w:tcPr>
          <w:p>
            <w:pPr>
              <w:spacing w:before="60" w:after="60" w:line="200" w:lineRule="exact"/>
              <w:jc w:val="right"/>
              <w:rPr>
                <w:noProof/>
                <w:color w:val="000000" w:themeColor="text1"/>
                <w:sz w:val="16"/>
                <w:szCs w:val="16"/>
              </w:rPr>
            </w:pPr>
          </w:p>
        </w:tc>
        <w:tc>
          <w:tcPr>
            <w:tcW w:w="1080" w:type="dxa"/>
            <w:vAlign w:val="center"/>
          </w:tcPr>
          <w:p>
            <w:pPr>
              <w:spacing w:before="60" w:after="60" w:line="200" w:lineRule="exact"/>
              <w:jc w:val="right"/>
              <w:rPr>
                <w:noProof/>
                <w:color w:val="000000" w:themeColor="text1"/>
                <w:sz w:val="16"/>
                <w:szCs w:val="16"/>
              </w:rPr>
            </w:pPr>
          </w:p>
        </w:tc>
        <w:tc>
          <w:tcPr>
            <w:tcW w:w="1080" w:type="dxa"/>
            <w:vAlign w:val="center"/>
          </w:tcPr>
          <w:p>
            <w:pPr>
              <w:spacing w:before="60" w:after="60" w:line="200" w:lineRule="exact"/>
              <w:jc w:val="right"/>
              <w:rPr>
                <w:noProof/>
                <w:color w:val="000000" w:themeColor="text1"/>
                <w:sz w:val="16"/>
                <w:szCs w:val="16"/>
              </w:rPr>
            </w:pPr>
          </w:p>
        </w:tc>
        <w:tc>
          <w:tcPr>
            <w:tcW w:w="1080" w:type="dxa"/>
            <w:vAlign w:val="center"/>
          </w:tcPr>
          <w:p>
            <w:pPr>
              <w:spacing w:before="60" w:after="60" w:line="200" w:lineRule="exact"/>
              <w:jc w:val="right"/>
              <w:rPr>
                <w:noProof/>
                <w:color w:val="000000" w:themeColor="text1"/>
                <w:sz w:val="16"/>
                <w:szCs w:val="16"/>
              </w:rPr>
            </w:pPr>
          </w:p>
        </w:tc>
        <w:tc>
          <w:tcPr>
            <w:tcW w:w="1080" w:type="dxa"/>
            <w:vAlign w:val="center"/>
          </w:tcPr>
          <w:p>
            <w:pPr>
              <w:spacing w:before="60" w:after="60" w:line="200" w:lineRule="exact"/>
              <w:jc w:val="right"/>
              <w:rPr>
                <w:noProof/>
                <w:color w:val="000000" w:themeColor="text1"/>
                <w:sz w:val="16"/>
                <w:szCs w:val="16"/>
              </w:rPr>
            </w:pPr>
          </w:p>
        </w:tc>
        <w:tc>
          <w:tcPr>
            <w:tcW w:w="1080" w:type="dxa"/>
            <w:vAlign w:val="center"/>
          </w:tcPr>
          <w:p>
            <w:pPr>
              <w:spacing w:before="60" w:after="60" w:line="200" w:lineRule="exact"/>
              <w:jc w:val="right"/>
              <w:rPr>
                <w:noProof/>
                <w:color w:val="000000" w:themeColor="text1"/>
                <w:sz w:val="16"/>
                <w:szCs w:val="16"/>
              </w:rPr>
            </w:pPr>
          </w:p>
        </w:tc>
        <w:tc>
          <w:tcPr>
            <w:tcW w:w="1080" w:type="dxa"/>
            <w:vAlign w:val="center"/>
          </w:tcPr>
          <w:p>
            <w:pPr>
              <w:spacing w:before="60" w:after="60" w:line="200" w:lineRule="exact"/>
              <w:jc w:val="right"/>
              <w:rPr>
                <w:b/>
                <w:noProof/>
                <w:color w:val="000000" w:themeColor="text1"/>
                <w:sz w:val="16"/>
                <w:szCs w:val="16"/>
              </w:rPr>
            </w:pPr>
          </w:p>
        </w:tc>
        <w:tc>
          <w:tcPr>
            <w:tcW w:w="1080" w:type="dxa"/>
          </w:tcPr>
          <w:p>
            <w:pPr>
              <w:spacing w:before="60" w:after="60" w:line="200" w:lineRule="exact"/>
              <w:jc w:val="right"/>
              <w:rPr>
                <w:b/>
                <w:noProof/>
                <w:color w:val="000000" w:themeColor="text1"/>
                <w:sz w:val="16"/>
                <w:szCs w:val="16"/>
              </w:rPr>
            </w:pPr>
          </w:p>
        </w:tc>
      </w:tr>
      <w:tr>
        <w:trPr>
          <w:trHeight w:val="585"/>
        </w:trPr>
        <w:tc>
          <w:tcPr>
            <w:tcW w:w="1980" w:type="dxa"/>
            <w:vAlign w:val="center"/>
          </w:tcPr>
          <w:p>
            <w:pPr>
              <w:spacing w:before="60" w:after="60" w:line="200" w:lineRule="exact"/>
              <w:ind w:left="72"/>
              <w:jc w:val="left"/>
              <w:rPr>
                <w:noProof/>
                <w:sz w:val="22"/>
              </w:rPr>
            </w:pPr>
            <w:r>
              <w:rPr>
                <w:noProof/>
                <w:sz w:val="22"/>
              </w:rPr>
              <w:t xml:space="preserve">Ανθρώπινοι πόροι </w:t>
            </w:r>
          </w:p>
        </w:tc>
        <w:tc>
          <w:tcPr>
            <w:tcW w:w="1080" w:type="dxa"/>
            <w:vAlign w:val="center"/>
          </w:tcPr>
          <w:p>
            <w:pPr>
              <w:spacing w:before="60" w:after="60" w:line="200" w:lineRule="exact"/>
              <w:jc w:val="right"/>
              <w:rPr>
                <w:noProof/>
                <w:sz w:val="22"/>
              </w:rPr>
            </w:pPr>
            <w:r>
              <w:rPr>
                <w:noProof/>
                <w:sz w:val="22"/>
              </w:rPr>
              <w:t>3.432</w:t>
            </w:r>
          </w:p>
        </w:tc>
        <w:tc>
          <w:tcPr>
            <w:tcW w:w="1080" w:type="dxa"/>
            <w:vAlign w:val="center"/>
          </w:tcPr>
          <w:p>
            <w:pPr>
              <w:spacing w:before="60" w:after="60" w:line="200" w:lineRule="exact"/>
              <w:jc w:val="right"/>
              <w:rPr>
                <w:noProof/>
                <w:sz w:val="22"/>
              </w:rPr>
            </w:pPr>
            <w:r>
              <w:rPr>
                <w:noProof/>
                <w:sz w:val="22"/>
              </w:rPr>
              <w:t>3.432</w:t>
            </w:r>
          </w:p>
        </w:tc>
        <w:tc>
          <w:tcPr>
            <w:tcW w:w="1080" w:type="dxa"/>
            <w:vAlign w:val="center"/>
          </w:tcPr>
          <w:p>
            <w:pPr>
              <w:spacing w:before="60" w:after="60" w:line="200" w:lineRule="exact"/>
              <w:jc w:val="right"/>
              <w:rPr>
                <w:noProof/>
                <w:sz w:val="22"/>
              </w:rPr>
            </w:pPr>
            <w:r>
              <w:rPr>
                <w:noProof/>
                <w:sz w:val="22"/>
              </w:rPr>
              <w:t>3.432</w:t>
            </w:r>
          </w:p>
        </w:tc>
        <w:tc>
          <w:tcPr>
            <w:tcW w:w="1080" w:type="dxa"/>
            <w:vAlign w:val="center"/>
          </w:tcPr>
          <w:p>
            <w:pPr>
              <w:spacing w:before="60" w:after="60" w:line="200" w:lineRule="exact"/>
              <w:jc w:val="right"/>
              <w:rPr>
                <w:noProof/>
                <w:sz w:val="22"/>
              </w:rPr>
            </w:pPr>
            <w:r>
              <w:rPr>
                <w:noProof/>
                <w:sz w:val="22"/>
              </w:rPr>
              <w:t>3.432</w:t>
            </w:r>
          </w:p>
        </w:tc>
        <w:tc>
          <w:tcPr>
            <w:tcW w:w="1080" w:type="dxa"/>
            <w:vAlign w:val="center"/>
          </w:tcPr>
          <w:p>
            <w:pPr>
              <w:spacing w:before="60" w:after="60" w:line="200" w:lineRule="exact"/>
              <w:jc w:val="right"/>
              <w:rPr>
                <w:noProof/>
                <w:sz w:val="22"/>
              </w:rPr>
            </w:pPr>
            <w:r>
              <w:rPr>
                <w:noProof/>
                <w:sz w:val="22"/>
              </w:rPr>
              <w:t>3.432</w:t>
            </w:r>
          </w:p>
        </w:tc>
        <w:tc>
          <w:tcPr>
            <w:tcW w:w="1080" w:type="dxa"/>
            <w:vAlign w:val="center"/>
          </w:tcPr>
          <w:p>
            <w:pPr>
              <w:spacing w:before="60" w:after="60" w:line="200" w:lineRule="exact"/>
              <w:jc w:val="right"/>
              <w:rPr>
                <w:noProof/>
                <w:sz w:val="22"/>
              </w:rPr>
            </w:pPr>
            <w:r>
              <w:rPr>
                <w:noProof/>
                <w:sz w:val="22"/>
              </w:rPr>
              <w:t>3.432</w:t>
            </w:r>
          </w:p>
        </w:tc>
        <w:tc>
          <w:tcPr>
            <w:tcW w:w="1080" w:type="dxa"/>
            <w:vAlign w:val="center"/>
          </w:tcPr>
          <w:p>
            <w:pPr>
              <w:spacing w:before="60" w:after="60" w:line="200" w:lineRule="exact"/>
              <w:jc w:val="right"/>
              <w:rPr>
                <w:b/>
                <w:noProof/>
                <w:sz w:val="22"/>
              </w:rPr>
            </w:pPr>
            <w:r>
              <w:rPr>
                <w:noProof/>
                <w:sz w:val="22"/>
              </w:rPr>
              <w:t>3.432</w:t>
            </w:r>
          </w:p>
        </w:tc>
        <w:tc>
          <w:tcPr>
            <w:tcW w:w="1080" w:type="dxa"/>
          </w:tcPr>
          <w:p>
            <w:pPr>
              <w:spacing w:before="60" w:after="60" w:line="200" w:lineRule="exact"/>
              <w:jc w:val="right"/>
              <w:rPr>
                <w:b/>
                <w:noProof/>
                <w:sz w:val="22"/>
              </w:rPr>
            </w:pPr>
            <w:r>
              <w:rPr>
                <w:b/>
                <w:noProof/>
                <w:color w:val="000000" w:themeColor="text1"/>
                <w:sz w:val="22"/>
              </w:rPr>
              <w:t>24.024</w:t>
            </w:r>
          </w:p>
        </w:tc>
      </w:tr>
      <w:tr>
        <w:trPr>
          <w:trHeight w:val="585"/>
        </w:trPr>
        <w:tc>
          <w:tcPr>
            <w:tcW w:w="1980" w:type="dxa"/>
            <w:vAlign w:val="center"/>
          </w:tcPr>
          <w:p>
            <w:pPr>
              <w:spacing w:before="60" w:after="60" w:line="200" w:lineRule="exact"/>
              <w:ind w:left="72"/>
              <w:jc w:val="left"/>
              <w:rPr>
                <w:noProof/>
                <w:sz w:val="22"/>
              </w:rPr>
            </w:pPr>
            <w:r>
              <w:rPr>
                <w:noProof/>
                <w:sz w:val="22"/>
              </w:rPr>
              <w:t xml:space="preserve">Άλλες διοικητικές δαπάνες </w:t>
            </w:r>
          </w:p>
        </w:tc>
        <w:tc>
          <w:tcPr>
            <w:tcW w:w="1080" w:type="dxa"/>
            <w:vAlign w:val="center"/>
          </w:tcPr>
          <w:p>
            <w:pPr>
              <w:spacing w:before="60" w:after="60" w:line="200" w:lineRule="exact"/>
              <w:jc w:val="right"/>
              <w:rPr>
                <w:noProof/>
                <w:sz w:val="22"/>
              </w:rPr>
            </w:pPr>
            <w:r>
              <w:rPr>
                <w:noProof/>
                <w:sz w:val="22"/>
              </w:rPr>
              <w:t>1.900</w:t>
            </w:r>
          </w:p>
        </w:tc>
        <w:tc>
          <w:tcPr>
            <w:tcW w:w="1080" w:type="dxa"/>
            <w:vAlign w:val="center"/>
          </w:tcPr>
          <w:p>
            <w:pPr>
              <w:spacing w:before="60" w:after="60" w:line="200" w:lineRule="exact"/>
              <w:jc w:val="right"/>
              <w:rPr>
                <w:noProof/>
                <w:sz w:val="22"/>
              </w:rPr>
            </w:pPr>
            <w:r>
              <w:rPr>
                <w:noProof/>
                <w:sz w:val="22"/>
              </w:rPr>
              <w:t>1.900</w:t>
            </w:r>
          </w:p>
        </w:tc>
        <w:tc>
          <w:tcPr>
            <w:tcW w:w="1080" w:type="dxa"/>
            <w:vAlign w:val="center"/>
          </w:tcPr>
          <w:p>
            <w:pPr>
              <w:spacing w:before="60" w:after="60" w:line="200" w:lineRule="exact"/>
              <w:jc w:val="right"/>
              <w:rPr>
                <w:noProof/>
                <w:sz w:val="22"/>
              </w:rPr>
            </w:pPr>
            <w:r>
              <w:rPr>
                <w:noProof/>
                <w:sz w:val="22"/>
              </w:rPr>
              <w:t>1.900</w:t>
            </w:r>
          </w:p>
        </w:tc>
        <w:tc>
          <w:tcPr>
            <w:tcW w:w="1080" w:type="dxa"/>
            <w:vAlign w:val="center"/>
          </w:tcPr>
          <w:p>
            <w:pPr>
              <w:spacing w:before="60" w:after="60" w:line="200" w:lineRule="exact"/>
              <w:jc w:val="right"/>
              <w:rPr>
                <w:noProof/>
                <w:sz w:val="22"/>
              </w:rPr>
            </w:pPr>
            <w:r>
              <w:rPr>
                <w:noProof/>
                <w:sz w:val="22"/>
              </w:rPr>
              <w:t>1.900</w:t>
            </w:r>
          </w:p>
        </w:tc>
        <w:tc>
          <w:tcPr>
            <w:tcW w:w="1080" w:type="dxa"/>
            <w:vAlign w:val="center"/>
          </w:tcPr>
          <w:p>
            <w:pPr>
              <w:spacing w:before="60" w:after="60" w:line="200" w:lineRule="exact"/>
              <w:jc w:val="right"/>
              <w:rPr>
                <w:noProof/>
                <w:sz w:val="22"/>
              </w:rPr>
            </w:pPr>
            <w:r>
              <w:rPr>
                <w:noProof/>
                <w:sz w:val="22"/>
              </w:rPr>
              <w:t>1.900</w:t>
            </w:r>
          </w:p>
        </w:tc>
        <w:tc>
          <w:tcPr>
            <w:tcW w:w="1080" w:type="dxa"/>
            <w:vAlign w:val="center"/>
          </w:tcPr>
          <w:p>
            <w:pPr>
              <w:spacing w:before="60" w:after="60" w:line="200" w:lineRule="exact"/>
              <w:jc w:val="right"/>
              <w:rPr>
                <w:noProof/>
                <w:sz w:val="22"/>
              </w:rPr>
            </w:pPr>
            <w:r>
              <w:rPr>
                <w:noProof/>
                <w:sz w:val="22"/>
              </w:rPr>
              <w:t>1.900</w:t>
            </w:r>
          </w:p>
        </w:tc>
        <w:tc>
          <w:tcPr>
            <w:tcW w:w="1080" w:type="dxa"/>
            <w:vAlign w:val="center"/>
          </w:tcPr>
          <w:p>
            <w:pPr>
              <w:spacing w:before="60" w:after="60" w:line="200" w:lineRule="exact"/>
              <w:jc w:val="right"/>
              <w:rPr>
                <w:b/>
                <w:noProof/>
                <w:sz w:val="22"/>
              </w:rPr>
            </w:pPr>
            <w:r>
              <w:rPr>
                <w:noProof/>
                <w:sz w:val="22"/>
              </w:rPr>
              <w:t>1.900</w:t>
            </w:r>
          </w:p>
        </w:tc>
        <w:tc>
          <w:tcPr>
            <w:tcW w:w="1080" w:type="dxa"/>
            <w:vAlign w:val="center"/>
          </w:tcPr>
          <w:p>
            <w:pPr>
              <w:spacing w:before="60" w:after="60" w:line="200" w:lineRule="exact"/>
              <w:jc w:val="right"/>
              <w:rPr>
                <w:b/>
                <w:noProof/>
                <w:sz w:val="22"/>
              </w:rPr>
            </w:pPr>
            <w:r>
              <w:rPr>
                <w:b/>
                <w:noProof/>
                <w:sz w:val="22"/>
              </w:rPr>
              <w:t>13.300</w:t>
            </w:r>
          </w:p>
        </w:tc>
      </w:tr>
      <w:tr>
        <w:trPr>
          <w:trHeight w:val="585"/>
        </w:trPr>
        <w:tc>
          <w:tcPr>
            <w:tcW w:w="1980" w:type="dxa"/>
            <w:shd w:val="clear" w:color="auto" w:fill="CCCCCC"/>
            <w:vAlign w:val="center"/>
          </w:tcPr>
          <w:p>
            <w:pPr>
              <w:spacing w:before="60" w:after="60" w:line="200" w:lineRule="exact"/>
              <w:jc w:val="center"/>
              <w:rPr>
                <w:b/>
                <w:noProof/>
                <w:sz w:val="22"/>
              </w:rPr>
            </w:pPr>
            <w:r>
              <w:rPr>
                <w:b/>
                <w:noProof/>
                <w:sz w:val="22"/>
              </w:rPr>
              <w:t>Υποσύνολο ΤΟΜΕΑ 7</w:t>
            </w:r>
            <w:r>
              <w:rPr>
                <w:noProof/>
                <w:sz w:val="22"/>
              </w:rPr>
              <w:br/>
            </w:r>
            <w:r>
              <w:rPr>
                <w:b/>
                <w:noProof/>
                <w:sz w:val="22"/>
              </w:rPr>
              <w:t xml:space="preserve">του πολυετούς δημοσιονομικού πλαισίου </w:t>
            </w:r>
          </w:p>
        </w:tc>
        <w:tc>
          <w:tcPr>
            <w:tcW w:w="1080" w:type="dxa"/>
            <w:vAlign w:val="bottom"/>
          </w:tcPr>
          <w:p>
            <w:pPr>
              <w:spacing w:before="60" w:after="60" w:line="200" w:lineRule="exact"/>
              <w:jc w:val="right"/>
              <w:rPr>
                <w:b/>
                <w:noProof/>
                <w:sz w:val="22"/>
              </w:rPr>
            </w:pPr>
            <w:r>
              <w:rPr>
                <w:b/>
                <w:noProof/>
                <w:sz w:val="22"/>
              </w:rPr>
              <w:t>5.332</w:t>
            </w:r>
          </w:p>
        </w:tc>
        <w:tc>
          <w:tcPr>
            <w:tcW w:w="1080" w:type="dxa"/>
            <w:vAlign w:val="bottom"/>
          </w:tcPr>
          <w:p>
            <w:pPr>
              <w:spacing w:before="60" w:after="60" w:line="200" w:lineRule="exact"/>
              <w:jc w:val="right"/>
              <w:rPr>
                <w:b/>
                <w:noProof/>
                <w:sz w:val="22"/>
              </w:rPr>
            </w:pPr>
            <w:r>
              <w:rPr>
                <w:b/>
                <w:noProof/>
                <w:sz w:val="22"/>
              </w:rPr>
              <w:t>5.332</w:t>
            </w:r>
          </w:p>
        </w:tc>
        <w:tc>
          <w:tcPr>
            <w:tcW w:w="1080" w:type="dxa"/>
            <w:vAlign w:val="bottom"/>
          </w:tcPr>
          <w:p>
            <w:pPr>
              <w:spacing w:before="60" w:after="60" w:line="200" w:lineRule="exact"/>
              <w:jc w:val="right"/>
              <w:rPr>
                <w:b/>
                <w:noProof/>
                <w:sz w:val="22"/>
              </w:rPr>
            </w:pPr>
            <w:r>
              <w:rPr>
                <w:b/>
                <w:noProof/>
                <w:sz w:val="22"/>
              </w:rPr>
              <w:t>5.332</w:t>
            </w:r>
          </w:p>
        </w:tc>
        <w:tc>
          <w:tcPr>
            <w:tcW w:w="1080" w:type="dxa"/>
            <w:vAlign w:val="bottom"/>
          </w:tcPr>
          <w:p>
            <w:pPr>
              <w:spacing w:before="60" w:after="60" w:line="200" w:lineRule="exact"/>
              <w:jc w:val="right"/>
              <w:rPr>
                <w:b/>
                <w:noProof/>
                <w:sz w:val="22"/>
              </w:rPr>
            </w:pPr>
            <w:r>
              <w:rPr>
                <w:b/>
                <w:noProof/>
                <w:sz w:val="22"/>
              </w:rPr>
              <w:t>5.332</w:t>
            </w:r>
          </w:p>
        </w:tc>
        <w:tc>
          <w:tcPr>
            <w:tcW w:w="1080" w:type="dxa"/>
            <w:vAlign w:val="bottom"/>
          </w:tcPr>
          <w:p>
            <w:pPr>
              <w:spacing w:before="60" w:after="60" w:line="200" w:lineRule="exact"/>
              <w:jc w:val="right"/>
              <w:rPr>
                <w:b/>
                <w:noProof/>
                <w:sz w:val="22"/>
              </w:rPr>
            </w:pPr>
            <w:r>
              <w:rPr>
                <w:b/>
                <w:noProof/>
                <w:sz w:val="22"/>
              </w:rPr>
              <w:t>5.332</w:t>
            </w:r>
          </w:p>
        </w:tc>
        <w:tc>
          <w:tcPr>
            <w:tcW w:w="1080" w:type="dxa"/>
            <w:vAlign w:val="bottom"/>
          </w:tcPr>
          <w:p>
            <w:pPr>
              <w:spacing w:before="60" w:after="60" w:line="200" w:lineRule="exact"/>
              <w:jc w:val="right"/>
              <w:rPr>
                <w:b/>
                <w:noProof/>
                <w:sz w:val="22"/>
              </w:rPr>
            </w:pPr>
            <w:r>
              <w:rPr>
                <w:b/>
                <w:noProof/>
                <w:sz w:val="22"/>
              </w:rPr>
              <w:t>5.332</w:t>
            </w:r>
          </w:p>
        </w:tc>
        <w:tc>
          <w:tcPr>
            <w:tcW w:w="1080" w:type="dxa"/>
            <w:vAlign w:val="bottom"/>
          </w:tcPr>
          <w:p>
            <w:pPr>
              <w:spacing w:before="60" w:after="60" w:line="200" w:lineRule="exact"/>
              <w:jc w:val="right"/>
              <w:rPr>
                <w:b/>
                <w:noProof/>
                <w:sz w:val="22"/>
              </w:rPr>
            </w:pPr>
            <w:r>
              <w:rPr>
                <w:b/>
                <w:noProof/>
                <w:sz w:val="22"/>
              </w:rPr>
              <w:t>5.332</w:t>
            </w:r>
          </w:p>
        </w:tc>
        <w:tc>
          <w:tcPr>
            <w:tcW w:w="1080" w:type="dxa"/>
            <w:vAlign w:val="bottom"/>
          </w:tcPr>
          <w:p>
            <w:pPr>
              <w:spacing w:before="60" w:after="60" w:line="200" w:lineRule="exact"/>
              <w:jc w:val="right"/>
              <w:rPr>
                <w:b/>
                <w:noProof/>
                <w:sz w:val="22"/>
              </w:rPr>
            </w:pPr>
            <w:r>
              <w:rPr>
                <w:b/>
                <w:noProof/>
                <w:sz w:val="22"/>
              </w:rPr>
              <w:t>37.324</w:t>
            </w:r>
          </w:p>
        </w:tc>
      </w:tr>
    </w:tbl>
    <w:p>
      <w:pPr>
        <w:spacing w:line="200" w:lineRule="exact"/>
        <w:rPr>
          <w:noProof/>
          <w:sz w:val="22"/>
        </w:rPr>
      </w:pPr>
    </w:p>
    <w:tbl>
      <w:tblPr>
        <w:tblW w:w="1062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trPr>
          <w:trHeight w:val="585"/>
        </w:trPr>
        <w:tc>
          <w:tcPr>
            <w:tcW w:w="1980" w:type="dxa"/>
            <w:shd w:val="clear" w:color="auto" w:fill="CCCCCC"/>
            <w:vAlign w:val="center"/>
          </w:tcPr>
          <w:p>
            <w:pPr>
              <w:spacing w:before="60" w:after="60" w:line="200" w:lineRule="exact"/>
              <w:jc w:val="center"/>
              <w:rPr>
                <w:noProof/>
                <w:sz w:val="22"/>
              </w:rPr>
            </w:pPr>
            <w:r>
              <w:rPr>
                <w:b/>
                <w:noProof/>
                <w:sz w:val="22"/>
              </w:rPr>
              <w:t>εκτός του ΤΟΜΕΑ 7</w:t>
            </w:r>
            <w:r>
              <w:rPr>
                <w:rStyle w:val="FootnoteReference"/>
                <w:b/>
                <w:noProof/>
                <w:sz w:val="22"/>
              </w:rPr>
              <w:footnoteReference w:id="37"/>
            </w:r>
            <w:r>
              <w:rPr>
                <w:noProof/>
                <w:sz w:val="22"/>
              </w:rPr>
              <w:br/>
            </w:r>
            <w:r>
              <w:rPr>
                <w:b/>
                <w:noProof/>
                <w:sz w:val="22"/>
              </w:rPr>
              <w:t xml:space="preserve">του πολυετούς δημοσιονομικού πλαισίου </w:t>
            </w:r>
          </w:p>
          <w:p>
            <w:pPr>
              <w:spacing w:before="0" w:after="0" w:line="200" w:lineRule="exact"/>
              <w:jc w:val="center"/>
              <w:rPr>
                <w:b/>
                <w:noProof/>
                <w:sz w:val="22"/>
              </w:rPr>
            </w:pPr>
          </w:p>
        </w:tc>
        <w:tc>
          <w:tcPr>
            <w:tcW w:w="1080" w:type="dxa"/>
            <w:vAlign w:val="center"/>
          </w:tcPr>
          <w:p>
            <w:pPr>
              <w:spacing w:before="60" w:after="60" w:line="200" w:lineRule="exact"/>
              <w:jc w:val="right"/>
              <w:rPr>
                <w:noProof/>
                <w:sz w:val="22"/>
              </w:rPr>
            </w:pPr>
          </w:p>
        </w:tc>
        <w:tc>
          <w:tcPr>
            <w:tcW w:w="1080" w:type="dxa"/>
            <w:vAlign w:val="center"/>
          </w:tcPr>
          <w:p>
            <w:pPr>
              <w:spacing w:before="60" w:after="60" w:line="200" w:lineRule="exact"/>
              <w:jc w:val="right"/>
              <w:rPr>
                <w:noProof/>
                <w:sz w:val="22"/>
              </w:rPr>
            </w:pPr>
          </w:p>
        </w:tc>
        <w:tc>
          <w:tcPr>
            <w:tcW w:w="1080" w:type="dxa"/>
            <w:vAlign w:val="center"/>
          </w:tcPr>
          <w:p>
            <w:pPr>
              <w:spacing w:before="60" w:after="60" w:line="200" w:lineRule="exact"/>
              <w:jc w:val="right"/>
              <w:rPr>
                <w:noProof/>
                <w:sz w:val="22"/>
              </w:rPr>
            </w:pPr>
          </w:p>
        </w:tc>
        <w:tc>
          <w:tcPr>
            <w:tcW w:w="1080" w:type="dxa"/>
            <w:vAlign w:val="center"/>
          </w:tcPr>
          <w:p>
            <w:pPr>
              <w:spacing w:before="60" w:after="60" w:line="200" w:lineRule="exact"/>
              <w:jc w:val="right"/>
              <w:rPr>
                <w:noProof/>
                <w:sz w:val="22"/>
              </w:rPr>
            </w:pPr>
          </w:p>
        </w:tc>
        <w:tc>
          <w:tcPr>
            <w:tcW w:w="1080" w:type="dxa"/>
            <w:vAlign w:val="center"/>
          </w:tcPr>
          <w:p>
            <w:pPr>
              <w:spacing w:before="60" w:after="60" w:line="200" w:lineRule="exact"/>
              <w:jc w:val="right"/>
              <w:rPr>
                <w:noProof/>
                <w:sz w:val="22"/>
              </w:rPr>
            </w:pPr>
          </w:p>
        </w:tc>
        <w:tc>
          <w:tcPr>
            <w:tcW w:w="1080" w:type="dxa"/>
            <w:vAlign w:val="center"/>
          </w:tcPr>
          <w:p>
            <w:pPr>
              <w:spacing w:before="60" w:after="60" w:line="200" w:lineRule="exact"/>
              <w:jc w:val="right"/>
              <w:rPr>
                <w:noProof/>
                <w:sz w:val="22"/>
              </w:rPr>
            </w:pPr>
          </w:p>
        </w:tc>
        <w:tc>
          <w:tcPr>
            <w:tcW w:w="1080" w:type="dxa"/>
            <w:vAlign w:val="center"/>
          </w:tcPr>
          <w:p>
            <w:pPr>
              <w:spacing w:before="60" w:after="60" w:line="200" w:lineRule="exact"/>
              <w:jc w:val="right"/>
              <w:rPr>
                <w:b/>
                <w:noProof/>
                <w:sz w:val="22"/>
              </w:rPr>
            </w:pPr>
          </w:p>
        </w:tc>
        <w:tc>
          <w:tcPr>
            <w:tcW w:w="1080" w:type="dxa"/>
            <w:vAlign w:val="center"/>
          </w:tcPr>
          <w:p>
            <w:pPr>
              <w:spacing w:before="60" w:after="60" w:line="200" w:lineRule="exact"/>
              <w:jc w:val="right"/>
              <w:rPr>
                <w:b/>
                <w:noProof/>
                <w:sz w:val="22"/>
              </w:rPr>
            </w:pPr>
          </w:p>
        </w:tc>
      </w:tr>
      <w:tr>
        <w:trPr>
          <w:trHeight w:val="585"/>
        </w:trPr>
        <w:tc>
          <w:tcPr>
            <w:tcW w:w="1980" w:type="dxa"/>
            <w:vAlign w:val="center"/>
          </w:tcPr>
          <w:p>
            <w:pPr>
              <w:spacing w:before="60" w:after="60" w:line="200" w:lineRule="exact"/>
              <w:ind w:left="72"/>
              <w:jc w:val="left"/>
              <w:rPr>
                <w:noProof/>
                <w:sz w:val="22"/>
              </w:rPr>
            </w:pPr>
            <w:r>
              <w:rPr>
                <w:noProof/>
                <w:sz w:val="22"/>
              </w:rPr>
              <w:t xml:space="preserve">Ανθρώπινοι πόροι </w:t>
            </w:r>
          </w:p>
        </w:tc>
        <w:tc>
          <w:tcPr>
            <w:tcW w:w="1080" w:type="dxa"/>
            <w:vAlign w:val="center"/>
          </w:tcPr>
          <w:p>
            <w:pPr>
              <w:spacing w:before="60" w:after="60" w:line="200" w:lineRule="exact"/>
              <w:jc w:val="center"/>
              <w:rPr>
                <w:noProof/>
                <w:sz w:val="22"/>
              </w:rPr>
            </w:pPr>
          </w:p>
        </w:tc>
        <w:tc>
          <w:tcPr>
            <w:tcW w:w="1080" w:type="dxa"/>
            <w:vAlign w:val="center"/>
          </w:tcPr>
          <w:p>
            <w:pPr>
              <w:spacing w:before="60" w:after="60" w:line="200" w:lineRule="exact"/>
              <w:jc w:val="center"/>
              <w:rPr>
                <w:noProof/>
                <w:sz w:val="22"/>
              </w:rPr>
            </w:pPr>
          </w:p>
        </w:tc>
        <w:tc>
          <w:tcPr>
            <w:tcW w:w="1080" w:type="dxa"/>
            <w:vAlign w:val="center"/>
          </w:tcPr>
          <w:p>
            <w:pPr>
              <w:spacing w:before="60" w:after="60" w:line="200" w:lineRule="exact"/>
              <w:jc w:val="center"/>
              <w:rPr>
                <w:noProof/>
                <w:sz w:val="22"/>
              </w:rPr>
            </w:pPr>
          </w:p>
        </w:tc>
        <w:tc>
          <w:tcPr>
            <w:tcW w:w="1080" w:type="dxa"/>
            <w:vAlign w:val="center"/>
          </w:tcPr>
          <w:p>
            <w:pPr>
              <w:spacing w:before="60" w:after="60" w:line="200" w:lineRule="exact"/>
              <w:jc w:val="center"/>
              <w:rPr>
                <w:noProof/>
                <w:sz w:val="22"/>
              </w:rPr>
            </w:pPr>
          </w:p>
        </w:tc>
        <w:tc>
          <w:tcPr>
            <w:tcW w:w="1080" w:type="dxa"/>
            <w:vAlign w:val="center"/>
          </w:tcPr>
          <w:p>
            <w:pPr>
              <w:spacing w:before="60" w:after="60" w:line="200" w:lineRule="exact"/>
              <w:jc w:val="center"/>
              <w:rPr>
                <w:noProof/>
                <w:sz w:val="22"/>
              </w:rPr>
            </w:pPr>
          </w:p>
        </w:tc>
        <w:tc>
          <w:tcPr>
            <w:tcW w:w="1080" w:type="dxa"/>
            <w:vAlign w:val="center"/>
          </w:tcPr>
          <w:p>
            <w:pPr>
              <w:spacing w:before="60" w:after="60" w:line="200" w:lineRule="exact"/>
              <w:jc w:val="center"/>
              <w:rPr>
                <w:noProof/>
                <w:sz w:val="22"/>
              </w:rPr>
            </w:pPr>
          </w:p>
        </w:tc>
        <w:tc>
          <w:tcPr>
            <w:tcW w:w="1080" w:type="dxa"/>
            <w:vAlign w:val="center"/>
          </w:tcPr>
          <w:p>
            <w:pPr>
              <w:spacing w:before="60" w:after="60" w:line="200" w:lineRule="exact"/>
              <w:jc w:val="center"/>
              <w:rPr>
                <w:b/>
                <w:noProof/>
                <w:sz w:val="22"/>
              </w:rPr>
            </w:pPr>
          </w:p>
        </w:tc>
        <w:tc>
          <w:tcPr>
            <w:tcW w:w="1080" w:type="dxa"/>
            <w:vAlign w:val="center"/>
          </w:tcPr>
          <w:p>
            <w:pPr>
              <w:spacing w:before="60" w:after="60" w:line="200" w:lineRule="exact"/>
              <w:jc w:val="right"/>
              <w:rPr>
                <w:b/>
                <w:noProof/>
                <w:sz w:val="22"/>
              </w:rPr>
            </w:pPr>
          </w:p>
        </w:tc>
      </w:tr>
      <w:tr>
        <w:trPr>
          <w:trHeight w:val="585"/>
        </w:trPr>
        <w:tc>
          <w:tcPr>
            <w:tcW w:w="1980" w:type="dxa"/>
            <w:vAlign w:val="center"/>
          </w:tcPr>
          <w:p>
            <w:pPr>
              <w:spacing w:before="60" w:after="60" w:line="200" w:lineRule="exact"/>
              <w:ind w:left="72"/>
              <w:jc w:val="left"/>
              <w:rPr>
                <w:noProof/>
                <w:sz w:val="22"/>
              </w:rPr>
            </w:pPr>
            <w:r>
              <w:rPr>
                <w:noProof/>
                <w:sz w:val="22"/>
              </w:rPr>
              <w:t xml:space="preserve">Άλλες δαπάνες </w:t>
            </w:r>
            <w:r>
              <w:rPr>
                <w:noProof/>
                <w:sz w:val="22"/>
              </w:rPr>
              <w:br/>
              <w:t>διοικητικού χαρακτήρα</w:t>
            </w:r>
          </w:p>
        </w:tc>
        <w:tc>
          <w:tcPr>
            <w:tcW w:w="1080" w:type="dxa"/>
            <w:vAlign w:val="center"/>
          </w:tcPr>
          <w:p>
            <w:pPr>
              <w:spacing w:before="40" w:after="40"/>
              <w:jc w:val="right"/>
              <w:rPr>
                <w:noProof/>
                <w:color w:val="000000" w:themeColor="text1"/>
                <w:sz w:val="22"/>
              </w:rPr>
            </w:pPr>
            <w:r>
              <w:rPr>
                <w:noProof/>
                <w:color w:val="000000" w:themeColor="text1"/>
                <w:sz w:val="22"/>
              </w:rPr>
              <w:t>0.842</w:t>
            </w:r>
          </w:p>
        </w:tc>
        <w:tc>
          <w:tcPr>
            <w:tcW w:w="1080" w:type="dxa"/>
            <w:vAlign w:val="center"/>
          </w:tcPr>
          <w:p>
            <w:pPr>
              <w:spacing w:before="40" w:after="40"/>
              <w:jc w:val="right"/>
              <w:rPr>
                <w:noProof/>
                <w:color w:val="000000" w:themeColor="text1"/>
                <w:sz w:val="22"/>
              </w:rPr>
            </w:pPr>
            <w:r>
              <w:rPr>
                <w:noProof/>
                <w:color w:val="000000" w:themeColor="text1"/>
                <w:sz w:val="22"/>
              </w:rPr>
              <w:t>0.842</w:t>
            </w:r>
          </w:p>
        </w:tc>
        <w:tc>
          <w:tcPr>
            <w:tcW w:w="1080" w:type="dxa"/>
            <w:vAlign w:val="center"/>
          </w:tcPr>
          <w:p>
            <w:pPr>
              <w:spacing w:before="40" w:after="40"/>
              <w:jc w:val="right"/>
              <w:rPr>
                <w:noProof/>
                <w:color w:val="000000" w:themeColor="text1"/>
                <w:sz w:val="22"/>
              </w:rPr>
            </w:pPr>
            <w:r>
              <w:rPr>
                <w:noProof/>
                <w:color w:val="000000" w:themeColor="text1"/>
                <w:sz w:val="22"/>
              </w:rPr>
              <w:t>0.842</w:t>
            </w:r>
          </w:p>
        </w:tc>
        <w:tc>
          <w:tcPr>
            <w:tcW w:w="1080" w:type="dxa"/>
            <w:vAlign w:val="center"/>
          </w:tcPr>
          <w:p>
            <w:pPr>
              <w:spacing w:before="40" w:after="40"/>
              <w:jc w:val="right"/>
              <w:rPr>
                <w:noProof/>
                <w:color w:val="000000" w:themeColor="text1"/>
                <w:sz w:val="22"/>
              </w:rPr>
            </w:pPr>
            <w:r>
              <w:rPr>
                <w:noProof/>
                <w:color w:val="000000" w:themeColor="text1"/>
                <w:sz w:val="22"/>
              </w:rPr>
              <w:t>0.842</w:t>
            </w:r>
          </w:p>
        </w:tc>
        <w:tc>
          <w:tcPr>
            <w:tcW w:w="1080" w:type="dxa"/>
            <w:vAlign w:val="center"/>
          </w:tcPr>
          <w:p>
            <w:pPr>
              <w:spacing w:before="40" w:after="40"/>
              <w:jc w:val="right"/>
              <w:rPr>
                <w:noProof/>
                <w:color w:val="000000" w:themeColor="text1"/>
                <w:sz w:val="22"/>
              </w:rPr>
            </w:pPr>
            <w:r>
              <w:rPr>
                <w:noProof/>
                <w:color w:val="000000" w:themeColor="text1"/>
                <w:sz w:val="22"/>
              </w:rPr>
              <w:t>0.842</w:t>
            </w:r>
          </w:p>
        </w:tc>
        <w:tc>
          <w:tcPr>
            <w:tcW w:w="1080" w:type="dxa"/>
            <w:vAlign w:val="center"/>
          </w:tcPr>
          <w:p>
            <w:pPr>
              <w:spacing w:before="40" w:after="40"/>
              <w:jc w:val="right"/>
              <w:rPr>
                <w:noProof/>
                <w:color w:val="000000" w:themeColor="text1"/>
                <w:sz w:val="22"/>
              </w:rPr>
            </w:pPr>
            <w:r>
              <w:rPr>
                <w:noProof/>
                <w:color w:val="000000" w:themeColor="text1"/>
                <w:sz w:val="22"/>
              </w:rPr>
              <w:t>0.842</w:t>
            </w:r>
          </w:p>
        </w:tc>
        <w:tc>
          <w:tcPr>
            <w:tcW w:w="1080" w:type="dxa"/>
            <w:vAlign w:val="center"/>
          </w:tcPr>
          <w:p>
            <w:pPr>
              <w:spacing w:before="40" w:after="40"/>
              <w:jc w:val="right"/>
              <w:rPr>
                <w:noProof/>
                <w:color w:val="000000" w:themeColor="text1"/>
                <w:sz w:val="22"/>
              </w:rPr>
            </w:pPr>
            <w:r>
              <w:rPr>
                <w:noProof/>
                <w:color w:val="000000" w:themeColor="text1"/>
                <w:sz w:val="22"/>
              </w:rPr>
              <w:t>0.842</w:t>
            </w:r>
          </w:p>
        </w:tc>
        <w:tc>
          <w:tcPr>
            <w:tcW w:w="1080" w:type="dxa"/>
            <w:vAlign w:val="center"/>
          </w:tcPr>
          <w:p>
            <w:pPr>
              <w:jc w:val="right"/>
              <w:rPr>
                <w:b/>
                <w:bCs/>
                <w:noProof/>
                <w:color w:val="000000"/>
                <w:sz w:val="22"/>
              </w:rPr>
            </w:pPr>
            <w:r>
              <w:rPr>
                <w:b/>
                <w:noProof/>
                <w:color w:val="000000"/>
                <w:sz w:val="22"/>
              </w:rPr>
              <w:t>5.894</w:t>
            </w:r>
          </w:p>
        </w:tc>
      </w:tr>
      <w:tr>
        <w:trPr>
          <w:trHeight w:val="585"/>
        </w:trPr>
        <w:tc>
          <w:tcPr>
            <w:tcW w:w="1980" w:type="dxa"/>
            <w:shd w:val="clear" w:color="auto" w:fill="CCCCCC"/>
            <w:vAlign w:val="center"/>
          </w:tcPr>
          <w:p>
            <w:pPr>
              <w:spacing w:before="60" w:after="60" w:line="200" w:lineRule="exact"/>
              <w:jc w:val="center"/>
              <w:rPr>
                <w:b/>
                <w:noProof/>
                <w:sz w:val="22"/>
              </w:rPr>
            </w:pPr>
            <w:r>
              <w:rPr>
                <w:b/>
                <w:noProof/>
                <w:sz w:val="22"/>
              </w:rPr>
              <w:t xml:space="preserve">Υποσύνολο </w:t>
            </w:r>
            <w:r>
              <w:rPr>
                <w:noProof/>
                <w:sz w:val="22"/>
              </w:rPr>
              <w:br/>
            </w:r>
            <w:r>
              <w:rPr>
                <w:b/>
                <w:noProof/>
                <w:sz w:val="22"/>
              </w:rPr>
              <w:t>εκτός του ΤΟΜΕΑ 7</w:t>
            </w:r>
            <w:r>
              <w:rPr>
                <w:noProof/>
                <w:sz w:val="22"/>
              </w:rPr>
              <w:br/>
            </w:r>
            <w:r>
              <w:rPr>
                <w:b/>
                <w:noProof/>
                <w:sz w:val="22"/>
              </w:rPr>
              <w:t xml:space="preserve">του πολυετούς δημοσιονομικού πλαισίου </w:t>
            </w:r>
          </w:p>
        </w:tc>
        <w:tc>
          <w:tcPr>
            <w:tcW w:w="1080" w:type="dxa"/>
            <w:vAlign w:val="center"/>
          </w:tcPr>
          <w:p>
            <w:pPr>
              <w:spacing w:before="60" w:after="60" w:line="200" w:lineRule="exact"/>
              <w:jc w:val="center"/>
              <w:rPr>
                <w:b/>
                <w:noProof/>
                <w:sz w:val="22"/>
              </w:rPr>
            </w:pPr>
          </w:p>
        </w:tc>
        <w:tc>
          <w:tcPr>
            <w:tcW w:w="1080" w:type="dxa"/>
            <w:vAlign w:val="center"/>
          </w:tcPr>
          <w:p>
            <w:pPr>
              <w:spacing w:before="60" w:after="60" w:line="200" w:lineRule="exact"/>
              <w:jc w:val="center"/>
              <w:rPr>
                <w:b/>
                <w:noProof/>
                <w:sz w:val="22"/>
              </w:rPr>
            </w:pPr>
          </w:p>
        </w:tc>
        <w:tc>
          <w:tcPr>
            <w:tcW w:w="1080" w:type="dxa"/>
            <w:vAlign w:val="center"/>
          </w:tcPr>
          <w:p>
            <w:pPr>
              <w:spacing w:before="60" w:after="60" w:line="200" w:lineRule="exact"/>
              <w:jc w:val="center"/>
              <w:rPr>
                <w:b/>
                <w:noProof/>
                <w:sz w:val="22"/>
              </w:rPr>
            </w:pPr>
          </w:p>
        </w:tc>
        <w:tc>
          <w:tcPr>
            <w:tcW w:w="1080" w:type="dxa"/>
            <w:vAlign w:val="center"/>
          </w:tcPr>
          <w:p>
            <w:pPr>
              <w:spacing w:before="60" w:after="60" w:line="200" w:lineRule="exact"/>
              <w:jc w:val="center"/>
              <w:rPr>
                <w:b/>
                <w:noProof/>
                <w:sz w:val="22"/>
              </w:rPr>
            </w:pPr>
          </w:p>
        </w:tc>
        <w:tc>
          <w:tcPr>
            <w:tcW w:w="1080" w:type="dxa"/>
            <w:vAlign w:val="center"/>
          </w:tcPr>
          <w:p>
            <w:pPr>
              <w:spacing w:before="60" w:after="60" w:line="200" w:lineRule="exact"/>
              <w:jc w:val="center"/>
              <w:rPr>
                <w:b/>
                <w:noProof/>
                <w:sz w:val="22"/>
              </w:rPr>
            </w:pPr>
          </w:p>
        </w:tc>
        <w:tc>
          <w:tcPr>
            <w:tcW w:w="1080" w:type="dxa"/>
            <w:vAlign w:val="center"/>
          </w:tcPr>
          <w:p>
            <w:pPr>
              <w:spacing w:before="60" w:after="60" w:line="200" w:lineRule="exact"/>
              <w:jc w:val="center"/>
              <w:rPr>
                <w:b/>
                <w:noProof/>
                <w:sz w:val="22"/>
              </w:rPr>
            </w:pPr>
          </w:p>
        </w:tc>
        <w:tc>
          <w:tcPr>
            <w:tcW w:w="1080" w:type="dxa"/>
            <w:vAlign w:val="center"/>
          </w:tcPr>
          <w:p>
            <w:pPr>
              <w:spacing w:before="60" w:after="60" w:line="200" w:lineRule="exact"/>
              <w:jc w:val="center"/>
              <w:rPr>
                <w:b/>
                <w:noProof/>
                <w:sz w:val="22"/>
              </w:rPr>
            </w:pPr>
          </w:p>
        </w:tc>
        <w:tc>
          <w:tcPr>
            <w:tcW w:w="1080" w:type="dxa"/>
            <w:vAlign w:val="center"/>
          </w:tcPr>
          <w:p>
            <w:pPr>
              <w:spacing w:before="60" w:after="60" w:line="200" w:lineRule="exact"/>
              <w:jc w:val="right"/>
              <w:rPr>
                <w:b/>
                <w:noProof/>
                <w:sz w:val="22"/>
              </w:rPr>
            </w:pPr>
          </w:p>
        </w:tc>
      </w:tr>
    </w:tbl>
    <w:p>
      <w:pPr>
        <w:spacing w:line="200" w:lineRule="exact"/>
        <w:rPr>
          <w:noProof/>
          <w:color w:val="000000" w:themeColor="text1"/>
          <w:sz w:val="22"/>
        </w:rPr>
      </w:pPr>
    </w:p>
    <w:tbl>
      <w:tblPr>
        <w:tblW w:w="10620" w:type="dxa"/>
        <w:tblInd w:w="-612" w:type="dxa"/>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trPr>
          <w:trHeight w:val="585"/>
        </w:trPr>
        <w:tc>
          <w:tcPr>
            <w:tcW w:w="1980" w:type="dxa"/>
            <w:tcBorders>
              <w:top w:val="single" w:sz="12" w:space="0" w:color="auto"/>
              <w:left w:val="single" w:sz="12" w:space="0" w:color="auto"/>
              <w:bottom w:val="single" w:sz="12" w:space="0" w:color="auto"/>
              <w:right w:val="single" w:sz="2" w:space="0" w:color="auto"/>
            </w:tcBorders>
            <w:vAlign w:val="center"/>
          </w:tcPr>
          <w:p>
            <w:pPr>
              <w:spacing w:before="60" w:after="60" w:line="200" w:lineRule="exact"/>
              <w:jc w:val="center"/>
              <w:rPr>
                <w:noProof/>
                <w:color w:val="000000" w:themeColor="text1"/>
                <w:sz w:val="22"/>
              </w:rPr>
            </w:pPr>
            <w:r>
              <w:rPr>
                <w:b/>
                <w:noProof/>
                <w:sz w:val="22"/>
              </w:rPr>
              <w:t>ΣΥΝΟΛΟ</w:t>
            </w:r>
          </w:p>
        </w:tc>
        <w:tc>
          <w:tcPr>
            <w:tcW w:w="1080" w:type="dxa"/>
            <w:tcBorders>
              <w:top w:val="single" w:sz="12" w:space="0" w:color="auto"/>
              <w:left w:val="single" w:sz="2" w:space="0" w:color="auto"/>
              <w:bottom w:val="single" w:sz="12" w:space="0" w:color="auto"/>
              <w:right w:val="single" w:sz="2" w:space="0" w:color="auto"/>
            </w:tcBorders>
            <w:vAlign w:val="bottom"/>
          </w:tcPr>
          <w:p>
            <w:pPr>
              <w:spacing w:before="60" w:after="60" w:line="200" w:lineRule="exact"/>
              <w:jc w:val="right"/>
              <w:rPr>
                <w:b/>
                <w:noProof/>
                <w:color w:val="000000" w:themeColor="text1"/>
                <w:sz w:val="22"/>
              </w:rPr>
            </w:pPr>
            <w:r>
              <w:rPr>
                <w:b/>
                <w:noProof/>
                <w:color w:val="000000" w:themeColor="text1"/>
                <w:sz w:val="22"/>
              </w:rPr>
              <w:t>6.174</w:t>
            </w:r>
          </w:p>
        </w:tc>
        <w:tc>
          <w:tcPr>
            <w:tcW w:w="1080" w:type="dxa"/>
            <w:tcBorders>
              <w:top w:val="single" w:sz="12" w:space="0" w:color="auto"/>
              <w:left w:val="single" w:sz="2" w:space="0" w:color="auto"/>
              <w:bottom w:val="single" w:sz="12" w:space="0" w:color="auto"/>
              <w:right w:val="single" w:sz="2" w:space="0" w:color="auto"/>
            </w:tcBorders>
            <w:vAlign w:val="bottom"/>
          </w:tcPr>
          <w:p>
            <w:pPr>
              <w:spacing w:before="60" w:after="60" w:line="200" w:lineRule="exact"/>
              <w:jc w:val="right"/>
              <w:rPr>
                <w:b/>
                <w:noProof/>
                <w:color w:val="000000" w:themeColor="text1"/>
                <w:sz w:val="22"/>
              </w:rPr>
            </w:pPr>
            <w:r>
              <w:rPr>
                <w:b/>
                <w:noProof/>
                <w:color w:val="000000" w:themeColor="text1"/>
                <w:sz w:val="22"/>
              </w:rPr>
              <w:t>6.174</w:t>
            </w:r>
          </w:p>
        </w:tc>
        <w:tc>
          <w:tcPr>
            <w:tcW w:w="1080" w:type="dxa"/>
            <w:tcBorders>
              <w:top w:val="single" w:sz="12" w:space="0" w:color="auto"/>
              <w:left w:val="single" w:sz="2" w:space="0" w:color="auto"/>
              <w:bottom w:val="single" w:sz="12" w:space="0" w:color="auto"/>
              <w:right w:val="single" w:sz="2" w:space="0" w:color="auto"/>
            </w:tcBorders>
            <w:vAlign w:val="bottom"/>
          </w:tcPr>
          <w:p>
            <w:pPr>
              <w:spacing w:before="60" w:after="60" w:line="200" w:lineRule="exact"/>
              <w:jc w:val="right"/>
              <w:rPr>
                <w:b/>
                <w:noProof/>
                <w:color w:val="000000" w:themeColor="text1"/>
                <w:sz w:val="22"/>
              </w:rPr>
            </w:pPr>
            <w:r>
              <w:rPr>
                <w:b/>
                <w:noProof/>
                <w:color w:val="000000" w:themeColor="text1"/>
                <w:sz w:val="22"/>
              </w:rPr>
              <w:t>6.174</w:t>
            </w:r>
          </w:p>
        </w:tc>
        <w:tc>
          <w:tcPr>
            <w:tcW w:w="1080" w:type="dxa"/>
            <w:tcBorders>
              <w:top w:val="single" w:sz="12" w:space="0" w:color="auto"/>
              <w:left w:val="single" w:sz="2" w:space="0" w:color="auto"/>
              <w:bottom w:val="single" w:sz="12" w:space="0" w:color="auto"/>
              <w:right w:val="single" w:sz="2" w:space="0" w:color="auto"/>
            </w:tcBorders>
            <w:vAlign w:val="bottom"/>
          </w:tcPr>
          <w:p>
            <w:pPr>
              <w:spacing w:before="60" w:after="60" w:line="200" w:lineRule="exact"/>
              <w:jc w:val="right"/>
              <w:rPr>
                <w:b/>
                <w:noProof/>
                <w:color w:val="000000" w:themeColor="text1"/>
                <w:sz w:val="22"/>
              </w:rPr>
            </w:pPr>
            <w:r>
              <w:rPr>
                <w:b/>
                <w:noProof/>
                <w:color w:val="000000" w:themeColor="text1"/>
                <w:sz w:val="22"/>
              </w:rPr>
              <w:t>6.174</w:t>
            </w:r>
          </w:p>
        </w:tc>
        <w:tc>
          <w:tcPr>
            <w:tcW w:w="1080" w:type="dxa"/>
            <w:tcBorders>
              <w:top w:val="single" w:sz="12" w:space="0" w:color="auto"/>
              <w:left w:val="single" w:sz="2" w:space="0" w:color="auto"/>
              <w:bottom w:val="single" w:sz="12" w:space="0" w:color="auto"/>
              <w:right w:val="single" w:sz="2" w:space="0" w:color="auto"/>
            </w:tcBorders>
            <w:vAlign w:val="bottom"/>
          </w:tcPr>
          <w:p>
            <w:pPr>
              <w:spacing w:before="60" w:after="60" w:line="200" w:lineRule="exact"/>
              <w:jc w:val="right"/>
              <w:rPr>
                <w:b/>
                <w:noProof/>
                <w:color w:val="000000" w:themeColor="text1"/>
                <w:sz w:val="22"/>
              </w:rPr>
            </w:pPr>
            <w:r>
              <w:rPr>
                <w:b/>
                <w:noProof/>
                <w:color w:val="000000" w:themeColor="text1"/>
                <w:sz w:val="22"/>
              </w:rPr>
              <w:t>6.174</w:t>
            </w:r>
          </w:p>
        </w:tc>
        <w:tc>
          <w:tcPr>
            <w:tcW w:w="1080" w:type="dxa"/>
            <w:tcBorders>
              <w:top w:val="single" w:sz="12" w:space="0" w:color="auto"/>
              <w:left w:val="single" w:sz="2" w:space="0" w:color="auto"/>
              <w:bottom w:val="single" w:sz="12" w:space="0" w:color="auto"/>
              <w:right w:val="single" w:sz="2" w:space="0" w:color="auto"/>
            </w:tcBorders>
            <w:vAlign w:val="bottom"/>
          </w:tcPr>
          <w:p>
            <w:pPr>
              <w:spacing w:before="60" w:after="60" w:line="200" w:lineRule="exact"/>
              <w:jc w:val="right"/>
              <w:rPr>
                <w:b/>
                <w:noProof/>
                <w:color w:val="000000" w:themeColor="text1"/>
                <w:sz w:val="22"/>
              </w:rPr>
            </w:pPr>
            <w:r>
              <w:rPr>
                <w:b/>
                <w:noProof/>
                <w:color w:val="000000" w:themeColor="text1"/>
                <w:sz w:val="22"/>
              </w:rPr>
              <w:t>6.174</w:t>
            </w:r>
          </w:p>
        </w:tc>
        <w:tc>
          <w:tcPr>
            <w:tcW w:w="1080" w:type="dxa"/>
            <w:tcBorders>
              <w:top w:val="single" w:sz="12" w:space="0" w:color="auto"/>
              <w:left w:val="single" w:sz="2" w:space="0" w:color="auto"/>
              <w:bottom w:val="single" w:sz="12" w:space="0" w:color="auto"/>
              <w:right w:val="single" w:sz="2" w:space="0" w:color="auto"/>
            </w:tcBorders>
            <w:vAlign w:val="bottom"/>
          </w:tcPr>
          <w:p>
            <w:pPr>
              <w:spacing w:before="60" w:after="60" w:line="200" w:lineRule="exact"/>
              <w:jc w:val="right"/>
              <w:rPr>
                <w:b/>
                <w:noProof/>
                <w:color w:val="000000" w:themeColor="text1"/>
                <w:sz w:val="22"/>
              </w:rPr>
            </w:pPr>
            <w:r>
              <w:rPr>
                <w:b/>
                <w:noProof/>
                <w:color w:val="000000" w:themeColor="text1"/>
                <w:sz w:val="22"/>
              </w:rPr>
              <w:t>6.174</w:t>
            </w:r>
          </w:p>
        </w:tc>
        <w:tc>
          <w:tcPr>
            <w:tcW w:w="1080" w:type="dxa"/>
            <w:tcBorders>
              <w:top w:val="single" w:sz="12" w:space="0" w:color="auto"/>
              <w:left w:val="single" w:sz="2" w:space="0" w:color="auto"/>
              <w:bottom w:val="single" w:sz="12" w:space="0" w:color="auto"/>
              <w:right w:val="single" w:sz="12" w:space="0" w:color="auto"/>
            </w:tcBorders>
            <w:vAlign w:val="bottom"/>
          </w:tcPr>
          <w:p>
            <w:pPr>
              <w:spacing w:before="60" w:after="60" w:line="200" w:lineRule="exact"/>
              <w:jc w:val="right"/>
              <w:rPr>
                <w:b/>
                <w:noProof/>
                <w:color w:val="000000" w:themeColor="text1"/>
                <w:sz w:val="22"/>
              </w:rPr>
            </w:pPr>
            <w:r>
              <w:rPr>
                <w:b/>
                <w:noProof/>
                <w:color w:val="000000" w:themeColor="text1"/>
                <w:sz w:val="22"/>
              </w:rPr>
              <w:t>43.218</w:t>
            </w:r>
          </w:p>
        </w:tc>
      </w:tr>
    </w:tbl>
    <w:p>
      <w:pPr>
        <w:rPr>
          <w:noProof/>
          <w:color w:val="000000" w:themeColor="text1"/>
          <w:sz w:val="18"/>
        </w:rPr>
      </w:pPr>
      <w:r>
        <w:rPr>
          <w:noProof/>
          <w:color w:val="000000" w:themeColor="text1"/>
          <w:sz w:val="18"/>
        </w:rPr>
        <w:t>Οι απαιτούμενες πιστώσεις για ανθρώπινους πόρους και άλλες δαπάνες διοικητικού χαρακτήρα θα καλυφθούν από τις πιστώσεις της ΓΔ που έχουν ήδη διατεθεί για τη διαχείριση της δράσης και/ή έχουν ανακατανεμηθεί στο εσωτερικό της ΓΔ και οι οποίες θα συμπληρωθούν, κατά περίπτωση, με πρόσθετα κονδύλια που ενδέχεται να χορηγηθούν στην αρμόδια για τη διαχείριση ΓΔ στο πλαίσιο της ετήσιας διαδικασίας κατανομής και λαμβανομένων υπόψη των υφιστάμενων δημοσιονομικών περιορισμών.</w:t>
      </w:r>
    </w:p>
    <w:p>
      <w:pPr>
        <w:pStyle w:val="ManualHeading4"/>
        <w:rPr>
          <w:bCs/>
          <w:noProof/>
          <w:szCs w:val="24"/>
        </w:rPr>
      </w:pPr>
      <w:r>
        <w:t>3.2.2.1.</w:t>
      </w:r>
      <w:r>
        <w:tab/>
      </w:r>
      <w:r>
        <w:rPr>
          <w:noProof/>
        </w:rPr>
        <w:t>Εκτιμώμενες ανάγκες σε ανθρώπινους πόρους</w:t>
      </w:r>
    </w:p>
    <w:p>
      <w:pPr>
        <w:pStyle w:val="ListDash1"/>
        <w:rPr>
          <w:noProof/>
          <w:color w:val="000000" w:themeColor="text1"/>
        </w:rPr>
      </w:pPr>
      <w:r>
        <w:rPr>
          <w:noProof/>
          <w:color w:val="000000" w:themeColor="text1"/>
        </w:rPr>
        <w:sym w:font="Wingdings" w:char="F0A8"/>
      </w:r>
      <w:r>
        <w:rPr>
          <w:noProof/>
        </w:rPr>
        <w:tab/>
      </w:r>
      <w:r>
        <w:rPr>
          <w:noProof/>
          <w:color w:val="000000" w:themeColor="text1"/>
        </w:rPr>
        <w:t xml:space="preserve">Η πρόταση/πρωτοβουλία δεν συνεπάγεται τη χρησιμοποίηση ανθρώπινων πόρων. </w:t>
      </w:r>
    </w:p>
    <w:p>
      <w:pPr>
        <w:pStyle w:val="ListDash1"/>
        <w:rPr>
          <w:noProof/>
          <w:color w:val="000000" w:themeColor="text1"/>
        </w:rPr>
      </w:pPr>
      <w:r>
        <w:rPr>
          <w:noProof/>
          <w:color w:val="000000" w:themeColor="text1"/>
        </w:rPr>
        <w:t>X</w:t>
      </w:r>
      <w:r>
        <w:rPr>
          <w:noProof/>
        </w:rPr>
        <w:tab/>
      </w:r>
      <w:r>
        <w:rPr>
          <w:noProof/>
          <w:color w:val="000000" w:themeColor="text1"/>
        </w:rPr>
        <w:t>Η πρόταση/πρωτοβουλία συνεπάγεται τη χρησιμοποίηση ανθρώπινων πόρων, όπως εξηγείται κατωτέρω:</w:t>
      </w:r>
    </w:p>
    <w:p>
      <w:pPr>
        <w:spacing w:after="60"/>
        <w:jc w:val="right"/>
        <w:rPr>
          <w:i/>
          <w:noProof/>
          <w:color w:val="000000" w:themeColor="text1"/>
          <w:sz w:val="20"/>
        </w:rPr>
      </w:pPr>
      <w:r>
        <w:rPr>
          <w:i/>
          <w:noProof/>
          <w:color w:val="000000" w:themeColor="text1"/>
          <w:sz w:val="20"/>
        </w:rPr>
        <w:t>Εκτίμηση η οποία πρέπει να εκφράζεται σε μονάδες ισοδυνάμων πλήρους απασχόλησης</w:t>
      </w:r>
    </w:p>
    <w:tbl>
      <w:tblPr>
        <w:tblW w:w="5717" w:type="pct"/>
        <w:tblInd w:w="-6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562"/>
        <w:gridCol w:w="1566"/>
        <w:gridCol w:w="990"/>
        <w:gridCol w:w="1134"/>
        <w:gridCol w:w="990"/>
        <w:gridCol w:w="1134"/>
        <w:gridCol w:w="1132"/>
        <w:gridCol w:w="994"/>
        <w:gridCol w:w="1119"/>
      </w:tblGrid>
      <w:tr>
        <w:trPr>
          <w:trHeight w:val="289"/>
        </w:trPr>
        <w:tc>
          <w:tcPr>
            <w:tcW w:w="1472" w:type="pct"/>
            <w:gridSpan w:val="2"/>
            <w:vAlign w:val="center"/>
          </w:tcPr>
          <w:p>
            <w:pPr>
              <w:pStyle w:val="Text1"/>
              <w:spacing w:before="40" w:after="40"/>
              <w:ind w:left="0"/>
              <w:jc w:val="center"/>
              <w:rPr>
                <w:i/>
                <w:noProof/>
                <w:color w:val="000000" w:themeColor="text1"/>
                <w:sz w:val="16"/>
                <w:szCs w:val="16"/>
              </w:rPr>
            </w:pPr>
            <w:r>
              <w:rPr>
                <w:b/>
                <w:noProof/>
                <w:color w:val="000000" w:themeColor="text1"/>
                <w:sz w:val="16"/>
              </w:rPr>
              <w:t>Έτη</w:t>
            </w:r>
          </w:p>
        </w:tc>
        <w:tc>
          <w:tcPr>
            <w:tcW w:w="466" w:type="pct"/>
            <w:shd w:val="clear" w:color="auto" w:fill="auto"/>
            <w:vAlign w:val="center"/>
          </w:tcPr>
          <w:p>
            <w:pPr>
              <w:spacing w:before="20" w:after="20"/>
              <w:jc w:val="center"/>
              <w:rPr>
                <w:b/>
                <w:noProof/>
                <w:color w:val="000000" w:themeColor="text1"/>
                <w:sz w:val="16"/>
                <w:szCs w:val="16"/>
              </w:rPr>
            </w:pPr>
            <w:r>
              <w:rPr>
                <w:b/>
                <w:noProof/>
                <w:color w:val="000000" w:themeColor="text1"/>
                <w:sz w:val="20"/>
              </w:rPr>
              <w:t>2021</w:t>
            </w:r>
          </w:p>
        </w:tc>
        <w:tc>
          <w:tcPr>
            <w:tcW w:w="534" w:type="pct"/>
            <w:shd w:val="clear" w:color="auto" w:fill="auto"/>
            <w:vAlign w:val="center"/>
          </w:tcPr>
          <w:p>
            <w:pPr>
              <w:spacing w:before="20" w:after="20"/>
              <w:jc w:val="center"/>
              <w:rPr>
                <w:b/>
                <w:noProof/>
                <w:color w:val="000000" w:themeColor="text1"/>
                <w:sz w:val="20"/>
              </w:rPr>
            </w:pPr>
            <w:r>
              <w:rPr>
                <w:b/>
                <w:noProof/>
                <w:color w:val="000000" w:themeColor="text1"/>
                <w:sz w:val="20"/>
              </w:rPr>
              <w:t>2022</w:t>
            </w:r>
          </w:p>
        </w:tc>
        <w:tc>
          <w:tcPr>
            <w:tcW w:w="466" w:type="pct"/>
            <w:shd w:val="clear" w:color="auto" w:fill="auto"/>
            <w:vAlign w:val="center"/>
          </w:tcPr>
          <w:p>
            <w:pPr>
              <w:spacing w:before="20" w:after="20"/>
              <w:jc w:val="center"/>
              <w:rPr>
                <w:b/>
                <w:noProof/>
                <w:color w:val="000000" w:themeColor="text1"/>
                <w:sz w:val="20"/>
              </w:rPr>
            </w:pPr>
            <w:r>
              <w:rPr>
                <w:b/>
                <w:noProof/>
                <w:color w:val="000000" w:themeColor="text1"/>
                <w:sz w:val="20"/>
              </w:rPr>
              <w:t>2023</w:t>
            </w:r>
          </w:p>
        </w:tc>
        <w:tc>
          <w:tcPr>
            <w:tcW w:w="534" w:type="pct"/>
            <w:shd w:val="clear" w:color="auto" w:fill="auto"/>
            <w:vAlign w:val="center"/>
          </w:tcPr>
          <w:p>
            <w:pPr>
              <w:spacing w:before="20" w:after="20"/>
              <w:jc w:val="center"/>
              <w:rPr>
                <w:b/>
                <w:noProof/>
                <w:color w:val="000000" w:themeColor="text1"/>
                <w:sz w:val="20"/>
              </w:rPr>
            </w:pPr>
            <w:r>
              <w:rPr>
                <w:b/>
                <w:noProof/>
                <w:color w:val="000000" w:themeColor="text1"/>
                <w:sz w:val="20"/>
              </w:rPr>
              <w:t>2024</w:t>
            </w:r>
          </w:p>
        </w:tc>
        <w:tc>
          <w:tcPr>
            <w:tcW w:w="533" w:type="pct"/>
            <w:shd w:val="clear" w:color="auto" w:fill="auto"/>
            <w:vAlign w:val="center"/>
          </w:tcPr>
          <w:p>
            <w:pPr>
              <w:jc w:val="center"/>
              <w:rPr>
                <w:b/>
                <w:noProof/>
                <w:color w:val="000000" w:themeColor="text1"/>
                <w:sz w:val="20"/>
              </w:rPr>
            </w:pPr>
            <w:r>
              <w:rPr>
                <w:b/>
                <w:noProof/>
                <w:color w:val="000000" w:themeColor="text1"/>
                <w:sz w:val="20"/>
              </w:rPr>
              <w:t>2025</w:t>
            </w:r>
          </w:p>
        </w:tc>
        <w:tc>
          <w:tcPr>
            <w:tcW w:w="468" w:type="pct"/>
            <w:shd w:val="clear" w:color="auto" w:fill="auto"/>
            <w:vAlign w:val="center"/>
          </w:tcPr>
          <w:p>
            <w:pPr>
              <w:jc w:val="center"/>
              <w:rPr>
                <w:b/>
                <w:noProof/>
                <w:color w:val="000000" w:themeColor="text1"/>
                <w:sz w:val="20"/>
              </w:rPr>
            </w:pPr>
            <w:r>
              <w:rPr>
                <w:b/>
                <w:noProof/>
                <w:color w:val="000000" w:themeColor="text1"/>
                <w:sz w:val="20"/>
              </w:rPr>
              <w:t>2026</w:t>
            </w:r>
          </w:p>
        </w:tc>
        <w:tc>
          <w:tcPr>
            <w:tcW w:w="527" w:type="pct"/>
            <w:shd w:val="clear" w:color="auto" w:fill="auto"/>
            <w:vAlign w:val="center"/>
          </w:tcPr>
          <w:p>
            <w:pPr>
              <w:jc w:val="center"/>
              <w:rPr>
                <w:b/>
                <w:noProof/>
                <w:color w:val="000000" w:themeColor="text1"/>
                <w:sz w:val="20"/>
              </w:rPr>
            </w:pPr>
            <w:r>
              <w:rPr>
                <w:b/>
                <w:noProof/>
                <w:color w:val="000000" w:themeColor="text1"/>
                <w:sz w:val="20"/>
              </w:rPr>
              <w:t>2027</w:t>
            </w:r>
          </w:p>
        </w:tc>
      </w:tr>
      <w:tr>
        <w:trPr>
          <w:trHeight w:val="289"/>
        </w:trPr>
        <w:tc>
          <w:tcPr>
            <w:tcW w:w="5000" w:type="pct"/>
            <w:gridSpan w:val="9"/>
          </w:tcPr>
          <w:p>
            <w:pPr>
              <w:jc w:val="left"/>
              <w:rPr>
                <w:noProof/>
                <w:color w:val="000000" w:themeColor="text1"/>
                <w:sz w:val="16"/>
                <w:szCs w:val="16"/>
              </w:rPr>
            </w:pPr>
            <w:r>
              <w:rPr>
                <w:b/>
                <w:noProof/>
                <w:color w:val="000000" w:themeColor="text1"/>
                <w:sz w:val="16"/>
              </w:rPr>
              <w:sym w:font="Wingdings" w:char="F09F"/>
            </w:r>
            <w:r>
              <w:rPr>
                <w:b/>
                <w:noProof/>
                <w:sz w:val="16"/>
              </w:rPr>
              <w:t xml:space="preserve"> Θέσεις απασχόλησης του πίνακα προσωπικού (θέσεις μόνιμων και έκτακτων υπαλλήλων)</w:t>
            </w:r>
          </w:p>
        </w:tc>
      </w:tr>
      <w:tr>
        <w:trPr>
          <w:trHeight w:val="289"/>
        </w:trPr>
        <w:tc>
          <w:tcPr>
            <w:tcW w:w="1472" w:type="pct"/>
            <w:gridSpan w:val="2"/>
          </w:tcPr>
          <w:p>
            <w:pPr>
              <w:pStyle w:val="Text1"/>
              <w:spacing w:beforeLines="20" w:before="48" w:afterLines="20" w:after="48"/>
              <w:ind w:left="134"/>
              <w:jc w:val="left"/>
              <w:rPr>
                <w:b/>
                <w:noProof/>
                <w:color w:val="000000" w:themeColor="text1"/>
                <w:sz w:val="16"/>
                <w:szCs w:val="16"/>
              </w:rPr>
            </w:pPr>
            <w:r>
              <w:rPr>
                <w:noProof/>
                <w:color w:val="000000" w:themeColor="text1"/>
                <w:sz w:val="16"/>
              </w:rPr>
              <w:t>Έδρα και αντιπροσωπείες της Επιτροπής</w:t>
            </w:r>
          </w:p>
        </w:tc>
        <w:tc>
          <w:tcPr>
            <w:tcW w:w="466" w:type="pct"/>
            <w:shd w:val="clear" w:color="auto" w:fill="auto"/>
            <w:vAlign w:val="center"/>
          </w:tcPr>
          <w:p>
            <w:pPr>
              <w:spacing w:beforeLines="20" w:before="48" w:afterLines="20" w:after="48"/>
              <w:jc w:val="center"/>
              <w:rPr>
                <w:noProof/>
                <w:color w:val="000000" w:themeColor="text1"/>
                <w:sz w:val="16"/>
                <w:szCs w:val="16"/>
              </w:rPr>
            </w:pPr>
            <w:r>
              <w:rPr>
                <w:noProof/>
                <w:color w:val="000000" w:themeColor="text1"/>
                <w:sz w:val="16"/>
              </w:rPr>
              <w:t>24</w:t>
            </w:r>
          </w:p>
          <w:p>
            <w:pPr>
              <w:spacing w:beforeLines="20" w:before="48" w:afterLines="20" w:after="48"/>
              <w:jc w:val="center"/>
              <w:rPr>
                <w:noProof/>
                <w:color w:val="000000" w:themeColor="text1"/>
                <w:sz w:val="16"/>
                <w:szCs w:val="16"/>
              </w:rPr>
            </w:pPr>
          </w:p>
        </w:tc>
        <w:tc>
          <w:tcPr>
            <w:tcW w:w="534" w:type="pct"/>
            <w:shd w:val="clear" w:color="auto" w:fill="auto"/>
            <w:vAlign w:val="center"/>
          </w:tcPr>
          <w:p>
            <w:pPr>
              <w:spacing w:beforeLines="20" w:before="48" w:afterLines="20" w:after="48"/>
              <w:jc w:val="center"/>
              <w:rPr>
                <w:noProof/>
                <w:color w:val="000000" w:themeColor="text1"/>
                <w:sz w:val="16"/>
                <w:szCs w:val="16"/>
              </w:rPr>
            </w:pPr>
            <w:r>
              <w:rPr>
                <w:noProof/>
                <w:color w:val="000000" w:themeColor="text1"/>
                <w:sz w:val="16"/>
              </w:rPr>
              <w:t>24</w:t>
            </w:r>
          </w:p>
          <w:p>
            <w:pPr>
              <w:spacing w:beforeLines="20" w:before="48" w:afterLines="20" w:after="48"/>
              <w:jc w:val="center"/>
              <w:rPr>
                <w:noProof/>
                <w:color w:val="000000" w:themeColor="text1"/>
                <w:sz w:val="16"/>
                <w:szCs w:val="16"/>
              </w:rPr>
            </w:pPr>
          </w:p>
        </w:tc>
        <w:tc>
          <w:tcPr>
            <w:tcW w:w="466" w:type="pct"/>
            <w:shd w:val="clear" w:color="auto" w:fill="auto"/>
            <w:vAlign w:val="center"/>
          </w:tcPr>
          <w:p>
            <w:pPr>
              <w:spacing w:beforeLines="20" w:before="48" w:afterLines="20" w:after="48"/>
              <w:jc w:val="center"/>
              <w:rPr>
                <w:noProof/>
                <w:color w:val="000000" w:themeColor="text1"/>
                <w:sz w:val="16"/>
                <w:szCs w:val="16"/>
              </w:rPr>
            </w:pPr>
            <w:r>
              <w:rPr>
                <w:noProof/>
                <w:color w:val="000000" w:themeColor="text1"/>
                <w:sz w:val="16"/>
              </w:rPr>
              <w:t>24</w:t>
            </w:r>
          </w:p>
        </w:tc>
        <w:tc>
          <w:tcPr>
            <w:tcW w:w="534" w:type="pct"/>
            <w:shd w:val="clear" w:color="auto" w:fill="auto"/>
            <w:vAlign w:val="center"/>
          </w:tcPr>
          <w:p>
            <w:pPr>
              <w:spacing w:beforeLines="20" w:before="48" w:afterLines="20" w:after="48"/>
              <w:jc w:val="center"/>
              <w:rPr>
                <w:noProof/>
                <w:color w:val="000000" w:themeColor="text1"/>
                <w:sz w:val="16"/>
                <w:szCs w:val="16"/>
              </w:rPr>
            </w:pPr>
            <w:r>
              <w:rPr>
                <w:noProof/>
                <w:color w:val="000000" w:themeColor="text1"/>
                <w:sz w:val="16"/>
              </w:rPr>
              <w:t>24</w:t>
            </w:r>
          </w:p>
        </w:tc>
        <w:tc>
          <w:tcPr>
            <w:tcW w:w="533" w:type="pct"/>
            <w:shd w:val="clear" w:color="auto" w:fill="auto"/>
            <w:vAlign w:val="center"/>
          </w:tcPr>
          <w:p>
            <w:pPr>
              <w:spacing w:beforeLines="20" w:before="48" w:afterLines="20" w:after="48"/>
              <w:jc w:val="center"/>
              <w:rPr>
                <w:noProof/>
                <w:color w:val="000000" w:themeColor="text1"/>
                <w:sz w:val="16"/>
                <w:szCs w:val="16"/>
              </w:rPr>
            </w:pPr>
            <w:r>
              <w:rPr>
                <w:noProof/>
                <w:color w:val="000000" w:themeColor="text1"/>
                <w:sz w:val="16"/>
              </w:rPr>
              <w:t>24</w:t>
            </w:r>
          </w:p>
        </w:tc>
        <w:tc>
          <w:tcPr>
            <w:tcW w:w="468" w:type="pct"/>
            <w:shd w:val="clear" w:color="auto" w:fill="auto"/>
            <w:vAlign w:val="center"/>
          </w:tcPr>
          <w:p>
            <w:pPr>
              <w:spacing w:beforeLines="20" w:before="48" w:afterLines="20" w:after="48"/>
              <w:jc w:val="center"/>
              <w:rPr>
                <w:noProof/>
                <w:color w:val="000000" w:themeColor="text1"/>
                <w:sz w:val="16"/>
                <w:szCs w:val="16"/>
              </w:rPr>
            </w:pPr>
            <w:r>
              <w:rPr>
                <w:noProof/>
                <w:color w:val="000000" w:themeColor="text1"/>
                <w:sz w:val="16"/>
              </w:rPr>
              <w:t>24</w:t>
            </w:r>
          </w:p>
        </w:tc>
        <w:tc>
          <w:tcPr>
            <w:tcW w:w="527" w:type="pct"/>
            <w:shd w:val="clear" w:color="auto" w:fill="auto"/>
            <w:vAlign w:val="center"/>
          </w:tcPr>
          <w:p>
            <w:pPr>
              <w:spacing w:beforeLines="20" w:before="48" w:afterLines="20" w:after="48"/>
              <w:jc w:val="center"/>
              <w:rPr>
                <w:noProof/>
                <w:color w:val="000000" w:themeColor="text1"/>
                <w:sz w:val="16"/>
                <w:szCs w:val="16"/>
              </w:rPr>
            </w:pPr>
            <w:r>
              <w:rPr>
                <w:noProof/>
                <w:color w:val="000000" w:themeColor="text1"/>
                <w:sz w:val="16"/>
              </w:rPr>
              <w:t>24</w:t>
            </w:r>
          </w:p>
        </w:tc>
      </w:tr>
      <w:tr>
        <w:trPr>
          <w:trHeight w:val="289"/>
        </w:trPr>
        <w:tc>
          <w:tcPr>
            <w:tcW w:w="1472" w:type="pct"/>
            <w:gridSpan w:val="2"/>
          </w:tcPr>
          <w:p>
            <w:pPr>
              <w:pStyle w:val="Text1"/>
              <w:spacing w:beforeLines="20" w:before="48" w:afterLines="20" w:after="48"/>
              <w:ind w:left="134"/>
              <w:jc w:val="left"/>
              <w:rPr>
                <w:noProof/>
                <w:color w:val="000000" w:themeColor="text1"/>
                <w:sz w:val="16"/>
                <w:szCs w:val="16"/>
              </w:rPr>
            </w:pPr>
            <w:r>
              <w:rPr>
                <w:noProof/>
                <w:color w:val="000000" w:themeColor="text1"/>
                <w:sz w:val="16"/>
              </w:rPr>
              <w:t>Αντιπροσωπείες της ΕΕ</w:t>
            </w:r>
          </w:p>
        </w:tc>
        <w:tc>
          <w:tcPr>
            <w:tcW w:w="466" w:type="pct"/>
            <w:shd w:val="clear" w:color="auto" w:fill="auto"/>
            <w:vAlign w:val="center"/>
          </w:tcPr>
          <w:p>
            <w:pPr>
              <w:spacing w:beforeLines="20" w:before="48" w:afterLines="20" w:after="48"/>
              <w:jc w:val="center"/>
              <w:rPr>
                <w:noProof/>
                <w:color w:val="000000" w:themeColor="text1"/>
                <w:sz w:val="16"/>
                <w:szCs w:val="16"/>
              </w:rPr>
            </w:pPr>
          </w:p>
        </w:tc>
        <w:tc>
          <w:tcPr>
            <w:tcW w:w="534" w:type="pct"/>
            <w:shd w:val="clear" w:color="auto" w:fill="auto"/>
            <w:vAlign w:val="center"/>
          </w:tcPr>
          <w:p>
            <w:pPr>
              <w:spacing w:beforeLines="20" w:before="48" w:afterLines="20" w:after="48"/>
              <w:jc w:val="center"/>
              <w:rPr>
                <w:noProof/>
                <w:color w:val="000000" w:themeColor="text1"/>
                <w:sz w:val="16"/>
                <w:szCs w:val="16"/>
              </w:rPr>
            </w:pPr>
          </w:p>
        </w:tc>
        <w:tc>
          <w:tcPr>
            <w:tcW w:w="466" w:type="pct"/>
            <w:shd w:val="clear" w:color="auto" w:fill="auto"/>
            <w:vAlign w:val="center"/>
          </w:tcPr>
          <w:p>
            <w:pPr>
              <w:spacing w:beforeLines="20" w:before="48" w:afterLines="20" w:after="48"/>
              <w:jc w:val="center"/>
              <w:rPr>
                <w:noProof/>
                <w:color w:val="000000" w:themeColor="text1"/>
                <w:sz w:val="16"/>
                <w:szCs w:val="16"/>
              </w:rPr>
            </w:pPr>
          </w:p>
        </w:tc>
        <w:tc>
          <w:tcPr>
            <w:tcW w:w="534" w:type="pct"/>
            <w:shd w:val="clear" w:color="auto" w:fill="auto"/>
            <w:vAlign w:val="center"/>
          </w:tcPr>
          <w:p>
            <w:pPr>
              <w:spacing w:beforeLines="20" w:before="48" w:afterLines="20" w:after="48"/>
              <w:jc w:val="center"/>
              <w:rPr>
                <w:noProof/>
                <w:color w:val="000000" w:themeColor="text1"/>
                <w:sz w:val="16"/>
                <w:szCs w:val="16"/>
              </w:rPr>
            </w:pPr>
          </w:p>
        </w:tc>
        <w:tc>
          <w:tcPr>
            <w:tcW w:w="533" w:type="pct"/>
            <w:shd w:val="clear" w:color="auto" w:fill="auto"/>
            <w:vAlign w:val="center"/>
          </w:tcPr>
          <w:p>
            <w:pPr>
              <w:spacing w:beforeLines="20" w:before="48" w:afterLines="20" w:after="48"/>
              <w:jc w:val="center"/>
              <w:rPr>
                <w:noProof/>
                <w:color w:val="000000" w:themeColor="text1"/>
                <w:sz w:val="16"/>
                <w:szCs w:val="16"/>
              </w:rPr>
            </w:pPr>
          </w:p>
        </w:tc>
        <w:tc>
          <w:tcPr>
            <w:tcW w:w="468" w:type="pct"/>
            <w:shd w:val="clear" w:color="auto" w:fill="auto"/>
            <w:vAlign w:val="center"/>
          </w:tcPr>
          <w:p>
            <w:pPr>
              <w:spacing w:beforeLines="20" w:before="48" w:afterLines="20" w:after="48"/>
              <w:jc w:val="center"/>
              <w:rPr>
                <w:noProof/>
                <w:color w:val="000000" w:themeColor="text1"/>
                <w:sz w:val="16"/>
                <w:szCs w:val="16"/>
              </w:rPr>
            </w:pPr>
          </w:p>
        </w:tc>
        <w:tc>
          <w:tcPr>
            <w:tcW w:w="527" w:type="pct"/>
            <w:shd w:val="clear" w:color="auto" w:fill="auto"/>
            <w:vAlign w:val="center"/>
          </w:tcPr>
          <w:p>
            <w:pPr>
              <w:spacing w:beforeLines="20" w:before="48" w:afterLines="20" w:after="48"/>
              <w:jc w:val="center"/>
              <w:rPr>
                <w:noProof/>
                <w:color w:val="000000" w:themeColor="text1"/>
                <w:sz w:val="16"/>
                <w:szCs w:val="16"/>
              </w:rPr>
            </w:pPr>
          </w:p>
        </w:tc>
      </w:tr>
      <w:tr>
        <w:trPr>
          <w:trHeight w:val="289"/>
        </w:trPr>
        <w:tc>
          <w:tcPr>
            <w:tcW w:w="1472" w:type="pct"/>
            <w:gridSpan w:val="2"/>
          </w:tcPr>
          <w:p>
            <w:pPr>
              <w:pStyle w:val="Text1"/>
              <w:spacing w:beforeLines="20" w:before="48" w:afterLines="20" w:after="48"/>
              <w:ind w:left="134"/>
              <w:jc w:val="left"/>
              <w:rPr>
                <w:noProof/>
                <w:color w:val="000000" w:themeColor="text1"/>
                <w:sz w:val="16"/>
                <w:szCs w:val="16"/>
              </w:rPr>
            </w:pPr>
            <w:r>
              <w:rPr>
                <w:noProof/>
                <w:color w:val="000000" w:themeColor="text1"/>
                <w:sz w:val="16"/>
              </w:rPr>
              <w:t>Έρευνα</w:t>
            </w:r>
          </w:p>
        </w:tc>
        <w:tc>
          <w:tcPr>
            <w:tcW w:w="466" w:type="pct"/>
            <w:shd w:val="clear" w:color="auto" w:fill="auto"/>
            <w:vAlign w:val="center"/>
          </w:tcPr>
          <w:p>
            <w:pPr>
              <w:spacing w:beforeLines="20" w:before="48" w:afterLines="20" w:after="48"/>
              <w:jc w:val="center"/>
              <w:rPr>
                <w:noProof/>
                <w:color w:val="000000" w:themeColor="text1"/>
                <w:sz w:val="16"/>
                <w:szCs w:val="16"/>
              </w:rPr>
            </w:pPr>
          </w:p>
        </w:tc>
        <w:tc>
          <w:tcPr>
            <w:tcW w:w="534" w:type="pct"/>
            <w:shd w:val="clear" w:color="auto" w:fill="auto"/>
            <w:vAlign w:val="center"/>
          </w:tcPr>
          <w:p>
            <w:pPr>
              <w:spacing w:beforeLines="20" w:before="48" w:afterLines="20" w:after="48"/>
              <w:jc w:val="center"/>
              <w:rPr>
                <w:noProof/>
                <w:color w:val="000000" w:themeColor="text1"/>
                <w:sz w:val="16"/>
                <w:szCs w:val="16"/>
              </w:rPr>
            </w:pPr>
          </w:p>
        </w:tc>
        <w:tc>
          <w:tcPr>
            <w:tcW w:w="466" w:type="pct"/>
            <w:shd w:val="clear" w:color="auto" w:fill="auto"/>
            <w:vAlign w:val="center"/>
          </w:tcPr>
          <w:p>
            <w:pPr>
              <w:spacing w:beforeLines="20" w:before="48" w:afterLines="20" w:after="48"/>
              <w:jc w:val="center"/>
              <w:rPr>
                <w:noProof/>
                <w:color w:val="000000" w:themeColor="text1"/>
                <w:sz w:val="16"/>
                <w:szCs w:val="16"/>
              </w:rPr>
            </w:pPr>
          </w:p>
        </w:tc>
        <w:tc>
          <w:tcPr>
            <w:tcW w:w="534" w:type="pct"/>
            <w:shd w:val="clear" w:color="auto" w:fill="auto"/>
            <w:vAlign w:val="center"/>
          </w:tcPr>
          <w:p>
            <w:pPr>
              <w:spacing w:beforeLines="20" w:before="48" w:afterLines="20" w:after="48"/>
              <w:jc w:val="center"/>
              <w:rPr>
                <w:noProof/>
                <w:color w:val="000000" w:themeColor="text1"/>
                <w:sz w:val="16"/>
                <w:szCs w:val="16"/>
              </w:rPr>
            </w:pPr>
          </w:p>
        </w:tc>
        <w:tc>
          <w:tcPr>
            <w:tcW w:w="533" w:type="pct"/>
            <w:shd w:val="clear" w:color="auto" w:fill="auto"/>
            <w:vAlign w:val="center"/>
          </w:tcPr>
          <w:p>
            <w:pPr>
              <w:spacing w:beforeLines="20" w:before="48" w:afterLines="20" w:after="48"/>
              <w:jc w:val="center"/>
              <w:rPr>
                <w:noProof/>
                <w:color w:val="000000" w:themeColor="text1"/>
                <w:sz w:val="16"/>
                <w:szCs w:val="16"/>
              </w:rPr>
            </w:pPr>
          </w:p>
        </w:tc>
        <w:tc>
          <w:tcPr>
            <w:tcW w:w="468" w:type="pct"/>
            <w:shd w:val="clear" w:color="auto" w:fill="auto"/>
            <w:vAlign w:val="center"/>
          </w:tcPr>
          <w:p>
            <w:pPr>
              <w:spacing w:beforeLines="20" w:before="48" w:afterLines="20" w:after="48"/>
              <w:jc w:val="center"/>
              <w:rPr>
                <w:noProof/>
                <w:color w:val="000000" w:themeColor="text1"/>
                <w:sz w:val="16"/>
                <w:szCs w:val="16"/>
              </w:rPr>
            </w:pPr>
          </w:p>
        </w:tc>
        <w:tc>
          <w:tcPr>
            <w:tcW w:w="527" w:type="pct"/>
            <w:shd w:val="clear" w:color="auto" w:fill="auto"/>
            <w:vAlign w:val="center"/>
          </w:tcPr>
          <w:p>
            <w:pPr>
              <w:spacing w:beforeLines="20" w:before="48" w:afterLines="20" w:after="48"/>
              <w:jc w:val="center"/>
              <w:rPr>
                <w:noProof/>
                <w:color w:val="000000" w:themeColor="text1"/>
                <w:sz w:val="16"/>
                <w:szCs w:val="16"/>
              </w:rPr>
            </w:pPr>
          </w:p>
        </w:tc>
      </w:tr>
      <w:tr>
        <w:trPr>
          <w:trHeight w:val="293"/>
        </w:trPr>
        <w:tc>
          <w:tcPr>
            <w:tcW w:w="5000" w:type="pct"/>
            <w:gridSpan w:val="9"/>
          </w:tcPr>
          <w:p>
            <w:pPr>
              <w:pStyle w:val="Text1"/>
              <w:spacing w:before="60" w:after="60"/>
              <w:ind w:left="0"/>
              <w:jc w:val="left"/>
              <w:rPr>
                <w:b/>
                <w:noProof/>
                <w:color w:val="000000" w:themeColor="text1"/>
                <w:sz w:val="16"/>
                <w:szCs w:val="16"/>
              </w:rPr>
            </w:pPr>
            <w:r>
              <w:rPr>
                <w:b/>
                <w:noProof/>
                <w:color w:val="000000" w:themeColor="text1"/>
                <w:sz w:val="16"/>
              </w:rPr>
              <w:sym w:font="Wingdings" w:char="F09F"/>
            </w:r>
            <w:r>
              <w:rPr>
                <w:b/>
                <w:noProof/>
                <w:sz w:val="16"/>
              </w:rPr>
              <w:t xml:space="preserve"> Εξωτερικό προσωπικό (σε μονάδα ισοδυνάμου πλήρους απασχόλησης:</w:t>
            </w:r>
            <w:r>
              <w:rPr>
                <w:b/>
                <w:noProof/>
                <w:color w:val="000000" w:themeColor="text1"/>
                <w:sz w:val="16"/>
              </w:rPr>
              <w:t xml:space="preserve"> ΠΑ) — AC, AL, END, INT και JPD</w:t>
            </w:r>
            <w:r>
              <w:rPr>
                <w:noProof/>
                <w:color w:val="000000" w:themeColor="text1"/>
                <w:sz w:val="16"/>
              </w:rPr>
              <w:t xml:space="preserve"> </w:t>
            </w:r>
            <w:r>
              <w:rPr>
                <w:rStyle w:val="FootnoteReference"/>
                <w:noProof/>
                <w:color w:val="000000"/>
                <w:sz w:val="16"/>
              </w:rPr>
              <w:footnoteReference w:id="38"/>
            </w:r>
          </w:p>
          <w:p>
            <w:pPr>
              <w:pStyle w:val="Text1"/>
              <w:spacing w:before="0" w:after="0"/>
              <w:ind w:left="0"/>
              <w:jc w:val="left"/>
              <w:rPr>
                <w:noProof/>
                <w:color w:val="000000" w:themeColor="text1"/>
                <w:sz w:val="16"/>
                <w:szCs w:val="16"/>
              </w:rPr>
            </w:pPr>
            <w:r>
              <w:rPr>
                <w:noProof/>
                <w:color w:val="000000" w:themeColor="text1"/>
                <w:sz w:val="16"/>
              </w:rPr>
              <w:t>Τομέας 7</w:t>
            </w:r>
          </w:p>
        </w:tc>
      </w:tr>
      <w:tr>
        <w:trPr>
          <w:trHeight w:val="485"/>
        </w:trPr>
        <w:tc>
          <w:tcPr>
            <w:tcW w:w="735" w:type="pct"/>
            <w:vMerge w:val="restart"/>
            <w:vAlign w:val="center"/>
          </w:tcPr>
          <w:p>
            <w:pPr>
              <w:pStyle w:val="Text1"/>
              <w:spacing w:beforeLines="20" w:before="48" w:afterLines="20" w:after="48"/>
              <w:ind w:left="136"/>
              <w:jc w:val="left"/>
              <w:rPr>
                <w:b/>
                <w:noProof/>
                <w:color w:val="000000" w:themeColor="text1"/>
                <w:sz w:val="16"/>
                <w:szCs w:val="16"/>
              </w:rPr>
            </w:pPr>
            <w:r>
              <w:rPr>
                <w:noProof/>
                <w:color w:val="000000" w:themeColor="text1"/>
                <w:sz w:val="16"/>
              </w:rPr>
              <w:t>Χρηματοδοτούμενο από τον ΤΟΜΕΑ 7 του πολυετούς δημοσιονομικού πλαισίου</w:t>
            </w:r>
            <w:r>
              <w:rPr>
                <w:b/>
                <w:noProof/>
                <w:color w:val="000000" w:themeColor="text1"/>
                <w:sz w:val="16"/>
              </w:rPr>
              <w:t xml:space="preserve"> </w:t>
            </w:r>
          </w:p>
        </w:tc>
        <w:tc>
          <w:tcPr>
            <w:tcW w:w="737" w:type="pct"/>
            <w:vAlign w:val="center"/>
          </w:tcPr>
          <w:p>
            <w:pPr>
              <w:pStyle w:val="Text1"/>
              <w:spacing w:beforeLines="20" w:before="48" w:afterLines="20" w:after="48"/>
              <w:ind w:left="136"/>
              <w:jc w:val="left"/>
              <w:rPr>
                <w:b/>
                <w:noProof/>
                <w:color w:val="000000" w:themeColor="text1"/>
                <w:sz w:val="16"/>
                <w:szCs w:val="16"/>
              </w:rPr>
            </w:pPr>
            <w:r>
              <w:rPr>
                <w:noProof/>
                <w:color w:val="000000" w:themeColor="text1"/>
                <w:sz w:val="16"/>
              </w:rPr>
              <w:t>- στην έδρα</w:t>
            </w:r>
          </w:p>
        </w:tc>
        <w:tc>
          <w:tcPr>
            <w:tcW w:w="466" w:type="pct"/>
            <w:shd w:val="clear" w:color="auto" w:fill="auto"/>
            <w:vAlign w:val="center"/>
          </w:tcPr>
          <w:p>
            <w:pPr>
              <w:spacing w:beforeLines="20" w:before="48" w:afterLines="20" w:after="48"/>
              <w:jc w:val="center"/>
              <w:rPr>
                <w:noProof/>
                <w:color w:val="000000" w:themeColor="text1"/>
                <w:sz w:val="16"/>
                <w:szCs w:val="16"/>
              </w:rPr>
            </w:pPr>
          </w:p>
        </w:tc>
        <w:tc>
          <w:tcPr>
            <w:tcW w:w="534" w:type="pct"/>
            <w:shd w:val="clear" w:color="auto" w:fill="auto"/>
            <w:vAlign w:val="center"/>
          </w:tcPr>
          <w:p>
            <w:pPr>
              <w:spacing w:beforeLines="20" w:before="48" w:afterLines="20" w:after="48"/>
              <w:jc w:val="center"/>
              <w:rPr>
                <w:noProof/>
                <w:color w:val="000000" w:themeColor="text1"/>
                <w:sz w:val="16"/>
                <w:szCs w:val="16"/>
              </w:rPr>
            </w:pPr>
          </w:p>
        </w:tc>
        <w:tc>
          <w:tcPr>
            <w:tcW w:w="466" w:type="pct"/>
            <w:shd w:val="clear" w:color="auto" w:fill="auto"/>
            <w:vAlign w:val="center"/>
          </w:tcPr>
          <w:p>
            <w:pPr>
              <w:spacing w:beforeLines="20" w:before="48" w:afterLines="20" w:after="48"/>
              <w:jc w:val="center"/>
              <w:rPr>
                <w:noProof/>
                <w:color w:val="000000" w:themeColor="text1"/>
                <w:sz w:val="16"/>
                <w:szCs w:val="16"/>
              </w:rPr>
            </w:pPr>
          </w:p>
        </w:tc>
        <w:tc>
          <w:tcPr>
            <w:tcW w:w="534" w:type="pct"/>
            <w:shd w:val="clear" w:color="auto" w:fill="auto"/>
            <w:vAlign w:val="center"/>
          </w:tcPr>
          <w:p>
            <w:pPr>
              <w:spacing w:beforeLines="20" w:before="48" w:afterLines="20" w:after="48"/>
              <w:jc w:val="center"/>
              <w:rPr>
                <w:noProof/>
                <w:color w:val="000000" w:themeColor="text1"/>
                <w:sz w:val="16"/>
                <w:szCs w:val="16"/>
              </w:rPr>
            </w:pPr>
          </w:p>
        </w:tc>
        <w:tc>
          <w:tcPr>
            <w:tcW w:w="533" w:type="pct"/>
            <w:shd w:val="clear" w:color="auto" w:fill="auto"/>
            <w:vAlign w:val="center"/>
          </w:tcPr>
          <w:p>
            <w:pPr>
              <w:spacing w:beforeLines="20" w:before="48" w:afterLines="20" w:after="48"/>
              <w:jc w:val="center"/>
              <w:rPr>
                <w:noProof/>
                <w:color w:val="000000" w:themeColor="text1"/>
                <w:sz w:val="16"/>
                <w:szCs w:val="16"/>
              </w:rPr>
            </w:pPr>
          </w:p>
        </w:tc>
        <w:tc>
          <w:tcPr>
            <w:tcW w:w="468" w:type="pct"/>
            <w:shd w:val="clear" w:color="auto" w:fill="auto"/>
            <w:vAlign w:val="center"/>
          </w:tcPr>
          <w:p>
            <w:pPr>
              <w:spacing w:beforeLines="20" w:before="48" w:afterLines="20" w:after="48"/>
              <w:jc w:val="center"/>
              <w:rPr>
                <w:noProof/>
                <w:color w:val="000000" w:themeColor="text1"/>
                <w:sz w:val="16"/>
                <w:szCs w:val="16"/>
              </w:rPr>
            </w:pPr>
          </w:p>
        </w:tc>
        <w:tc>
          <w:tcPr>
            <w:tcW w:w="527" w:type="pct"/>
            <w:shd w:val="clear" w:color="auto" w:fill="auto"/>
            <w:vAlign w:val="center"/>
          </w:tcPr>
          <w:p>
            <w:pPr>
              <w:spacing w:beforeLines="20" w:before="48" w:afterLines="20" w:after="48"/>
              <w:jc w:val="center"/>
              <w:rPr>
                <w:noProof/>
                <w:color w:val="000000" w:themeColor="text1"/>
                <w:sz w:val="16"/>
                <w:szCs w:val="16"/>
              </w:rPr>
            </w:pPr>
          </w:p>
        </w:tc>
      </w:tr>
      <w:tr>
        <w:trPr>
          <w:trHeight w:val="289"/>
        </w:trPr>
        <w:tc>
          <w:tcPr>
            <w:tcW w:w="735" w:type="pct"/>
            <w:vMerge/>
            <w:vAlign w:val="center"/>
          </w:tcPr>
          <w:p>
            <w:pPr>
              <w:pStyle w:val="Text1"/>
              <w:spacing w:beforeLines="20" w:before="48" w:afterLines="20" w:after="48"/>
              <w:ind w:left="136"/>
              <w:jc w:val="left"/>
              <w:rPr>
                <w:noProof/>
                <w:color w:val="000000" w:themeColor="text1"/>
                <w:sz w:val="16"/>
                <w:szCs w:val="16"/>
              </w:rPr>
            </w:pPr>
          </w:p>
        </w:tc>
        <w:tc>
          <w:tcPr>
            <w:tcW w:w="737" w:type="pct"/>
            <w:vAlign w:val="center"/>
          </w:tcPr>
          <w:p>
            <w:pPr>
              <w:pStyle w:val="Text1"/>
              <w:spacing w:beforeLines="20" w:before="48" w:afterLines="20" w:after="48"/>
              <w:ind w:left="136"/>
              <w:jc w:val="left"/>
              <w:rPr>
                <w:noProof/>
                <w:color w:val="000000" w:themeColor="text1"/>
                <w:sz w:val="16"/>
                <w:szCs w:val="16"/>
              </w:rPr>
            </w:pPr>
            <w:r>
              <w:rPr>
                <w:noProof/>
                <w:color w:val="000000" w:themeColor="text1"/>
                <w:sz w:val="16"/>
              </w:rPr>
              <w:t xml:space="preserve">- σε αντιπροσωπείες </w:t>
            </w:r>
          </w:p>
        </w:tc>
        <w:tc>
          <w:tcPr>
            <w:tcW w:w="466" w:type="pct"/>
            <w:shd w:val="clear" w:color="auto" w:fill="auto"/>
            <w:vAlign w:val="center"/>
          </w:tcPr>
          <w:p>
            <w:pPr>
              <w:spacing w:beforeLines="20" w:before="48" w:afterLines="20" w:after="48"/>
              <w:jc w:val="center"/>
              <w:rPr>
                <w:noProof/>
                <w:color w:val="000000" w:themeColor="text1"/>
                <w:sz w:val="16"/>
                <w:szCs w:val="16"/>
              </w:rPr>
            </w:pPr>
          </w:p>
        </w:tc>
        <w:tc>
          <w:tcPr>
            <w:tcW w:w="534" w:type="pct"/>
            <w:shd w:val="clear" w:color="auto" w:fill="auto"/>
            <w:vAlign w:val="center"/>
          </w:tcPr>
          <w:p>
            <w:pPr>
              <w:spacing w:beforeLines="20" w:before="48" w:afterLines="20" w:after="48"/>
              <w:jc w:val="center"/>
              <w:rPr>
                <w:noProof/>
                <w:color w:val="000000" w:themeColor="text1"/>
                <w:sz w:val="16"/>
                <w:szCs w:val="16"/>
              </w:rPr>
            </w:pPr>
          </w:p>
        </w:tc>
        <w:tc>
          <w:tcPr>
            <w:tcW w:w="466" w:type="pct"/>
            <w:shd w:val="clear" w:color="auto" w:fill="auto"/>
            <w:vAlign w:val="center"/>
          </w:tcPr>
          <w:p>
            <w:pPr>
              <w:spacing w:beforeLines="20" w:before="48" w:afterLines="20" w:after="48"/>
              <w:jc w:val="center"/>
              <w:rPr>
                <w:noProof/>
                <w:color w:val="000000" w:themeColor="text1"/>
                <w:sz w:val="16"/>
                <w:szCs w:val="16"/>
              </w:rPr>
            </w:pPr>
          </w:p>
        </w:tc>
        <w:tc>
          <w:tcPr>
            <w:tcW w:w="534" w:type="pct"/>
            <w:shd w:val="clear" w:color="auto" w:fill="auto"/>
            <w:vAlign w:val="center"/>
          </w:tcPr>
          <w:p>
            <w:pPr>
              <w:spacing w:beforeLines="20" w:before="48" w:afterLines="20" w:after="48"/>
              <w:jc w:val="center"/>
              <w:rPr>
                <w:noProof/>
                <w:color w:val="000000" w:themeColor="text1"/>
                <w:sz w:val="16"/>
                <w:szCs w:val="16"/>
              </w:rPr>
            </w:pPr>
          </w:p>
        </w:tc>
        <w:tc>
          <w:tcPr>
            <w:tcW w:w="533" w:type="pct"/>
            <w:shd w:val="clear" w:color="auto" w:fill="auto"/>
            <w:vAlign w:val="center"/>
          </w:tcPr>
          <w:p>
            <w:pPr>
              <w:spacing w:beforeLines="20" w:before="48" w:afterLines="20" w:after="48"/>
              <w:jc w:val="center"/>
              <w:rPr>
                <w:noProof/>
                <w:color w:val="000000" w:themeColor="text1"/>
                <w:sz w:val="16"/>
                <w:szCs w:val="16"/>
              </w:rPr>
            </w:pPr>
          </w:p>
        </w:tc>
        <w:tc>
          <w:tcPr>
            <w:tcW w:w="468" w:type="pct"/>
            <w:shd w:val="clear" w:color="auto" w:fill="auto"/>
            <w:vAlign w:val="center"/>
          </w:tcPr>
          <w:p>
            <w:pPr>
              <w:spacing w:beforeLines="20" w:before="48" w:afterLines="20" w:after="48"/>
              <w:jc w:val="center"/>
              <w:rPr>
                <w:noProof/>
                <w:color w:val="000000" w:themeColor="text1"/>
                <w:sz w:val="16"/>
                <w:szCs w:val="16"/>
              </w:rPr>
            </w:pPr>
          </w:p>
        </w:tc>
        <w:tc>
          <w:tcPr>
            <w:tcW w:w="527" w:type="pct"/>
            <w:shd w:val="clear" w:color="auto" w:fill="auto"/>
            <w:vAlign w:val="center"/>
          </w:tcPr>
          <w:p>
            <w:pPr>
              <w:spacing w:beforeLines="20" w:before="48" w:afterLines="20" w:after="48"/>
              <w:jc w:val="center"/>
              <w:rPr>
                <w:noProof/>
                <w:color w:val="000000" w:themeColor="text1"/>
                <w:sz w:val="16"/>
                <w:szCs w:val="16"/>
              </w:rPr>
            </w:pPr>
          </w:p>
        </w:tc>
      </w:tr>
      <w:tr>
        <w:trPr>
          <w:trHeight w:val="370"/>
        </w:trPr>
        <w:tc>
          <w:tcPr>
            <w:tcW w:w="735" w:type="pct"/>
            <w:vMerge w:val="restart"/>
            <w:vAlign w:val="center"/>
          </w:tcPr>
          <w:p>
            <w:pPr>
              <w:pStyle w:val="Text1"/>
              <w:spacing w:beforeLines="20" w:before="48" w:afterLines="20" w:after="48"/>
              <w:ind w:left="136"/>
              <w:jc w:val="left"/>
              <w:rPr>
                <w:b/>
                <w:noProof/>
                <w:color w:val="000000" w:themeColor="text1"/>
                <w:sz w:val="16"/>
                <w:szCs w:val="16"/>
              </w:rPr>
            </w:pPr>
            <w:r>
              <w:rPr>
                <w:noProof/>
                <w:color w:val="000000" w:themeColor="text1"/>
                <w:sz w:val="16"/>
              </w:rPr>
              <w:t>Χρηματοδοτούμενο από το κονδύλιο του προγράμματος</w:t>
            </w:r>
            <w:r>
              <w:rPr>
                <w:b/>
                <w:noProof/>
                <w:color w:val="000000" w:themeColor="text1"/>
                <w:sz w:val="16"/>
              </w:rPr>
              <w:t xml:space="preserve"> </w:t>
            </w:r>
            <w:r>
              <w:rPr>
                <w:rStyle w:val="FootnoteReference"/>
                <w:b/>
                <w:noProof/>
                <w:color w:val="000000"/>
                <w:sz w:val="16"/>
              </w:rPr>
              <w:footnoteReference w:id="39"/>
            </w:r>
          </w:p>
        </w:tc>
        <w:tc>
          <w:tcPr>
            <w:tcW w:w="737" w:type="pct"/>
            <w:shd w:val="clear" w:color="auto" w:fill="auto"/>
            <w:vAlign w:val="center"/>
          </w:tcPr>
          <w:p>
            <w:pPr>
              <w:pStyle w:val="Text1"/>
              <w:spacing w:beforeLines="20" w:before="48" w:afterLines="20" w:after="48"/>
              <w:ind w:left="136"/>
              <w:jc w:val="left"/>
              <w:rPr>
                <w:b/>
                <w:noProof/>
                <w:color w:val="000000" w:themeColor="text1"/>
                <w:sz w:val="16"/>
                <w:szCs w:val="16"/>
              </w:rPr>
            </w:pPr>
            <w:r>
              <w:rPr>
                <w:noProof/>
                <w:color w:val="000000" w:themeColor="text1"/>
                <w:sz w:val="16"/>
              </w:rPr>
              <w:t>- στην έδρα</w:t>
            </w:r>
          </w:p>
        </w:tc>
        <w:tc>
          <w:tcPr>
            <w:tcW w:w="466" w:type="pct"/>
            <w:shd w:val="clear" w:color="auto" w:fill="auto"/>
            <w:vAlign w:val="center"/>
          </w:tcPr>
          <w:p>
            <w:pPr>
              <w:pStyle w:val="Text1"/>
              <w:spacing w:beforeLines="20" w:before="48" w:afterLines="20" w:after="48"/>
              <w:ind w:left="0"/>
              <w:jc w:val="center"/>
              <w:rPr>
                <w:noProof/>
                <w:color w:val="000000" w:themeColor="text1"/>
                <w:sz w:val="16"/>
                <w:szCs w:val="16"/>
              </w:rPr>
            </w:pPr>
          </w:p>
        </w:tc>
        <w:tc>
          <w:tcPr>
            <w:tcW w:w="534" w:type="pct"/>
            <w:shd w:val="clear" w:color="auto" w:fill="auto"/>
            <w:vAlign w:val="center"/>
          </w:tcPr>
          <w:p>
            <w:pPr>
              <w:spacing w:beforeLines="20" w:before="48" w:afterLines="20" w:after="48"/>
              <w:jc w:val="center"/>
              <w:rPr>
                <w:noProof/>
                <w:color w:val="000000" w:themeColor="text1"/>
                <w:sz w:val="16"/>
                <w:szCs w:val="16"/>
              </w:rPr>
            </w:pPr>
          </w:p>
        </w:tc>
        <w:tc>
          <w:tcPr>
            <w:tcW w:w="466" w:type="pct"/>
            <w:shd w:val="clear" w:color="auto" w:fill="auto"/>
            <w:vAlign w:val="center"/>
          </w:tcPr>
          <w:p>
            <w:pPr>
              <w:spacing w:beforeLines="20" w:before="48" w:afterLines="20" w:after="48"/>
              <w:jc w:val="center"/>
              <w:rPr>
                <w:noProof/>
                <w:color w:val="000000" w:themeColor="text1"/>
                <w:sz w:val="16"/>
                <w:szCs w:val="16"/>
              </w:rPr>
            </w:pPr>
          </w:p>
        </w:tc>
        <w:tc>
          <w:tcPr>
            <w:tcW w:w="534" w:type="pct"/>
            <w:shd w:val="clear" w:color="auto" w:fill="auto"/>
            <w:vAlign w:val="center"/>
          </w:tcPr>
          <w:p>
            <w:pPr>
              <w:spacing w:beforeLines="20" w:before="48" w:afterLines="20" w:after="48"/>
              <w:jc w:val="center"/>
              <w:rPr>
                <w:noProof/>
                <w:color w:val="000000" w:themeColor="text1"/>
                <w:sz w:val="16"/>
                <w:szCs w:val="16"/>
              </w:rPr>
            </w:pPr>
          </w:p>
        </w:tc>
        <w:tc>
          <w:tcPr>
            <w:tcW w:w="533" w:type="pct"/>
            <w:shd w:val="clear" w:color="auto" w:fill="auto"/>
            <w:vAlign w:val="center"/>
          </w:tcPr>
          <w:p>
            <w:pPr>
              <w:spacing w:beforeLines="20" w:before="48" w:afterLines="20" w:after="48"/>
              <w:jc w:val="center"/>
              <w:rPr>
                <w:noProof/>
                <w:color w:val="000000" w:themeColor="text1"/>
                <w:sz w:val="16"/>
                <w:szCs w:val="16"/>
              </w:rPr>
            </w:pPr>
          </w:p>
        </w:tc>
        <w:tc>
          <w:tcPr>
            <w:tcW w:w="468" w:type="pct"/>
            <w:shd w:val="clear" w:color="auto" w:fill="auto"/>
            <w:vAlign w:val="center"/>
          </w:tcPr>
          <w:p>
            <w:pPr>
              <w:spacing w:beforeLines="20" w:before="48" w:afterLines="20" w:after="48"/>
              <w:jc w:val="center"/>
              <w:rPr>
                <w:noProof/>
                <w:color w:val="000000" w:themeColor="text1"/>
                <w:sz w:val="16"/>
                <w:szCs w:val="16"/>
              </w:rPr>
            </w:pPr>
          </w:p>
        </w:tc>
        <w:tc>
          <w:tcPr>
            <w:tcW w:w="527" w:type="pct"/>
            <w:shd w:val="clear" w:color="auto" w:fill="auto"/>
            <w:vAlign w:val="center"/>
          </w:tcPr>
          <w:p>
            <w:pPr>
              <w:spacing w:beforeLines="20" w:before="48" w:afterLines="20" w:after="48"/>
              <w:jc w:val="center"/>
              <w:rPr>
                <w:noProof/>
                <w:color w:val="000000" w:themeColor="text1"/>
                <w:sz w:val="16"/>
                <w:szCs w:val="16"/>
              </w:rPr>
            </w:pPr>
          </w:p>
        </w:tc>
      </w:tr>
      <w:tr>
        <w:trPr>
          <w:trHeight w:val="289"/>
        </w:trPr>
        <w:tc>
          <w:tcPr>
            <w:tcW w:w="735" w:type="pct"/>
            <w:vMerge/>
          </w:tcPr>
          <w:p>
            <w:pPr>
              <w:pStyle w:val="Text1"/>
              <w:spacing w:beforeLines="20" w:before="48" w:afterLines="20" w:after="48"/>
              <w:ind w:left="136"/>
              <w:jc w:val="left"/>
              <w:rPr>
                <w:b/>
                <w:noProof/>
                <w:color w:val="000000" w:themeColor="text1"/>
                <w:sz w:val="16"/>
                <w:szCs w:val="16"/>
              </w:rPr>
            </w:pPr>
          </w:p>
        </w:tc>
        <w:tc>
          <w:tcPr>
            <w:tcW w:w="737" w:type="pct"/>
            <w:shd w:val="clear" w:color="auto" w:fill="auto"/>
            <w:vAlign w:val="center"/>
          </w:tcPr>
          <w:p>
            <w:pPr>
              <w:pStyle w:val="Text1"/>
              <w:spacing w:beforeLines="20" w:before="48" w:afterLines="20" w:after="48"/>
              <w:ind w:left="136"/>
              <w:jc w:val="left"/>
              <w:rPr>
                <w:b/>
                <w:noProof/>
                <w:color w:val="000000" w:themeColor="text1"/>
                <w:sz w:val="16"/>
                <w:szCs w:val="16"/>
              </w:rPr>
            </w:pPr>
            <w:r>
              <w:rPr>
                <w:noProof/>
                <w:color w:val="000000" w:themeColor="text1"/>
                <w:sz w:val="16"/>
              </w:rPr>
              <w:t xml:space="preserve">- σε αντιπροσωπείες </w:t>
            </w:r>
          </w:p>
        </w:tc>
        <w:tc>
          <w:tcPr>
            <w:tcW w:w="466" w:type="pct"/>
            <w:shd w:val="clear" w:color="auto" w:fill="auto"/>
            <w:vAlign w:val="center"/>
          </w:tcPr>
          <w:p>
            <w:pPr>
              <w:pStyle w:val="Text1"/>
              <w:spacing w:beforeLines="20" w:before="48" w:afterLines="20" w:after="48"/>
              <w:ind w:left="0"/>
              <w:jc w:val="center"/>
              <w:rPr>
                <w:noProof/>
                <w:color w:val="000000" w:themeColor="text1"/>
                <w:sz w:val="16"/>
                <w:szCs w:val="16"/>
              </w:rPr>
            </w:pPr>
          </w:p>
        </w:tc>
        <w:tc>
          <w:tcPr>
            <w:tcW w:w="534" w:type="pct"/>
            <w:shd w:val="clear" w:color="auto" w:fill="auto"/>
            <w:vAlign w:val="center"/>
          </w:tcPr>
          <w:p>
            <w:pPr>
              <w:spacing w:beforeLines="20" w:before="48" w:afterLines="20" w:after="48"/>
              <w:jc w:val="center"/>
              <w:rPr>
                <w:noProof/>
                <w:color w:val="000000" w:themeColor="text1"/>
                <w:sz w:val="16"/>
                <w:szCs w:val="16"/>
              </w:rPr>
            </w:pPr>
          </w:p>
        </w:tc>
        <w:tc>
          <w:tcPr>
            <w:tcW w:w="466" w:type="pct"/>
            <w:shd w:val="clear" w:color="auto" w:fill="auto"/>
            <w:vAlign w:val="center"/>
          </w:tcPr>
          <w:p>
            <w:pPr>
              <w:spacing w:beforeLines="20" w:before="48" w:afterLines="20" w:after="48"/>
              <w:jc w:val="center"/>
              <w:rPr>
                <w:noProof/>
                <w:color w:val="000000" w:themeColor="text1"/>
                <w:sz w:val="16"/>
                <w:szCs w:val="16"/>
              </w:rPr>
            </w:pPr>
          </w:p>
        </w:tc>
        <w:tc>
          <w:tcPr>
            <w:tcW w:w="534" w:type="pct"/>
            <w:shd w:val="clear" w:color="auto" w:fill="auto"/>
            <w:vAlign w:val="center"/>
          </w:tcPr>
          <w:p>
            <w:pPr>
              <w:spacing w:beforeLines="20" w:before="48" w:afterLines="20" w:after="48"/>
              <w:jc w:val="center"/>
              <w:rPr>
                <w:noProof/>
                <w:color w:val="000000" w:themeColor="text1"/>
                <w:sz w:val="16"/>
                <w:szCs w:val="16"/>
              </w:rPr>
            </w:pPr>
          </w:p>
        </w:tc>
        <w:tc>
          <w:tcPr>
            <w:tcW w:w="533" w:type="pct"/>
            <w:shd w:val="clear" w:color="auto" w:fill="auto"/>
            <w:vAlign w:val="center"/>
          </w:tcPr>
          <w:p>
            <w:pPr>
              <w:spacing w:beforeLines="20" w:before="48" w:afterLines="20" w:after="48"/>
              <w:jc w:val="center"/>
              <w:rPr>
                <w:noProof/>
                <w:color w:val="000000" w:themeColor="text1"/>
                <w:sz w:val="16"/>
                <w:szCs w:val="16"/>
              </w:rPr>
            </w:pPr>
          </w:p>
        </w:tc>
        <w:tc>
          <w:tcPr>
            <w:tcW w:w="468" w:type="pct"/>
            <w:shd w:val="clear" w:color="auto" w:fill="auto"/>
            <w:vAlign w:val="center"/>
          </w:tcPr>
          <w:p>
            <w:pPr>
              <w:spacing w:beforeLines="20" w:before="48" w:afterLines="20" w:after="48"/>
              <w:jc w:val="center"/>
              <w:rPr>
                <w:noProof/>
                <w:color w:val="000000" w:themeColor="text1"/>
                <w:sz w:val="16"/>
                <w:szCs w:val="16"/>
              </w:rPr>
            </w:pPr>
          </w:p>
        </w:tc>
        <w:tc>
          <w:tcPr>
            <w:tcW w:w="527" w:type="pct"/>
            <w:shd w:val="clear" w:color="auto" w:fill="auto"/>
            <w:vAlign w:val="center"/>
          </w:tcPr>
          <w:p>
            <w:pPr>
              <w:spacing w:beforeLines="20" w:before="48" w:afterLines="20" w:after="48"/>
              <w:jc w:val="center"/>
              <w:rPr>
                <w:noProof/>
                <w:color w:val="000000" w:themeColor="text1"/>
                <w:sz w:val="16"/>
                <w:szCs w:val="16"/>
              </w:rPr>
            </w:pPr>
          </w:p>
        </w:tc>
      </w:tr>
      <w:tr>
        <w:trPr>
          <w:trHeight w:val="289"/>
        </w:trPr>
        <w:tc>
          <w:tcPr>
            <w:tcW w:w="1472" w:type="pct"/>
            <w:gridSpan w:val="2"/>
          </w:tcPr>
          <w:p>
            <w:pPr>
              <w:pStyle w:val="Text1"/>
              <w:spacing w:beforeLines="20" w:before="48" w:afterLines="20" w:after="48"/>
              <w:ind w:left="136"/>
              <w:jc w:val="left"/>
              <w:rPr>
                <w:noProof/>
                <w:color w:val="000000" w:themeColor="text1"/>
                <w:sz w:val="16"/>
                <w:szCs w:val="16"/>
              </w:rPr>
            </w:pPr>
            <w:r>
              <w:rPr>
                <w:noProof/>
                <w:color w:val="000000" w:themeColor="text1"/>
                <w:sz w:val="16"/>
              </w:rPr>
              <w:t>Έρευνα</w:t>
            </w:r>
          </w:p>
        </w:tc>
        <w:tc>
          <w:tcPr>
            <w:tcW w:w="466" w:type="pct"/>
            <w:shd w:val="clear" w:color="auto" w:fill="auto"/>
            <w:vAlign w:val="center"/>
          </w:tcPr>
          <w:p>
            <w:pPr>
              <w:spacing w:beforeLines="20" w:before="48" w:afterLines="20" w:after="48"/>
              <w:jc w:val="center"/>
              <w:rPr>
                <w:noProof/>
                <w:color w:val="000000" w:themeColor="text1"/>
                <w:sz w:val="16"/>
                <w:szCs w:val="16"/>
              </w:rPr>
            </w:pPr>
          </w:p>
        </w:tc>
        <w:tc>
          <w:tcPr>
            <w:tcW w:w="534" w:type="pct"/>
            <w:shd w:val="clear" w:color="auto" w:fill="auto"/>
            <w:vAlign w:val="center"/>
          </w:tcPr>
          <w:p>
            <w:pPr>
              <w:spacing w:beforeLines="20" w:before="48" w:afterLines="20" w:after="48"/>
              <w:jc w:val="center"/>
              <w:rPr>
                <w:noProof/>
                <w:color w:val="000000" w:themeColor="text1"/>
                <w:sz w:val="16"/>
                <w:szCs w:val="16"/>
              </w:rPr>
            </w:pPr>
          </w:p>
        </w:tc>
        <w:tc>
          <w:tcPr>
            <w:tcW w:w="466" w:type="pct"/>
            <w:shd w:val="clear" w:color="auto" w:fill="auto"/>
            <w:vAlign w:val="center"/>
          </w:tcPr>
          <w:p>
            <w:pPr>
              <w:spacing w:beforeLines="20" w:before="48" w:afterLines="20" w:after="48"/>
              <w:jc w:val="center"/>
              <w:rPr>
                <w:noProof/>
                <w:color w:val="000000" w:themeColor="text1"/>
                <w:sz w:val="16"/>
                <w:szCs w:val="16"/>
              </w:rPr>
            </w:pPr>
          </w:p>
        </w:tc>
        <w:tc>
          <w:tcPr>
            <w:tcW w:w="534" w:type="pct"/>
            <w:shd w:val="clear" w:color="auto" w:fill="auto"/>
            <w:vAlign w:val="center"/>
          </w:tcPr>
          <w:p>
            <w:pPr>
              <w:spacing w:beforeLines="20" w:before="48" w:afterLines="20" w:after="48"/>
              <w:jc w:val="center"/>
              <w:rPr>
                <w:noProof/>
                <w:color w:val="000000" w:themeColor="text1"/>
                <w:sz w:val="16"/>
                <w:szCs w:val="16"/>
              </w:rPr>
            </w:pPr>
          </w:p>
        </w:tc>
        <w:tc>
          <w:tcPr>
            <w:tcW w:w="533" w:type="pct"/>
            <w:shd w:val="clear" w:color="auto" w:fill="auto"/>
            <w:vAlign w:val="center"/>
          </w:tcPr>
          <w:p>
            <w:pPr>
              <w:spacing w:beforeLines="20" w:before="48" w:afterLines="20" w:after="48"/>
              <w:jc w:val="center"/>
              <w:rPr>
                <w:noProof/>
                <w:color w:val="000000" w:themeColor="text1"/>
                <w:sz w:val="16"/>
                <w:szCs w:val="16"/>
              </w:rPr>
            </w:pPr>
          </w:p>
        </w:tc>
        <w:tc>
          <w:tcPr>
            <w:tcW w:w="468" w:type="pct"/>
            <w:shd w:val="clear" w:color="auto" w:fill="auto"/>
            <w:vAlign w:val="center"/>
          </w:tcPr>
          <w:p>
            <w:pPr>
              <w:spacing w:beforeLines="20" w:before="48" w:afterLines="20" w:after="48"/>
              <w:jc w:val="center"/>
              <w:rPr>
                <w:noProof/>
                <w:color w:val="000000" w:themeColor="text1"/>
                <w:sz w:val="16"/>
                <w:szCs w:val="16"/>
              </w:rPr>
            </w:pPr>
          </w:p>
        </w:tc>
        <w:tc>
          <w:tcPr>
            <w:tcW w:w="527" w:type="pct"/>
            <w:shd w:val="clear" w:color="auto" w:fill="auto"/>
            <w:vAlign w:val="center"/>
          </w:tcPr>
          <w:p>
            <w:pPr>
              <w:spacing w:beforeLines="20" w:before="48" w:afterLines="20" w:after="48"/>
              <w:jc w:val="center"/>
              <w:rPr>
                <w:noProof/>
                <w:color w:val="000000" w:themeColor="text1"/>
                <w:sz w:val="16"/>
                <w:szCs w:val="16"/>
              </w:rPr>
            </w:pPr>
          </w:p>
        </w:tc>
      </w:tr>
      <w:tr>
        <w:trPr>
          <w:trHeight w:val="289"/>
        </w:trPr>
        <w:tc>
          <w:tcPr>
            <w:tcW w:w="1472" w:type="pct"/>
            <w:gridSpan w:val="2"/>
            <w:tcBorders>
              <w:bottom w:val="double" w:sz="4" w:space="0" w:color="auto"/>
            </w:tcBorders>
          </w:tcPr>
          <w:p>
            <w:pPr>
              <w:pStyle w:val="Text1"/>
              <w:spacing w:beforeLines="20" w:before="48" w:afterLines="20" w:after="48"/>
              <w:ind w:left="134"/>
              <w:jc w:val="left"/>
              <w:rPr>
                <w:noProof/>
                <w:color w:val="000000" w:themeColor="text1"/>
                <w:sz w:val="16"/>
                <w:szCs w:val="16"/>
              </w:rPr>
            </w:pPr>
            <w:r>
              <w:rPr>
                <w:noProof/>
                <w:color w:val="000000" w:themeColor="text1"/>
                <w:sz w:val="16"/>
              </w:rPr>
              <w:t>Άλλο: Εμπειρογνώμονες αποσπασμένοι και αμειβόμενοι εξ ολοκλήρου από εταίρους υλοποίησης</w:t>
            </w:r>
          </w:p>
        </w:tc>
        <w:tc>
          <w:tcPr>
            <w:tcW w:w="466" w:type="pct"/>
            <w:tcBorders>
              <w:bottom w:val="double" w:sz="4" w:space="0" w:color="auto"/>
            </w:tcBorders>
            <w:shd w:val="clear" w:color="auto" w:fill="auto"/>
            <w:vAlign w:val="center"/>
          </w:tcPr>
          <w:p>
            <w:pPr>
              <w:spacing w:beforeLines="20" w:before="48" w:afterLines="20" w:after="48"/>
              <w:jc w:val="center"/>
              <w:rPr>
                <w:noProof/>
                <w:color w:val="000000" w:themeColor="text1"/>
                <w:sz w:val="16"/>
                <w:szCs w:val="16"/>
              </w:rPr>
            </w:pPr>
          </w:p>
        </w:tc>
        <w:tc>
          <w:tcPr>
            <w:tcW w:w="534" w:type="pct"/>
            <w:tcBorders>
              <w:bottom w:val="double" w:sz="4" w:space="0" w:color="auto"/>
            </w:tcBorders>
            <w:shd w:val="clear" w:color="auto" w:fill="auto"/>
            <w:vAlign w:val="center"/>
          </w:tcPr>
          <w:p>
            <w:pPr>
              <w:spacing w:beforeLines="20" w:before="48" w:afterLines="20" w:after="48"/>
              <w:jc w:val="center"/>
              <w:rPr>
                <w:noProof/>
                <w:color w:val="000000" w:themeColor="text1"/>
                <w:sz w:val="16"/>
                <w:szCs w:val="16"/>
              </w:rPr>
            </w:pPr>
          </w:p>
        </w:tc>
        <w:tc>
          <w:tcPr>
            <w:tcW w:w="466" w:type="pct"/>
            <w:tcBorders>
              <w:bottom w:val="double" w:sz="4" w:space="0" w:color="auto"/>
            </w:tcBorders>
            <w:shd w:val="clear" w:color="auto" w:fill="auto"/>
            <w:vAlign w:val="center"/>
          </w:tcPr>
          <w:p>
            <w:pPr>
              <w:spacing w:beforeLines="20" w:before="48" w:afterLines="20" w:after="48"/>
              <w:jc w:val="center"/>
              <w:rPr>
                <w:noProof/>
                <w:color w:val="000000" w:themeColor="text1"/>
                <w:sz w:val="16"/>
                <w:szCs w:val="16"/>
              </w:rPr>
            </w:pPr>
          </w:p>
        </w:tc>
        <w:tc>
          <w:tcPr>
            <w:tcW w:w="534" w:type="pct"/>
            <w:tcBorders>
              <w:bottom w:val="double" w:sz="4" w:space="0" w:color="auto"/>
            </w:tcBorders>
            <w:shd w:val="clear" w:color="auto" w:fill="auto"/>
            <w:vAlign w:val="center"/>
          </w:tcPr>
          <w:p>
            <w:pPr>
              <w:spacing w:beforeLines="20" w:before="48" w:afterLines="20" w:after="48"/>
              <w:jc w:val="center"/>
              <w:rPr>
                <w:noProof/>
                <w:color w:val="000000" w:themeColor="text1"/>
                <w:sz w:val="16"/>
                <w:szCs w:val="16"/>
              </w:rPr>
            </w:pPr>
          </w:p>
        </w:tc>
        <w:tc>
          <w:tcPr>
            <w:tcW w:w="533" w:type="pct"/>
            <w:tcBorders>
              <w:bottom w:val="double" w:sz="4" w:space="0" w:color="auto"/>
            </w:tcBorders>
            <w:shd w:val="clear" w:color="auto" w:fill="auto"/>
            <w:vAlign w:val="center"/>
          </w:tcPr>
          <w:p>
            <w:pPr>
              <w:spacing w:beforeLines="20" w:before="48" w:afterLines="20" w:after="48"/>
              <w:jc w:val="center"/>
              <w:rPr>
                <w:noProof/>
                <w:color w:val="000000" w:themeColor="text1"/>
                <w:sz w:val="16"/>
                <w:szCs w:val="16"/>
              </w:rPr>
            </w:pPr>
          </w:p>
        </w:tc>
        <w:tc>
          <w:tcPr>
            <w:tcW w:w="468" w:type="pct"/>
            <w:tcBorders>
              <w:bottom w:val="double" w:sz="4" w:space="0" w:color="auto"/>
            </w:tcBorders>
            <w:shd w:val="clear" w:color="auto" w:fill="auto"/>
            <w:vAlign w:val="center"/>
          </w:tcPr>
          <w:p>
            <w:pPr>
              <w:spacing w:beforeLines="20" w:before="48" w:afterLines="20" w:after="48"/>
              <w:jc w:val="center"/>
              <w:rPr>
                <w:noProof/>
                <w:color w:val="000000" w:themeColor="text1"/>
                <w:sz w:val="16"/>
                <w:szCs w:val="16"/>
              </w:rPr>
            </w:pPr>
          </w:p>
        </w:tc>
        <w:tc>
          <w:tcPr>
            <w:tcW w:w="527" w:type="pct"/>
            <w:tcBorders>
              <w:bottom w:val="double" w:sz="4" w:space="0" w:color="auto"/>
            </w:tcBorders>
            <w:shd w:val="clear" w:color="auto" w:fill="auto"/>
            <w:vAlign w:val="center"/>
          </w:tcPr>
          <w:p>
            <w:pPr>
              <w:spacing w:beforeLines="20" w:before="48" w:afterLines="20" w:after="48"/>
              <w:jc w:val="center"/>
              <w:rPr>
                <w:noProof/>
                <w:color w:val="000000" w:themeColor="text1"/>
                <w:sz w:val="16"/>
                <w:szCs w:val="16"/>
              </w:rPr>
            </w:pPr>
          </w:p>
        </w:tc>
      </w:tr>
      <w:tr>
        <w:trPr>
          <w:trHeight w:val="289"/>
        </w:trPr>
        <w:tc>
          <w:tcPr>
            <w:tcW w:w="1472" w:type="pct"/>
            <w:gridSpan w:val="2"/>
            <w:tcBorders>
              <w:top w:val="double" w:sz="4" w:space="0" w:color="auto"/>
            </w:tcBorders>
          </w:tcPr>
          <w:p>
            <w:pPr>
              <w:pStyle w:val="Text1"/>
              <w:spacing w:beforeLines="20" w:before="48" w:afterLines="20" w:after="48"/>
              <w:ind w:left="136"/>
              <w:jc w:val="left"/>
              <w:rPr>
                <w:noProof/>
                <w:color w:val="000000" w:themeColor="text1"/>
                <w:sz w:val="16"/>
                <w:szCs w:val="16"/>
              </w:rPr>
            </w:pPr>
            <w:r>
              <w:rPr>
                <w:b/>
                <w:noProof/>
                <w:color w:val="000000" w:themeColor="text1"/>
                <w:sz w:val="16"/>
              </w:rPr>
              <w:t>ΣΥΝΟΛΟ</w:t>
            </w:r>
          </w:p>
        </w:tc>
        <w:tc>
          <w:tcPr>
            <w:tcW w:w="466" w:type="pct"/>
            <w:tcBorders>
              <w:top w:val="double" w:sz="4" w:space="0" w:color="auto"/>
            </w:tcBorders>
            <w:shd w:val="clear" w:color="auto" w:fill="auto"/>
            <w:vAlign w:val="center"/>
          </w:tcPr>
          <w:p>
            <w:pPr>
              <w:spacing w:beforeLines="20" w:before="48" w:afterLines="20" w:after="48"/>
              <w:jc w:val="center"/>
              <w:rPr>
                <w:b/>
                <w:noProof/>
                <w:color w:val="000000" w:themeColor="text1"/>
                <w:sz w:val="16"/>
                <w:szCs w:val="16"/>
              </w:rPr>
            </w:pPr>
            <w:r>
              <w:rPr>
                <w:b/>
                <w:noProof/>
                <w:color w:val="000000" w:themeColor="text1"/>
                <w:sz w:val="16"/>
              </w:rPr>
              <w:t>24</w:t>
            </w:r>
          </w:p>
        </w:tc>
        <w:tc>
          <w:tcPr>
            <w:tcW w:w="534" w:type="pct"/>
            <w:tcBorders>
              <w:top w:val="double" w:sz="4" w:space="0" w:color="auto"/>
            </w:tcBorders>
            <w:shd w:val="clear" w:color="auto" w:fill="auto"/>
          </w:tcPr>
          <w:p>
            <w:pPr>
              <w:spacing w:beforeLines="20" w:before="48" w:afterLines="20" w:after="48"/>
              <w:jc w:val="center"/>
              <w:rPr>
                <w:b/>
                <w:noProof/>
                <w:color w:val="000000" w:themeColor="text1"/>
                <w:sz w:val="16"/>
                <w:szCs w:val="16"/>
              </w:rPr>
            </w:pPr>
            <w:r>
              <w:rPr>
                <w:b/>
                <w:noProof/>
                <w:color w:val="000000" w:themeColor="text1"/>
                <w:sz w:val="16"/>
              </w:rPr>
              <w:t>24</w:t>
            </w:r>
          </w:p>
        </w:tc>
        <w:tc>
          <w:tcPr>
            <w:tcW w:w="466" w:type="pct"/>
            <w:tcBorders>
              <w:top w:val="double" w:sz="4" w:space="0" w:color="auto"/>
            </w:tcBorders>
            <w:shd w:val="clear" w:color="auto" w:fill="auto"/>
          </w:tcPr>
          <w:p>
            <w:pPr>
              <w:spacing w:beforeLines="20" w:before="48" w:afterLines="20" w:after="48"/>
              <w:jc w:val="center"/>
              <w:rPr>
                <w:b/>
                <w:noProof/>
                <w:color w:val="000000" w:themeColor="text1"/>
                <w:sz w:val="16"/>
                <w:szCs w:val="16"/>
              </w:rPr>
            </w:pPr>
            <w:r>
              <w:rPr>
                <w:b/>
                <w:noProof/>
                <w:color w:val="000000" w:themeColor="text1"/>
                <w:sz w:val="16"/>
              </w:rPr>
              <w:t>24</w:t>
            </w:r>
          </w:p>
        </w:tc>
        <w:tc>
          <w:tcPr>
            <w:tcW w:w="534" w:type="pct"/>
            <w:tcBorders>
              <w:top w:val="double" w:sz="4" w:space="0" w:color="auto"/>
            </w:tcBorders>
            <w:shd w:val="clear" w:color="auto" w:fill="auto"/>
          </w:tcPr>
          <w:p>
            <w:pPr>
              <w:spacing w:beforeLines="20" w:before="48" w:afterLines="20" w:after="48"/>
              <w:jc w:val="center"/>
              <w:rPr>
                <w:b/>
                <w:noProof/>
                <w:color w:val="000000" w:themeColor="text1"/>
                <w:sz w:val="16"/>
                <w:szCs w:val="16"/>
              </w:rPr>
            </w:pPr>
            <w:r>
              <w:rPr>
                <w:b/>
                <w:noProof/>
                <w:color w:val="000000" w:themeColor="text1"/>
                <w:sz w:val="16"/>
              </w:rPr>
              <w:t>24</w:t>
            </w:r>
          </w:p>
        </w:tc>
        <w:tc>
          <w:tcPr>
            <w:tcW w:w="533" w:type="pct"/>
            <w:tcBorders>
              <w:top w:val="double" w:sz="4" w:space="0" w:color="auto"/>
            </w:tcBorders>
            <w:shd w:val="clear" w:color="auto" w:fill="auto"/>
          </w:tcPr>
          <w:p>
            <w:pPr>
              <w:spacing w:beforeLines="20" w:before="48" w:afterLines="20" w:after="48"/>
              <w:jc w:val="center"/>
              <w:rPr>
                <w:b/>
                <w:noProof/>
                <w:color w:val="000000" w:themeColor="text1"/>
                <w:sz w:val="16"/>
                <w:szCs w:val="16"/>
              </w:rPr>
            </w:pPr>
            <w:r>
              <w:rPr>
                <w:b/>
                <w:noProof/>
                <w:color w:val="000000" w:themeColor="text1"/>
                <w:sz w:val="16"/>
              </w:rPr>
              <w:t>24</w:t>
            </w:r>
          </w:p>
        </w:tc>
        <w:tc>
          <w:tcPr>
            <w:tcW w:w="468" w:type="pct"/>
            <w:tcBorders>
              <w:top w:val="double" w:sz="4" w:space="0" w:color="auto"/>
            </w:tcBorders>
            <w:shd w:val="clear" w:color="auto" w:fill="auto"/>
          </w:tcPr>
          <w:p>
            <w:pPr>
              <w:spacing w:beforeLines="20" w:before="48" w:afterLines="20" w:after="48"/>
              <w:jc w:val="center"/>
              <w:rPr>
                <w:b/>
                <w:noProof/>
                <w:color w:val="000000" w:themeColor="text1"/>
                <w:sz w:val="16"/>
                <w:szCs w:val="16"/>
              </w:rPr>
            </w:pPr>
            <w:r>
              <w:rPr>
                <w:b/>
                <w:noProof/>
                <w:color w:val="000000" w:themeColor="text1"/>
                <w:sz w:val="16"/>
              </w:rPr>
              <w:t>24</w:t>
            </w:r>
          </w:p>
        </w:tc>
        <w:tc>
          <w:tcPr>
            <w:tcW w:w="527" w:type="pct"/>
            <w:tcBorders>
              <w:top w:val="double" w:sz="4" w:space="0" w:color="auto"/>
            </w:tcBorders>
            <w:shd w:val="clear" w:color="auto" w:fill="auto"/>
          </w:tcPr>
          <w:p>
            <w:pPr>
              <w:spacing w:beforeLines="20" w:before="48" w:afterLines="20" w:after="48"/>
              <w:jc w:val="center"/>
              <w:rPr>
                <w:b/>
                <w:noProof/>
                <w:color w:val="000000" w:themeColor="text1"/>
                <w:sz w:val="16"/>
                <w:szCs w:val="16"/>
              </w:rPr>
            </w:pPr>
            <w:r>
              <w:rPr>
                <w:b/>
                <w:noProof/>
                <w:color w:val="000000" w:themeColor="text1"/>
                <w:sz w:val="16"/>
              </w:rPr>
              <w:t>24</w:t>
            </w:r>
          </w:p>
        </w:tc>
      </w:tr>
    </w:tbl>
    <w:p>
      <w:pPr>
        <w:pStyle w:val="Text1"/>
        <w:ind w:left="0"/>
        <w:rPr>
          <w:noProof/>
          <w:color w:val="000000" w:themeColor="text1"/>
          <w:sz w:val="18"/>
          <w:szCs w:val="18"/>
        </w:rPr>
      </w:pPr>
      <w:r>
        <w:rPr>
          <w:noProof/>
          <w:color w:val="000000" w:themeColor="text1"/>
          <w:sz w:val="18"/>
        </w:rPr>
        <w:t>Οι ανάγκες σε ανθρώπινους πόρους θα καλυφθούν από το προσωπικό της ΓΔ που έχει ήδη διατεθεί για τη διαχείριση της δράσης και/ή έχει ανακατανεμηθεί στο εσωτερικό της ΓΔ και το οποίο θα συμπληρωθεί, εάν χρειαστεί, από πρόσθετους πόρους που μπορεί να διατεθούν στην αρμόδια για τη διαχείριση ΓΔ στο πλαίσιο της ετήσιας διαδικασίας κατανομής και λαμβανομένων υπόψη των υφιστάμενων δημοσιονομικών περιορισμών.</w:t>
      </w:r>
    </w:p>
    <w:p>
      <w:pPr>
        <w:rPr>
          <w:noProof/>
          <w:color w:val="000000" w:themeColor="text1"/>
          <w:sz w:val="20"/>
        </w:rPr>
      </w:pPr>
      <w:r>
        <w:rPr>
          <w:noProof/>
          <w:color w:val="000000" w:themeColor="text1"/>
          <w:sz w:val="20"/>
        </w:rPr>
        <w:t>Περιγραφή των προς εκτέλεση καθηκόντων:</w:t>
      </w:r>
    </w:p>
    <w:tbl>
      <w:tblPr>
        <w:tblW w:w="10632" w:type="dxa"/>
        <w:tblInd w:w="-601"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3240"/>
        <w:gridCol w:w="7392"/>
      </w:tblGrid>
      <w:tr>
        <w:tc>
          <w:tcPr>
            <w:tcW w:w="3240" w:type="dxa"/>
          </w:tcPr>
          <w:p>
            <w:pPr>
              <w:rPr>
                <w:noProof/>
                <w:color w:val="000000" w:themeColor="text1"/>
                <w:sz w:val="20"/>
              </w:rPr>
            </w:pPr>
            <w:r>
              <w:rPr>
                <w:noProof/>
                <w:color w:val="000000" w:themeColor="text1"/>
                <w:sz w:val="20"/>
              </w:rPr>
              <w:t>Μόνιμοι και έκτακτοι υπάλληλοι</w:t>
            </w:r>
          </w:p>
        </w:tc>
        <w:tc>
          <w:tcPr>
            <w:tcW w:w="7392" w:type="dxa"/>
          </w:tcPr>
          <w:p>
            <w:pPr>
              <w:rPr>
                <w:noProof/>
                <w:color w:val="000000" w:themeColor="text1"/>
                <w:sz w:val="20"/>
                <w:szCs w:val="20"/>
              </w:rPr>
            </w:pPr>
            <w:r>
              <w:rPr>
                <w:noProof/>
                <w:color w:val="000000" w:themeColor="text1"/>
                <w:sz w:val="20"/>
              </w:rPr>
              <w:t>Οι διαχειριστές κινδύνου (4) αξιολογούν το προφίλ κινδύνου των χαρτοφυλακίων των δραστηριοτήτων προκειμένου να το παρακολουθούν συνεχώς και να διασφαλίζουν ότι η τροφοδότηση αντιστοιχεί στους υποκείμενους κινδύνους.</w:t>
            </w:r>
          </w:p>
          <w:p>
            <w:pPr>
              <w:rPr>
                <w:noProof/>
                <w:color w:val="000000" w:themeColor="text1"/>
                <w:sz w:val="20"/>
              </w:rPr>
            </w:pPr>
            <w:r>
              <w:rPr>
                <w:noProof/>
                <w:color w:val="000000" w:themeColor="text1"/>
                <w:sz w:val="20"/>
              </w:rPr>
              <w:t xml:space="preserve">Προσωπικό (20) για τη γραμματεία του ταμείου InvestEU. Η γραμματεία θα φροντίζει για: </w:t>
            </w:r>
          </w:p>
          <w:p>
            <w:pPr>
              <w:rPr>
                <w:noProof/>
                <w:color w:val="000000" w:themeColor="text1"/>
                <w:sz w:val="20"/>
              </w:rPr>
            </w:pPr>
            <w:r>
              <w:rPr>
                <w:noProof/>
                <w:color w:val="000000" w:themeColor="text1"/>
                <w:sz w:val="20"/>
              </w:rPr>
              <w:t>- την παραλαβή των προτάσεων από τους εταίρους υλοποίησης·</w:t>
            </w:r>
          </w:p>
          <w:p>
            <w:pPr>
              <w:rPr>
                <w:noProof/>
                <w:color w:val="000000" w:themeColor="text1"/>
                <w:sz w:val="20"/>
              </w:rPr>
            </w:pPr>
            <w:r>
              <w:rPr>
                <w:noProof/>
                <w:color w:val="000000" w:themeColor="text1"/>
                <w:sz w:val="20"/>
              </w:rPr>
              <w:t>- την κατανομή της αξιολόγησης των προτάσεων στην ομάδα έργου και στην Επιτροπή Επενδύσεων·</w:t>
            </w:r>
          </w:p>
          <w:p>
            <w:pPr>
              <w:rPr>
                <w:noProof/>
                <w:color w:val="000000" w:themeColor="text1"/>
                <w:sz w:val="20"/>
              </w:rPr>
            </w:pPr>
            <w:r>
              <w:rPr>
                <w:noProof/>
                <w:color w:val="000000" w:themeColor="text1"/>
                <w:sz w:val="20"/>
              </w:rPr>
              <w:t>- τη δημιουργία συνδέσμων με τους εταίρους υλοποίησης·</w:t>
            </w:r>
          </w:p>
          <w:p>
            <w:pPr>
              <w:rPr>
                <w:noProof/>
                <w:color w:val="000000" w:themeColor="text1"/>
                <w:sz w:val="20"/>
              </w:rPr>
            </w:pPr>
            <w:r>
              <w:rPr>
                <w:noProof/>
                <w:color w:val="000000" w:themeColor="text1"/>
                <w:sz w:val="20"/>
              </w:rPr>
              <w:t>- τη δημιουργία συνδέσμων με το γνωμοδοτικό συμβούλιο και την Επιτροπή Επενδύσεων·</w:t>
            </w:r>
          </w:p>
          <w:p>
            <w:pPr>
              <w:rPr>
                <w:noProof/>
                <w:color w:val="000000" w:themeColor="text1"/>
                <w:sz w:val="20"/>
              </w:rPr>
            </w:pPr>
            <w:r>
              <w:rPr>
                <w:noProof/>
                <w:color w:val="000000" w:themeColor="text1"/>
                <w:sz w:val="20"/>
              </w:rPr>
              <w:t>- την προετοιμασία των συνεδριάσεων μεταξύ των ΓΔ της Επιτροπής που εμπλέκονται στην υλοποίηση του προγράμματος InvestEU και τον εσωτερικό συντονισμό της κατάρτισης των κατευθυντήριων γραμμών περί επενδύσεων, του σχεδιασμού των χρηματοπιστωτικών προϊόντων και άλλων θεμάτων οριζόντιου χαρακτήρα·</w:t>
            </w:r>
          </w:p>
          <w:p>
            <w:pPr>
              <w:rPr>
                <w:noProof/>
                <w:color w:val="000000" w:themeColor="text1"/>
                <w:sz w:val="20"/>
              </w:rPr>
            </w:pPr>
            <w:r>
              <w:rPr>
                <w:noProof/>
                <w:color w:val="000000" w:themeColor="text1"/>
                <w:sz w:val="20"/>
              </w:rPr>
              <w:t>- την υποβοήθηση των διαχειριστών κινδύνου για την κατάρτιση της παρακολούθησης του προφίλ κινδύνου·</w:t>
            </w:r>
          </w:p>
          <w:p>
            <w:pPr>
              <w:rPr>
                <w:noProof/>
                <w:color w:val="000000" w:themeColor="text1"/>
                <w:sz w:val="20"/>
              </w:rPr>
            </w:pPr>
            <w:r>
              <w:rPr>
                <w:noProof/>
                <w:color w:val="000000" w:themeColor="text1"/>
                <w:sz w:val="20"/>
              </w:rPr>
              <w:t xml:space="preserve">- την εκτέλεση προπαρασκευαστικών εργασιών και τη διενέργεια διαπραγματεύσεων για τις συμφωνίες εγγύησης με τους εταίρους υλοποίησης· </w:t>
            </w:r>
          </w:p>
          <w:p>
            <w:pPr>
              <w:rPr>
                <w:noProof/>
                <w:color w:val="000000" w:themeColor="text1"/>
                <w:sz w:val="20"/>
              </w:rPr>
            </w:pPr>
            <w:r>
              <w:rPr>
                <w:noProof/>
                <w:color w:val="000000" w:themeColor="text1"/>
                <w:sz w:val="20"/>
              </w:rPr>
              <w:t>- την παρακολούθηση της υλοποίησης·</w:t>
            </w:r>
          </w:p>
          <w:p>
            <w:pPr>
              <w:rPr>
                <w:noProof/>
                <w:color w:val="000000" w:themeColor="text1"/>
                <w:sz w:val="20"/>
              </w:rPr>
            </w:pPr>
            <w:r>
              <w:rPr>
                <w:noProof/>
                <w:color w:val="000000" w:themeColor="text1"/>
                <w:sz w:val="20"/>
              </w:rPr>
              <w:t xml:space="preserve">- την κατάρτιση εκθέσεων· </w:t>
            </w:r>
          </w:p>
          <w:p>
            <w:pPr>
              <w:rPr>
                <w:noProof/>
                <w:color w:val="000000" w:themeColor="text1"/>
                <w:sz w:val="20"/>
              </w:rPr>
            </w:pPr>
            <w:r>
              <w:rPr>
                <w:noProof/>
                <w:color w:val="000000" w:themeColor="text1"/>
                <w:sz w:val="20"/>
              </w:rPr>
              <w:t xml:space="preserve">- τη διαχείριση του συμβουλευτικού κόμβου InvestEU. </w:t>
            </w:r>
          </w:p>
        </w:tc>
      </w:tr>
      <w:tr>
        <w:tc>
          <w:tcPr>
            <w:tcW w:w="3240" w:type="dxa"/>
          </w:tcPr>
          <w:p>
            <w:pPr>
              <w:spacing w:before="60" w:after="60"/>
              <w:rPr>
                <w:noProof/>
                <w:color w:val="000000" w:themeColor="text1"/>
                <w:sz w:val="20"/>
              </w:rPr>
            </w:pPr>
            <w:r>
              <w:rPr>
                <w:noProof/>
                <w:color w:val="000000" w:themeColor="text1"/>
                <w:sz w:val="20"/>
              </w:rPr>
              <w:t>Εξωτερικό προσωπικό</w:t>
            </w:r>
          </w:p>
        </w:tc>
        <w:tc>
          <w:tcPr>
            <w:tcW w:w="7392" w:type="dxa"/>
          </w:tcPr>
          <w:p>
            <w:pPr>
              <w:rPr>
                <w:noProof/>
                <w:color w:val="000000" w:themeColor="text1"/>
                <w:sz w:val="20"/>
              </w:rPr>
            </w:pPr>
          </w:p>
        </w:tc>
      </w:tr>
    </w:tbl>
    <w:p>
      <w:pPr>
        <w:pStyle w:val="ManualHeading3"/>
        <w:rPr>
          <w:bCs/>
          <w:noProof/>
          <w:szCs w:val="24"/>
        </w:rPr>
      </w:pPr>
      <w:r>
        <w:t>3.2.3.</w:t>
      </w:r>
      <w:r>
        <w:tab/>
      </w:r>
      <w:r>
        <w:rPr>
          <w:noProof/>
        </w:rPr>
        <w:t xml:space="preserve">Συμμετοχή τρίτων στη χρηματοδότηση </w:t>
      </w:r>
    </w:p>
    <w:p>
      <w:pPr>
        <w:pStyle w:val="Text1"/>
        <w:rPr>
          <w:noProof/>
          <w:color w:val="000000" w:themeColor="text1"/>
        </w:rPr>
      </w:pPr>
      <w:r>
        <w:rPr>
          <w:noProof/>
          <w:color w:val="000000" w:themeColor="text1"/>
        </w:rPr>
        <w:t>Η πρόταση/πρωτοβουλία:</w:t>
      </w:r>
    </w:p>
    <w:p>
      <w:pPr>
        <w:pStyle w:val="ListDash1"/>
        <w:rPr>
          <w:noProof/>
          <w:color w:val="000000" w:themeColor="text1"/>
        </w:rPr>
      </w:pPr>
      <w:r>
        <w:rPr>
          <w:noProof/>
          <w:color w:val="000000" w:themeColor="text1"/>
        </w:rPr>
        <w:sym w:font="Wingdings" w:char="F0A8"/>
      </w:r>
      <w:r>
        <w:rPr>
          <w:noProof/>
        </w:rPr>
        <w:tab/>
        <w:t>δεν προβλέπει συγχρηματοδότηση από τρίτους</w:t>
      </w:r>
    </w:p>
    <w:p>
      <w:pPr>
        <w:pStyle w:val="ListDash1"/>
        <w:rPr>
          <w:noProof/>
          <w:color w:val="000000" w:themeColor="text1"/>
        </w:rPr>
      </w:pPr>
      <w:r>
        <w:rPr>
          <w:noProof/>
          <w:color w:val="000000" w:themeColor="text1"/>
        </w:rPr>
        <w:t>X</w:t>
      </w:r>
      <w:r>
        <w:rPr>
          <w:noProof/>
        </w:rPr>
        <w:tab/>
      </w:r>
      <w:r>
        <w:rPr>
          <w:noProof/>
          <w:color w:val="000000" w:themeColor="text1"/>
        </w:rPr>
        <w:t>προβλέπει τη συγχρηματοδότηση από τρίτους που εκτιμάται παρακάτω:</w:t>
      </w:r>
    </w:p>
    <w:p>
      <w:pPr>
        <w:jc w:val="right"/>
        <w:rPr>
          <w:noProof/>
          <w:color w:val="000000" w:themeColor="text1"/>
          <w:sz w:val="20"/>
        </w:rPr>
      </w:pPr>
      <w:r>
        <w:rPr>
          <w:noProof/>
          <w:color w:val="000000" w:themeColor="text1"/>
          <w:sz w:val="20"/>
        </w:rPr>
        <w:t>Πιστώσεις σε εκατ. EUR (με 3 δεκαδικά ψηφία)</w:t>
      </w:r>
    </w:p>
    <w:tbl>
      <w:tblPr>
        <w:tblW w:w="1024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0"/>
        <w:gridCol w:w="964"/>
        <w:gridCol w:w="964"/>
        <w:gridCol w:w="964"/>
        <w:gridCol w:w="964"/>
        <w:gridCol w:w="964"/>
        <w:gridCol w:w="964"/>
        <w:gridCol w:w="964"/>
        <w:gridCol w:w="1158"/>
      </w:tblGrid>
      <w:tr>
        <w:trPr>
          <w:cantSplit/>
          <w:jc w:val="center"/>
        </w:trPr>
        <w:tc>
          <w:tcPr>
            <w:tcW w:w="2340" w:type="dxa"/>
            <w:vAlign w:val="center"/>
          </w:tcPr>
          <w:p>
            <w:pPr>
              <w:spacing w:before="60" w:after="60"/>
              <w:jc w:val="center"/>
              <w:rPr>
                <w:b/>
                <w:noProof/>
                <w:color w:val="000000" w:themeColor="text1"/>
                <w:sz w:val="20"/>
              </w:rPr>
            </w:pPr>
            <w:r>
              <w:rPr>
                <w:b/>
                <w:noProof/>
                <w:color w:val="000000" w:themeColor="text1"/>
                <w:sz w:val="20"/>
              </w:rPr>
              <w:t>Έτη</w:t>
            </w:r>
          </w:p>
        </w:tc>
        <w:tc>
          <w:tcPr>
            <w:tcW w:w="964" w:type="dxa"/>
            <w:vAlign w:val="center"/>
          </w:tcPr>
          <w:p>
            <w:pPr>
              <w:jc w:val="center"/>
              <w:rPr>
                <w:noProof/>
                <w:color w:val="000000" w:themeColor="text1"/>
                <w:sz w:val="20"/>
              </w:rPr>
            </w:pPr>
            <w:r>
              <w:rPr>
                <w:b/>
                <w:noProof/>
                <w:color w:val="000000" w:themeColor="text1"/>
                <w:sz w:val="20"/>
              </w:rPr>
              <w:t>2021</w:t>
            </w:r>
          </w:p>
        </w:tc>
        <w:tc>
          <w:tcPr>
            <w:tcW w:w="964" w:type="dxa"/>
            <w:vAlign w:val="center"/>
          </w:tcPr>
          <w:p>
            <w:pPr>
              <w:jc w:val="center"/>
              <w:rPr>
                <w:b/>
                <w:noProof/>
                <w:color w:val="000000" w:themeColor="text1"/>
                <w:sz w:val="20"/>
              </w:rPr>
            </w:pPr>
            <w:r>
              <w:rPr>
                <w:b/>
                <w:noProof/>
                <w:color w:val="000000" w:themeColor="text1"/>
                <w:sz w:val="20"/>
              </w:rPr>
              <w:t>2022</w:t>
            </w:r>
          </w:p>
        </w:tc>
        <w:tc>
          <w:tcPr>
            <w:tcW w:w="964" w:type="dxa"/>
            <w:vAlign w:val="center"/>
          </w:tcPr>
          <w:p>
            <w:pPr>
              <w:jc w:val="center"/>
              <w:rPr>
                <w:b/>
                <w:noProof/>
                <w:color w:val="000000" w:themeColor="text1"/>
                <w:sz w:val="20"/>
              </w:rPr>
            </w:pPr>
            <w:r>
              <w:rPr>
                <w:b/>
                <w:noProof/>
                <w:color w:val="000000" w:themeColor="text1"/>
                <w:sz w:val="20"/>
              </w:rPr>
              <w:t>2023</w:t>
            </w:r>
          </w:p>
        </w:tc>
        <w:tc>
          <w:tcPr>
            <w:tcW w:w="964" w:type="dxa"/>
            <w:vAlign w:val="center"/>
          </w:tcPr>
          <w:p>
            <w:pPr>
              <w:jc w:val="center"/>
              <w:rPr>
                <w:b/>
                <w:noProof/>
                <w:color w:val="000000" w:themeColor="text1"/>
                <w:sz w:val="20"/>
              </w:rPr>
            </w:pPr>
            <w:r>
              <w:rPr>
                <w:b/>
                <w:noProof/>
                <w:color w:val="000000" w:themeColor="text1"/>
                <w:sz w:val="20"/>
              </w:rPr>
              <w:t>2024</w:t>
            </w:r>
          </w:p>
        </w:tc>
        <w:tc>
          <w:tcPr>
            <w:tcW w:w="964" w:type="dxa"/>
            <w:vAlign w:val="center"/>
          </w:tcPr>
          <w:p>
            <w:pPr>
              <w:jc w:val="center"/>
              <w:rPr>
                <w:b/>
                <w:noProof/>
                <w:color w:val="000000" w:themeColor="text1"/>
                <w:sz w:val="20"/>
              </w:rPr>
            </w:pPr>
            <w:r>
              <w:rPr>
                <w:b/>
                <w:noProof/>
                <w:color w:val="000000" w:themeColor="text1"/>
                <w:sz w:val="20"/>
              </w:rPr>
              <w:t>2025</w:t>
            </w:r>
          </w:p>
        </w:tc>
        <w:tc>
          <w:tcPr>
            <w:tcW w:w="964" w:type="dxa"/>
            <w:vAlign w:val="center"/>
          </w:tcPr>
          <w:p>
            <w:pPr>
              <w:jc w:val="center"/>
              <w:rPr>
                <w:b/>
                <w:noProof/>
                <w:color w:val="000000" w:themeColor="text1"/>
                <w:sz w:val="20"/>
              </w:rPr>
            </w:pPr>
            <w:r>
              <w:rPr>
                <w:b/>
                <w:noProof/>
                <w:color w:val="000000" w:themeColor="text1"/>
                <w:sz w:val="20"/>
              </w:rPr>
              <w:t>2026</w:t>
            </w:r>
          </w:p>
        </w:tc>
        <w:tc>
          <w:tcPr>
            <w:tcW w:w="964" w:type="dxa"/>
            <w:vAlign w:val="center"/>
          </w:tcPr>
          <w:p>
            <w:pPr>
              <w:jc w:val="center"/>
              <w:rPr>
                <w:b/>
                <w:noProof/>
                <w:color w:val="000000" w:themeColor="text1"/>
                <w:sz w:val="20"/>
              </w:rPr>
            </w:pPr>
            <w:r>
              <w:rPr>
                <w:b/>
                <w:noProof/>
                <w:color w:val="000000" w:themeColor="text1"/>
                <w:sz w:val="20"/>
              </w:rPr>
              <w:t>2027</w:t>
            </w:r>
          </w:p>
        </w:tc>
        <w:tc>
          <w:tcPr>
            <w:tcW w:w="1158" w:type="dxa"/>
            <w:vAlign w:val="center"/>
          </w:tcPr>
          <w:p>
            <w:pPr>
              <w:spacing w:before="60" w:after="60"/>
              <w:jc w:val="center"/>
              <w:rPr>
                <w:b/>
                <w:noProof/>
                <w:color w:val="000000" w:themeColor="text1"/>
                <w:sz w:val="20"/>
              </w:rPr>
            </w:pPr>
            <w:r>
              <w:rPr>
                <w:b/>
                <w:noProof/>
                <w:color w:val="000000" w:themeColor="text1"/>
                <w:sz w:val="20"/>
              </w:rPr>
              <w:t>ΣΥΝΟΛΟ</w:t>
            </w:r>
          </w:p>
        </w:tc>
      </w:tr>
      <w:tr>
        <w:trPr>
          <w:cantSplit/>
          <w:jc w:val="center"/>
        </w:trPr>
        <w:tc>
          <w:tcPr>
            <w:tcW w:w="2340" w:type="dxa"/>
          </w:tcPr>
          <w:p>
            <w:pPr>
              <w:rPr>
                <w:noProof/>
                <w:color w:val="000000" w:themeColor="text1"/>
              </w:rPr>
            </w:pPr>
            <w:r>
              <w:rPr>
                <w:noProof/>
                <w:color w:val="000000" w:themeColor="text1"/>
                <w:sz w:val="20"/>
              </w:rPr>
              <w:t>Τρίτες χώρες</w:t>
            </w:r>
          </w:p>
        </w:tc>
        <w:tc>
          <w:tcPr>
            <w:tcW w:w="964" w:type="dxa"/>
            <w:vAlign w:val="center"/>
          </w:tcPr>
          <w:p>
            <w:pPr>
              <w:spacing w:before="60" w:after="60"/>
              <w:jc w:val="center"/>
              <w:rPr>
                <w:noProof/>
                <w:color w:val="000000" w:themeColor="text1"/>
                <w:sz w:val="20"/>
              </w:rPr>
            </w:pPr>
            <w:r>
              <w:rPr>
                <w:noProof/>
                <w:color w:val="000000" w:themeColor="text1"/>
                <w:sz w:val="20"/>
              </w:rPr>
              <w:t>pm</w:t>
            </w:r>
          </w:p>
        </w:tc>
        <w:tc>
          <w:tcPr>
            <w:tcW w:w="964" w:type="dxa"/>
            <w:vAlign w:val="center"/>
          </w:tcPr>
          <w:p>
            <w:pPr>
              <w:spacing w:before="60" w:after="60"/>
              <w:jc w:val="center"/>
              <w:rPr>
                <w:noProof/>
                <w:color w:val="000000" w:themeColor="text1"/>
                <w:sz w:val="20"/>
              </w:rPr>
            </w:pPr>
            <w:r>
              <w:rPr>
                <w:noProof/>
                <w:color w:val="000000" w:themeColor="text1"/>
                <w:sz w:val="20"/>
              </w:rPr>
              <w:t>pm</w:t>
            </w:r>
          </w:p>
        </w:tc>
        <w:tc>
          <w:tcPr>
            <w:tcW w:w="964" w:type="dxa"/>
            <w:vAlign w:val="center"/>
          </w:tcPr>
          <w:p>
            <w:pPr>
              <w:spacing w:before="60" w:after="60"/>
              <w:jc w:val="center"/>
              <w:rPr>
                <w:noProof/>
                <w:color w:val="000000" w:themeColor="text1"/>
                <w:sz w:val="20"/>
              </w:rPr>
            </w:pPr>
            <w:r>
              <w:rPr>
                <w:noProof/>
                <w:color w:val="000000" w:themeColor="text1"/>
                <w:sz w:val="20"/>
              </w:rPr>
              <w:t>pm</w:t>
            </w:r>
          </w:p>
        </w:tc>
        <w:tc>
          <w:tcPr>
            <w:tcW w:w="964" w:type="dxa"/>
            <w:vAlign w:val="center"/>
          </w:tcPr>
          <w:p>
            <w:pPr>
              <w:spacing w:before="60" w:after="60"/>
              <w:jc w:val="center"/>
              <w:rPr>
                <w:noProof/>
                <w:color w:val="000000" w:themeColor="text1"/>
                <w:sz w:val="20"/>
              </w:rPr>
            </w:pPr>
            <w:r>
              <w:rPr>
                <w:noProof/>
                <w:color w:val="000000" w:themeColor="text1"/>
                <w:sz w:val="20"/>
              </w:rPr>
              <w:t>pm</w:t>
            </w:r>
          </w:p>
        </w:tc>
        <w:tc>
          <w:tcPr>
            <w:tcW w:w="964" w:type="dxa"/>
            <w:vAlign w:val="center"/>
          </w:tcPr>
          <w:p>
            <w:pPr>
              <w:spacing w:before="60" w:after="60"/>
              <w:jc w:val="center"/>
              <w:rPr>
                <w:noProof/>
                <w:color w:val="000000" w:themeColor="text1"/>
                <w:sz w:val="20"/>
              </w:rPr>
            </w:pPr>
            <w:r>
              <w:rPr>
                <w:noProof/>
                <w:color w:val="000000" w:themeColor="text1"/>
                <w:sz w:val="20"/>
              </w:rPr>
              <w:t>pm</w:t>
            </w:r>
          </w:p>
        </w:tc>
        <w:tc>
          <w:tcPr>
            <w:tcW w:w="964" w:type="dxa"/>
            <w:vAlign w:val="center"/>
          </w:tcPr>
          <w:p>
            <w:pPr>
              <w:spacing w:before="60" w:after="60"/>
              <w:jc w:val="center"/>
              <w:rPr>
                <w:noProof/>
                <w:color w:val="000000" w:themeColor="text1"/>
                <w:sz w:val="20"/>
              </w:rPr>
            </w:pPr>
            <w:r>
              <w:rPr>
                <w:noProof/>
                <w:color w:val="000000" w:themeColor="text1"/>
                <w:sz w:val="20"/>
              </w:rPr>
              <w:t>pm</w:t>
            </w:r>
          </w:p>
        </w:tc>
        <w:tc>
          <w:tcPr>
            <w:tcW w:w="964" w:type="dxa"/>
            <w:vAlign w:val="center"/>
          </w:tcPr>
          <w:p>
            <w:pPr>
              <w:spacing w:before="60" w:after="60"/>
              <w:jc w:val="center"/>
              <w:rPr>
                <w:noProof/>
                <w:color w:val="000000" w:themeColor="text1"/>
                <w:sz w:val="20"/>
              </w:rPr>
            </w:pPr>
            <w:r>
              <w:rPr>
                <w:noProof/>
                <w:color w:val="000000" w:themeColor="text1"/>
                <w:sz w:val="20"/>
              </w:rPr>
              <w:t>pm</w:t>
            </w:r>
          </w:p>
        </w:tc>
        <w:tc>
          <w:tcPr>
            <w:tcW w:w="1158" w:type="dxa"/>
            <w:vAlign w:val="center"/>
          </w:tcPr>
          <w:p>
            <w:pPr>
              <w:spacing w:before="60" w:after="60"/>
              <w:jc w:val="center"/>
              <w:rPr>
                <w:noProof/>
                <w:color w:val="000000" w:themeColor="text1"/>
                <w:sz w:val="20"/>
              </w:rPr>
            </w:pPr>
            <w:r>
              <w:rPr>
                <w:noProof/>
                <w:color w:val="000000" w:themeColor="text1"/>
                <w:sz w:val="20"/>
              </w:rPr>
              <w:t>pm</w:t>
            </w:r>
          </w:p>
        </w:tc>
      </w:tr>
      <w:tr>
        <w:trPr>
          <w:cantSplit/>
          <w:jc w:val="center"/>
        </w:trPr>
        <w:tc>
          <w:tcPr>
            <w:tcW w:w="2340" w:type="dxa"/>
          </w:tcPr>
          <w:p>
            <w:pPr>
              <w:spacing w:before="60" w:after="60"/>
              <w:jc w:val="left"/>
              <w:rPr>
                <w:noProof/>
                <w:color w:val="000000" w:themeColor="text1"/>
                <w:sz w:val="20"/>
              </w:rPr>
            </w:pPr>
            <w:r>
              <w:rPr>
                <w:noProof/>
                <w:color w:val="000000" w:themeColor="text1"/>
                <w:sz w:val="20"/>
              </w:rPr>
              <w:t xml:space="preserve">ΣΥΝΟΛΟ συγχρηματοδοτούμενων πιστώσεων </w:t>
            </w:r>
          </w:p>
        </w:tc>
        <w:tc>
          <w:tcPr>
            <w:tcW w:w="964" w:type="dxa"/>
            <w:vAlign w:val="center"/>
          </w:tcPr>
          <w:p>
            <w:pPr>
              <w:spacing w:before="60" w:after="60"/>
              <w:jc w:val="center"/>
              <w:rPr>
                <w:noProof/>
                <w:color w:val="000000" w:themeColor="text1"/>
                <w:sz w:val="20"/>
              </w:rPr>
            </w:pPr>
            <w:r>
              <w:rPr>
                <w:noProof/>
                <w:color w:val="000000" w:themeColor="text1"/>
                <w:sz w:val="20"/>
              </w:rPr>
              <w:t>pm</w:t>
            </w:r>
          </w:p>
        </w:tc>
        <w:tc>
          <w:tcPr>
            <w:tcW w:w="964" w:type="dxa"/>
            <w:vAlign w:val="center"/>
          </w:tcPr>
          <w:p>
            <w:pPr>
              <w:spacing w:before="60" w:after="60"/>
              <w:jc w:val="center"/>
              <w:rPr>
                <w:noProof/>
                <w:color w:val="000000" w:themeColor="text1"/>
                <w:sz w:val="20"/>
              </w:rPr>
            </w:pPr>
            <w:r>
              <w:rPr>
                <w:noProof/>
                <w:color w:val="000000" w:themeColor="text1"/>
                <w:sz w:val="20"/>
              </w:rPr>
              <w:t>pm</w:t>
            </w:r>
          </w:p>
        </w:tc>
        <w:tc>
          <w:tcPr>
            <w:tcW w:w="964" w:type="dxa"/>
            <w:vAlign w:val="center"/>
          </w:tcPr>
          <w:p>
            <w:pPr>
              <w:spacing w:before="60" w:after="60"/>
              <w:jc w:val="center"/>
              <w:rPr>
                <w:noProof/>
                <w:color w:val="000000" w:themeColor="text1"/>
                <w:sz w:val="20"/>
              </w:rPr>
            </w:pPr>
            <w:r>
              <w:rPr>
                <w:noProof/>
                <w:color w:val="000000" w:themeColor="text1"/>
                <w:sz w:val="20"/>
              </w:rPr>
              <w:t>pm</w:t>
            </w:r>
          </w:p>
        </w:tc>
        <w:tc>
          <w:tcPr>
            <w:tcW w:w="964" w:type="dxa"/>
            <w:vAlign w:val="center"/>
          </w:tcPr>
          <w:p>
            <w:pPr>
              <w:spacing w:before="60" w:after="60"/>
              <w:jc w:val="center"/>
              <w:rPr>
                <w:noProof/>
                <w:color w:val="000000" w:themeColor="text1"/>
                <w:sz w:val="20"/>
              </w:rPr>
            </w:pPr>
            <w:r>
              <w:rPr>
                <w:noProof/>
                <w:color w:val="000000" w:themeColor="text1"/>
                <w:sz w:val="20"/>
              </w:rPr>
              <w:t>pm</w:t>
            </w:r>
          </w:p>
        </w:tc>
        <w:tc>
          <w:tcPr>
            <w:tcW w:w="964" w:type="dxa"/>
            <w:vAlign w:val="center"/>
          </w:tcPr>
          <w:p>
            <w:pPr>
              <w:spacing w:before="60" w:after="60"/>
              <w:jc w:val="center"/>
              <w:rPr>
                <w:noProof/>
                <w:color w:val="000000" w:themeColor="text1"/>
                <w:sz w:val="20"/>
              </w:rPr>
            </w:pPr>
            <w:r>
              <w:rPr>
                <w:noProof/>
                <w:color w:val="000000" w:themeColor="text1"/>
                <w:sz w:val="20"/>
              </w:rPr>
              <w:t>pm</w:t>
            </w:r>
          </w:p>
        </w:tc>
        <w:tc>
          <w:tcPr>
            <w:tcW w:w="964" w:type="dxa"/>
            <w:vAlign w:val="center"/>
          </w:tcPr>
          <w:p>
            <w:pPr>
              <w:spacing w:before="60" w:after="60"/>
              <w:jc w:val="center"/>
              <w:rPr>
                <w:noProof/>
                <w:color w:val="000000" w:themeColor="text1"/>
                <w:sz w:val="20"/>
              </w:rPr>
            </w:pPr>
            <w:r>
              <w:rPr>
                <w:noProof/>
                <w:color w:val="000000" w:themeColor="text1"/>
                <w:sz w:val="20"/>
              </w:rPr>
              <w:t>pm</w:t>
            </w:r>
          </w:p>
        </w:tc>
        <w:tc>
          <w:tcPr>
            <w:tcW w:w="964" w:type="dxa"/>
            <w:vAlign w:val="center"/>
          </w:tcPr>
          <w:p>
            <w:pPr>
              <w:spacing w:before="60" w:after="60"/>
              <w:jc w:val="center"/>
              <w:rPr>
                <w:noProof/>
                <w:color w:val="000000" w:themeColor="text1"/>
                <w:sz w:val="20"/>
              </w:rPr>
            </w:pPr>
            <w:r>
              <w:rPr>
                <w:noProof/>
                <w:color w:val="000000" w:themeColor="text1"/>
                <w:sz w:val="20"/>
              </w:rPr>
              <w:t>pm</w:t>
            </w:r>
          </w:p>
        </w:tc>
        <w:tc>
          <w:tcPr>
            <w:tcW w:w="1158" w:type="dxa"/>
            <w:vAlign w:val="center"/>
          </w:tcPr>
          <w:p>
            <w:pPr>
              <w:spacing w:before="60" w:after="60"/>
              <w:jc w:val="center"/>
              <w:rPr>
                <w:noProof/>
                <w:color w:val="000000" w:themeColor="text1"/>
                <w:sz w:val="20"/>
              </w:rPr>
            </w:pPr>
            <w:r>
              <w:rPr>
                <w:noProof/>
                <w:color w:val="000000" w:themeColor="text1"/>
                <w:sz w:val="20"/>
              </w:rPr>
              <w:t>pm</w:t>
            </w:r>
          </w:p>
        </w:tc>
      </w:tr>
    </w:tbl>
    <w:p>
      <w:pPr>
        <w:rPr>
          <w:noProof/>
          <w:color w:val="000000" w:themeColor="text1"/>
        </w:rPr>
      </w:pPr>
    </w:p>
    <w:p>
      <w:pPr>
        <w:pStyle w:val="ManualHeading2"/>
        <w:rPr>
          <w:bCs/>
          <w:noProof/>
          <w:szCs w:val="24"/>
        </w:rPr>
      </w:pPr>
      <w:r>
        <w:t>3.3.</w:t>
      </w:r>
      <w:r>
        <w:tab/>
      </w:r>
      <w:r>
        <w:rPr>
          <w:noProof/>
        </w:rPr>
        <w:t xml:space="preserve">Εκτιμώμενες επιπτώσεις στα έσοδα </w:t>
      </w:r>
    </w:p>
    <w:p>
      <w:pPr>
        <w:pStyle w:val="ListDash1"/>
        <w:rPr>
          <w:noProof/>
          <w:color w:val="000000" w:themeColor="text1"/>
        </w:rPr>
      </w:pPr>
      <w:r>
        <w:rPr>
          <w:noProof/>
          <w:color w:val="000000" w:themeColor="text1"/>
        </w:rPr>
        <w:sym w:font="Wingdings" w:char="F0A8"/>
      </w:r>
      <w:r>
        <w:rPr>
          <w:noProof/>
        </w:rPr>
        <w:tab/>
        <w:t>Η πρόταση/πρωτοβουλία δεν έχει δημοσιονομικές επιπτώσεις στα έσοδα.</w:t>
      </w:r>
    </w:p>
    <w:p>
      <w:pPr>
        <w:pStyle w:val="ListDash1"/>
        <w:rPr>
          <w:noProof/>
          <w:color w:val="000000" w:themeColor="text1"/>
        </w:rPr>
      </w:pPr>
      <w:r>
        <w:rPr>
          <w:noProof/>
          <w:color w:val="000000" w:themeColor="text1"/>
        </w:rPr>
        <w:t>X</w:t>
      </w:r>
      <w:r>
        <w:rPr>
          <w:noProof/>
        </w:rPr>
        <w:tab/>
      </w:r>
      <w:r>
        <w:rPr>
          <w:noProof/>
          <w:color w:val="000000" w:themeColor="text1"/>
        </w:rPr>
        <w:t>Η πρόταση/πρωτοβουλία έχει τις δημοσιονομικές επιπτώσεις που περιγράφονται κατωτέρω:</w:t>
      </w:r>
    </w:p>
    <w:p>
      <w:pPr>
        <w:pStyle w:val="ListNumberLevel3"/>
        <w:tabs>
          <w:tab w:val="clear" w:pos="2126"/>
          <w:tab w:val="num" w:pos="1843"/>
        </w:tabs>
        <w:rPr>
          <w:noProof/>
          <w:color w:val="000000" w:themeColor="text1"/>
        </w:rPr>
      </w:pPr>
      <w:r>
        <w:rPr>
          <w:noProof/>
          <w:color w:val="000000" w:themeColor="text1"/>
        </w:rPr>
        <w:sym w:font="Wingdings" w:char="F0A8"/>
      </w:r>
      <w:r>
        <w:rPr>
          <w:noProof/>
        </w:rPr>
        <w:tab/>
        <w:t>στους ιδίους πόρους</w:t>
      </w:r>
      <w:r>
        <w:rPr>
          <w:noProof/>
          <w:color w:val="000000" w:themeColor="text1"/>
        </w:rPr>
        <w:t xml:space="preserve"> </w:t>
      </w:r>
    </w:p>
    <w:p>
      <w:pPr>
        <w:pStyle w:val="ListNumberLevel3"/>
        <w:tabs>
          <w:tab w:val="clear" w:pos="2126"/>
          <w:tab w:val="num" w:pos="1843"/>
        </w:tabs>
        <w:rPr>
          <w:noProof/>
          <w:color w:val="000000" w:themeColor="text1"/>
        </w:rPr>
      </w:pPr>
      <w:r>
        <w:rPr>
          <w:noProof/>
          <w:color w:val="000000" w:themeColor="text1"/>
        </w:rPr>
        <w:t>X</w:t>
      </w:r>
      <w:r>
        <w:rPr>
          <w:noProof/>
        </w:rPr>
        <w:tab/>
      </w:r>
      <w:r>
        <w:rPr>
          <w:noProof/>
          <w:color w:val="000000" w:themeColor="text1"/>
        </w:rPr>
        <w:t xml:space="preserve"> στα λοιπά έσοδα</w:t>
      </w:r>
    </w:p>
    <w:p>
      <w:pPr>
        <w:jc w:val="right"/>
        <w:rPr>
          <w:noProof/>
          <w:color w:val="000000" w:themeColor="text1"/>
        </w:rPr>
      </w:pPr>
      <w:r>
        <w:rPr>
          <w:noProof/>
          <w:color w:val="000000" w:themeColor="text1"/>
        </w:rPr>
        <w:t xml:space="preserve">      Να αναφερθεί αν τα έσοδα προορίζονται για γραμμές δαπανών X</w:t>
      </w:r>
      <w:r>
        <w:rPr>
          <w:noProof/>
        </w:rPr>
        <w:tab/>
      </w:r>
    </w:p>
    <w:p>
      <w:pPr>
        <w:jc w:val="right"/>
        <w:rPr>
          <w:i/>
          <w:noProof/>
          <w:color w:val="000000" w:themeColor="text1"/>
          <w:sz w:val="20"/>
        </w:rPr>
      </w:pPr>
      <w:r>
        <w:rPr>
          <w:noProof/>
          <w:color w:val="000000" w:themeColor="text1"/>
        </w:rPr>
        <w:t>Σε εκατ. EUR (με 3 δεκαδικά ψηφία)</w:t>
      </w:r>
    </w:p>
    <w:tbl>
      <w:tblPr>
        <w:tblW w:w="9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44"/>
        <w:gridCol w:w="1080"/>
        <w:gridCol w:w="900"/>
        <w:gridCol w:w="900"/>
        <w:gridCol w:w="1080"/>
        <w:gridCol w:w="1080"/>
        <w:gridCol w:w="1080"/>
        <w:gridCol w:w="1080"/>
      </w:tblGrid>
      <w:tr>
        <w:trPr>
          <w:trHeight w:val="388"/>
          <w:jc w:val="center"/>
        </w:trPr>
        <w:tc>
          <w:tcPr>
            <w:tcW w:w="2144" w:type="dxa"/>
            <w:vMerge w:val="restart"/>
            <w:vAlign w:val="center"/>
          </w:tcPr>
          <w:p>
            <w:pPr>
              <w:spacing w:before="40" w:after="40"/>
              <w:rPr>
                <w:noProof/>
                <w:color w:val="000000" w:themeColor="text1"/>
                <w:sz w:val="18"/>
              </w:rPr>
            </w:pPr>
            <w:r>
              <w:rPr>
                <w:noProof/>
                <w:color w:val="000000" w:themeColor="text1"/>
                <w:sz w:val="18"/>
              </w:rPr>
              <w:t>Γραμμή εσόδων του προϋπολογισμού</w:t>
            </w:r>
          </w:p>
        </w:tc>
        <w:tc>
          <w:tcPr>
            <w:tcW w:w="7200" w:type="dxa"/>
            <w:gridSpan w:val="7"/>
            <w:vAlign w:val="center"/>
          </w:tcPr>
          <w:p>
            <w:pPr>
              <w:jc w:val="center"/>
              <w:rPr>
                <w:noProof/>
                <w:color w:val="000000" w:themeColor="text1"/>
                <w:sz w:val="18"/>
              </w:rPr>
            </w:pPr>
            <w:r>
              <w:rPr>
                <w:noProof/>
                <w:color w:val="000000" w:themeColor="text1"/>
                <w:sz w:val="18"/>
              </w:rPr>
              <w:t>Επιπτώσεις της πρότασης/πρωτοβουλίας</w:t>
            </w:r>
            <w:r>
              <w:rPr>
                <w:rStyle w:val="FootnoteReference"/>
                <w:noProof/>
                <w:color w:val="000000" w:themeColor="text1"/>
                <w:sz w:val="18"/>
              </w:rPr>
              <w:footnoteReference w:id="40"/>
            </w:r>
          </w:p>
        </w:tc>
      </w:tr>
      <w:tr>
        <w:trPr>
          <w:trHeight w:val="388"/>
          <w:jc w:val="center"/>
        </w:trPr>
        <w:tc>
          <w:tcPr>
            <w:tcW w:w="2144" w:type="dxa"/>
            <w:vMerge/>
          </w:tcPr>
          <w:p>
            <w:pPr>
              <w:spacing w:before="40" w:after="40"/>
              <w:rPr>
                <w:noProof/>
                <w:color w:val="000000" w:themeColor="text1"/>
                <w:sz w:val="18"/>
              </w:rPr>
            </w:pPr>
          </w:p>
        </w:tc>
        <w:tc>
          <w:tcPr>
            <w:tcW w:w="1080" w:type="dxa"/>
            <w:vAlign w:val="center"/>
          </w:tcPr>
          <w:p>
            <w:pPr>
              <w:jc w:val="center"/>
              <w:rPr>
                <w:noProof/>
                <w:color w:val="000000" w:themeColor="text1"/>
                <w:sz w:val="18"/>
              </w:rPr>
            </w:pPr>
            <w:r>
              <w:rPr>
                <w:b/>
                <w:noProof/>
                <w:color w:val="000000" w:themeColor="text1"/>
                <w:sz w:val="20"/>
              </w:rPr>
              <w:t>2021</w:t>
            </w:r>
          </w:p>
        </w:tc>
        <w:tc>
          <w:tcPr>
            <w:tcW w:w="900" w:type="dxa"/>
            <w:vAlign w:val="center"/>
          </w:tcPr>
          <w:p>
            <w:pPr>
              <w:jc w:val="center"/>
              <w:rPr>
                <w:b/>
                <w:noProof/>
                <w:color w:val="000000" w:themeColor="text1"/>
                <w:sz w:val="20"/>
              </w:rPr>
            </w:pPr>
            <w:r>
              <w:rPr>
                <w:b/>
                <w:noProof/>
                <w:color w:val="000000" w:themeColor="text1"/>
                <w:sz w:val="20"/>
              </w:rPr>
              <w:t>2022</w:t>
            </w:r>
          </w:p>
        </w:tc>
        <w:tc>
          <w:tcPr>
            <w:tcW w:w="900" w:type="dxa"/>
            <w:vAlign w:val="center"/>
          </w:tcPr>
          <w:p>
            <w:pPr>
              <w:jc w:val="center"/>
              <w:rPr>
                <w:b/>
                <w:noProof/>
                <w:color w:val="000000" w:themeColor="text1"/>
                <w:sz w:val="20"/>
              </w:rPr>
            </w:pPr>
            <w:r>
              <w:rPr>
                <w:b/>
                <w:noProof/>
                <w:color w:val="000000" w:themeColor="text1"/>
                <w:sz w:val="20"/>
              </w:rPr>
              <w:t>2023</w:t>
            </w:r>
          </w:p>
        </w:tc>
        <w:tc>
          <w:tcPr>
            <w:tcW w:w="1080" w:type="dxa"/>
            <w:vAlign w:val="center"/>
          </w:tcPr>
          <w:p>
            <w:pPr>
              <w:jc w:val="center"/>
              <w:rPr>
                <w:b/>
                <w:noProof/>
                <w:color w:val="000000" w:themeColor="text1"/>
                <w:sz w:val="20"/>
              </w:rPr>
            </w:pPr>
            <w:r>
              <w:rPr>
                <w:b/>
                <w:noProof/>
                <w:color w:val="000000" w:themeColor="text1"/>
                <w:sz w:val="20"/>
              </w:rPr>
              <w:t>2024</w:t>
            </w:r>
          </w:p>
        </w:tc>
        <w:tc>
          <w:tcPr>
            <w:tcW w:w="1080" w:type="dxa"/>
            <w:vAlign w:val="center"/>
          </w:tcPr>
          <w:p>
            <w:pPr>
              <w:jc w:val="center"/>
              <w:rPr>
                <w:b/>
                <w:noProof/>
                <w:color w:val="000000" w:themeColor="text1"/>
                <w:sz w:val="20"/>
              </w:rPr>
            </w:pPr>
            <w:r>
              <w:rPr>
                <w:b/>
                <w:noProof/>
                <w:color w:val="000000" w:themeColor="text1"/>
                <w:sz w:val="20"/>
              </w:rPr>
              <w:t>2025</w:t>
            </w:r>
          </w:p>
        </w:tc>
        <w:tc>
          <w:tcPr>
            <w:tcW w:w="1080" w:type="dxa"/>
            <w:vAlign w:val="center"/>
          </w:tcPr>
          <w:p>
            <w:pPr>
              <w:jc w:val="center"/>
              <w:rPr>
                <w:b/>
                <w:noProof/>
                <w:color w:val="000000" w:themeColor="text1"/>
                <w:sz w:val="20"/>
              </w:rPr>
            </w:pPr>
            <w:r>
              <w:rPr>
                <w:b/>
                <w:noProof/>
                <w:color w:val="000000" w:themeColor="text1"/>
                <w:sz w:val="20"/>
              </w:rPr>
              <w:t>2026</w:t>
            </w:r>
          </w:p>
        </w:tc>
        <w:tc>
          <w:tcPr>
            <w:tcW w:w="1080" w:type="dxa"/>
            <w:vAlign w:val="center"/>
          </w:tcPr>
          <w:p>
            <w:pPr>
              <w:jc w:val="center"/>
              <w:rPr>
                <w:b/>
                <w:noProof/>
                <w:color w:val="000000" w:themeColor="text1"/>
                <w:sz w:val="20"/>
              </w:rPr>
            </w:pPr>
            <w:r>
              <w:rPr>
                <w:b/>
                <w:noProof/>
                <w:color w:val="000000" w:themeColor="text1"/>
                <w:sz w:val="20"/>
              </w:rPr>
              <w:t>2027</w:t>
            </w:r>
          </w:p>
        </w:tc>
      </w:tr>
      <w:tr>
        <w:trPr>
          <w:trHeight w:val="388"/>
          <w:jc w:val="center"/>
        </w:trPr>
        <w:tc>
          <w:tcPr>
            <w:tcW w:w="2144" w:type="dxa"/>
            <w:vAlign w:val="center"/>
          </w:tcPr>
          <w:p>
            <w:pPr>
              <w:spacing w:before="40" w:after="40"/>
              <w:rPr>
                <w:noProof/>
                <w:color w:val="000000" w:themeColor="text1"/>
                <w:sz w:val="18"/>
              </w:rPr>
            </w:pPr>
            <w:r>
              <w:rPr>
                <w:noProof/>
                <w:color w:val="000000" w:themeColor="text1"/>
                <w:sz w:val="18"/>
              </w:rPr>
              <w:t>6 4 1 (Συνεισφορές από χρηματοδοτικά μέσα της ΕΕ – Έσοδα με ειδικό προορισμό)</w:t>
            </w:r>
          </w:p>
        </w:tc>
        <w:tc>
          <w:tcPr>
            <w:tcW w:w="1080" w:type="dxa"/>
          </w:tcPr>
          <w:p>
            <w:pPr>
              <w:spacing w:beforeLines="40" w:before="96" w:afterLines="40" w:after="96"/>
              <w:jc w:val="center"/>
              <w:rPr>
                <w:noProof/>
                <w:color w:val="000000" w:themeColor="text1"/>
                <w:sz w:val="18"/>
              </w:rPr>
            </w:pPr>
            <w:r>
              <w:rPr>
                <w:noProof/>
                <w:color w:val="000000" w:themeColor="text1"/>
                <w:sz w:val="18"/>
              </w:rPr>
              <w:t>250,000</w:t>
            </w:r>
          </w:p>
        </w:tc>
        <w:tc>
          <w:tcPr>
            <w:tcW w:w="900" w:type="dxa"/>
          </w:tcPr>
          <w:p>
            <w:pPr>
              <w:spacing w:beforeLines="40" w:before="96" w:afterLines="40" w:after="96"/>
              <w:jc w:val="center"/>
              <w:rPr>
                <w:noProof/>
                <w:color w:val="000000" w:themeColor="text1"/>
                <w:sz w:val="18"/>
              </w:rPr>
            </w:pPr>
            <w:r>
              <w:rPr>
                <w:noProof/>
                <w:color w:val="000000" w:themeColor="text1"/>
                <w:sz w:val="18"/>
              </w:rPr>
              <w:t>100,000</w:t>
            </w:r>
          </w:p>
        </w:tc>
        <w:tc>
          <w:tcPr>
            <w:tcW w:w="900" w:type="dxa"/>
          </w:tcPr>
          <w:p>
            <w:pPr>
              <w:spacing w:beforeLines="40" w:before="96" w:afterLines="40" w:after="96"/>
              <w:jc w:val="center"/>
              <w:rPr>
                <w:noProof/>
                <w:color w:val="000000" w:themeColor="text1"/>
                <w:sz w:val="18"/>
              </w:rPr>
            </w:pPr>
            <w:r>
              <w:rPr>
                <w:noProof/>
                <w:color w:val="000000" w:themeColor="text1"/>
                <w:sz w:val="18"/>
              </w:rPr>
              <w:t>100,000</w:t>
            </w:r>
          </w:p>
        </w:tc>
        <w:tc>
          <w:tcPr>
            <w:tcW w:w="1080" w:type="dxa"/>
          </w:tcPr>
          <w:p>
            <w:pPr>
              <w:spacing w:beforeLines="40" w:before="96" w:afterLines="40" w:after="96"/>
              <w:jc w:val="center"/>
              <w:rPr>
                <w:noProof/>
                <w:color w:val="000000" w:themeColor="text1"/>
                <w:sz w:val="18"/>
              </w:rPr>
            </w:pPr>
            <w:r>
              <w:rPr>
                <w:noProof/>
                <w:color w:val="000000" w:themeColor="text1"/>
                <w:sz w:val="18"/>
              </w:rPr>
              <w:t>250,000</w:t>
            </w:r>
          </w:p>
        </w:tc>
        <w:tc>
          <w:tcPr>
            <w:tcW w:w="1080" w:type="dxa"/>
          </w:tcPr>
          <w:p>
            <w:pPr>
              <w:spacing w:beforeLines="40" w:before="96" w:afterLines="40" w:after="96"/>
              <w:jc w:val="center"/>
              <w:rPr>
                <w:noProof/>
                <w:color w:val="000000" w:themeColor="text1"/>
                <w:sz w:val="18"/>
              </w:rPr>
            </w:pPr>
            <w:r>
              <w:rPr>
                <w:noProof/>
                <w:color w:val="000000" w:themeColor="text1"/>
                <w:sz w:val="18"/>
              </w:rPr>
              <w:t>100,000</w:t>
            </w:r>
          </w:p>
        </w:tc>
        <w:tc>
          <w:tcPr>
            <w:tcW w:w="1080" w:type="dxa"/>
          </w:tcPr>
          <w:p>
            <w:pPr>
              <w:spacing w:beforeLines="40" w:before="96" w:afterLines="40" w:after="96"/>
              <w:jc w:val="center"/>
              <w:rPr>
                <w:noProof/>
                <w:color w:val="000000" w:themeColor="text1"/>
                <w:sz w:val="18"/>
              </w:rPr>
            </w:pPr>
            <w:r>
              <w:rPr>
                <w:noProof/>
                <w:color w:val="000000" w:themeColor="text1"/>
                <w:sz w:val="18"/>
              </w:rPr>
              <w:t>100,000</w:t>
            </w:r>
          </w:p>
        </w:tc>
        <w:tc>
          <w:tcPr>
            <w:tcW w:w="1080" w:type="dxa"/>
          </w:tcPr>
          <w:p>
            <w:pPr>
              <w:spacing w:beforeLines="40" w:before="96" w:afterLines="40" w:after="96"/>
              <w:jc w:val="center"/>
              <w:rPr>
                <w:noProof/>
                <w:color w:val="000000" w:themeColor="text1"/>
                <w:sz w:val="18"/>
              </w:rPr>
            </w:pPr>
            <w:r>
              <w:rPr>
                <w:noProof/>
                <w:color w:val="000000" w:themeColor="text1"/>
                <w:sz w:val="18"/>
              </w:rPr>
              <w:t>100,000</w:t>
            </w:r>
          </w:p>
        </w:tc>
      </w:tr>
      <w:tr>
        <w:trPr>
          <w:trHeight w:val="388"/>
          <w:jc w:val="center"/>
        </w:trPr>
        <w:tc>
          <w:tcPr>
            <w:tcW w:w="2144" w:type="dxa"/>
            <w:vAlign w:val="center"/>
          </w:tcPr>
          <w:p>
            <w:pPr>
              <w:spacing w:before="40" w:after="40"/>
              <w:rPr>
                <w:noProof/>
                <w:color w:val="000000" w:themeColor="text1"/>
                <w:sz w:val="18"/>
              </w:rPr>
            </w:pPr>
            <w:r>
              <w:rPr>
                <w:noProof/>
                <w:color w:val="000000" w:themeColor="text1"/>
                <w:sz w:val="18"/>
              </w:rPr>
              <w:t>ΣΥΝΟΛΟ</w:t>
            </w:r>
          </w:p>
        </w:tc>
        <w:tc>
          <w:tcPr>
            <w:tcW w:w="1080" w:type="dxa"/>
          </w:tcPr>
          <w:p>
            <w:pPr>
              <w:spacing w:beforeLines="40" w:before="96" w:afterLines="40" w:after="96"/>
              <w:jc w:val="center"/>
              <w:rPr>
                <w:noProof/>
                <w:color w:val="000000" w:themeColor="text1"/>
                <w:sz w:val="18"/>
              </w:rPr>
            </w:pPr>
            <w:r>
              <w:rPr>
                <w:noProof/>
                <w:color w:val="000000" w:themeColor="text1"/>
                <w:sz w:val="18"/>
              </w:rPr>
              <w:t>250,000</w:t>
            </w:r>
          </w:p>
        </w:tc>
        <w:tc>
          <w:tcPr>
            <w:tcW w:w="900" w:type="dxa"/>
          </w:tcPr>
          <w:p>
            <w:pPr>
              <w:spacing w:beforeLines="40" w:before="96" w:afterLines="40" w:after="96"/>
              <w:jc w:val="center"/>
              <w:rPr>
                <w:noProof/>
                <w:color w:val="000000" w:themeColor="text1"/>
                <w:sz w:val="18"/>
              </w:rPr>
            </w:pPr>
            <w:r>
              <w:rPr>
                <w:noProof/>
                <w:color w:val="000000" w:themeColor="text1"/>
                <w:sz w:val="18"/>
              </w:rPr>
              <w:t>100,000</w:t>
            </w:r>
          </w:p>
        </w:tc>
        <w:tc>
          <w:tcPr>
            <w:tcW w:w="900" w:type="dxa"/>
          </w:tcPr>
          <w:p>
            <w:pPr>
              <w:spacing w:beforeLines="40" w:before="96" w:afterLines="40" w:after="96"/>
              <w:jc w:val="center"/>
              <w:rPr>
                <w:noProof/>
                <w:color w:val="000000" w:themeColor="text1"/>
                <w:sz w:val="18"/>
              </w:rPr>
            </w:pPr>
            <w:r>
              <w:rPr>
                <w:noProof/>
                <w:color w:val="000000" w:themeColor="text1"/>
                <w:sz w:val="18"/>
              </w:rPr>
              <w:t>100,000</w:t>
            </w:r>
          </w:p>
        </w:tc>
        <w:tc>
          <w:tcPr>
            <w:tcW w:w="1080" w:type="dxa"/>
          </w:tcPr>
          <w:p>
            <w:pPr>
              <w:spacing w:beforeLines="40" w:before="96" w:afterLines="40" w:after="96"/>
              <w:jc w:val="center"/>
              <w:rPr>
                <w:noProof/>
                <w:color w:val="000000" w:themeColor="text1"/>
                <w:sz w:val="18"/>
              </w:rPr>
            </w:pPr>
            <w:r>
              <w:rPr>
                <w:noProof/>
                <w:color w:val="000000" w:themeColor="text1"/>
                <w:sz w:val="18"/>
              </w:rPr>
              <w:t>250,000</w:t>
            </w:r>
          </w:p>
        </w:tc>
        <w:tc>
          <w:tcPr>
            <w:tcW w:w="1080" w:type="dxa"/>
          </w:tcPr>
          <w:p>
            <w:pPr>
              <w:spacing w:beforeLines="40" w:before="96" w:afterLines="40" w:after="96"/>
              <w:jc w:val="center"/>
              <w:rPr>
                <w:noProof/>
                <w:color w:val="000000" w:themeColor="text1"/>
                <w:sz w:val="18"/>
              </w:rPr>
            </w:pPr>
            <w:r>
              <w:rPr>
                <w:noProof/>
                <w:color w:val="000000" w:themeColor="text1"/>
                <w:sz w:val="18"/>
              </w:rPr>
              <w:t>100,000</w:t>
            </w:r>
          </w:p>
        </w:tc>
        <w:tc>
          <w:tcPr>
            <w:tcW w:w="1080" w:type="dxa"/>
          </w:tcPr>
          <w:p>
            <w:pPr>
              <w:spacing w:beforeLines="40" w:before="96" w:afterLines="40" w:after="96"/>
              <w:jc w:val="center"/>
              <w:rPr>
                <w:noProof/>
                <w:color w:val="000000" w:themeColor="text1"/>
                <w:sz w:val="18"/>
              </w:rPr>
            </w:pPr>
            <w:r>
              <w:rPr>
                <w:noProof/>
                <w:color w:val="000000" w:themeColor="text1"/>
                <w:sz w:val="18"/>
              </w:rPr>
              <w:t>100,000</w:t>
            </w:r>
          </w:p>
        </w:tc>
        <w:tc>
          <w:tcPr>
            <w:tcW w:w="1080" w:type="dxa"/>
          </w:tcPr>
          <w:p>
            <w:pPr>
              <w:spacing w:beforeLines="40" w:before="96" w:afterLines="40" w:after="96"/>
              <w:jc w:val="center"/>
              <w:rPr>
                <w:noProof/>
                <w:color w:val="000000" w:themeColor="text1"/>
                <w:sz w:val="18"/>
              </w:rPr>
            </w:pPr>
            <w:r>
              <w:rPr>
                <w:noProof/>
                <w:color w:val="000000" w:themeColor="text1"/>
                <w:sz w:val="18"/>
              </w:rPr>
              <w:t>100,000</w:t>
            </w:r>
          </w:p>
        </w:tc>
      </w:tr>
    </w:tbl>
    <w:p>
      <w:pPr>
        <w:pStyle w:val="Text1"/>
        <w:rPr>
          <w:noProof/>
          <w:color w:val="000000" w:themeColor="text1"/>
          <w:sz w:val="20"/>
        </w:rPr>
      </w:pPr>
      <w:r>
        <w:rPr>
          <w:noProof/>
          <w:color w:val="000000" w:themeColor="text1"/>
          <w:sz w:val="20"/>
        </w:rPr>
        <w:t>Σύμφωνα με το άρθρο 28 παράγραφος 1 της πρότασης, τα έσοδα, οι αποπληρωμές και οι επιστροφές θα πρέπει να εγγραφούν στην κάτωθι γραμμή του προϋπολογισμού δαπανών:</w:t>
      </w:r>
    </w:p>
    <w:p>
      <w:pPr>
        <w:pStyle w:val="Text1"/>
        <w:pBdr>
          <w:top w:val="single" w:sz="4" w:space="1" w:color="auto"/>
          <w:left w:val="single" w:sz="4" w:space="4" w:color="auto"/>
          <w:bottom w:val="single" w:sz="4" w:space="1" w:color="auto"/>
          <w:right w:val="single" w:sz="4" w:space="4" w:color="auto"/>
        </w:pBdr>
        <w:rPr>
          <w:noProof/>
          <w:color w:val="000000" w:themeColor="text1"/>
        </w:rPr>
      </w:pPr>
      <w:r>
        <w:rPr>
          <w:noProof/>
        </w:rPr>
        <w:t>02.02.02 Τροφοδότηση του ταμείου InvestEU + 02.02.03</w:t>
      </w:r>
    </w:p>
    <w:p>
      <w:pPr>
        <w:pStyle w:val="Text1"/>
        <w:rPr>
          <w:noProof/>
          <w:color w:val="000000" w:themeColor="text1"/>
          <w:sz w:val="20"/>
        </w:rPr>
      </w:pPr>
      <w:r>
        <w:rPr>
          <w:noProof/>
          <w:color w:val="000000" w:themeColor="text1"/>
          <w:sz w:val="20"/>
        </w:rPr>
        <w:t>Άλλες παρατηρήσεις (π.χ. μέθοδος/τύπος για τον υπολογισμό των επιπτώσεων στα έσοδα ή τυχόν άλλες πληροφορίες).</w:t>
      </w:r>
    </w:p>
    <w:p>
      <w:pPr>
        <w:pStyle w:val="Text1"/>
        <w:pBdr>
          <w:top w:val="single" w:sz="4" w:space="1" w:color="auto"/>
          <w:left w:val="single" w:sz="4" w:space="4" w:color="auto"/>
          <w:bottom w:val="single" w:sz="4" w:space="1" w:color="auto"/>
          <w:right w:val="single" w:sz="4" w:space="4" w:color="auto"/>
        </w:pBdr>
        <w:rPr>
          <w:noProof/>
          <w:color w:val="000000" w:themeColor="text1"/>
        </w:rPr>
      </w:pPr>
      <w:r>
        <w:rPr>
          <w:noProof/>
          <w:color w:val="000000" w:themeColor="text1"/>
        </w:rPr>
        <w:t>Τα έσοδα ειδικού σκοπού από το πρόγραμμα InvestEU θα διατεθούν αρχικά για την κάλυψη τελών.</w:t>
      </w:r>
    </w:p>
    <w:p>
      <w:pPr>
        <w:rPr>
          <w:noProof/>
        </w:rPr>
      </w:pPr>
    </w:p>
    <w:sectPr>
      <w:headerReference w:type="default" r:id="rId22"/>
      <w:footerReference w:type="default" r:id="rId23"/>
      <w:headerReference w:type="first" r:id="rId24"/>
      <w:footerReference w:type="first" r:id="rId25"/>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roman"/>
    <w:pitch w:val="default"/>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UAlbertina">
    <w:altName w:val="EU Albertina"/>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EL</w:t>
    </w:r>
    <w:r>
      <w:rPr>
        <w:rFonts w:ascii="Arial" w:hAnsi="Arial" w:cs="Arial"/>
        <w:b/>
        <w:sz w:val="48"/>
      </w:rPr>
      <w:tab/>
    </w:r>
    <w:r>
      <w:rPr>
        <w:rFonts w:ascii="Arial" w:hAnsi="Arial" w:cs="Arial"/>
        <w:b/>
        <w:sz w:val="48"/>
      </w:rPr>
      <w:tab/>
    </w:r>
    <w:r>
      <w:tab/>
    </w:r>
    <w:r>
      <w:rPr>
        <w:rFonts w:ascii="Arial" w:hAnsi="Arial" w:cs="Arial"/>
        <w:b/>
        <w:sz w:val="48"/>
      </w:rPr>
      <w:t>EL</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EL</w:t>
    </w:r>
    <w:r>
      <w:rPr>
        <w:rFonts w:ascii="Arial" w:hAnsi="Arial" w:cs="Arial"/>
        <w:b/>
        <w:sz w:val="48"/>
      </w:rPr>
      <w:tab/>
    </w:r>
    <w:r>
      <w:fldChar w:fldCharType="begin"/>
    </w:r>
    <w:r>
      <w:instrText xml:space="preserve"> PAGE  \* MERGEFORMAT </w:instrText>
    </w:r>
    <w:r>
      <w:fldChar w:fldCharType="separate"/>
    </w:r>
    <w:r>
      <w:rPr>
        <w:noProof/>
      </w:rPr>
      <w:t>55</w:t>
    </w:r>
    <w:r>
      <w:fldChar w:fldCharType="end"/>
    </w:r>
    <w:r>
      <w:tab/>
    </w:r>
    <w:r>
      <w:tab/>
    </w:r>
    <w:r>
      <w:rPr>
        <w:rFonts w:ascii="Arial" w:hAnsi="Arial" w:cs="Arial"/>
        <w:b/>
        <w:sz w:val="48"/>
      </w:rPr>
      <w:t>EL</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Landscape"/>
      <w:rPr>
        <w:rFonts w:ascii="Arial" w:hAnsi="Arial" w:cs="Arial"/>
        <w:b/>
        <w:sz w:val="48"/>
      </w:rPr>
    </w:pPr>
    <w:r>
      <w:rPr>
        <w:rFonts w:ascii="Arial" w:hAnsi="Arial" w:cs="Arial"/>
        <w:b/>
        <w:sz w:val="48"/>
      </w:rPr>
      <w:t>EL</w:t>
    </w:r>
    <w:r>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tab/>
    </w:r>
    <w:r>
      <w:rPr>
        <w:rFonts w:ascii="Arial" w:hAnsi="Arial" w:cs="Arial"/>
        <w:b/>
        <w:sz w:val="48"/>
      </w:rPr>
      <w:t>EL</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Landscape"/>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EL</w:t>
    </w:r>
    <w:r>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tab/>
    </w:r>
    <w:r>
      <w:rPr>
        <w:rFonts w:ascii="Arial" w:hAnsi="Arial" w:cs="Arial"/>
        <w:b/>
        <w:sz w:val="48"/>
      </w:rPr>
      <w:t>EL</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id="1">
    <w:p>
      <w:pPr>
        <w:pStyle w:val="FootnoteText"/>
        <w:ind w:left="0" w:firstLine="0"/>
      </w:pPr>
      <w:r>
        <w:rPr>
          <w:rStyle w:val="FootnoteReference"/>
        </w:rPr>
        <w:footnoteRef/>
      </w:r>
      <w:r>
        <w:tab/>
        <w:t>http://eur-lex.europa.eu/legal-content/EN/TXT/HTML/?uri=CELEX:52016SC0297&amp;from=EN</w:t>
      </w:r>
    </w:p>
  </w:footnote>
  <w:footnote w:id="2">
    <w:p>
      <w:pPr>
        <w:pStyle w:val="FootnoteText"/>
        <w:ind w:left="0" w:firstLine="0"/>
      </w:pPr>
      <w:r>
        <w:rPr>
          <w:rStyle w:val="FootnoteReference"/>
        </w:rPr>
        <w:footnoteRef/>
      </w:r>
      <w:r>
        <w:tab/>
        <w:t>https://www.eca.europa.eu/Lists/News/NEWS1611_11/OP16_02_EN.pdf</w:t>
      </w:r>
    </w:p>
  </w:footnote>
  <w:footnote w:id="3">
    <w:p>
      <w:pPr>
        <w:pStyle w:val="FootnoteText"/>
        <w:ind w:left="0" w:firstLine="0"/>
      </w:pPr>
      <w:r>
        <w:rPr>
          <w:rStyle w:val="FootnoteReference"/>
        </w:rPr>
        <w:footnoteRef/>
      </w:r>
      <w:r>
        <w:tab/>
        <w:t>http://www.eib.org/infocentre/publications/all/evaluation-of-the-functioning-of-the-efsi.htm</w:t>
      </w:r>
    </w:p>
  </w:footnote>
  <w:footnote w:id="4">
    <w:p>
      <w:pPr>
        <w:pStyle w:val="FootnoteText"/>
        <w:ind w:left="0" w:firstLine="0"/>
      </w:pPr>
      <w:r>
        <w:rPr>
          <w:rStyle w:val="FootnoteReference"/>
        </w:rPr>
        <w:footnoteRef/>
      </w:r>
      <w:r>
        <w:tab/>
        <w:t>https://ec.europa.eu/commission/publications/independent-evaluation-investment-plan_en</w:t>
      </w:r>
    </w:p>
  </w:footnote>
  <w:footnote w:id="5">
    <w:p>
      <w:pPr>
        <w:pStyle w:val="FootnoteText"/>
        <w:ind w:left="0" w:firstLine="0"/>
      </w:pPr>
      <w:r>
        <w:rPr>
          <w:rStyle w:val="FootnoteReference"/>
        </w:rPr>
        <w:footnoteRef/>
      </w:r>
      <w:r>
        <w:tab/>
        <w:t>http://ec.europa.eu/transparency/regdoc/rep/1/2016/EN/COM-2016-764-F1-EN-MAIN.PDF</w:t>
      </w:r>
    </w:p>
  </w:footnote>
  <w:footnote w:id="6">
    <w:p>
      <w:pPr>
        <w:pStyle w:val="FootnoteText"/>
      </w:pPr>
      <w:r>
        <w:rPr>
          <w:rStyle w:val="FootnoteReference"/>
        </w:rPr>
        <w:footnoteRef/>
      </w:r>
      <w:r>
        <w:tab/>
        <w:t>https://www.eca.europa.eu/en/Pages/DocItem.aspx?did=44174</w:t>
      </w:r>
    </w:p>
  </w:footnote>
  <w:footnote w:id="7">
    <w:p>
      <w:pPr>
        <w:pStyle w:val="FootnoteText"/>
        <w:ind w:left="0" w:firstLine="0"/>
      </w:pPr>
      <w:r>
        <w:rPr>
          <w:rStyle w:val="FootnoteReference"/>
        </w:rPr>
        <w:footnoteRef/>
      </w:r>
      <w:r>
        <w:tab/>
        <w:t>Επρόκειτο για μια υποενότητα της ανοικτής δημόσιας διαβούλευσης για τις επενδύσεις, την έρευνα και καινοτομία, τις ΜΜΕ και την ενιαία αγορά.</w:t>
      </w:r>
    </w:p>
    <w:p>
      <w:pPr>
        <w:pStyle w:val="FootnoteText"/>
        <w:ind w:left="0" w:firstLine="0"/>
      </w:pPr>
      <w:r>
        <w:t>https://ec.europa.eu/info/consultations/public-consultation-eu-funds-area-investment-research-innovation-smes-and-single-market_en</w:t>
      </w:r>
    </w:p>
  </w:footnote>
  <w:footnote w:id="8">
    <w:p>
      <w:pPr>
        <w:pStyle w:val="FootnoteText"/>
        <w:rPr>
          <w:lang w:val="pt-PT"/>
        </w:rPr>
      </w:pPr>
      <w:r>
        <w:rPr>
          <w:rStyle w:val="FootnoteReference"/>
        </w:rPr>
        <w:footnoteRef/>
      </w:r>
      <w:r>
        <w:rPr>
          <w:lang w:val="pt-PT"/>
        </w:rPr>
        <w:tab/>
      </w:r>
      <w:r>
        <w:t>ΕΕ</w:t>
      </w:r>
      <w:r>
        <w:rPr>
          <w:lang w:val="pt-PT"/>
        </w:rPr>
        <w:t xml:space="preserve"> L 169 </w:t>
      </w:r>
      <w:r>
        <w:t>της</w:t>
      </w:r>
      <w:r>
        <w:rPr>
          <w:lang w:val="pt-PT"/>
        </w:rPr>
        <w:t xml:space="preserve"> 1.7.2015, </w:t>
      </w:r>
      <w:r>
        <w:t>σ</w:t>
      </w:r>
      <w:r>
        <w:rPr>
          <w:lang w:val="pt-PT"/>
        </w:rPr>
        <w:t>. 1.</w:t>
      </w:r>
    </w:p>
  </w:footnote>
  <w:footnote w:id="9">
    <w:p>
      <w:pPr>
        <w:pStyle w:val="FootnoteText"/>
        <w:rPr>
          <w:lang w:val="pt-PT"/>
        </w:rPr>
      </w:pPr>
      <w:r>
        <w:rPr>
          <w:rStyle w:val="FootnoteReference"/>
        </w:rPr>
        <w:footnoteRef/>
      </w:r>
      <w:r>
        <w:rPr>
          <w:lang w:val="pt-PT"/>
        </w:rPr>
        <w:tab/>
        <w:t>COM(2018)321 final.</w:t>
      </w:r>
    </w:p>
  </w:footnote>
  <w:footnote w:id="10">
    <w:p>
      <w:pPr>
        <w:pStyle w:val="FootnoteText"/>
      </w:pPr>
      <w:r>
        <w:rPr>
          <w:rStyle w:val="FootnoteReference"/>
        </w:rPr>
        <w:footnoteRef/>
      </w:r>
      <w:r>
        <w:tab/>
        <w:t>Διοργανική συμφωνία μεταξύ του Ευρωπαϊκού Κοινοβουλίου, του Συμβουλίου της Ευρωπαϊκής Ένωσης και της Ευρωπαϊκής Επιτροπής, της 13ης Απριλίου 2016, για τη βελτίωση του νομοθετικού έργου (ΕΕ L 123 της 12.5.2016, σ. 1).</w:t>
      </w:r>
    </w:p>
  </w:footnote>
  <w:footnote w:id="11">
    <w:p>
      <w:pPr>
        <w:pStyle w:val="FootnoteText"/>
      </w:pPr>
      <w:r>
        <w:rPr>
          <w:rStyle w:val="FootnoteReference"/>
        </w:rPr>
        <w:footnoteRef/>
      </w:r>
      <w:r>
        <w:tab/>
      </w:r>
      <w:r>
        <w:rPr>
          <w:rStyle w:val="Aucun"/>
        </w:rPr>
        <w:t>ΕΕ C </w:t>
      </w:r>
      <w:r>
        <w:rPr>
          <w:rStyle w:val="Aucun"/>
          <w:color w:val="0000FF"/>
          <w:u w:color="0000FF"/>
        </w:rPr>
        <w:t>[…]</w:t>
      </w:r>
      <w:r>
        <w:rPr>
          <w:rStyle w:val="Aucun"/>
        </w:rPr>
        <w:t xml:space="preserve"> της </w:t>
      </w:r>
      <w:r>
        <w:rPr>
          <w:rStyle w:val="Aucun"/>
          <w:color w:val="0000FF"/>
          <w:u w:color="0000FF"/>
        </w:rPr>
        <w:t>[…]</w:t>
      </w:r>
      <w:r>
        <w:rPr>
          <w:rStyle w:val="Aucun"/>
        </w:rPr>
        <w:t>, p. </w:t>
      </w:r>
      <w:r>
        <w:rPr>
          <w:rStyle w:val="Aucun"/>
          <w:color w:val="0000FF"/>
          <w:u w:color="0000FF"/>
        </w:rPr>
        <w:t>[…]</w:t>
      </w:r>
      <w:r>
        <w:rPr>
          <w:rStyle w:val="Aucun"/>
        </w:rPr>
        <w:t>.</w:t>
      </w:r>
    </w:p>
  </w:footnote>
  <w:footnote w:id="12">
    <w:p>
      <w:pPr>
        <w:pStyle w:val="FootnoteText"/>
      </w:pPr>
      <w:r>
        <w:rPr>
          <w:rStyle w:val="FootnoteReference"/>
        </w:rPr>
        <w:footnoteRef/>
      </w:r>
      <w:r>
        <w:tab/>
      </w:r>
      <w:r>
        <w:rPr>
          <w:rStyle w:val="Aucun"/>
        </w:rPr>
        <w:t>ΕΕ C </w:t>
      </w:r>
      <w:r>
        <w:rPr>
          <w:rStyle w:val="Aucun"/>
          <w:color w:val="0000FF"/>
          <w:u w:color="0000FF"/>
        </w:rPr>
        <w:t>[…]</w:t>
      </w:r>
      <w:r>
        <w:rPr>
          <w:rStyle w:val="Aucun"/>
        </w:rPr>
        <w:t xml:space="preserve"> της </w:t>
      </w:r>
      <w:r>
        <w:rPr>
          <w:rStyle w:val="Aucun"/>
          <w:color w:val="0000FF"/>
          <w:u w:color="0000FF"/>
        </w:rPr>
        <w:t>[…]</w:t>
      </w:r>
      <w:r>
        <w:rPr>
          <w:rStyle w:val="Aucun"/>
        </w:rPr>
        <w:t>, p. </w:t>
      </w:r>
      <w:r>
        <w:rPr>
          <w:rStyle w:val="Aucun"/>
          <w:color w:val="0000FF"/>
          <w:u w:color="0000FF"/>
        </w:rPr>
        <w:t>[…]</w:t>
      </w:r>
      <w:r>
        <w:rPr>
          <w:rStyle w:val="Aucun"/>
        </w:rPr>
        <w:t>.</w:t>
      </w:r>
    </w:p>
  </w:footnote>
  <w:footnote w:id="13">
    <w:p>
      <w:pPr>
        <w:pStyle w:val="FootnoteText"/>
      </w:pPr>
      <w:r>
        <w:rPr>
          <w:rStyle w:val="FootnoteReference"/>
        </w:rPr>
        <w:footnoteRef/>
      </w:r>
      <w:r>
        <w:tab/>
      </w:r>
      <w:r>
        <w:rPr>
          <w:rStyle w:val="Aucun"/>
        </w:rPr>
        <w:t>COM(2018)97 final.</w:t>
      </w:r>
    </w:p>
  </w:footnote>
  <w:footnote w:id="14">
    <w:p>
      <w:pPr>
        <w:pStyle w:val="FootnoteText"/>
      </w:pPr>
      <w:r>
        <w:rPr>
          <w:rStyle w:val="FootnoteReference"/>
        </w:rPr>
        <w:footnoteRef/>
      </w:r>
      <w:r>
        <w:tab/>
      </w:r>
      <w:r>
        <w:rPr>
          <w:rStyle w:val="Aucun"/>
        </w:rPr>
        <w:t>COM(2018)353.</w:t>
      </w:r>
    </w:p>
  </w:footnote>
  <w:footnote w:id="15">
    <w:p>
      <w:pPr>
        <w:pStyle w:val="FootnoteText"/>
      </w:pPr>
      <w:r>
        <w:rPr>
          <w:rStyle w:val="FootnoteReference"/>
        </w:rPr>
        <w:footnoteRef/>
      </w:r>
      <w:r>
        <w:tab/>
        <w:t>Οδηγία (ΕΕ) 2016/2284 του Ευρωπαϊκού Κοινοβουλίου και του Συμβουλίου, της 14ης Δεκεμβρίου 2016, σχετικά με τη μείωση των εθνικών εκπομπών ορισμένων ατμοσφαιρικών ρύπων, την τροποποίηση της οδηγίας 2003/35/ΕΚ και την κατάργηση της οδηγίας 2001/81/ΕΚ (ΕΕ L 344 της 17.12.2016, σ. 1).</w:t>
      </w:r>
    </w:p>
  </w:footnote>
  <w:footnote w:id="16">
    <w:p>
      <w:pPr>
        <w:pStyle w:val="NormalWeb"/>
        <w:spacing w:before="0" w:after="0" w:line="240" w:lineRule="auto"/>
      </w:pPr>
      <w:r>
        <w:rPr>
          <w:rStyle w:val="FootnoteReference"/>
        </w:rPr>
        <w:footnoteRef/>
      </w:r>
      <w:r>
        <w:tab/>
      </w:r>
      <w:r>
        <w:rPr>
          <w:rStyle w:val="Aucun"/>
          <w:sz w:val="20"/>
        </w:rPr>
        <w:t xml:space="preserve">COM(2017) 206. </w:t>
      </w:r>
    </w:p>
  </w:footnote>
  <w:footnote w:id="17">
    <w:p>
      <w:pPr>
        <w:pStyle w:val="Corps"/>
        <w:spacing w:before="0" w:after="0"/>
      </w:pPr>
      <w:r>
        <w:rPr>
          <w:rStyle w:val="FootnoteReference"/>
        </w:rPr>
        <w:footnoteRef/>
      </w:r>
      <w:r>
        <w:tab/>
      </w:r>
      <w:r>
        <w:rPr>
          <w:rStyle w:val="Aucun"/>
          <w:sz w:val="20"/>
        </w:rPr>
        <w:t>COM(2017) 250.</w:t>
      </w:r>
    </w:p>
  </w:footnote>
  <w:footnote w:id="18">
    <w:p>
      <w:pPr>
        <w:pStyle w:val="FootnoteText"/>
      </w:pPr>
      <w:r>
        <w:rPr>
          <w:rStyle w:val="FootnoteReference"/>
        </w:rPr>
        <w:footnoteRef/>
      </w:r>
      <w:r>
        <w:tab/>
        <w:t>Δημοσιεύτηκε ως</w:t>
      </w:r>
      <w:r>
        <w:rPr>
          <w:rStyle w:val="Aucun"/>
          <w:b/>
        </w:rPr>
        <w:t xml:space="preserve"> έγγραφο συζήτησης για την ευρωπαϊκή οικονομία</w:t>
      </w:r>
      <w:r>
        <w:t xml:space="preserve"> αριθ. 074 τον Ιανουάριο του 2018.</w:t>
      </w:r>
    </w:p>
  </w:footnote>
  <w:footnote w:id="19">
    <w:p>
      <w:pPr>
        <w:pStyle w:val="FootnoteText"/>
      </w:pPr>
      <w:r>
        <w:rPr>
          <w:rStyle w:val="FootnoteReference"/>
        </w:rPr>
        <w:footnoteRef/>
      </w:r>
      <w:r>
        <w:tab/>
      </w:r>
    </w:p>
  </w:footnote>
  <w:footnote w:id="20">
    <w:p>
      <w:pPr>
        <w:pStyle w:val="FootnoteText"/>
      </w:pPr>
      <w:r>
        <w:rPr>
          <w:rStyle w:val="FootnoteReference"/>
        </w:rPr>
        <w:footnoteRef/>
      </w:r>
      <w:r>
        <w:tab/>
        <w:t xml:space="preserve">Παραπομπή που πρέπει να προσαρμοστεί: ΕΕ C 373 της 20.12.2013, σ. 1. Η συμφωνία είναι διαθέσιμη στη διεύθυνση: </w:t>
      </w:r>
      <w:hyperlink r:id="rId1">
        <w:r>
          <w:rPr>
            <w:rStyle w:val="Hyperlink"/>
            <w:u w:color="000000"/>
          </w:rPr>
          <w:t>http://eur-lex.europa.eu/legal-content/EN/TXT/?uri=uriserv:OJ.C_.2013.373.01.0001.01.ENG&amp;toc=OJ:C:2013:373:TOC</w:t>
        </w:r>
      </w:hyperlink>
      <w:r>
        <w:rPr>
          <w:rStyle w:val="Aucun"/>
          <w:color w:val="008000"/>
          <w:u w:color="008000"/>
        </w:rPr>
        <w:t xml:space="preserve"> </w:t>
      </w:r>
    </w:p>
  </w:footnote>
  <w:footnote w:id="21">
    <w:p>
      <w:pPr>
        <w:pStyle w:val="FootnoteText"/>
      </w:pPr>
      <w:r>
        <w:rPr>
          <w:rStyle w:val="FootnoteReference"/>
        </w:rPr>
        <w:footnoteRef/>
      </w:r>
      <w:r>
        <w:tab/>
        <w:t>Διοργανική συμφωνία μεταξύ του Ευρωπαϊκού Κοινοβουλίου, του Συμβουλίου της Ευρωπαϊκής Ένωσης και της Ευρωπαϊκής Επιτροπής, της 13ης Απριλίου 2016, για τη βελτίωση του νομοθετικού έργου (ΕΕ L 123 της 12.5.2016, σ. 1).</w:t>
      </w:r>
    </w:p>
  </w:footnote>
  <w:footnote w:id="22">
    <w:p>
      <w:pPr>
        <w:pStyle w:val="FootnoteText"/>
      </w:pPr>
      <w:r>
        <w:rPr>
          <w:rStyle w:val="FootnoteReference"/>
        </w:rPr>
        <w:footnoteRef/>
      </w:r>
      <w:r>
        <w:tab/>
        <w:t>Κανονισμός (ΕΕ, Ευρατόμ) αριθ. 883/2013 του Ευρωπαϊκού Κοινοβουλίου και του Συμβουλίου, της 11ης Σεπτεμβρίου 2013, σχετικά με τις έρευνες που πραγματοποιούνται από την Ευρωπαϊκή Υπηρεσία Καταπολέμησης της Απάτης (OLAF) και την κατάργηση του κανονισμού (ΕΚ) αριθ. 1073/1999 του Ευρωπαϊκού Κοινοβουλίου και του Συμβουλίου και του κανονισμού (Ευρατόμ) αριθ. 1074/1999 του Συμβουλίου (ΕΕ L 248 της 18.9.2013, σ. 1).</w:t>
      </w:r>
    </w:p>
  </w:footnote>
  <w:footnote w:id="23">
    <w:p>
      <w:pPr>
        <w:pStyle w:val="FootnoteText"/>
      </w:pPr>
      <w:r>
        <w:rPr>
          <w:rStyle w:val="FootnoteReference"/>
        </w:rPr>
        <w:footnoteRef/>
      </w:r>
      <w:r>
        <w:tab/>
        <w:t>Κανονισμός (ΕΚ, Ευρατόμ) αριθ. 2988/95 του Συμβουλίου, της 18ης Δεκεμβρίου 1995, σχετικά με την προστασία των οικονομικών συμφερόντων των Ευρωπαϊκών Κοινοτήτων (ΕΕ L 312 της 23.12.95, σ. 1).</w:t>
      </w:r>
    </w:p>
  </w:footnote>
  <w:footnote w:id="24">
    <w:p>
      <w:pPr>
        <w:pStyle w:val="FootnoteText"/>
      </w:pPr>
      <w:r>
        <w:rPr>
          <w:rStyle w:val="FootnoteReference"/>
        </w:rPr>
        <w:footnoteRef/>
      </w:r>
      <w:r>
        <w:tab/>
        <w:t>Κανονισμός (Ευρατόμ, ΕΚ) αριθ. 2185/96 του Συμβουλίου, της 11ης Νοεμβρίου 1996, σχετικά με τους ελέγχους και εξακριβώσεις που διεξάγει επιτοπίως η Επιτροπή με σκοπό την προστασία των οικονομικών συμφερόντων των Ευρωπαϊκών Κοινοτήτων από απάτες και λοιπές παρατυπίες (ΕΕ L 292 της 15.11.96, σ. 2</w:t>
      </w:r>
      <w:r>
        <w:rPr>
          <w:rStyle w:val="Aucun"/>
          <w:color w:val="0000FF"/>
          <w:u w:color="0000FF"/>
        </w:rPr>
        <w:t>)</w:t>
      </w:r>
      <w:r>
        <w:t>.</w:t>
      </w:r>
    </w:p>
  </w:footnote>
  <w:footnote w:id="25">
    <w:p>
      <w:pPr>
        <w:pStyle w:val="FootnoteText"/>
      </w:pPr>
      <w:r>
        <w:rPr>
          <w:rStyle w:val="FootnoteReference"/>
        </w:rPr>
        <w:footnoteRef/>
      </w:r>
      <w:r>
        <w:tab/>
        <w:t>Κανονισμός (ΕΕ) 2017/1939 του Συμβουλίου, της 12ης Οκτωβρίου 2017, σχετικά με την εφαρμογή ενισχυμένης συνεργασίας για τη σύσταση της Ευρωπαϊκής Εισαγγελίας (ΕΕ L 283, της 31.10.2017, σ. 1</w:t>
      </w:r>
      <w:r>
        <w:rPr>
          <w:rStyle w:val="Aucun"/>
          <w:color w:val="0000FF"/>
          <w:u w:color="0000FF"/>
        </w:rPr>
        <w:t>)</w:t>
      </w:r>
    </w:p>
  </w:footnote>
  <w:footnote w:id="26">
    <w:p>
      <w:pPr>
        <w:pStyle w:val="FootnoteText"/>
      </w:pPr>
      <w:r>
        <w:rPr>
          <w:rStyle w:val="FootnoteReference"/>
        </w:rPr>
        <w:footnoteRef/>
      </w:r>
      <w:r>
        <w:tab/>
        <w:t>Οδηγία (ΕΕ) 2017/1371 του Ευρωπαϊκού Κοινοβουλίου και του Συμβουλίου, της 5ης Ιουλίου 2017, σχετικά με την καταπολέμηση, μέσω του ποινικού δικαίου, της απάτης εις βάρος των οικονομικών συμφερόντων της Ένωσης (ΕΕ L 198 της 28.7.2017, σ. 29).</w:t>
      </w:r>
    </w:p>
  </w:footnote>
  <w:footnote w:id="27">
    <w:p>
      <w:pPr>
        <w:pStyle w:val="FootnoteText"/>
      </w:pPr>
      <w:r>
        <w:rPr>
          <w:rStyle w:val="FootnoteReference"/>
        </w:rPr>
        <w:footnoteRef/>
      </w:r>
      <w:r>
        <w:tab/>
        <w:t>Σύσταση 2003/361/ΕΚ της Επιτροπής, της 6ης Μαΐου 2003, σχετικά με τον ορισμό των πολύ μικρών, των μικρών και των μεσαίων επιχειρήσεων (ΕΕ L 124 της 20.5.2003, σ. 36).</w:t>
      </w:r>
    </w:p>
  </w:footnote>
  <w:footnote w:id="28">
    <w:p>
      <w:pPr>
        <w:pStyle w:val="FootnoteText"/>
      </w:pPr>
      <w:r>
        <w:rPr>
          <w:rStyle w:val="FootnoteReference"/>
        </w:rPr>
        <w:footnoteRef/>
      </w:r>
      <w:r>
        <w:tab/>
      </w:r>
    </w:p>
  </w:footnote>
  <w:footnote w:id="29">
    <w:p>
      <w:pPr>
        <w:pStyle w:val="FootnoteText"/>
      </w:pPr>
      <w:r>
        <w:rPr>
          <w:rStyle w:val="FootnoteReference"/>
        </w:rPr>
        <w:footnoteRef/>
      </w:r>
      <w:r>
        <w:tab/>
      </w:r>
    </w:p>
  </w:footnote>
  <w:footnote w:id="30">
    <w:p>
      <w:pPr>
        <w:pStyle w:val="FootnoteText"/>
        <w:rPr>
          <w:szCs w:val="24"/>
        </w:rPr>
      </w:pPr>
      <w:r>
        <w:rPr>
          <w:rStyle w:val="FootnoteReference"/>
        </w:rPr>
        <w:footnoteRef/>
      </w:r>
      <w:r>
        <w:tab/>
        <w:t>Όπως αναφέρεται στο άρθρο 58 παράγραφος 2 στοιχείο α) ή β) του δημοσιονομικού κανονισμού.</w:t>
      </w:r>
    </w:p>
  </w:footnote>
  <w:footnote w:id="31">
    <w:p>
      <w:pPr>
        <w:pStyle w:val="FootnoteText"/>
        <w:jc w:val="left"/>
        <w:rPr>
          <w:szCs w:val="24"/>
        </w:rPr>
      </w:pPr>
      <w:r>
        <w:rPr>
          <w:rStyle w:val="FootnoteReference"/>
        </w:rPr>
        <w:footnoteRef/>
      </w:r>
      <w:r>
        <w:tab/>
        <w:t xml:space="preserve">Οι λεπτομέρειες σχετικά με τους τρόπους διαχείρισης, καθώς και οι παραπομπές στον δημοσιονομικό κανονισμό είναι διαθέσιμες στον δικτυακό τόπο BudgWeb: </w:t>
      </w:r>
      <w:hyperlink r:id="rId2">
        <w:r>
          <w:rPr>
            <w:rStyle w:val="Hyperlink"/>
          </w:rPr>
          <w:t>https://myintracomm.ec.europa.eu/budgweb/EN/man/budgmanag/Pages/budgmanag.aspx</w:t>
        </w:r>
      </w:hyperlink>
      <w:r>
        <w:t xml:space="preserve"> </w:t>
      </w:r>
    </w:p>
  </w:footnote>
  <w:footnote w:id="32">
    <w:p>
      <w:pPr>
        <w:pStyle w:val="FootnoteText"/>
        <w:rPr>
          <w:szCs w:val="24"/>
        </w:rPr>
      </w:pPr>
      <w:r>
        <w:rPr>
          <w:rStyle w:val="FootnoteReference"/>
        </w:rPr>
        <w:footnoteRef/>
      </w:r>
      <w:r>
        <w:tab/>
        <w:t>ΔΠ = Διαχωριζόμενες πιστώσεις / ΜΔΠ = Μη διαχωριζόμενες πιστώσεις.</w:t>
      </w:r>
    </w:p>
  </w:footnote>
  <w:footnote w:id="33">
    <w:p>
      <w:pPr>
        <w:pStyle w:val="FootnoteText"/>
        <w:rPr>
          <w:szCs w:val="24"/>
        </w:rPr>
      </w:pPr>
      <w:r>
        <w:rPr>
          <w:rStyle w:val="FootnoteReference"/>
        </w:rPr>
        <w:footnoteRef/>
      </w:r>
      <w:r>
        <w:tab/>
        <w:t xml:space="preserve">ΕΖΕΣ: Ευρωπαϊκή Ζώνη Ελεύθερων Συναλλαγών. </w:t>
      </w:r>
    </w:p>
  </w:footnote>
  <w:footnote w:id="34">
    <w:p>
      <w:pPr>
        <w:pStyle w:val="FootnoteText"/>
        <w:rPr>
          <w:szCs w:val="24"/>
        </w:rPr>
      </w:pPr>
      <w:r>
        <w:rPr>
          <w:rStyle w:val="FootnoteReference"/>
        </w:rPr>
        <w:footnoteRef/>
      </w:r>
      <w:r>
        <w:tab/>
        <w:t>Υποψήφιες χώρες και, κατά περίπτωση, δυνάμει υποψήφιες για ένταξη χώρες των Δυτικών Βαλκανίων.</w:t>
      </w:r>
    </w:p>
  </w:footnote>
  <w:footnote w:id="35">
    <w:p>
      <w:pPr>
        <w:pStyle w:val="FootnoteText"/>
      </w:pPr>
      <w:r>
        <w:rPr>
          <w:rStyle w:val="FootnoteReference"/>
        </w:rPr>
        <w:footnoteRef/>
      </w:r>
      <w:r>
        <w:tab/>
        <w:t>Η διαφορά των συνόλων μπορεί να οφείλεται στη στρογγυλοποίηση.</w:t>
      </w:r>
    </w:p>
  </w:footnote>
  <w:footnote w:id="36">
    <w:p>
      <w:pPr>
        <w:pStyle w:val="FootnoteText"/>
        <w:rPr>
          <w:szCs w:val="24"/>
        </w:rPr>
      </w:pPr>
      <w:r>
        <w:rPr>
          <w:rStyle w:val="FootnoteReference"/>
        </w:rPr>
        <w:footnoteRef/>
      </w:r>
      <w:r>
        <w:tab/>
        <w:t>Τεχνική και/ή διοικητική βοήθεια και δαπάνες στήριξης της εφαρμογής προγραμμάτων και/ή δράσεων της ΕΕ (πρώην γραμμές «BA»), έμμεση έρευνα, άμεση έρευνα.</w:t>
      </w:r>
    </w:p>
  </w:footnote>
  <w:footnote w:id="37">
    <w:p>
      <w:pPr>
        <w:pStyle w:val="FootnoteText"/>
        <w:rPr>
          <w:szCs w:val="24"/>
        </w:rPr>
      </w:pPr>
      <w:r>
        <w:rPr>
          <w:rStyle w:val="FootnoteReference"/>
        </w:rPr>
        <w:footnoteRef/>
      </w:r>
      <w:r>
        <w:tab/>
        <w:t>Τεχνική και/ή διοικητική βοήθεια και δαπάνες στήριξης της εφαρμογής προγραμμάτων και/ή δράσεων της ΕΕ (πρώην γραμμές «BA»), έμμεση έρευνα, άμεση έρευνα.</w:t>
      </w:r>
    </w:p>
  </w:footnote>
  <w:footnote w:id="38">
    <w:p>
      <w:pPr>
        <w:pStyle w:val="FootnoteText"/>
        <w:rPr>
          <w:szCs w:val="24"/>
        </w:rPr>
      </w:pPr>
      <w:r>
        <w:rPr>
          <w:rStyle w:val="FootnoteReference"/>
        </w:rPr>
        <w:footnoteRef/>
      </w:r>
      <w:r>
        <w:tab/>
        <w:t xml:space="preserve">AC = Συμβασιούχος υπάλληλος· AL = Τοπικός υπάλληλος· END = Αποσπασμένος εθνικός εμπειρογνώμονας· INT = Προσωρινό προσωπικό· JPD = Νέος επαγγελματίας σε αντιπροσωπεία της ΕΕ. </w:t>
      </w:r>
    </w:p>
  </w:footnote>
  <w:footnote w:id="39">
    <w:p>
      <w:pPr>
        <w:pStyle w:val="FootnoteText"/>
        <w:rPr>
          <w:szCs w:val="24"/>
        </w:rPr>
      </w:pPr>
      <w:r>
        <w:rPr>
          <w:rStyle w:val="FootnoteReference"/>
        </w:rPr>
        <w:footnoteRef/>
      </w:r>
      <w:r>
        <w:tab/>
        <w:t>Επιμέρους ανώτατο όριο εξωτερικού προσωπικού που καλύπτεται από επιχειρησιακές πιστώσεις (πρώην γραμμές «BA»).</w:t>
      </w:r>
    </w:p>
  </w:footnote>
  <w:footnote w:id="40">
    <w:p>
      <w:pPr>
        <w:pStyle w:val="FootnoteText"/>
        <w:rPr>
          <w:szCs w:val="24"/>
        </w:rPr>
      </w:pPr>
      <w:r>
        <w:rPr>
          <w:rStyle w:val="FootnoteReference"/>
        </w:rPr>
        <w:footnoteRef/>
      </w:r>
      <w:r>
        <w:tab/>
        <w:t>Όσον αφορά τους παραδοσιακούς ιδίους πόρους (δασμούς, εισφορές ζάχαρης), τα αναγραφόμενα ποσά πρέπει να είναι καθαρά ποσά, δηλ. τα ακαθάριστα ποσά μετά την αφαίρεση του 20 % για έξοδα είσπραξης.</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Landscape"/>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Landscape"/>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014AD794"/>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6234FC9A"/>
    <w:lvl w:ilvl="0">
      <w:start w:val="1"/>
      <w:numFmt w:val="decimal"/>
      <w:pStyle w:val="ListNumber3"/>
      <w:lvlText w:val="%1."/>
      <w:lvlJc w:val="left"/>
      <w:pPr>
        <w:tabs>
          <w:tab w:val="num" w:pos="926"/>
        </w:tabs>
        <w:ind w:left="926" w:hanging="360"/>
      </w:pPr>
    </w:lvl>
  </w:abstractNum>
  <w:abstractNum w:abstractNumId="2">
    <w:nsid w:val="FFFFFF7F"/>
    <w:multiLevelType w:val="singleLevel"/>
    <w:tmpl w:val="B094A972"/>
    <w:lvl w:ilvl="0">
      <w:start w:val="1"/>
      <w:numFmt w:val="decimal"/>
      <w:pStyle w:val="ListNumber2"/>
      <w:lvlText w:val="%1."/>
      <w:lvlJc w:val="left"/>
      <w:pPr>
        <w:tabs>
          <w:tab w:val="num" w:pos="643"/>
        </w:tabs>
        <w:ind w:left="643" w:hanging="360"/>
      </w:pPr>
    </w:lvl>
  </w:abstractNum>
  <w:abstractNum w:abstractNumId="3">
    <w:nsid w:val="FFFFFF81"/>
    <w:multiLevelType w:val="singleLevel"/>
    <w:tmpl w:val="FA9E12AE"/>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0EBA54CA"/>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77AA4F4A"/>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04C6479A"/>
    <w:multiLevelType w:val="hybridMultilevel"/>
    <w:tmpl w:val="6B808576"/>
    <w:styleLink w:val="Style5import"/>
    <w:lvl w:ilvl="0" w:tplc="9C10BEDE">
      <w:start w:val="1"/>
      <w:numFmt w:val="decimal"/>
      <w:lvlText w:val="(%1)"/>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770A292">
      <w:start w:val="1"/>
      <w:numFmt w:val="lowerLetter"/>
      <w:lvlText w:val="(%2)"/>
      <w:lvlJc w:val="left"/>
      <w:pPr>
        <w:ind w:left="1417"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8BCC71A">
      <w:start w:val="1"/>
      <w:numFmt w:val="lowerRoman"/>
      <w:lvlText w:val="(%3)"/>
      <w:lvlJc w:val="left"/>
      <w:pPr>
        <w:ind w:left="2126"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102B1C0">
      <w:start w:val="1"/>
      <w:numFmt w:val="lowerRoman"/>
      <w:lvlText w:val="(%4)"/>
      <w:lvlJc w:val="left"/>
      <w:pPr>
        <w:ind w:left="1963" w:hanging="53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1C0131C">
      <w:start w:val="1"/>
      <w:numFmt w:val="lowerLetter"/>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C4C3C58">
      <w:start w:val="1"/>
      <w:numFmt w:val="lowerRoman"/>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7003180">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92BA8A">
      <w:start w:val="1"/>
      <w:numFmt w:val="lowerLetter"/>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100A21C">
      <w:start w:val="1"/>
      <w:numFmt w:val="lowerRoman"/>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nsid w:val="062C6A95"/>
    <w:multiLevelType w:val="singleLevel"/>
    <w:tmpl w:val="02BAFA82"/>
    <w:name w:val="List Bullet 1"/>
    <w:lvl w:ilvl="0">
      <w:start w:val="1"/>
      <w:numFmt w:val="bullet"/>
      <w:lvlRestart w:val="0"/>
      <w:pStyle w:val="ListBullet1"/>
      <w:lvlText w:val=""/>
      <w:lvlJc w:val="left"/>
      <w:pPr>
        <w:tabs>
          <w:tab w:val="num" w:pos="1134"/>
        </w:tabs>
        <w:ind w:left="1134" w:hanging="283"/>
      </w:pPr>
      <w:rPr>
        <w:rFonts w:ascii="Symbol" w:hAnsi="Symbol" w:hint="default"/>
      </w:rPr>
    </w:lvl>
  </w:abstractNum>
  <w:abstractNum w:abstractNumId="8">
    <w:nsid w:val="14FE7E03"/>
    <w:multiLevelType w:val="hybridMultilevel"/>
    <w:tmpl w:val="FD98427A"/>
    <w:styleLink w:val="Style3import"/>
    <w:lvl w:ilvl="0" w:tplc="A24CB368">
      <w:start w:val="1"/>
      <w:numFmt w:val="decimal"/>
      <w:lvlText w:val="(%1)"/>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A12178C">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066E002">
      <w:start w:val="1"/>
      <w:numFmt w:val="decimal"/>
      <w:lvlText w:val="(%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BB8BD2C">
      <w:start w:val="1"/>
      <w:numFmt w:val="decimal"/>
      <w:lvlText w:val="(%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CDCE636">
      <w:start w:val="1"/>
      <w:numFmt w:val="decimal"/>
      <w:lvlText w:val="(%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7007BFE">
      <w:start w:val="1"/>
      <w:numFmt w:val="decimal"/>
      <w:lvlText w:val="(%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3EAFA8A">
      <w:start w:val="1"/>
      <w:numFmt w:val="decimal"/>
      <w:lvlText w:val="(%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7984044">
      <w:start w:val="1"/>
      <w:numFmt w:val="decimal"/>
      <w:lvlText w:val="(%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40E88BA">
      <w:start w:val="1"/>
      <w:numFmt w:val="decimal"/>
      <w:lvlText w:val="(%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nsid w:val="1B0557C4"/>
    <w:multiLevelType w:val="hybridMultilevel"/>
    <w:tmpl w:val="9558B820"/>
    <w:styleLink w:val="Style2import"/>
    <w:lvl w:ilvl="0" w:tplc="4E9659C8">
      <w:start w:val="1"/>
      <w:numFmt w:val="bullet"/>
      <w:lvlText w:val="·"/>
      <w:lvlJc w:val="left"/>
      <w:pPr>
        <w:ind w:left="850" w:hanging="85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492A30E">
      <w:start w:val="1"/>
      <w:numFmt w:val="bullet"/>
      <w:lvlText w:val="·"/>
      <w:lvlJc w:val="left"/>
      <w:pPr>
        <w:ind w:left="850" w:hanging="85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E803A8C">
      <w:start w:val="1"/>
      <w:numFmt w:val="bullet"/>
      <w:lvlText w:val="·"/>
      <w:lvlJc w:val="left"/>
      <w:pPr>
        <w:ind w:left="850" w:hanging="85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02A1008">
      <w:start w:val="1"/>
      <w:numFmt w:val="bullet"/>
      <w:lvlText w:val="·"/>
      <w:lvlJc w:val="left"/>
      <w:pPr>
        <w:ind w:left="850" w:hanging="85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5A6B908">
      <w:start w:val="1"/>
      <w:numFmt w:val="bullet"/>
      <w:lvlText w:val="·"/>
      <w:lvlJc w:val="left"/>
      <w:pPr>
        <w:ind w:left="850" w:hanging="85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20C9A24">
      <w:start w:val="1"/>
      <w:numFmt w:val="bullet"/>
      <w:lvlText w:val="·"/>
      <w:lvlJc w:val="left"/>
      <w:pPr>
        <w:ind w:left="850" w:hanging="85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7AA7584">
      <w:start w:val="1"/>
      <w:numFmt w:val="bullet"/>
      <w:lvlText w:val="·"/>
      <w:lvlJc w:val="left"/>
      <w:pPr>
        <w:ind w:left="850" w:hanging="85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996BABC">
      <w:start w:val="1"/>
      <w:numFmt w:val="bullet"/>
      <w:lvlText w:val="·"/>
      <w:lvlJc w:val="left"/>
      <w:pPr>
        <w:ind w:left="850" w:hanging="85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42AD58E">
      <w:start w:val="1"/>
      <w:numFmt w:val="bullet"/>
      <w:lvlText w:val="·"/>
      <w:lvlJc w:val="left"/>
      <w:pPr>
        <w:ind w:left="850" w:hanging="85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11">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53F12BE"/>
    <w:multiLevelType w:val="hybridMultilevel"/>
    <w:tmpl w:val="7640E8B6"/>
    <w:styleLink w:val="Style4import"/>
    <w:lvl w:ilvl="0" w:tplc="414A16A4">
      <w:start w:val="1"/>
      <w:numFmt w:val="decimal"/>
      <w:lvlText w:val="(%1)"/>
      <w:lvlJc w:val="left"/>
      <w:pPr>
        <w:ind w:left="850" w:hanging="85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FE4A0C8">
      <w:start w:val="1"/>
      <w:numFmt w:val="lowerLetter"/>
      <w:lvlText w:val="(%2)"/>
      <w:lvlJc w:val="left"/>
      <w:pPr>
        <w:ind w:left="850" w:hanging="85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8D4E25A">
      <w:start w:val="1"/>
      <w:numFmt w:val="decimal"/>
      <w:lvlText w:val="(%3)"/>
      <w:lvlJc w:val="left"/>
      <w:pPr>
        <w:ind w:left="1417"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DBA9CCC">
      <w:start w:val="1"/>
      <w:numFmt w:val="lowerLetter"/>
      <w:lvlText w:val="(%4)"/>
      <w:lvlJc w:val="left"/>
      <w:pPr>
        <w:ind w:left="1417"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6325F3E">
      <w:start w:val="1"/>
      <w:numFmt w:val="decimal"/>
      <w:lvlText w:val="(%5)"/>
      <w:lvlJc w:val="left"/>
      <w:pPr>
        <w:ind w:left="1984"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1D82B90">
      <w:start w:val="1"/>
      <w:numFmt w:val="lowerLetter"/>
      <w:lvlText w:val="(%6)"/>
      <w:lvlJc w:val="left"/>
      <w:pPr>
        <w:ind w:left="1984"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CB2EB30">
      <w:start w:val="1"/>
      <w:numFmt w:val="decimal"/>
      <w:lvlText w:val="(%7)"/>
      <w:lvlJc w:val="left"/>
      <w:pPr>
        <w:ind w:left="2551"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E46DD06">
      <w:start w:val="1"/>
      <w:numFmt w:val="lowerLetter"/>
      <w:lvlText w:val="(%8)"/>
      <w:lvlJc w:val="left"/>
      <w:pPr>
        <w:ind w:left="2551"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53AF058">
      <w:start w:val="1"/>
      <w:numFmt w:val="lowerLetter"/>
      <w:lvlText w:val="(%9)"/>
      <w:lvlJc w:val="left"/>
      <w:pPr>
        <w:ind w:left="31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4">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5">
    <w:nsid w:val="2D820C1F"/>
    <w:multiLevelType w:val="singleLevel"/>
    <w:tmpl w:val="7896AADE"/>
    <w:name w:val="List Dash"/>
    <w:lvl w:ilvl="0">
      <w:start w:val="1"/>
      <w:numFmt w:val="bullet"/>
      <w:pStyle w:val="ListDash"/>
      <w:lvlText w:val="–"/>
      <w:lvlJc w:val="left"/>
      <w:pPr>
        <w:tabs>
          <w:tab w:val="num" w:pos="283"/>
        </w:tabs>
        <w:ind w:left="283" w:hanging="283"/>
      </w:pPr>
      <w:rPr>
        <w:rFonts w:ascii="Times New Roman" w:hAnsi="Times New Roman"/>
      </w:rPr>
    </w:lvl>
  </w:abstractNum>
  <w:abstractNum w:abstractNumId="16">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7">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8">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9">
    <w:nsid w:val="489D74ED"/>
    <w:multiLevelType w:val="singleLevel"/>
    <w:tmpl w:val="C2E2F936"/>
    <w:name w:val="List Dash 2"/>
    <w:lvl w:ilvl="0">
      <w:start w:val="1"/>
      <w:numFmt w:val="bullet"/>
      <w:lvlRestart w:val="0"/>
      <w:pStyle w:val="ListDash2"/>
      <w:lvlText w:val="–"/>
      <w:lvlJc w:val="left"/>
      <w:pPr>
        <w:tabs>
          <w:tab w:val="num" w:pos="1134"/>
        </w:tabs>
        <w:ind w:left="1134" w:hanging="283"/>
      </w:pPr>
      <w:rPr>
        <w:rFonts w:ascii="Times New Roman" w:hAnsi="Times New Roman" w:cs="Times New Roman"/>
      </w:rPr>
    </w:lvl>
  </w:abstractNum>
  <w:abstractNum w:abstractNumId="20">
    <w:nsid w:val="4D0C058A"/>
    <w:multiLevelType w:val="singleLevel"/>
    <w:tmpl w:val="BAE8D90E"/>
    <w:name w:val="List Dash 1"/>
    <w:lvl w:ilvl="0">
      <w:start w:val="1"/>
      <w:numFmt w:val="bullet"/>
      <w:lvlRestart w:val="0"/>
      <w:pStyle w:val="ListDash1"/>
      <w:lvlText w:val="–"/>
      <w:lvlJc w:val="left"/>
      <w:pPr>
        <w:tabs>
          <w:tab w:val="num" w:pos="1134"/>
        </w:tabs>
        <w:ind w:left="1134" w:hanging="283"/>
      </w:pPr>
      <w:rPr>
        <w:rFonts w:ascii="Times New Roman" w:hAnsi="Times New Roman" w:cs="Times New Roman"/>
      </w:rPr>
    </w:lvl>
  </w:abstractNum>
  <w:abstractNum w:abstractNumId="21">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22">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3">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5DF84969"/>
    <w:multiLevelType w:val="singleLevel"/>
    <w:tmpl w:val="1E12021A"/>
    <w:lvl w:ilvl="0">
      <w:start w:val="1"/>
      <w:numFmt w:val="bullet"/>
      <w:pStyle w:val="ListBullet"/>
      <w:lvlText w:val=""/>
      <w:lvlJc w:val="left"/>
      <w:pPr>
        <w:tabs>
          <w:tab w:val="num" w:pos="283"/>
        </w:tabs>
        <w:ind w:left="283" w:hanging="283"/>
      </w:pPr>
      <w:rPr>
        <w:rFonts w:ascii="Symbol" w:hAnsi="Symbol" w:hint="default"/>
      </w:rPr>
    </w:lvl>
  </w:abstractNum>
  <w:abstractNum w:abstractNumId="26">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8">
    <w:nsid w:val="71F06166"/>
    <w:multiLevelType w:val="multilevel"/>
    <w:tmpl w:val="C08066D2"/>
    <w:name w:val="0.6719891"/>
    <w:lvl w:ilvl="0">
      <w:start w:val="1"/>
      <w:numFmt w:val="decimal"/>
      <w:lvlRestart w:val="0"/>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cs="Times New Roman"/>
      </w:rPr>
    </w:lvl>
    <w:lvl w:ilvl="3">
      <w:start w:val="1"/>
      <w:numFmt w:val="bullet"/>
      <w:pStyle w:val="ListNumberLevel4"/>
      <w:lvlText w:val=""/>
      <w:lvlJc w:val="left"/>
      <w:pPr>
        <w:tabs>
          <w:tab w:val="num" w:pos="2835"/>
        </w:tabs>
        <w:ind w:left="2835"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20"/>
  </w:num>
  <w:num w:numId="3">
    <w:abstractNumId w:val="19"/>
  </w:num>
  <w:num w:numId="4">
    <w:abstractNumId w:val="28"/>
  </w:num>
  <w:num w:numId="5">
    <w:abstractNumId w:val="25"/>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18"/>
    <w:lvlOverride w:ilvl="0">
      <w:startOverride w:val="1"/>
    </w:lvlOverride>
  </w:num>
  <w:num w:numId="9">
    <w:abstractNumId w:val="8"/>
  </w:num>
  <w:num w:numId="10">
    <w:abstractNumId w:val="29"/>
    <w:lvlOverride w:ilvl="0">
      <w:startOverride w:val="1"/>
    </w:lvlOverride>
  </w:num>
  <w:num w:numId="11">
    <w:abstractNumId w:val="12"/>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15"/>
  </w:num>
  <w:num w:numId="15">
    <w:abstractNumId w:val="5"/>
  </w:num>
  <w:num w:numId="16">
    <w:abstractNumId w:val="4"/>
  </w:num>
  <w:num w:numId="17">
    <w:abstractNumId w:val="3"/>
  </w:num>
  <w:num w:numId="18">
    <w:abstractNumId w:val="2"/>
  </w:num>
  <w:num w:numId="19">
    <w:abstractNumId w:val="1"/>
  </w:num>
  <w:num w:numId="20">
    <w:abstractNumId w:val="0"/>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4"/>
  </w:num>
  <w:num w:numId="60">
    <w:abstractNumId w:val="16"/>
  </w:num>
  <w:num w:numId="61">
    <w:abstractNumId w:val="27"/>
  </w:num>
  <w:num w:numId="62">
    <w:abstractNumId w:val="14"/>
  </w:num>
  <w:num w:numId="63">
    <w:abstractNumId w:val="17"/>
  </w:num>
  <w:num w:numId="64">
    <w:abstractNumId w:val="11"/>
  </w:num>
  <w:num w:numId="65">
    <w:abstractNumId w:val="26"/>
  </w:num>
  <w:num w:numId="66">
    <w:abstractNumId w:val="10"/>
  </w:num>
  <w:num w:numId="67">
    <w:abstractNumId w:val="18"/>
  </w:num>
  <w:num w:numId="68">
    <w:abstractNumId w:val="22"/>
  </w:num>
  <w:num w:numId="69">
    <w:abstractNumId w:val="23"/>
  </w:num>
  <w:num w:numId="70">
    <w:abstractNumId w:val="13"/>
  </w:num>
  <w:num w:numId="71">
    <w:abstractNumId w:val="21"/>
  </w:num>
  <w:num w:numId="72">
    <w:abstractNumId w:val="29"/>
  </w:num>
  <w:numIdMacAtCleanup w:val="7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WOLUWE">
    <w15:presenceInfo w15:providerId="None" w15:userId="WOLUW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removePersonalInformation/>
  <w:removeDateAndTime/>
  <w:hideSpellingErrors/>
  <w:hideGrammaticalErrors/>
  <w:attachedTemplate r:id="rId1"/>
  <w:revisionView w:markup="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18-06-13 11:28:55"/>
    <w:docVar w:name="DQCResult_Distribution" w:val="0;1"/>
    <w:docVar w:name="DQCResult_DocumentContent" w:val="0;0"/>
    <w:docVar w:name="DQCResult_DocumentSize" w:val="0;0"/>
    <w:docVar w:name="DQCResult_DocumentVersions" w:val="0;0"/>
    <w:docVar w:name="DQCResult_ExistenceOfMacros" w:val="0;0"/>
    <w:docVar w:name="DQCResult_InvalidFootnotes" w:val="0;0"/>
    <w:docVar w:name="DQCResult_LinkedStyles" w:val="0;0"/>
    <w:docVar w:name="DQCResult_ModifiedMargins" w:val="0;50"/>
    <w:docVar w:name="DQCResult_ModifiedMarkers" w:val="0;0"/>
    <w:docVar w:name="DQCResult_ModifiedNumbering" w:val="0;0"/>
    <w:docVar w:name="DQCResult_Objects" w:val="0;0"/>
    <w:docVar w:name="DQCResult_Sections" w:val="0;0"/>
    <w:docVar w:name="DQCResult_StructureCheck" w:val="0;0"/>
    <w:docVar w:name="DQCResult_SuperfluousWhitespace" w:val="0;68"/>
    <w:docVar w:name="DQCResult_UnknownFonts" w:val="0;0"/>
    <w:docVar w:name="DQCResult_UnknownStyles" w:val="0;43"/>
    <w:docVar w:name="DQCStatus" w:val="Green"/>
    <w:docVar w:name="DQCVersion" w:val="3"/>
    <w:docVar w:name="DQCWithWarnings" w:val="0"/>
    <w:docVar w:name="LW_CORRIGENDUM" w:val="&lt;UNUSED&gt;"/>
    <w:docVar w:name="LW_COVERPAGE_EXISTS" w:val="True"/>
    <w:docVar w:name="LW_COVERPAGE_GUID" w:val="8189A175-7EF1-41F3-AF37-59E68170067C"/>
    <w:docVar w:name="LW_COVERPAGE_TYPE" w:val="1"/>
    <w:docVar w:name="LW_CROSSREFERENCE" w:val="{SEC(2018) 293 final}_x000b_{SWD(2018) 314 final}_x000b_{SWD(2018) 316 final}"/>
    <w:docVar w:name="LW_DocType" w:val="COM"/>
    <w:docVar w:name="LW_EMISSION" w:val="6.6.2018"/>
    <w:docVar w:name="LW_EMISSION_ISODATE" w:val="2018-06-06"/>
    <w:docVar w:name="LW_EMISSION_LOCATION" w:val="BRX"/>
    <w:docVar w:name="LW_EMISSION_PREFIX" w:val="Βρυξέλλες, "/>
    <w:docVar w:name="LW_EMISSION_SUFFIX" w:val="&lt;EMPTY&gt;"/>
    <w:docVar w:name="LW_ID_DOCMODEL" w:val="SJ-023"/>
    <w:docVar w:name="LW_ID_DOCSIGNATURE" w:val="SJ-023"/>
    <w:docVar w:name="LW_ID_DOCSTRUCTURE" w:val="COM/PL/ORG"/>
    <w:docVar w:name="LW_ID_DOCTYPE" w:val="SJ-023"/>
    <w:docVar w:name="LW_ID_EXP.MOTIFS.NEW" w:val="EM_PL_"/>
    <w:docVar w:name="LW_ID_STATUT" w:val="SJ-023"/>
    <w:docVar w:name="LW_INTERETEEE.CP" w:val="&lt;UNUSED&gt;"/>
    <w:docVar w:name="LW_LANGUE" w:val="EL"/>
    <w:docVar w:name="LW_LEVEL_OF_SENSITIVITY" w:val="Standard treatment"/>
    <w:docVar w:name="LW_NOM.INST" w:val="\u917?\u933?\u929?\u937?\u928?\u913?\u938?\u922?\u919? \u917?\u928?\u921?\u932?\u929?\u927?\u928?\u919?"/>
    <w:docVar w:name="LW_NOM.INST_JOINTDOC" w:val="&lt;EMPTY&gt;"/>
    <w:docVar w:name="LW_PART_NBR" w:val="1"/>
    <w:docVar w:name="LW_PART_NBR_TOTAL" w:val="1"/>
    <w:docVar w:name="LW_REF.II.NEW.CP" w:val="COD"/>
    <w:docVar w:name="LW_REF.II.NEW.CP_NUMBER" w:val="0229"/>
    <w:docVar w:name="LW_REF.II.NEW.CP_YEAR" w:val="2018"/>
    <w:docVar w:name="LW_REF.INST.NEW" w:val="COM"/>
    <w:docVar w:name="LW_REF.INST.NEW_ADOPTED" w:val="final"/>
    <w:docVar w:name="LW_REF.INST.NEW_TEXT" w:val="(2018) 439"/>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TATUT.CP" w:val="\u928?\u961?\u972?\u964?\u945?\u963?\u951?"/>
    <w:docVar w:name="LW_SUPERTITRE" w:val="&lt;UNUSED&gt;"/>
    <w:docVar w:name="LW_TITRE.OBJ.CP" w:val="\u947?\u953?\u945? \u964?\u951? \u952?\u941?\u963?\u960?\u953?\u963?\u951? \u964?\u959?\u965? \u960?\u961?\u959?\u947?\u961?\u940?\u956?\u956?\u945?\u964?\u959?\u962? InvestEU"/>
    <w:docVar w:name="LW_TYPE.DOC.CP" w:val="\u922?\u913?\u925?\u927?\u925?\u921?\u931?\u924?\u927?\u931? \u932?\u927?\u933? \u917?\u933?\u929?\u937?\u928?\u913?\u938?\u922?\u927?\u933? \u922?\u927?\u921?\u925?\u927?\u914?\u927?\u933?\u923?\u921?\u927?\u933? \u922?\u913?\u921? \u932?\u927?\u933? \u931?\u933?\u924?\u914?\u927?\u933?\u923?\u921?\u927?\u933?"/>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l-GR" w:bidi="el-G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List Bullet" w:uiPriority="0"/>
    <w:lsdException w:name="List Number" w:uiPriority="0"/>
    <w:lsdException w:name="List Bullet 2" w:uiPriority="0"/>
    <w:lsdException w:name="List Bullet 3" w:uiPriority="0"/>
    <w:lsdException w:name="List Bullet 4" w:uiPriority="0"/>
    <w:lsdException w:name="List Number 2" w:uiPriority="0"/>
    <w:lsdException w:name="List Number 3" w:uiPriority="0"/>
    <w:lsdException w:name="List Number 4"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65"/>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65"/>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65"/>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65"/>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val="el-GR"/>
    </w:rPr>
  </w:style>
  <w:style w:type="paragraph" w:styleId="ListNumber">
    <w:name w:val="List Number"/>
    <w:basedOn w:val="Normal"/>
    <w:pPr>
      <w:numPr>
        <w:numId w:val="4"/>
      </w:numPr>
    </w:pPr>
    <w:rPr>
      <w:rFonts w:eastAsia="Times New Roman"/>
    </w:rPr>
  </w:style>
  <w:style w:type="paragraph" w:customStyle="1" w:styleId="ListBullet1">
    <w:name w:val="List Bullet 1"/>
    <w:basedOn w:val="Normal"/>
    <w:pPr>
      <w:numPr>
        <w:numId w:val="1"/>
      </w:numPr>
    </w:pPr>
    <w:rPr>
      <w:rFonts w:eastAsia="Times New Roman"/>
    </w:rPr>
  </w:style>
  <w:style w:type="paragraph" w:customStyle="1" w:styleId="ListDash1">
    <w:name w:val="List Dash 1"/>
    <w:basedOn w:val="Normal"/>
    <w:pPr>
      <w:numPr>
        <w:numId w:val="2"/>
      </w:numPr>
    </w:pPr>
    <w:rPr>
      <w:rFonts w:eastAsia="Times New Roman"/>
    </w:rPr>
  </w:style>
  <w:style w:type="paragraph" w:customStyle="1" w:styleId="ListDash2">
    <w:name w:val="List Dash 2"/>
    <w:basedOn w:val="Normal"/>
    <w:pPr>
      <w:numPr>
        <w:numId w:val="3"/>
      </w:numPr>
    </w:pPr>
    <w:rPr>
      <w:rFonts w:eastAsia="Times New Roman"/>
    </w:rPr>
  </w:style>
  <w:style w:type="paragraph" w:customStyle="1" w:styleId="ListNumberLevel2">
    <w:name w:val="List Number (Level 2)"/>
    <w:basedOn w:val="Normal"/>
    <w:pPr>
      <w:numPr>
        <w:ilvl w:val="1"/>
        <w:numId w:val="4"/>
      </w:numPr>
    </w:pPr>
    <w:rPr>
      <w:rFonts w:eastAsia="Times New Roman"/>
    </w:rPr>
  </w:style>
  <w:style w:type="paragraph" w:customStyle="1" w:styleId="ListNumberLevel3">
    <w:name w:val="List Number (Level 3)"/>
    <w:basedOn w:val="Normal"/>
    <w:pPr>
      <w:numPr>
        <w:ilvl w:val="2"/>
        <w:numId w:val="4"/>
      </w:numPr>
    </w:pPr>
    <w:rPr>
      <w:rFonts w:eastAsia="Times New Roman"/>
    </w:rPr>
  </w:style>
  <w:style w:type="paragraph" w:customStyle="1" w:styleId="ListNumberLevel4">
    <w:name w:val="List Number (Level 4)"/>
    <w:basedOn w:val="Normal"/>
    <w:pPr>
      <w:numPr>
        <w:ilvl w:val="3"/>
        <w:numId w:val="4"/>
      </w:numPr>
    </w:pPr>
    <w:rPr>
      <w:rFonts w:eastAsia="Times New Roman"/>
    </w:rPr>
  </w:style>
  <w:style w:type="character" w:styleId="Hyperlink">
    <w:name w:val="Hyperlink"/>
    <w:rPr>
      <w:color w:val="0000FF"/>
      <w:u w:val="single"/>
    </w:rPr>
  </w:style>
  <w:style w:type="paragraph" w:styleId="ListBullet">
    <w:name w:val="List Bullet"/>
    <w:basedOn w:val="Normal"/>
    <w:pPr>
      <w:numPr>
        <w:numId w:val="5"/>
      </w:numPr>
    </w:pPr>
    <w:rPr>
      <w:rFonts w:eastAsia="Times New Roman"/>
    </w:rPr>
  </w:style>
  <w:style w:type="paragraph" w:customStyle="1" w:styleId="En-tte">
    <w:name w:val="En-tête"/>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character" w:customStyle="1" w:styleId="Aucun">
    <w:name w:val="Aucun"/>
    <w:rPr>
      <w:lang w:val="el-GR"/>
    </w:rPr>
  </w:style>
  <w:style w:type="paragraph" w:customStyle="1" w:styleId="Corps">
    <w:name w:val="Corps"/>
    <w:pPr>
      <w:pBdr>
        <w:top w:val="nil"/>
        <w:left w:val="nil"/>
        <w:bottom w:val="nil"/>
        <w:right w:val="nil"/>
        <w:between w:val="nil"/>
        <w:bar w:val="nil"/>
      </w:pBdr>
      <w:spacing w:before="120" w:after="120" w:line="240" w:lineRule="auto"/>
      <w:jc w:val="both"/>
    </w:pPr>
    <w:rPr>
      <w:rFonts w:ascii="Times New Roman" w:eastAsia="Times New Roman" w:hAnsi="Times New Roman" w:cs="Times New Roman"/>
      <w:color w:val="000000"/>
      <w:sz w:val="24"/>
      <w:szCs w:val="24"/>
      <w:u w:color="000000"/>
      <w:bdr w:val="nil"/>
    </w:rPr>
  </w:style>
  <w:style w:type="numbering" w:customStyle="1" w:styleId="Style2import">
    <w:name w:val="Style 2 importé"/>
    <w:pPr>
      <w:numPr>
        <w:numId w:val="7"/>
      </w:numPr>
    </w:pPr>
  </w:style>
  <w:style w:type="paragraph" w:styleId="ListParagraph">
    <w:name w:val="List Paragraph"/>
    <w:aliases w:val="List Paragraph (numbered (a)),List Paragraph Char Char Char,Use Case List Paragraph,List Paragraph2,Main numbered paragraph,Bullet paras,Colorful List - Accent 11,Text,Citation List,References,Heading 2_sj,List Paragraph1"/>
    <w:link w:val="ListParagraphChar"/>
    <w:uiPriority w:val="34"/>
    <w:qFormat/>
    <w:pPr>
      <w:pBdr>
        <w:top w:val="nil"/>
        <w:left w:val="nil"/>
        <w:bottom w:val="nil"/>
        <w:right w:val="nil"/>
        <w:between w:val="nil"/>
        <w:bar w:val="nil"/>
      </w:pBdr>
      <w:spacing w:before="120" w:after="120" w:line="240" w:lineRule="auto"/>
      <w:ind w:left="720"/>
      <w:jc w:val="both"/>
    </w:pPr>
    <w:rPr>
      <w:rFonts w:ascii="Times New Roman" w:eastAsia="Arial Unicode MS" w:hAnsi="Times New Roman" w:cs="Arial Unicode MS"/>
      <w:color w:val="000000"/>
      <w:sz w:val="24"/>
      <w:szCs w:val="24"/>
      <w:u w:color="000000"/>
      <w:bdr w:val="nil"/>
    </w:rPr>
  </w:style>
  <w:style w:type="character" w:customStyle="1" w:styleId="Lien">
    <w:name w:val="Lien"/>
    <w:rPr>
      <w:color w:val="0000FF"/>
      <w:u w:val="single" w:color="0000FF"/>
    </w:rPr>
  </w:style>
  <w:style w:type="numbering" w:customStyle="1" w:styleId="Style3import">
    <w:name w:val="Style 3 importé"/>
    <w:pPr>
      <w:numPr>
        <w:numId w:val="9"/>
      </w:numPr>
    </w:pPr>
  </w:style>
  <w:style w:type="paragraph" w:styleId="NormalWeb">
    <w:name w:val="Normal (Web)"/>
    <w:pPr>
      <w:pBdr>
        <w:top w:val="nil"/>
        <w:left w:val="nil"/>
        <w:bottom w:val="nil"/>
        <w:right w:val="nil"/>
        <w:between w:val="nil"/>
        <w:bar w:val="nil"/>
      </w:pBdr>
      <w:spacing w:before="120" w:after="120" w:line="360" w:lineRule="auto"/>
    </w:pPr>
    <w:rPr>
      <w:rFonts w:ascii="Times New Roman" w:eastAsia="Times New Roman" w:hAnsi="Times New Roman" w:cs="Times New Roman"/>
      <w:color w:val="000000"/>
      <w:sz w:val="24"/>
      <w:szCs w:val="24"/>
      <w:u w:color="000000"/>
      <w:bdr w:val="nil"/>
    </w:rPr>
  </w:style>
  <w:style w:type="character" w:customStyle="1" w:styleId="Hyperlink0">
    <w:name w:val="Hyperlink.0"/>
    <w:basedOn w:val="Lien"/>
    <w:rPr>
      <w:color w:val="000000"/>
      <w:u w:val="single" w:color="000000"/>
    </w:rPr>
  </w:style>
  <w:style w:type="numbering" w:customStyle="1" w:styleId="Style4import">
    <w:name w:val="Style 4 importé"/>
    <w:pPr>
      <w:numPr>
        <w:numId w:val="11"/>
      </w:numPr>
    </w:pPr>
  </w:style>
  <w:style w:type="numbering" w:customStyle="1" w:styleId="Style5import">
    <w:name w:val="Style 5 importé"/>
    <w:pPr>
      <w:numPr>
        <w:numId w:val="13"/>
      </w:numPr>
    </w:pPr>
  </w:style>
  <w:style w:type="paragraph" w:customStyle="1" w:styleId="ListDash">
    <w:name w:val="List Dash"/>
    <w:basedOn w:val="Normal"/>
    <w:pPr>
      <w:numPr>
        <w:numId w:val="14"/>
      </w:numPr>
    </w:pPr>
    <w:rPr>
      <w:rFonts w:eastAsia="Times New Roman"/>
    </w:rPr>
  </w:style>
  <w:style w:type="character" w:styleId="CommentReference">
    <w:name w:val="annotation reference"/>
    <w:uiPriority w:val="99"/>
    <w:rPr>
      <w:rFonts w:cs="Times New Roman"/>
      <w:sz w:val="16"/>
      <w:szCs w:val="16"/>
      <w:lang w:val="el-GR" w:eastAsia="el-GR"/>
    </w:rPr>
  </w:style>
  <w:style w:type="paragraph" w:styleId="CommentText">
    <w:name w:val="annotation text"/>
    <w:basedOn w:val="Normal"/>
    <w:link w:val="CommentTextChar"/>
    <w:uiPriority w:val="99"/>
    <w:rPr>
      <w:rFonts w:eastAsia="Times New Roman"/>
      <w:sz w:val="20"/>
    </w:r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lang w:val="el-GR" w:eastAsia="el-GR"/>
    </w:rPr>
  </w:style>
  <w:style w:type="paragraph" w:styleId="Caption">
    <w:name w:val="caption"/>
    <w:basedOn w:val="Normal"/>
    <w:next w:val="Normal"/>
    <w:qFormat/>
    <w:rPr>
      <w:rFonts w:eastAsia="Times New Roman"/>
      <w:b/>
      <w:bCs/>
      <w:sz w:val="20"/>
    </w:rPr>
  </w:style>
  <w:style w:type="paragraph" w:styleId="TableofFigures">
    <w:name w:val="table of figures"/>
    <w:basedOn w:val="Normal"/>
    <w:next w:val="Normal"/>
    <w:rPr>
      <w:rFonts w:eastAsia="Times New Roman"/>
    </w:rPr>
  </w:style>
  <w:style w:type="paragraph" w:styleId="ListBullet2">
    <w:name w:val="List Bullet 2"/>
    <w:basedOn w:val="Normal"/>
    <w:pPr>
      <w:numPr>
        <w:numId w:val="15"/>
      </w:numPr>
      <w:contextualSpacing/>
    </w:pPr>
    <w:rPr>
      <w:rFonts w:eastAsia="Times New Roman"/>
    </w:rPr>
  </w:style>
  <w:style w:type="paragraph" w:styleId="ListBullet3">
    <w:name w:val="List Bullet 3"/>
    <w:basedOn w:val="Normal"/>
    <w:pPr>
      <w:numPr>
        <w:numId w:val="16"/>
      </w:numPr>
      <w:contextualSpacing/>
    </w:pPr>
    <w:rPr>
      <w:rFonts w:eastAsia="Times New Roman"/>
    </w:rPr>
  </w:style>
  <w:style w:type="paragraph" w:styleId="ListBullet4">
    <w:name w:val="List Bullet 4"/>
    <w:basedOn w:val="Normal"/>
    <w:pPr>
      <w:numPr>
        <w:numId w:val="17"/>
      </w:numPr>
      <w:contextualSpacing/>
    </w:pPr>
    <w:rPr>
      <w:rFonts w:eastAsia="Times New Roman"/>
    </w:rPr>
  </w:style>
  <w:style w:type="paragraph" w:styleId="ListNumber2">
    <w:name w:val="List Number 2"/>
    <w:basedOn w:val="Normal"/>
    <w:pPr>
      <w:numPr>
        <w:numId w:val="18"/>
      </w:numPr>
      <w:contextualSpacing/>
    </w:pPr>
    <w:rPr>
      <w:rFonts w:eastAsia="Times New Roman"/>
    </w:rPr>
  </w:style>
  <w:style w:type="paragraph" w:styleId="ListNumber3">
    <w:name w:val="List Number 3"/>
    <w:basedOn w:val="Normal"/>
    <w:pPr>
      <w:numPr>
        <w:numId w:val="19"/>
      </w:numPr>
      <w:contextualSpacing/>
    </w:pPr>
    <w:rPr>
      <w:rFonts w:eastAsia="Times New Roman"/>
    </w:rPr>
  </w:style>
  <w:style w:type="paragraph" w:styleId="ListNumber4">
    <w:name w:val="List Number 4"/>
    <w:basedOn w:val="Normal"/>
    <w:pPr>
      <w:numPr>
        <w:numId w:val="20"/>
      </w:numPr>
      <w:contextualSpacing/>
    </w:pPr>
    <w:rPr>
      <w:rFonts w:eastAsia="Times New Roman"/>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basedOn w:val="CommentTextChar"/>
    <w:link w:val="CommentSubject"/>
    <w:rPr>
      <w:rFonts w:ascii="Times New Roman" w:eastAsia="Times New Roman" w:hAnsi="Times New Roman" w:cs="Times New Roman"/>
      <w:b/>
      <w:bCs/>
      <w:sz w:val="20"/>
      <w:lang w:val="el-GR" w:eastAsia="el-GR"/>
    </w:rPr>
  </w:style>
  <w:style w:type="paragraph" w:customStyle="1" w:styleId="Sous-titreobjet">
    <w:name w:val="Sous-titre objet"/>
    <w:basedOn w:val="Normal"/>
    <w:pPr>
      <w:spacing w:before="0" w:after="0"/>
      <w:jc w:val="center"/>
    </w:pPr>
    <w:rPr>
      <w:rFonts w:eastAsia="Times New Roman"/>
      <w:b/>
    </w:rPr>
  </w:style>
  <w:style w:type="paragraph" w:customStyle="1" w:styleId="Sous-titreobjetPagedecouverture">
    <w:name w:val="Sous-titre objet (Page de couverture)"/>
    <w:basedOn w:val="Sous-titreobjet"/>
  </w:style>
  <w:style w:type="character" w:styleId="FollowedHyperlink">
    <w:name w:val="FollowedHyperlink"/>
    <w:rPr>
      <w:color w:val="800080"/>
      <w:u w:val="single"/>
    </w:rPr>
  </w:style>
  <w:style w:type="character" w:customStyle="1" w:styleId="ListParagraphChar">
    <w:name w:val="List Paragraph Char"/>
    <w:aliases w:val="List Paragraph (numbered (a)) Char,List Paragraph Char Char Char Char,Use Case List Paragraph Char,List Paragraph2 Char,Main numbered paragraph Char,Bullet paras Char,Colorful List - Accent 11 Char,Text Char,Citation List Char"/>
    <w:basedOn w:val="DefaultParagraphFont"/>
    <w:link w:val="ListParagraph"/>
    <w:uiPriority w:val="34"/>
    <w:qFormat/>
    <w:rPr>
      <w:rFonts w:ascii="Times New Roman" w:eastAsia="Arial Unicode MS" w:hAnsi="Times New Roman" w:cs="Arial Unicode MS"/>
      <w:color w:val="000000"/>
      <w:sz w:val="24"/>
      <w:szCs w:val="24"/>
      <w:u w:color="000000"/>
      <w:bdr w:val="nil"/>
      <w:lang w:eastAsia="el-GR"/>
    </w:rPr>
  </w:style>
  <w:style w:type="paragraph" w:styleId="Revision">
    <w:name w:val="Revision"/>
    <w:hidden/>
    <w:uiPriority w:val="99"/>
    <w:semiHidden/>
    <w:pPr>
      <w:spacing w:after="0" w:line="240" w:lineRule="auto"/>
    </w:pPr>
    <w:rPr>
      <w:rFonts w:ascii="Times New Roman" w:eastAsia="Times New Roman" w:hAnsi="Times New Roman" w:cs="Times New Roman"/>
      <w:sz w:val="24"/>
    </w:r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rPr>
      <w:lang w:eastAsia="en-US" w:bidi="ar-SA"/>
    </w:rPr>
  </w:style>
  <w:style w:type="character" w:customStyle="1" w:styleId="FooterChar">
    <w:name w:val="Footer Char"/>
    <w:basedOn w:val="DefaultParagraphFont"/>
    <w:link w:val="Footer"/>
    <w:uiPriority w:val="99"/>
    <w:rPr>
      <w:rFonts w:ascii="Times New Roman" w:hAnsi="Times New Roman" w:cs="Times New Roman"/>
      <w:sz w:val="24"/>
      <w:lang w:eastAsia="en-US" w:bidi="ar-SA"/>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rPr>
      <w:lang w:eastAsia="en-US" w:bidi="ar-SA"/>
    </w:r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lang w:eastAsia="en-US" w:bidi="ar-SA"/>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lang w:eastAsia="en-US" w:bidi="ar-SA"/>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59"/>
      </w:numPr>
    </w:pPr>
  </w:style>
  <w:style w:type="paragraph" w:customStyle="1" w:styleId="Tiret1">
    <w:name w:val="Tiret 1"/>
    <w:basedOn w:val="Point1"/>
    <w:pPr>
      <w:numPr>
        <w:numId w:val="60"/>
      </w:numPr>
    </w:pPr>
  </w:style>
  <w:style w:type="paragraph" w:customStyle="1" w:styleId="Tiret2">
    <w:name w:val="Tiret 2"/>
    <w:basedOn w:val="Point2"/>
    <w:pPr>
      <w:numPr>
        <w:numId w:val="61"/>
      </w:numPr>
    </w:pPr>
  </w:style>
  <w:style w:type="paragraph" w:customStyle="1" w:styleId="Tiret3">
    <w:name w:val="Tiret 3"/>
    <w:basedOn w:val="Point3"/>
    <w:pPr>
      <w:numPr>
        <w:numId w:val="62"/>
      </w:numPr>
    </w:pPr>
  </w:style>
  <w:style w:type="paragraph" w:customStyle="1" w:styleId="Tiret4">
    <w:name w:val="Tiret 4"/>
    <w:basedOn w:val="Point4"/>
    <w:pPr>
      <w:numPr>
        <w:numId w:val="63"/>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64"/>
      </w:numPr>
    </w:pPr>
  </w:style>
  <w:style w:type="paragraph" w:customStyle="1" w:styleId="NumPar2">
    <w:name w:val="NumPar 2"/>
    <w:basedOn w:val="Normal"/>
    <w:next w:val="Text1"/>
    <w:pPr>
      <w:numPr>
        <w:ilvl w:val="1"/>
        <w:numId w:val="64"/>
      </w:numPr>
    </w:pPr>
  </w:style>
  <w:style w:type="paragraph" w:customStyle="1" w:styleId="NumPar3">
    <w:name w:val="NumPar 3"/>
    <w:basedOn w:val="Normal"/>
    <w:next w:val="Text1"/>
    <w:pPr>
      <w:numPr>
        <w:ilvl w:val="2"/>
        <w:numId w:val="64"/>
      </w:numPr>
    </w:pPr>
  </w:style>
  <w:style w:type="paragraph" w:customStyle="1" w:styleId="NumPar4">
    <w:name w:val="NumPar 4"/>
    <w:basedOn w:val="Normal"/>
    <w:next w:val="Text1"/>
    <w:pPr>
      <w:numPr>
        <w:ilvl w:val="3"/>
        <w:numId w:val="64"/>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66"/>
      </w:numPr>
    </w:pPr>
  </w:style>
  <w:style w:type="paragraph" w:customStyle="1" w:styleId="Point1number">
    <w:name w:val="Point 1 (number)"/>
    <w:basedOn w:val="Normal"/>
    <w:pPr>
      <w:numPr>
        <w:ilvl w:val="2"/>
        <w:numId w:val="66"/>
      </w:numPr>
    </w:pPr>
  </w:style>
  <w:style w:type="paragraph" w:customStyle="1" w:styleId="Point2number">
    <w:name w:val="Point 2 (number)"/>
    <w:basedOn w:val="Normal"/>
    <w:pPr>
      <w:numPr>
        <w:ilvl w:val="4"/>
        <w:numId w:val="66"/>
      </w:numPr>
    </w:pPr>
  </w:style>
  <w:style w:type="paragraph" w:customStyle="1" w:styleId="Point3number">
    <w:name w:val="Point 3 (number)"/>
    <w:basedOn w:val="Normal"/>
    <w:pPr>
      <w:numPr>
        <w:ilvl w:val="6"/>
        <w:numId w:val="66"/>
      </w:numPr>
    </w:pPr>
  </w:style>
  <w:style w:type="paragraph" w:customStyle="1" w:styleId="Point0letter">
    <w:name w:val="Point 0 (letter)"/>
    <w:basedOn w:val="Normal"/>
    <w:pPr>
      <w:numPr>
        <w:ilvl w:val="1"/>
        <w:numId w:val="66"/>
      </w:numPr>
    </w:pPr>
  </w:style>
  <w:style w:type="paragraph" w:customStyle="1" w:styleId="Point1letter">
    <w:name w:val="Point 1 (letter)"/>
    <w:basedOn w:val="Normal"/>
    <w:pPr>
      <w:numPr>
        <w:ilvl w:val="3"/>
        <w:numId w:val="66"/>
      </w:numPr>
    </w:pPr>
  </w:style>
  <w:style w:type="paragraph" w:customStyle="1" w:styleId="Point2letter">
    <w:name w:val="Point 2 (letter)"/>
    <w:basedOn w:val="Normal"/>
    <w:pPr>
      <w:numPr>
        <w:ilvl w:val="5"/>
        <w:numId w:val="66"/>
      </w:numPr>
    </w:pPr>
  </w:style>
  <w:style w:type="paragraph" w:customStyle="1" w:styleId="Point3letter">
    <w:name w:val="Point 3 (letter)"/>
    <w:basedOn w:val="Normal"/>
    <w:pPr>
      <w:numPr>
        <w:ilvl w:val="7"/>
        <w:numId w:val="66"/>
      </w:numPr>
    </w:pPr>
  </w:style>
  <w:style w:type="paragraph" w:customStyle="1" w:styleId="Point4letter">
    <w:name w:val="Point 4 (letter)"/>
    <w:basedOn w:val="Normal"/>
    <w:pPr>
      <w:numPr>
        <w:ilvl w:val="8"/>
        <w:numId w:val="66"/>
      </w:numPr>
    </w:pPr>
  </w:style>
  <w:style w:type="paragraph" w:customStyle="1" w:styleId="Bullet0">
    <w:name w:val="Bullet 0"/>
    <w:basedOn w:val="Normal"/>
    <w:pPr>
      <w:numPr>
        <w:numId w:val="67"/>
      </w:numPr>
    </w:pPr>
  </w:style>
  <w:style w:type="paragraph" w:customStyle="1" w:styleId="Bullet1">
    <w:name w:val="Bullet 1"/>
    <w:basedOn w:val="Normal"/>
    <w:pPr>
      <w:numPr>
        <w:numId w:val="68"/>
      </w:numPr>
    </w:pPr>
  </w:style>
  <w:style w:type="paragraph" w:customStyle="1" w:styleId="Bullet2">
    <w:name w:val="Bullet 2"/>
    <w:basedOn w:val="Normal"/>
    <w:pPr>
      <w:numPr>
        <w:numId w:val="69"/>
      </w:numPr>
    </w:pPr>
  </w:style>
  <w:style w:type="paragraph" w:customStyle="1" w:styleId="Bullet3">
    <w:name w:val="Bullet 3"/>
    <w:basedOn w:val="Normal"/>
    <w:pPr>
      <w:numPr>
        <w:numId w:val="70"/>
      </w:numPr>
    </w:pPr>
  </w:style>
  <w:style w:type="paragraph" w:customStyle="1" w:styleId="Bullet4">
    <w:name w:val="Bullet 4"/>
    <w:basedOn w:val="Normal"/>
    <w:pPr>
      <w:numPr>
        <w:numId w:val="71"/>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72"/>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l-GR" w:bidi="el-G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List Bullet" w:uiPriority="0"/>
    <w:lsdException w:name="List Number" w:uiPriority="0"/>
    <w:lsdException w:name="List Bullet 2" w:uiPriority="0"/>
    <w:lsdException w:name="List Bullet 3" w:uiPriority="0"/>
    <w:lsdException w:name="List Bullet 4" w:uiPriority="0"/>
    <w:lsdException w:name="List Number 2" w:uiPriority="0"/>
    <w:lsdException w:name="List Number 3" w:uiPriority="0"/>
    <w:lsdException w:name="List Number 4"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65"/>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65"/>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65"/>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65"/>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val="el-GR"/>
    </w:rPr>
  </w:style>
  <w:style w:type="paragraph" w:styleId="ListNumber">
    <w:name w:val="List Number"/>
    <w:basedOn w:val="Normal"/>
    <w:pPr>
      <w:numPr>
        <w:numId w:val="4"/>
      </w:numPr>
    </w:pPr>
    <w:rPr>
      <w:rFonts w:eastAsia="Times New Roman"/>
    </w:rPr>
  </w:style>
  <w:style w:type="paragraph" w:customStyle="1" w:styleId="ListBullet1">
    <w:name w:val="List Bullet 1"/>
    <w:basedOn w:val="Normal"/>
    <w:pPr>
      <w:numPr>
        <w:numId w:val="1"/>
      </w:numPr>
    </w:pPr>
    <w:rPr>
      <w:rFonts w:eastAsia="Times New Roman"/>
    </w:rPr>
  </w:style>
  <w:style w:type="paragraph" w:customStyle="1" w:styleId="ListDash1">
    <w:name w:val="List Dash 1"/>
    <w:basedOn w:val="Normal"/>
    <w:pPr>
      <w:numPr>
        <w:numId w:val="2"/>
      </w:numPr>
    </w:pPr>
    <w:rPr>
      <w:rFonts w:eastAsia="Times New Roman"/>
    </w:rPr>
  </w:style>
  <w:style w:type="paragraph" w:customStyle="1" w:styleId="ListDash2">
    <w:name w:val="List Dash 2"/>
    <w:basedOn w:val="Normal"/>
    <w:pPr>
      <w:numPr>
        <w:numId w:val="3"/>
      </w:numPr>
    </w:pPr>
    <w:rPr>
      <w:rFonts w:eastAsia="Times New Roman"/>
    </w:rPr>
  </w:style>
  <w:style w:type="paragraph" w:customStyle="1" w:styleId="ListNumberLevel2">
    <w:name w:val="List Number (Level 2)"/>
    <w:basedOn w:val="Normal"/>
    <w:pPr>
      <w:numPr>
        <w:ilvl w:val="1"/>
        <w:numId w:val="4"/>
      </w:numPr>
    </w:pPr>
    <w:rPr>
      <w:rFonts w:eastAsia="Times New Roman"/>
    </w:rPr>
  </w:style>
  <w:style w:type="paragraph" w:customStyle="1" w:styleId="ListNumberLevel3">
    <w:name w:val="List Number (Level 3)"/>
    <w:basedOn w:val="Normal"/>
    <w:pPr>
      <w:numPr>
        <w:ilvl w:val="2"/>
        <w:numId w:val="4"/>
      </w:numPr>
    </w:pPr>
    <w:rPr>
      <w:rFonts w:eastAsia="Times New Roman"/>
    </w:rPr>
  </w:style>
  <w:style w:type="paragraph" w:customStyle="1" w:styleId="ListNumberLevel4">
    <w:name w:val="List Number (Level 4)"/>
    <w:basedOn w:val="Normal"/>
    <w:pPr>
      <w:numPr>
        <w:ilvl w:val="3"/>
        <w:numId w:val="4"/>
      </w:numPr>
    </w:pPr>
    <w:rPr>
      <w:rFonts w:eastAsia="Times New Roman"/>
    </w:rPr>
  </w:style>
  <w:style w:type="character" w:styleId="Hyperlink">
    <w:name w:val="Hyperlink"/>
    <w:rPr>
      <w:color w:val="0000FF"/>
      <w:u w:val="single"/>
    </w:rPr>
  </w:style>
  <w:style w:type="paragraph" w:styleId="ListBullet">
    <w:name w:val="List Bullet"/>
    <w:basedOn w:val="Normal"/>
    <w:pPr>
      <w:numPr>
        <w:numId w:val="5"/>
      </w:numPr>
    </w:pPr>
    <w:rPr>
      <w:rFonts w:eastAsia="Times New Roman"/>
    </w:rPr>
  </w:style>
  <w:style w:type="paragraph" w:customStyle="1" w:styleId="En-tte">
    <w:name w:val="En-tête"/>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character" w:customStyle="1" w:styleId="Aucun">
    <w:name w:val="Aucun"/>
    <w:rPr>
      <w:lang w:val="el-GR"/>
    </w:rPr>
  </w:style>
  <w:style w:type="paragraph" w:customStyle="1" w:styleId="Corps">
    <w:name w:val="Corps"/>
    <w:pPr>
      <w:pBdr>
        <w:top w:val="nil"/>
        <w:left w:val="nil"/>
        <w:bottom w:val="nil"/>
        <w:right w:val="nil"/>
        <w:between w:val="nil"/>
        <w:bar w:val="nil"/>
      </w:pBdr>
      <w:spacing w:before="120" w:after="120" w:line="240" w:lineRule="auto"/>
      <w:jc w:val="both"/>
    </w:pPr>
    <w:rPr>
      <w:rFonts w:ascii="Times New Roman" w:eastAsia="Times New Roman" w:hAnsi="Times New Roman" w:cs="Times New Roman"/>
      <w:color w:val="000000"/>
      <w:sz w:val="24"/>
      <w:szCs w:val="24"/>
      <w:u w:color="000000"/>
      <w:bdr w:val="nil"/>
    </w:rPr>
  </w:style>
  <w:style w:type="numbering" w:customStyle="1" w:styleId="Style2import">
    <w:name w:val="Style 2 importé"/>
    <w:pPr>
      <w:numPr>
        <w:numId w:val="7"/>
      </w:numPr>
    </w:pPr>
  </w:style>
  <w:style w:type="paragraph" w:styleId="ListParagraph">
    <w:name w:val="List Paragraph"/>
    <w:aliases w:val="List Paragraph (numbered (a)),List Paragraph Char Char Char,Use Case List Paragraph,List Paragraph2,Main numbered paragraph,Bullet paras,Colorful List - Accent 11,Text,Citation List,References,Heading 2_sj,List Paragraph1"/>
    <w:link w:val="ListParagraphChar"/>
    <w:uiPriority w:val="34"/>
    <w:qFormat/>
    <w:pPr>
      <w:pBdr>
        <w:top w:val="nil"/>
        <w:left w:val="nil"/>
        <w:bottom w:val="nil"/>
        <w:right w:val="nil"/>
        <w:between w:val="nil"/>
        <w:bar w:val="nil"/>
      </w:pBdr>
      <w:spacing w:before="120" w:after="120" w:line="240" w:lineRule="auto"/>
      <w:ind w:left="720"/>
      <w:jc w:val="both"/>
    </w:pPr>
    <w:rPr>
      <w:rFonts w:ascii="Times New Roman" w:eastAsia="Arial Unicode MS" w:hAnsi="Times New Roman" w:cs="Arial Unicode MS"/>
      <w:color w:val="000000"/>
      <w:sz w:val="24"/>
      <w:szCs w:val="24"/>
      <w:u w:color="000000"/>
      <w:bdr w:val="nil"/>
    </w:rPr>
  </w:style>
  <w:style w:type="character" w:customStyle="1" w:styleId="Lien">
    <w:name w:val="Lien"/>
    <w:rPr>
      <w:color w:val="0000FF"/>
      <w:u w:val="single" w:color="0000FF"/>
    </w:rPr>
  </w:style>
  <w:style w:type="numbering" w:customStyle="1" w:styleId="Style3import">
    <w:name w:val="Style 3 importé"/>
    <w:pPr>
      <w:numPr>
        <w:numId w:val="9"/>
      </w:numPr>
    </w:pPr>
  </w:style>
  <w:style w:type="paragraph" w:styleId="NormalWeb">
    <w:name w:val="Normal (Web)"/>
    <w:pPr>
      <w:pBdr>
        <w:top w:val="nil"/>
        <w:left w:val="nil"/>
        <w:bottom w:val="nil"/>
        <w:right w:val="nil"/>
        <w:between w:val="nil"/>
        <w:bar w:val="nil"/>
      </w:pBdr>
      <w:spacing w:before="120" w:after="120" w:line="360" w:lineRule="auto"/>
    </w:pPr>
    <w:rPr>
      <w:rFonts w:ascii="Times New Roman" w:eastAsia="Times New Roman" w:hAnsi="Times New Roman" w:cs="Times New Roman"/>
      <w:color w:val="000000"/>
      <w:sz w:val="24"/>
      <w:szCs w:val="24"/>
      <w:u w:color="000000"/>
      <w:bdr w:val="nil"/>
    </w:rPr>
  </w:style>
  <w:style w:type="character" w:customStyle="1" w:styleId="Hyperlink0">
    <w:name w:val="Hyperlink.0"/>
    <w:basedOn w:val="Lien"/>
    <w:rPr>
      <w:color w:val="000000"/>
      <w:u w:val="single" w:color="000000"/>
    </w:rPr>
  </w:style>
  <w:style w:type="numbering" w:customStyle="1" w:styleId="Style4import">
    <w:name w:val="Style 4 importé"/>
    <w:pPr>
      <w:numPr>
        <w:numId w:val="11"/>
      </w:numPr>
    </w:pPr>
  </w:style>
  <w:style w:type="numbering" w:customStyle="1" w:styleId="Style5import">
    <w:name w:val="Style 5 importé"/>
    <w:pPr>
      <w:numPr>
        <w:numId w:val="13"/>
      </w:numPr>
    </w:pPr>
  </w:style>
  <w:style w:type="paragraph" w:customStyle="1" w:styleId="ListDash">
    <w:name w:val="List Dash"/>
    <w:basedOn w:val="Normal"/>
    <w:pPr>
      <w:numPr>
        <w:numId w:val="14"/>
      </w:numPr>
    </w:pPr>
    <w:rPr>
      <w:rFonts w:eastAsia="Times New Roman"/>
    </w:rPr>
  </w:style>
  <w:style w:type="character" w:styleId="CommentReference">
    <w:name w:val="annotation reference"/>
    <w:uiPriority w:val="99"/>
    <w:rPr>
      <w:rFonts w:cs="Times New Roman"/>
      <w:sz w:val="16"/>
      <w:szCs w:val="16"/>
      <w:lang w:val="el-GR" w:eastAsia="el-GR"/>
    </w:rPr>
  </w:style>
  <w:style w:type="paragraph" w:styleId="CommentText">
    <w:name w:val="annotation text"/>
    <w:basedOn w:val="Normal"/>
    <w:link w:val="CommentTextChar"/>
    <w:uiPriority w:val="99"/>
    <w:rPr>
      <w:rFonts w:eastAsia="Times New Roman"/>
      <w:sz w:val="20"/>
    </w:r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lang w:val="el-GR" w:eastAsia="el-GR"/>
    </w:rPr>
  </w:style>
  <w:style w:type="paragraph" w:styleId="Caption">
    <w:name w:val="caption"/>
    <w:basedOn w:val="Normal"/>
    <w:next w:val="Normal"/>
    <w:qFormat/>
    <w:rPr>
      <w:rFonts w:eastAsia="Times New Roman"/>
      <w:b/>
      <w:bCs/>
      <w:sz w:val="20"/>
    </w:rPr>
  </w:style>
  <w:style w:type="paragraph" w:styleId="TableofFigures">
    <w:name w:val="table of figures"/>
    <w:basedOn w:val="Normal"/>
    <w:next w:val="Normal"/>
    <w:rPr>
      <w:rFonts w:eastAsia="Times New Roman"/>
    </w:rPr>
  </w:style>
  <w:style w:type="paragraph" w:styleId="ListBullet2">
    <w:name w:val="List Bullet 2"/>
    <w:basedOn w:val="Normal"/>
    <w:pPr>
      <w:numPr>
        <w:numId w:val="15"/>
      </w:numPr>
      <w:contextualSpacing/>
    </w:pPr>
    <w:rPr>
      <w:rFonts w:eastAsia="Times New Roman"/>
    </w:rPr>
  </w:style>
  <w:style w:type="paragraph" w:styleId="ListBullet3">
    <w:name w:val="List Bullet 3"/>
    <w:basedOn w:val="Normal"/>
    <w:pPr>
      <w:numPr>
        <w:numId w:val="16"/>
      </w:numPr>
      <w:contextualSpacing/>
    </w:pPr>
    <w:rPr>
      <w:rFonts w:eastAsia="Times New Roman"/>
    </w:rPr>
  </w:style>
  <w:style w:type="paragraph" w:styleId="ListBullet4">
    <w:name w:val="List Bullet 4"/>
    <w:basedOn w:val="Normal"/>
    <w:pPr>
      <w:numPr>
        <w:numId w:val="17"/>
      </w:numPr>
      <w:contextualSpacing/>
    </w:pPr>
    <w:rPr>
      <w:rFonts w:eastAsia="Times New Roman"/>
    </w:rPr>
  </w:style>
  <w:style w:type="paragraph" w:styleId="ListNumber2">
    <w:name w:val="List Number 2"/>
    <w:basedOn w:val="Normal"/>
    <w:pPr>
      <w:numPr>
        <w:numId w:val="18"/>
      </w:numPr>
      <w:contextualSpacing/>
    </w:pPr>
    <w:rPr>
      <w:rFonts w:eastAsia="Times New Roman"/>
    </w:rPr>
  </w:style>
  <w:style w:type="paragraph" w:styleId="ListNumber3">
    <w:name w:val="List Number 3"/>
    <w:basedOn w:val="Normal"/>
    <w:pPr>
      <w:numPr>
        <w:numId w:val="19"/>
      </w:numPr>
      <w:contextualSpacing/>
    </w:pPr>
    <w:rPr>
      <w:rFonts w:eastAsia="Times New Roman"/>
    </w:rPr>
  </w:style>
  <w:style w:type="paragraph" w:styleId="ListNumber4">
    <w:name w:val="List Number 4"/>
    <w:basedOn w:val="Normal"/>
    <w:pPr>
      <w:numPr>
        <w:numId w:val="20"/>
      </w:numPr>
      <w:contextualSpacing/>
    </w:pPr>
    <w:rPr>
      <w:rFonts w:eastAsia="Times New Roman"/>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basedOn w:val="CommentTextChar"/>
    <w:link w:val="CommentSubject"/>
    <w:rPr>
      <w:rFonts w:ascii="Times New Roman" w:eastAsia="Times New Roman" w:hAnsi="Times New Roman" w:cs="Times New Roman"/>
      <w:b/>
      <w:bCs/>
      <w:sz w:val="20"/>
      <w:lang w:val="el-GR" w:eastAsia="el-GR"/>
    </w:rPr>
  </w:style>
  <w:style w:type="paragraph" w:customStyle="1" w:styleId="Sous-titreobjet">
    <w:name w:val="Sous-titre objet"/>
    <w:basedOn w:val="Normal"/>
    <w:pPr>
      <w:spacing w:before="0" w:after="0"/>
      <w:jc w:val="center"/>
    </w:pPr>
    <w:rPr>
      <w:rFonts w:eastAsia="Times New Roman"/>
      <w:b/>
    </w:rPr>
  </w:style>
  <w:style w:type="paragraph" w:customStyle="1" w:styleId="Sous-titreobjetPagedecouverture">
    <w:name w:val="Sous-titre objet (Page de couverture)"/>
    <w:basedOn w:val="Sous-titreobjet"/>
  </w:style>
  <w:style w:type="character" w:styleId="FollowedHyperlink">
    <w:name w:val="FollowedHyperlink"/>
    <w:rPr>
      <w:color w:val="800080"/>
      <w:u w:val="single"/>
    </w:rPr>
  </w:style>
  <w:style w:type="character" w:customStyle="1" w:styleId="ListParagraphChar">
    <w:name w:val="List Paragraph Char"/>
    <w:aliases w:val="List Paragraph (numbered (a)) Char,List Paragraph Char Char Char Char,Use Case List Paragraph Char,List Paragraph2 Char,Main numbered paragraph Char,Bullet paras Char,Colorful List - Accent 11 Char,Text Char,Citation List Char"/>
    <w:basedOn w:val="DefaultParagraphFont"/>
    <w:link w:val="ListParagraph"/>
    <w:uiPriority w:val="34"/>
    <w:qFormat/>
    <w:rPr>
      <w:rFonts w:ascii="Times New Roman" w:eastAsia="Arial Unicode MS" w:hAnsi="Times New Roman" w:cs="Arial Unicode MS"/>
      <w:color w:val="000000"/>
      <w:sz w:val="24"/>
      <w:szCs w:val="24"/>
      <w:u w:color="000000"/>
      <w:bdr w:val="nil"/>
      <w:lang w:eastAsia="el-GR"/>
    </w:rPr>
  </w:style>
  <w:style w:type="paragraph" w:styleId="Revision">
    <w:name w:val="Revision"/>
    <w:hidden/>
    <w:uiPriority w:val="99"/>
    <w:semiHidden/>
    <w:pPr>
      <w:spacing w:after="0" w:line="240" w:lineRule="auto"/>
    </w:pPr>
    <w:rPr>
      <w:rFonts w:ascii="Times New Roman" w:eastAsia="Times New Roman" w:hAnsi="Times New Roman" w:cs="Times New Roman"/>
      <w:sz w:val="24"/>
    </w:r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rPr>
      <w:lang w:eastAsia="en-US" w:bidi="ar-SA"/>
    </w:rPr>
  </w:style>
  <w:style w:type="character" w:customStyle="1" w:styleId="FooterChar">
    <w:name w:val="Footer Char"/>
    <w:basedOn w:val="DefaultParagraphFont"/>
    <w:link w:val="Footer"/>
    <w:uiPriority w:val="99"/>
    <w:rPr>
      <w:rFonts w:ascii="Times New Roman" w:hAnsi="Times New Roman" w:cs="Times New Roman"/>
      <w:sz w:val="24"/>
      <w:lang w:eastAsia="en-US" w:bidi="ar-SA"/>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rPr>
      <w:lang w:eastAsia="en-US" w:bidi="ar-SA"/>
    </w:r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lang w:eastAsia="en-US" w:bidi="ar-SA"/>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lang w:eastAsia="en-US" w:bidi="ar-SA"/>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59"/>
      </w:numPr>
    </w:pPr>
  </w:style>
  <w:style w:type="paragraph" w:customStyle="1" w:styleId="Tiret1">
    <w:name w:val="Tiret 1"/>
    <w:basedOn w:val="Point1"/>
    <w:pPr>
      <w:numPr>
        <w:numId w:val="60"/>
      </w:numPr>
    </w:pPr>
  </w:style>
  <w:style w:type="paragraph" w:customStyle="1" w:styleId="Tiret2">
    <w:name w:val="Tiret 2"/>
    <w:basedOn w:val="Point2"/>
    <w:pPr>
      <w:numPr>
        <w:numId w:val="61"/>
      </w:numPr>
    </w:pPr>
  </w:style>
  <w:style w:type="paragraph" w:customStyle="1" w:styleId="Tiret3">
    <w:name w:val="Tiret 3"/>
    <w:basedOn w:val="Point3"/>
    <w:pPr>
      <w:numPr>
        <w:numId w:val="62"/>
      </w:numPr>
    </w:pPr>
  </w:style>
  <w:style w:type="paragraph" w:customStyle="1" w:styleId="Tiret4">
    <w:name w:val="Tiret 4"/>
    <w:basedOn w:val="Point4"/>
    <w:pPr>
      <w:numPr>
        <w:numId w:val="63"/>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64"/>
      </w:numPr>
    </w:pPr>
  </w:style>
  <w:style w:type="paragraph" w:customStyle="1" w:styleId="NumPar2">
    <w:name w:val="NumPar 2"/>
    <w:basedOn w:val="Normal"/>
    <w:next w:val="Text1"/>
    <w:pPr>
      <w:numPr>
        <w:ilvl w:val="1"/>
        <w:numId w:val="64"/>
      </w:numPr>
    </w:pPr>
  </w:style>
  <w:style w:type="paragraph" w:customStyle="1" w:styleId="NumPar3">
    <w:name w:val="NumPar 3"/>
    <w:basedOn w:val="Normal"/>
    <w:next w:val="Text1"/>
    <w:pPr>
      <w:numPr>
        <w:ilvl w:val="2"/>
        <w:numId w:val="64"/>
      </w:numPr>
    </w:pPr>
  </w:style>
  <w:style w:type="paragraph" w:customStyle="1" w:styleId="NumPar4">
    <w:name w:val="NumPar 4"/>
    <w:basedOn w:val="Normal"/>
    <w:next w:val="Text1"/>
    <w:pPr>
      <w:numPr>
        <w:ilvl w:val="3"/>
        <w:numId w:val="64"/>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66"/>
      </w:numPr>
    </w:pPr>
  </w:style>
  <w:style w:type="paragraph" w:customStyle="1" w:styleId="Point1number">
    <w:name w:val="Point 1 (number)"/>
    <w:basedOn w:val="Normal"/>
    <w:pPr>
      <w:numPr>
        <w:ilvl w:val="2"/>
        <w:numId w:val="66"/>
      </w:numPr>
    </w:pPr>
  </w:style>
  <w:style w:type="paragraph" w:customStyle="1" w:styleId="Point2number">
    <w:name w:val="Point 2 (number)"/>
    <w:basedOn w:val="Normal"/>
    <w:pPr>
      <w:numPr>
        <w:ilvl w:val="4"/>
        <w:numId w:val="66"/>
      </w:numPr>
    </w:pPr>
  </w:style>
  <w:style w:type="paragraph" w:customStyle="1" w:styleId="Point3number">
    <w:name w:val="Point 3 (number)"/>
    <w:basedOn w:val="Normal"/>
    <w:pPr>
      <w:numPr>
        <w:ilvl w:val="6"/>
        <w:numId w:val="66"/>
      </w:numPr>
    </w:pPr>
  </w:style>
  <w:style w:type="paragraph" w:customStyle="1" w:styleId="Point0letter">
    <w:name w:val="Point 0 (letter)"/>
    <w:basedOn w:val="Normal"/>
    <w:pPr>
      <w:numPr>
        <w:ilvl w:val="1"/>
        <w:numId w:val="66"/>
      </w:numPr>
    </w:pPr>
  </w:style>
  <w:style w:type="paragraph" w:customStyle="1" w:styleId="Point1letter">
    <w:name w:val="Point 1 (letter)"/>
    <w:basedOn w:val="Normal"/>
    <w:pPr>
      <w:numPr>
        <w:ilvl w:val="3"/>
        <w:numId w:val="66"/>
      </w:numPr>
    </w:pPr>
  </w:style>
  <w:style w:type="paragraph" w:customStyle="1" w:styleId="Point2letter">
    <w:name w:val="Point 2 (letter)"/>
    <w:basedOn w:val="Normal"/>
    <w:pPr>
      <w:numPr>
        <w:ilvl w:val="5"/>
        <w:numId w:val="66"/>
      </w:numPr>
    </w:pPr>
  </w:style>
  <w:style w:type="paragraph" w:customStyle="1" w:styleId="Point3letter">
    <w:name w:val="Point 3 (letter)"/>
    <w:basedOn w:val="Normal"/>
    <w:pPr>
      <w:numPr>
        <w:ilvl w:val="7"/>
        <w:numId w:val="66"/>
      </w:numPr>
    </w:pPr>
  </w:style>
  <w:style w:type="paragraph" w:customStyle="1" w:styleId="Point4letter">
    <w:name w:val="Point 4 (letter)"/>
    <w:basedOn w:val="Normal"/>
    <w:pPr>
      <w:numPr>
        <w:ilvl w:val="8"/>
        <w:numId w:val="66"/>
      </w:numPr>
    </w:pPr>
  </w:style>
  <w:style w:type="paragraph" w:customStyle="1" w:styleId="Bullet0">
    <w:name w:val="Bullet 0"/>
    <w:basedOn w:val="Normal"/>
    <w:pPr>
      <w:numPr>
        <w:numId w:val="67"/>
      </w:numPr>
    </w:pPr>
  </w:style>
  <w:style w:type="paragraph" w:customStyle="1" w:styleId="Bullet1">
    <w:name w:val="Bullet 1"/>
    <w:basedOn w:val="Normal"/>
    <w:pPr>
      <w:numPr>
        <w:numId w:val="68"/>
      </w:numPr>
    </w:pPr>
  </w:style>
  <w:style w:type="paragraph" w:customStyle="1" w:styleId="Bullet2">
    <w:name w:val="Bullet 2"/>
    <w:basedOn w:val="Normal"/>
    <w:pPr>
      <w:numPr>
        <w:numId w:val="69"/>
      </w:numPr>
    </w:pPr>
  </w:style>
  <w:style w:type="paragraph" w:customStyle="1" w:styleId="Bullet3">
    <w:name w:val="Bullet 3"/>
    <w:basedOn w:val="Normal"/>
    <w:pPr>
      <w:numPr>
        <w:numId w:val="70"/>
      </w:numPr>
    </w:pPr>
  </w:style>
  <w:style w:type="paragraph" w:customStyle="1" w:styleId="Bullet4">
    <w:name w:val="Bullet 4"/>
    <w:basedOn w:val="Normal"/>
    <w:pPr>
      <w:numPr>
        <w:numId w:val="71"/>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72"/>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7.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8.xml"/><Relationship Id="rId28" Type="http://schemas.microsoft.com/office/2011/relationships/people" Target="people.xml"/><Relationship Id="rId10" Type="http://schemas.openxmlformats.org/officeDocument/2006/relationships/header" Target="header1.xml"/><Relationship Id="rId19" Type="http://schemas.openxmlformats.org/officeDocument/2006/relationships/footer" Target="footer6.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header" Target="header6.xm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myintracomm.ec.europa.eu/budgweb/EN/man/budgmanag/Pages/budgmanag.aspx" TargetMode="External"/><Relationship Id="rId1" Type="http://schemas.openxmlformats.org/officeDocument/2006/relationships/hyperlink" Target="http://eur-lex.europa.eu/legal-content/EN/TXT/?uri=uriserv:OJ.C_.2013.373.01.0001.01.ENG&amp;toc=OJ:C:2013:373:TO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224E1B-3701-4A02-B750-04C9AB136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0</TotalTime>
  <Pages>66</Pages>
  <Words>25561</Words>
  <Characters>154901</Characters>
  <Application>Microsoft Office Word</Application>
  <DocSecurity>0</DocSecurity>
  <Lines>3295</Lines>
  <Paragraphs>1203</Paragraphs>
  <ScaleCrop>false</ScaleCrop>
  <Manager/>
  <Company/>
  <LinksUpToDate>false</LinksUpToDate>
  <CharactersWithSpaces>179259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2018-06-12T16:37:00Z</dcterms:created>
  <dcterms:modified xsi:type="dcterms:W3CDTF">2018-06-13T09:28:00Z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 edited using">
    <vt:lpwstr>LW 6.0, Build 20171009</vt:lpwstr>
  </property>
  <property fmtid="{D5CDD505-2E9C-101B-9397-08002B2CF9AE}" pid="3" name="Level of sensitivity">
    <vt:lpwstr>Standard treatment</vt:lpwstr>
  </property>
  <property fmtid="{D5CDD505-2E9C-101B-9397-08002B2CF9AE}" pid="4" name="Category">
    <vt:lpwstr>COM/PL/ORG</vt:lpwstr>
  </property>
  <property fmtid="{D5CDD505-2E9C-101B-9397-08002B2CF9AE}" pid="5" name="Part">
    <vt:lpwstr>1</vt:lpwstr>
  </property>
  <property fmtid="{D5CDD505-2E9C-101B-9397-08002B2CF9AE}" pid="6" name="Total parts">
    <vt:lpwstr>1</vt:lpwstr>
  </property>
  <property fmtid="{D5CDD505-2E9C-101B-9397-08002B2CF9AE}" pid="7" name="LWTemplateID">
    <vt:lpwstr>SJ-023</vt:lpwstr>
  </property>
  <property fmtid="{D5CDD505-2E9C-101B-9397-08002B2CF9AE}" pid="8" name="DQCStatus">
    <vt:lpwstr>Green (DQC version 03)</vt:lpwstr>
  </property>
</Properties>
</file>