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8146184" w14:textId="1365ED79" w:rsidR="005543C3" w:rsidRPr="002B4361" w:rsidRDefault="007B7EEA" w:rsidP="007B7EEA">
      <w:pPr>
        <w:pStyle w:val="Pagedecouverture"/>
        <w:rPr>
          <w:noProof/>
        </w:rPr>
      </w:pPr>
      <w:r>
        <w:rPr>
          <w:noProof/>
        </w:rPr>
        <w:pict w14:anchorId="268BCC6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5" type="#_x0000_t75" alt="1A5D0DFA-4DC3-4F87-AA37-BBECE2982CB4" style="width:455.25pt;height:442.5pt">
            <v:imagedata r:id="rId7" o:title=""/>
          </v:shape>
        </w:pict>
      </w:r>
    </w:p>
    <w:p w14:paraId="58D160D0" w14:textId="77777777" w:rsidR="00BA75A2" w:rsidRPr="002B4361" w:rsidRDefault="00BA75A2" w:rsidP="00BA75A2">
      <w:pPr>
        <w:rPr>
          <w:noProof/>
        </w:rPr>
        <w:sectPr w:rsidR="00BA75A2" w:rsidRPr="002B4361" w:rsidSect="007B7EEA">
          <w:headerReference w:type="even" r:id="rId8"/>
          <w:headerReference w:type="default" r:id="rId9"/>
          <w:footerReference w:type="even" r:id="rId10"/>
          <w:footerReference w:type="default" r:id="rId11"/>
          <w:headerReference w:type="first" r:id="rId12"/>
          <w:footerReference w:type="first" r:id="rId13"/>
          <w:pgSz w:w="11907" w:h="16839"/>
          <w:pgMar w:top="1134" w:right="1417" w:bottom="1134" w:left="1417" w:header="709" w:footer="709" w:gutter="0"/>
          <w:pgNumType w:start="0"/>
          <w:cols w:space="720"/>
          <w:docGrid w:linePitch="360"/>
        </w:sectPr>
      </w:pPr>
    </w:p>
    <w:p w14:paraId="08314409" w14:textId="77777777" w:rsidR="005543C3" w:rsidRPr="002B4361" w:rsidRDefault="00792ACC" w:rsidP="006723BA">
      <w:pPr>
        <w:pStyle w:val="Annexetitre"/>
        <w:spacing w:after="240"/>
        <w:rPr>
          <w:noProof/>
        </w:rPr>
      </w:pPr>
      <w:bookmarkStart w:id="0" w:name="_GoBack"/>
      <w:bookmarkEnd w:id="0"/>
      <w:r w:rsidRPr="002B4361">
        <w:rPr>
          <w:noProof/>
        </w:rPr>
        <w:lastRenderedPageBreak/>
        <w:t xml:space="preserve">ANEXO </w:t>
      </w:r>
    </w:p>
    <w:p w14:paraId="650BAFF6" w14:textId="77777777" w:rsidR="005543C3" w:rsidRPr="002B4361" w:rsidRDefault="00792ACC" w:rsidP="00292997">
      <w:pPr>
        <w:jc w:val="center"/>
        <w:rPr>
          <w:noProof/>
        </w:rPr>
      </w:pPr>
      <w:r w:rsidRPr="002B4361">
        <w:rPr>
          <w:noProof/>
        </w:rPr>
        <w:t>Projeto de</w:t>
      </w:r>
    </w:p>
    <w:p w14:paraId="0C6A4E08" w14:textId="77777777" w:rsidR="005543C3" w:rsidRPr="002B4361" w:rsidRDefault="00792ACC" w:rsidP="00292997">
      <w:pPr>
        <w:jc w:val="center"/>
        <w:rPr>
          <w:b/>
          <w:noProof/>
        </w:rPr>
      </w:pPr>
      <w:r w:rsidRPr="002B4361">
        <w:rPr>
          <w:b/>
          <w:noProof/>
        </w:rPr>
        <w:t>DECISÃO N.º […/...] DO COMITÉ MISTO CETA</w:t>
      </w:r>
    </w:p>
    <w:p w14:paraId="65403E54" w14:textId="77777777" w:rsidR="005543C3" w:rsidRPr="002B4361" w:rsidRDefault="007820F5" w:rsidP="00292997">
      <w:pPr>
        <w:jc w:val="center"/>
        <w:rPr>
          <w:b/>
          <w:noProof/>
        </w:rPr>
      </w:pPr>
      <w:r w:rsidRPr="002B4361">
        <w:rPr>
          <w:b/>
          <w:noProof/>
        </w:rPr>
        <w:t>de [data]</w:t>
      </w:r>
    </w:p>
    <w:p w14:paraId="6CA409E9" w14:textId="109C3B42" w:rsidR="007820F5" w:rsidRPr="002B4361" w:rsidRDefault="007820F5" w:rsidP="005E7588">
      <w:pPr>
        <w:spacing w:after="360"/>
        <w:jc w:val="center"/>
        <w:rPr>
          <w:b/>
          <w:noProof/>
          <w:szCs w:val="24"/>
        </w:rPr>
      </w:pPr>
      <w:r w:rsidRPr="002B4361">
        <w:rPr>
          <w:b/>
          <w:noProof/>
        </w:rPr>
        <w:t>sobre a interpretação do artigo 8.10, do anexo 8-A, do artigo 8.9, n.º 1, e do artigo 8.39, n.º 3</w:t>
      </w:r>
    </w:p>
    <w:p w14:paraId="32211EDD" w14:textId="0F758471" w:rsidR="007820F5" w:rsidRPr="002B4361" w:rsidRDefault="007820F5" w:rsidP="005E7588">
      <w:pPr>
        <w:spacing w:after="360"/>
        <w:rPr>
          <w:bCs/>
          <w:noProof/>
          <w:szCs w:val="24"/>
        </w:rPr>
      </w:pPr>
      <w:r w:rsidRPr="002B4361">
        <w:rPr>
          <w:noProof/>
        </w:rPr>
        <w:t>O COMITÉ MISTO CETA,</w:t>
      </w:r>
    </w:p>
    <w:p w14:paraId="3BA9C83F" w14:textId="549A04CE" w:rsidR="007820F5" w:rsidRPr="002B4361" w:rsidRDefault="007820F5" w:rsidP="007820F5">
      <w:pPr>
        <w:spacing w:after="240"/>
        <w:rPr>
          <w:bCs/>
          <w:noProof/>
          <w:szCs w:val="24"/>
        </w:rPr>
      </w:pPr>
      <w:r w:rsidRPr="002B4361">
        <w:rPr>
          <w:noProof/>
        </w:rPr>
        <w:t>Tendo em conta o artigo 26.1, n.º 5, alínea e), do Acordo Económico e Comercial Global entre o Canadá (CETA), por um lado, e a União Europeia e os Estados-Membros, por outro,</w:t>
      </w:r>
    </w:p>
    <w:p w14:paraId="7B73E90F" w14:textId="77777777" w:rsidR="007820F5" w:rsidRPr="002B4361" w:rsidRDefault="007820F5" w:rsidP="007820F5">
      <w:pPr>
        <w:spacing w:after="240"/>
        <w:rPr>
          <w:bCs/>
          <w:noProof/>
          <w:szCs w:val="24"/>
        </w:rPr>
      </w:pPr>
      <w:r w:rsidRPr="002B4361">
        <w:rPr>
          <w:noProof/>
        </w:rPr>
        <w:t>Tendo em conta a Decisão n.º 2/2021 do Comité Misto CETA, de 29 de janeiro de 2021,</w:t>
      </w:r>
    </w:p>
    <w:p w14:paraId="28C0CBED" w14:textId="77777777" w:rsidR="007820F5" w:rsidRPr="002B4361" w:rsidRDefault="007820F5" w:rsidP="007820F5">
      <w:pPr>
        <w:spacing w:after="240"/>
        <w:rPr>
          <w:bCs/>
          <w:noProof/>
          <w:szCs w:val="24"/>
        </w:rPr>
      </w:pPr>
      <w:r w:rsidRPr="002B4361">
        <w:rPr>
          <w:noProof/>
        </w:rPr>
        <w:t>Recordando o entendimento comum expresso na secção 6 do Instrumento Comum Interpretativo,</w:t>
      </w:r>
    </w:p>
    <w:p w14:paraId="075C1719" w14:textId="0159BD4A" w:rsidR="007820F5" w:rsidRPr="002B4361" w:rsidRDefault="007820F5" w:rsidP="00F176F5">
      <w:pPr>
        <w:spacing w:after="240" w:line="252" w:lineRule="auto"/>
        <w:rPr>
          <w:bCs/>
          <w:noProof/>
          <w:szCs w:val="24"/>
        </w:rPr>
      </w:pPr>
      <w:r w:rsidRPr="002B4361">
        <w:rPr>
          <w:noProof/>
        </w:rPr>
        <w:t>Visando clarificar melhor as intenções das Partes ao abrigo do capítulo 8, no que diz respeito ao artigo 8.10 (Tratamento justo e equitativo), ao anexo 8-A (Expropriação indireta), ao artigo 8.9, n.º 1 (Medidas regulamentares e de investimento) e ao artigo 8.39, n.º 3 (Sentença definitiva),</w:t>
      </w:r>
    </w:p>
    <w:p w14:paraId="72EEBEF2" w14:textId="77777777" w:rsidR="007820F5" w:rsidRPr="002B4361" w:rsidRDefault="007820F5" w:rsidP="007820F5">
      <w:pPr>
        <w:spacing w:after="240"/>
        <w:rPr>
          <w:bCs/>
          <w:noProof/>
          <w:szCs w:val="24"/>
        </w:rPr>
      </w:pPr>
      <w:r w:rsidRPr="002B4361">
        <w:rPr>
          <w:noProof/>
        </w:rPr>
        <w:t>DECIDE:</w:t>
      </w:r>
    </w:p>
    <w:p w14:paraId="4C2031D7" w14:textId="77777777" w:rsidR="007820F5" w:rsidRPr="002B4361" w:rsidRDefault="007820F5" w:rsidP="00EE06F3">
      <w:pPr>
        <w:pStyle w:val="NumPar1"/>
        <w:numPr>
          <w:ilvl w:val="0"/>
          <w:numId w:val="14"/>
        </w:numPr>
        <w:spacing w:after="240"/>
        <w:rPr>
          <w:noProof/>
          <w:u w:val="single"/>
        </w:rPr>
      </w:pPr>
      <w:r w:rsidRPr="002B4361">
        <w:rPr>
          <w:noProof/>
          <w:u w:val="single"/>
        </w:rPr>
        <w:t xml:space="preserve">Tratamento justo e equitativo </w:t>
      </w:r>
    </w:p>
    <w:p w14:paraId="0A24DC8D" w14:textId="77777777" w:rsidR="007820F5" w:rsidRPr="002B4361" w:rsidRDefault="007820F5" w:rsidP="006F4EC2">
      <w:pPr>
        <w:spacing w:after="240"/>
        <w:rPr>
          <w:bCs/>
          <w:noProof/>
          <w:szCs w:val="24"/>
        </w:rPr>
      </w:pPr>
      <w:r w:rsidRPr="002B4361">
        <w:rPr>
          <w:noProof/>
        </w:rPr>
        <w:t xml:space="preserve">Para maior clareza, o artigo 8.10 deve ser interpretado do seguinte modo: </w:t>
      </w:r>
    </w:p>
    <w:p w14:paraId="432DBFB9" w14:textId="77777777" w:rsidR="007820F5" w:rsidRPr="002B4361" w:rsidRDefault="007820F5" w:rsidP="00C65F34">
      <w:pPr>
        <w:pStyle w:val="Point0letter"/>
        <w:numPr>
          <w:ilvl w:val="1"/>
          <w:numId w:val="13"/>
        </w:numPr>
        <w:rPr>
          <w:noProof/>
        </w:rPr>
      </w:pPr>
      <w:r w:rsidRPr="002B4361">
        <w:rPr>
          <w:noProof/>
        </w:rPr>
        <w:t>A lista de elementos constante do artigo 8.10, n.º 2, é exaustiva;</w:t>
      </w:r>
    </w:p>
    <w:p w14:paraId="4D210661" w14:textId="6ABF5E74" w:rsidR="007820F5" w:rsidRPr="002B4361" w:rsidRDefault="007820F5" w:rsidP="00D01710">
      <w:pPr>
        <w:pStyle w:val="Point0letter"/>
        <w:rPr>
          <w:noProof/>
        </w:rPr>
      </w:pPr>
      <w:r w:rsidRPr="002B4361">
        <w:rPr>
          <w:noProof/>
        </w:rPr>
        <w:t xml:space="preserve">Uma ação de denegação de justiça ao abrigo do artigo 8.10, n.º 2, alínea a), requer o esgotamento prévio das vias de recurso locais, exceto se não existirem vias de recurso locais razoavelmente disponíveis para proporcionar um recurso eficaz, ou se as vias de recurso locais não previrem uma possibilidade razoável de recurso. </w:t>
      </w:r>
    </w:p>
    <w:p w14:paraId="06FE9FD8" w14:textId="77777777" w:rsidR="007820F5" w:rsidRPr="002B4361" w:rsidRDefault="007820F5" w:rsidP="00D01710">
      <w:pPr>
        <w:pStyle w:val="Text1"/>
        <w:rPr>
          <w:noProof/>
        </w:rPr>
      </w:pPr>
      <w:r w:rsidRPr="002B4361">
        <w:rPr>
          <w:noProof/>
        </w:rPr>
        <w:t>Ao determinar se existe denegação de justiça, o Tribunal deve ter em conta que não é um tribunal de recurso de decisões judiciais nacionais e não deve proceder à revisão do mérito das decisões judiciais nacionais;</w:t>
      </w:r>
    </w:p>
    <w:p w14:paraId="7146C475" w14:textId="4A97662D" w:rsidR="007820F5" w:rsidRPr="002B4361" w:rsidRDefault="007820F5" w:rsidP="00D01710">
      <w:pPr>
        <w:pStyle w:val="Point0letter"/>
        <w:rPr>
          <w:noProof/>
        </w:rPr>
      </w:pPr>
      <w:r w:rsidRPr="002B4361">
        <w:rPr>
          <w:noProof/>
        </w:rPr>
        <w:t>Para que se considere a existência de uma violação ligada à denegação de justiça e a existência de uma violação fundamental em matéria de garantias processuais na aceção do disposto no artigo 8.10, n.º 2, alíneas a) e b), é necessário que se verifique uma conduta processual abusiva e flagrante em processos judiciais ou administrativos, que não cumpra as normas básicas internacionalmente aceites em matéria de administração da justiça e de garantias processuais, e que perturbe ou surpreenda pela sua falta de legitimação judicial, como a recusa infundada de acesso aos tribunais ou à representação legal, a não concessão de uma oportunidade de ser ouvido, um tratamento discriminatório por parte dos tribunais, juízes claramente tendenciosos e corruptos, a falta de transparência total ou injustificada no processo, como a falta de notificação do processo ou da motivação da decisão;</w:t>
      </w:r>
    </w:p>
    <w:p w14:paraId="42EBB60A" w14:textId="2D37B014" w:rsidR="007820F5" w:rsidRPr="002B4361" w:rsidRDefault="007820F5" w:rsidP="00D01710">
      <w:pPr>
        <w:pStyle w:val="Point0letter"/>
        <w:rPr>
          <w:noProof/>
        </w:rPr>
      </w:pPr>
      <w:r w:rsidRPr="002B4361">
        <w:rPr>
          <w:noProof/>
        </w:rPr>
        <w:t>Uma medida é manifestamente arbitrária na aceção do disposto no artigo 8.10, n.º 2, alínea c), quando é evidente que não está racionalmente relacionada com um objetivo político legítimo, como é o caso quando uma medida se baseia em preconceito ou falta de imparcialidade e não em motivos ou factos;</w:t>
      </w:r>
    </w:p>
    <w:p w14:paraId="67B36915" w14:textId="77777777" w:rsidR="007820F5" w:rsidRPr="002B4361" w:rsidRDefault="007820F5" w:rsidP="00D01710">
      <w:pPr>
        <w:pStyle w:val="Point0letter"/>
        <w:rPr>
          <w:noProof/>
        </w:rPr>
      </w:pPr>
      <w:r w:rsidRPr="002B4361">
        <w:rPr>
          <w:noProof/>
        </w:rPr>
        <w:t>Para maior clareza, uma medida ou série de medidas constitui «discriminação específica ou por motivos manifestamente injustificados, tais como sexo, raça ou crença religiosa», na aceção do disposto no artigo 8.10, n.º 2, alínea d), se a medida ou série de medidas permite ao investidor conceder um tratamento diferenciado com base em motivos ilícitos, como o sexo, a raça ou a crença religiosa. O artigo 8.10, n.º 2, alínea d), não pode ser interpretado no sentido de impedir as Partes de concederem tratamento preferencial para promover a igualdade de género ou a igualdade racial ou colmatar de outro modo a sub-representação de grupos socioeconómicos desfavorecidos;</w:t>
      </w:r>
    </w:p>
    <w:p w14:paraId="68D34775" w14:textId="77777777" w:rsidR="007820F5" w:rsidRPr="002B4361" w:rsidRDefault="007820F5" w:rsidP="00D01710">
      <w:pPr>
        <w:pStyle w:val="Point0letter"/>
        <w:rPr>
          <w:noProof/>
        </w:rPr>
      </w:pPr>
      <w:r w:rsidRPr="002B4361">
        <w:rPr>
          <w:noProof/>
        </w:rPr>
        <w:t>Para determinar que uma medida ou série de medidas constitui um «tratamento abusivo dos investidores, nomeadamente coerção, intimidação ou assédio», na aceção do disposto no artigo 8.10, n.º 2, alínea e), é necessária a constatação de uma falta grave cometida por uma Parte. Para proceder a esta determinação, as considerações pertinentes poderão incluir a ocorrência de prejuízos ou ameaças de prejuízos para o investidor, tais como a repetição e a persistência dos episódios de alegado assédio ou coerção; e a fundamentação das ações da Parte, por exemplo, se as autoridades agiram no âmbito das respetivas competências ou se houve abuso de poder;</w:t>
      </w:r>
    </w:p>
    <w:p w14:paraId="0C6944E0" w14:textId="6A5C4C8E" w:rsidR="007820F5" w:rsidRPr="002B4361" w:rsidRDefault="007820F5" w:rsidP="00EC5F2D">
      <w:pPr>
        <w:pStyle w:val="Point0letter"/>
        <w:spacing w:after="240"/>
        <w:rPr>
          <w:bCs/>
          <w:noProof/>
          <w:szCs w:val="24"/>
        </w:rPr>
      </w:pPr>
      <w:r w:rsidRPr="002B4361">
        <w:rPr>
          <w:noProof/>
        </w:rPr>
        <w:t xml:space="preserve">Nos termos do artigo 8.10, n.º 4, as declarações feitas junto de um investidor só podem ser tidas em conta na medida em que sejam pertinentes para determinar uma violação da obrigação de tratamento justo e equitativo, tal como disposto no artigo 8.10, n.º 2. </w:t>
      </w:r>
      <w:r w:rsidR="002B4361">
        <w:rPr>
          <w:noProof/>
        </w:rPr>
        <w:t>As</w:t>
      </w:r>
      <w:r w:rsidRPr="002B4361">
        <w:rPr>
          <w:noProof/>
        </w:rPr>
        <w:t xml:space="preserve"> declarações efetuadas não podem </w:t>
      </w:r>
      <w:r w:rsidR="002B4361">
        <w:rPr>
          <w:noProof/>
        </w:rPr>
        <w:t xml:space="preserve">criar </w:t>
      </w:r>
      <w:r w:rsidRPr="002B4361">
        <w:rPr>
          <w:noProof/>
        </w:rPr>
        <w:t>expectativas legítimas se um investidor prudente e informado não teria razoavelmente confiado nessas declarações para efetuar o investimento, nomeadamente porque não eram suficientemente específicas e inequívocas e não possuíam o grau de formalidade exigido, como as apresentadas por escrito pela autoridade competente de uma Parte.</w:t>
      </w:r>
    </w:p>
    <w:p w14:paraId="3D83F208" w14:textId="77777777" w:rsidR="007820F5" w:rsidRPr="002B4361" w:rsidRDefault="007820F5" w:rsidP="00680C5A">
      <w:pPr>
        <w:pStyle w:val="NumPar1"/>
        <w:spacing w:after="240"/>
        <w:rPr>
          <w:noProof/>
          <w:u w:val="single"/>
        </w:rPr>
      </w:pPr>
      <w:r w:rsidRPr="002B4361">
        <w:rPr>
          <w:noProof/>
          <w:u w:val="single"/>
        </w:rPr>
        <w:t>Expropriação indireta</w:t>
      </w:r>
    </w:p>
    <w:p w14:paraId="09E900A4" w14:textId="77777777" w:rsidR="007820F5" w:rsidRPr="002B4361" w:rsidRDefault="007820F5" w:rsidP="00847C5A">
      <w:pPr>
        <w:pStyle w:val="Point0letter"/>
        <w:numPr>
          <w:ilvl w:val="1"/>
          <w:numId w:val="9"/>
        </w:numPr>
        <w:rPr>
          <w:noProof/>
        </w:rPr>
      </w:pPr>
      <w:r w:rsidRPr="002B4361">
        <w:rPr>
          <w:noProof/>
        </w:rPr>
        <w:t>Para maior clareza, uma expropriação indireta só pode ocorrer se privar, de forma substancial, o investidor de utilizar, fruir e dispor do seu investimento, como se os direitos conexos tivessem deixado de existir;</w:t>
      </w:r>
    </w:p>
    <w:p w14:paraId="4ACA3DFD" w14:textId="08223C13" w:rsidR="007820F5" w:rsidRPr="002B4361" w:rsidRDefault="007820F5" w:rsidP="00847C5A">
      <w:pPr>
        <w:pStyle w:val="Point0letter"/>
        <w:numPr>
          <w:ilvl w:val="1"/>
          <w:numId w:val="9"/>
        </w:numPr>
        <w:rPr>
          <w:bCs/>
          <w:noProof/>
          <w:szCs w:val="24"/>
        </w:rPr>
      </w:pPr>
      <w:r w:rsidRPr="002B4361">
        <w:rPr>
          <w:noProof/>
        </w:rPr>
        <w:t>Ao avaliar a «duração da medida ou série de medidas» na aceção do disposto no ponto 2, alínea b), do anexo 8-A, há que ter em conta se a ingerência no direito de propriedade é temporária, caso em que é pouco provável que constitua uma expropriação indireta, ou permanente, embora o simples facto de uma medida ser permanente não demonstre a existência de uma expropriação indireta;</w:t>
      </w:r>
    </w:p>
    <w:p w14:paraId="4BB8E568" w14:textId="77777777" w:rsidR="007820F5" w:rsidRPr="002B4361" w:rsidRDefault="007820F5" w:rsidP="00847C5A">
      <w:pPr>
        <w:pStyle w:val="Point0letter"/>
        <w:numPr>
          <w:ilvl w:val="1"/>
          <w:numId w:val="9"/>
        </w:numPr>
        <w:rPr>
          <w:bCs/>
          <w:noProof/>
          <w:szCs w:val="24"/>
        </w:rPr>
      </w:pPr>
      <w:r w:rsidRPr="002B4361">
        <w:rPr>
          <w:noProof/>
        </w:rPr>
        <w:t>As «expectativas distintas, razoáveis e baseadas nos investimentos» referidas no ponto 2, alínea c), do anexo 8-A referem-se às expectativas que um investidor prudente e informado poderia ter razoavelmente formado e com base nas quais realizou os investimentos. Para maior clareza, a questão de saber se as expectativas de um investidor baseadas nos investimentos são razoáveis depende, na medida do que é pertinente, de fatores como o facto de as administrações públicas terem ou não fornecido ao investidor garantias escritas vinculativas, da natureza e da extensão da regulação pública ou do potencial de regulação pública no setor em causa;</w:t>
      </w:r>
    </w:p>
    <w:p w14:paraId="0F45A019" w14:textId="77777777" w:rsidR="007820F5" w:rsidRPr="002B4361" w:rsidRDefault="007820F5" w:rsidP="00847C5A">
      <w:pPr>
        <w:pStyle w:val="Point0letter"/>
        <w:numPr>
          <w:ilvl w:val="1"/>
          <w:numId w:val="9"/>
        </w:numPr>
        <w:rPr>
          <w:bCs/>
          <w:noProof/>
          <w:szCs w:val="24"/>
        </w:rPr>
      </w:pPr>
      <w:r w:rsidRPr="002B4361">
        <w:rPr>
          <w:noProof/>
        </w:rPr>
        <w:t>O impacto de uma medida ou uma série de medidas afigura-se «manifestamente excessivo», na aceção do disposto no ponto 3 do anexo 8-A, se for clara e manifestamente excessiva relativamente aos objetivos políticos pretendidos;</w:t>
      </w:r>
    </w:p>
    <w:p w14:paraId="7D1BA656" w14:textId="77777777" w:rsidR="007820F5" w:rsidRPr="002B4361" w:rsidRDefault="007820F5" w:rsidP="00EC5F2D">
      <w:pPr>
        <w:pStyle w:val="Point0letter"/>
        <w:numPr>
          <w:ilvl w:val="1"/>
          <w:numId w:val="9"/>
        </w:numPr>
        <w:spacing w:after="240"/>
        <w:rPr>
          <w:bCs/>
          <w:noProof/>
          <w:szCs w:val="24"/>
        </w:rPr>
      </w:pPr>
      <w:r w:rsidRPr="002B4361">
        <w:rPr>
          <w:noProof/>
        </w:rPr>
        <w:t>Para maior clareza, as medidas de uma Parte concebidas e aplicadas para proteger os objetivos legítimos de bem-estar público constantes do ponto 3 do anexo 8-A incluem medidas tomadas para combater as alterações climáticas ou fazer face às suas consequências atuais ou futuras. Tais medidas não constituem uma expropriação indireta, a menos que sejam clara e manifestamente excessivas à luz dos objetivos políticos pretendidos.</w:t>
      </w:r>
    </w:p>
    <w:p w14:paraId="28C9277B" w14:textId="77777777" w:rsidR="007820F5" w:rsidRPr="002B4361" w:rsidRDefault="007820F5" w:rsidP="00680C5A">
      <w:pPr>
        <w:pStyle w:val="NumPar1"/>
        <w:spacing w:after="240"/>
        <w:rPr>
          <w:noProof/>
          <w:u w:val="single"/>
        </w:rPr>
      </w:pPr>
      <w:r w:rsidRPr="002B4361">
        <w:rPr>
          <w:noProof/>
          <w:u w:val="single"/>
        </w:rPr>
        <w:t>Alterações climáticas</w:t>
      </w:r>
    </w:p>
    <w:p w14:paraId="47FC6570" w14:textId="23EB98AE" w:rsidR="007820F5" w:rsidRPr="002B4361" w:rsidRDefault="007820F5" w:rsidP="007302D7">
      <w:pPr>
        <w:pStyle w:val="Point0letter"/>
        <w:numPr>
          <w:ilvl w:val="1"/>
          <w:numId w:val="10"/>
        </w:numPr>
        <w:rPr>
          <w:bCs/>
          <w:noProof/>
          <w:szCs w:val="24"/>
        </w:rPr>
      </w:pPr>
      <w:r w:rsidRPr="002B4361">
        <w:rPr>
          <w:noProof/>
        </w:rPr>
        <w:t xml:space="preserve">As Partes reiteram o direito de regularem no interesse público para realizar objetivos legítimos de política pública de proteção do ambiente, tal como estabelecido no artigo 8.9, n.º 1, nomeadamente através da adoção de medidas para atenuar ou combater as alterações climáticas ou para fazer face às suas consequências atuais ou futuras. </w:t>
      </w:r>
    </w:p>
    <w:p w14:paraId="38CC45AA" w14:textId="77777777" w:rsidR="007820F5" w:rsidRPr="002B4361" w:rsidRDefault="007820F5" w:rsidP="00EC5F2D">
      <w:pPr>
        <w:pStyle w:val="Point0letter"/>
        <w:numPr>
          <w:ilvl w:val="1"/>
          <w:numId w:val="10"/>
        </w:numPr>
        <w:spacing w:after="240"/>
        <w:rPr>
          <w:bCs/>
          <w:noProof/>
          <w:szCs w:val="24"/>
        </w:rPr>
      </w:pPr>
      <w:r w:rsidRPr="002B4361">
        <w:rPr>
          <w:noProof/>
        </w:rPr>
        <w:t>Ao interpretar as disposições do capítulo relativo ao investimento, o tribunal deve ter devidamente em conta os compromissos das Partes no âmbito de acordos multilaterais no domínio do ambiente, incluindo o Acordo de Paris. Em especial, os direitos e obrigações das Partes ao abrigo do capítulo 8 devem ser interpretados de uma forma que reforce a capacidade das Partes para concretizarem os respetivos compromissos de redução das emissões de gases com efeito de estufa através da adoção ou manutenção de medidas concebidas e aplicadas para atenuar as alterações climáticas ou fazer face às suas consequências atuais ou futuras.</w:t>
      </w:r>
    </w:p>
    <w:p w14:paraId="0F996BA5" w14:textId="77777777" w:rsidR="007820F5" w:rsidRPr="002B4361" w:rsidRDefault="007820F5" w:rsidP="00EA394A">
      <w:pPr>
        <w:pStyle w:val="NumPar1"/>
        <w:spacing w:after="240"/>
        <w:rPr>
          <w:noProof/>
          <w:u w:val="single"/>
        </w:rPr>
      </w:pPr>
      <w:r w:rsidRPr="002B4361">
        <w:rPr>
          <w:noProof/>
          <w:u w:val="single"/>
        </w:rPr>
        <w:t>Proteção de interesses essenciais em matéria de segurança</w:t>
      </w:r>
    </w:p>
    <w:p w14:paraId="0BC3471A" w14:textId="39DD9F65" w:rsidR="007820F5" w:rsidRPr="002B4361" w:rsidRDefault="007820F5" w:rsidP="00EA394A">
      <w:pPr>
        <w:spacing w:after="240"/>
        <w:rPr>
          <w:bCs/>
          <w:noProof/>
          <w:szCs w:val="24"/>
        </w:rPr>
      </w:pPr>
      <w:r w:rsidRPr="002B4361">
        <w:rPr>
          <w:noProof/>
        </w:rPr>
        <w:t>As Partes reiteram que, nos termos do artigo 28.6 do CETA, nenhuma disposição do Acordo pode ser interpretada no sentido de impedir o Canadá e a União Europeia e os seus Estado</w:t>
      </w:r>
      <w:r w:rsidR="002B4361">
        <w:rPr>
          <w:noProof/>
        </w:rPr>
        <w:t>s</w:t>
      </w:r>
      <w:r w:rsidR="002B4361">
        <w:rPr>
          <w:noProof/>
        </w:rPr>
        <w:noBreakHyphen/>
      </w:r>
      <w:r w:rsidRPr="002B4361">
        <w:rPr>
          <w:noProof/>
        </w:rPr>
        <w:t>Membros de tomarem medidas que qualquer das Partes considere necessárias para proteger os seus interesses essenciais em matéria de segurança em tempo de guerra ou noutra situação de emergência a nível das relações internacionais, incluindo qualquer medida que afete os investidores ou os seus investimentos.</w:t>
      </w:r>
    </w:p>
    <w:p w14:paraId="5D8B5FB9" w14:textId="77777777" w:rsidR="007820F5" w:rsidRPr="002B4361" w:rsidRDefault="007820F5" w:rsidP="00EA394A">
      <w:pPr>
        <w:pStyle w:val="NumPar1"/>
        <w:spacing w:after="240"/>
        <w:rPr>
          <w:noProof/>
          <w:u w:val="single"/>
        </w:rPr>
      </w:pPr>
      <w:r w:rsidRPr="002B4361">
        <w:rPr>
          <w:noProof/>
          <w:u w:val="single"/>
        </w:rPr>
        <w:t xml:space="preserve">Proteção dos direitos fundamentais </w:t>
      </w:r>
    </w:p>
    <w:p w14:paraId="46E42DA6" w14:textId="4815121B" w:rsidR="007820F5" w:rsidRPr="002B4361" w:rsidRDefault="007820F5" w:rsidP="00EA394A">
      <w:pPr>
        <w:spacing w:after="240"/>
        <w:rPr>
          <w:bCs/>
          <w:noProof/>
          <w:szCs w:val="24"/>
        </w:rPr>
      </w:pPr>
      <w:r w:rsidRPr="002B4361">
        <w:rPr>
          <w:noProof/>
        </w:rPr>
        <w:t>Para maior clareza, o direito de as Partes regularem para realizar objetivos legítimos de política pública, tal como referido no artigo 8.9, n.º 1, do CETA, inclui a adoção de medidas para a proteção dos direitos fundamentais, tal como estabelecidos na Declaração Universal dos Direitos do Homem, assinada em Paris, em 10 de dezembro de 1948.</w:t>
      </w:r>
    </w:p>
    <w:p w14:paraId="3AB8134B" w14:textId="77777777" w:rsidR="007820F5" w:rsidRPr="002B4361" w:rsidRDefault="007820F5" w:rsidP="00EA394A">
      <w:pPr>
        <w:pStyle w:val="NumPar1"/>
        <w:spacing w:after="240"/>
        <w:rPr>
          <w:noProof/>
          <w:u w:val="single"/>
        </w:rPr>
      </w:pPr>
      <w:r w:rsidRPr="002B4361">
        <w:rPr>
          <w:noProof/>
          <w:u w:val="single"/>
        </w:rPr>
        <w:t>Cálculo das indemnizações pecuniárias resultantes de reclamações de investidores</w:t>
      </w:r>
    </w:p>
    <w:p w14:paraId="42C903DB" w14:textId="77777777" w:rsidR="007820F5" w:rsidRPr="002B4361" w:rsidRDefault="007820F5" w:rsidP="00EA394A">
      <w:pPr>
        <w:spacing w:after="240"/>
        <w:rPr>
          <w:bCs/>
          <w:noProof/>
          <w:szCs w:val="24"/>
        </w:rPr>
      </w:pPr>
      <w:r w:rsidRPr="002B4361">
        <w:rPr>
          <w:noProof/>
        </w:rPr>
        <w:t xml:space="preserve">Para maior clareza, as indemnizações pecuniárias nos termos do artigo 8.39, n.º 3, </w:t>
      </w:r>
    </w:p>
    <w:p w14:paraId="34A5B9B5" w14:textId="46867F34" w:rsidR="007820F5" w:rsidRPr="002B4361" w:rsidRDefault="002B4361" w:rsidP="00847C5A">
      <w:pPr>
        <w:pStyle w:val="Point0letter"/>
        <w:numPr>
          <w:ilvl w:val="1"/>
          <w:numId w:val="11"/>
        </w:numPr>
        <w:rPr>
          <w:bCs/>
          <w:noProof/>
          <w:szCs w:val="24"/>
        </w:rPr>
      </w:pPr>
      <w:r>
        <w:rPr>
          <w:noProof/>
        </w:rPr>
        <w:t>N</w:t>
      </w:r>
      <w:r w:rsidR="007820F5" w:rsidRPr="002B4361">
        <w:rPr>
          <w:noProof/>
        </w:rPr>
        <w:t>ão podem ser superiores às perdas ou prejuízos sofridos pelo investidor ou, se for caso disso, pela empresa estabelecida localmente, avaliados à data da infração;</w:t>
      </w:r>
    </w:p>
    <w:p w14:paraId="54D223BA" w14:textId="6F3798C6" w:rsidR="007820F5" w:rsidRPr="002B4361" w:rsidRDefault="002B4361" w:rsidP="00847C5A">
      <w:pPr>
        <w:pStyle w:val="Point0letter"/>
        <w:numPr>
          <w:ilvl w:val="1"/>
          <w:numId w:val="10"/>
        </w:numPr>
        <w:rPr>
          <w:bCs/>
          <w:noProof/>
          <w:szCs w:val="24"/>
        </w:rPr>
      </w:pPr>
      <w:r>
        <w:rPr>
          <w:noProof/>
        </w:rPr>
        <w:t>D</w:t>
      </w:r>
      <w:r w:rsidR="007820F5" w:rsidRPr="002B4361">
        <w:rPr>
          <w:noProof/>
        </w:rPr>
        <w:t xml:space="preserve">evem refletir apenas as perdas ou prejuízos sofridos em virtude ou decorrentes da violação; e </w:t>
      </w:r>
    </w:p>
    <w:p w14:paraId="1CB181A5" w14:textId="13F609BE" w:rsidR="007820F5" w:rsidRPr="002B4361" w:rsidRDefault="002B4361" w:rsidP="00847C5A">
      <w:pPr>
        <w:pStyle w:val="Point0letter"/>
        <w:numPr>
          <w:ilvl w:val="1"/>
          <w:numId w:val="10"/>
        </w:numPr>
        <w:rPr>
          <w:bCs/>
          <w:noProof/>
          <w:szCs w:val="24"/>
        </w:rPr>
      </w:pPr>
      <w:r>
        <w:rPr>
          <w:noProof/>
        </w:rPr>
        <w:t>D</w:t>
      </w:r>
      <w:r w:rsidR="007820F5" w:rsidRPr="002B4361">
        <w:rPr>
          <w:noProof/>
        </w:rPr>
        <w:t xml:space="preserve">evem ser determinados com um grau de certeza razoável, não devendo ser especulativos ou hipotéticos. </w:t>
      </w:r>
    </w:p>
    <w:p w14:paraId="60C76012" w14:textId="77777777" w:rsidR="007820F5" w:rsidRPr="002B4361" w:rsidRDefault="007820F5" w:rsidP="007820F5">
      <w:pPr>
        <w:spacing w:after="240"/>
        <w:rPr>
          <w:bCs/>
          <w:noProof/>
          <w:szCs w:val="24"/>
        </w:rPr>
      </w:pPr>
      <w:r w:rsidRPr="002B4361">
        <w:rPr>
          <w:noProof/>
        </w:rPr>
        <w:t xml:space="preserve">O tribunal calcula o montante da indemnização pecuniária apenas com base nas observações formuladas pelas partes no litígio e, se for caso disso, considera: </w:t>
      </w:r>
    </w:p>
    <w:p w14:paraId="5BBD772B" w14:textId="1C8077E9" w:rsidR="007820F5" w:rsidRPr="002B4361" w:rsidRDefault="002B4361" w:rsidP="00847C5A">
      <w:pPr>
        <w:pStyle w:val="Point0letter"/>
        <w:numPr>
          <w:ilvl w:val="1"/>
          <w:numId w:val="12"/>
        </w:numPr>
        <w:rPr>
          <w:bCs/>
          <w:noProof/>
          <w:szCs w:val="24"/>
        </w:rPr>
      </w:pPr>
      <w:r>
        <w:rPr>
          <w:noProof/>
        </w:rPr>
        <w:t>A</w:t>
      </w:r>
      <w:r w:rsidR="007820F5" w:rsidRPr="002B4361">
        <w:rPr>
          <w:noProof/>
        </w:rPr>
        <w:t xml:space="preserve"> concorrência de culpa, dolosa ou negligente; </w:t>
      </w:r>
    </w:p>
    <w:p w14:paraId="0E91844A" w14:textId="0DFD7246" w:rsidR="007820F5" w:rsidRPr="002B4361" w:rsidRDefault="002B4361" w:rsidP="00847C5A">
      <w:pPr>
        <w:pStyle w:val="Point0letter"/>
        <w:numPr>
          <w:ilvl w:val="1"/>
          <w:numId w:val="12"/>
        </w:numPr>
        <w:rPr>
          <w:bCs/>
          <w:noProof/>
          <w:szCs w:val="24"/>
        </w:rPr>
      </w:pPr>
      <w:r>
        <w:rPr>
          <w:noProof/>
        </w:rPr>
        <w:t>A</w:t>
      </w:r>
      <w:r w:rsidR="007820F5" w:rsidRPr="002B4361">
        <w:rPr>
          <w:noProof/>
        </w:rPr>
        <w:t xml:space="preserve"> não atenuação ou prevenção dos prejuízos; </w:t>
      </w:r>
    </w:p>
    <w:p w14:paraId="7F8CD249" w14:textId="0C575746" w:rsidR="007820F5" w:rsidRPr="002B4361" w:rsidRDefault="002B4361" w:rsidP="00847C5A">
      <w:pPr>
        <w:pStyle w:val="Point0letter"/>
        <w:numPr>
          <w:ilvl w:val="1"/>
          <w:numId w:val="12"/>
        </w:numPr>
        <w:rPr>
          <w:bCs/>
          <w:noProof/>
          <w:szCs w:val="24"/>
        </w:rPr>
      </w:pPr>
      <w:r>
        <w:rPr>
          <w:noProof/>
        </w:rPr>
        <w:t>P</w:t>
      </w:r>
      <w:r w:rsidR="007820F5" w:rsidRPr="002B4361">
        <w:rPr>
          <w:noProof/>
        </w:rPr>
        <w:t xml:space="preserve">rejuízos ou indemnizações anteriores recebidos pela mesma perda, incluindo indemnizações recebidas ao abrigo de um regime nacional de compensação; ou </w:t>
      </w:r>
    </w:p>
    <w:p w14:paraId="586C3EB1" w14:textId="794AEC49" w:rsidR="007820F5" w:rsidRPr="002B4361" w:rsidRDefault="002B4361" w:rsidP="00847C5A">
      <w:pPr>
        <w:pStyle w:val="Point0letter"/>
        <w:numPr>
          <w:ilvl w:val="1"/>
          <w:numId w:val="12"/>
        </w:numPr>
        <w:spacing w:before="100" w:beforeAutospacing="1" w:after="240"/>
        <w:rPr>
          <w:bCs/>
          <w:noProof/>
          <w:szCs w:val="24"/>
        </w:rPr>
      </w:pPr>
      <w:r>
        <w:rPr>
          <w:noProof/>
        </w:rPr>
        <w:t>A</w:t>
      </w:r>
      <w:r w:rsidR="007820F5" w:rsidRPr="002B4361">
        <w:rPr>
          <w:noProof/>
        </w:rPr>
        <w:t xml:space="preserve"> restituição de bens ou a revogação ou alteração da medida. </w:t>
      </w:r>
    </w:p>
    <w:p w14:paraId="4BADF606" w14:textId="77777777" w:rsidR="007820F5" w:rsidRPr="002B4361" w:rsidRDefault="007820F5" w:rsidP="007D417F">
      <w:pPr>
        <w:spacing w:before="100" w:beforeAutospacing="1" w:after="240"/>
        <w:rPr>
          <w:bCs/>
          <w:noProof/>
          <w:szCs w:val="24"/>
        </w:rPr>
      </w:pPr>
      <w:r w:rsidRPr="002B4361">
        <w:rPr>
          <w:noProof/>
        </w:rPr>
        <w:t>Feito em..., em...</w:t>
      </w:r>
    </w:p>
    <w:p w14:paraId="6BC42955" w14:textId="77777777" w:rsidR="007820F5" w:rsidRPr="002B4361" w:rsidRDefault="007820F5" w:rsidP="00242C65">
      <w:pPr>
        <w:spacing w:before="240" w:after="240"/>
        <w:rPr>
          <w:bCs/>
          <w:noProof/>
          <w:szCs w:val="24"/>
        </w:rPr>
      </w:pPr>
      <w:r w:rsidRPr="002B4361">
        <w:rPr>
          <w:noProof/>
        </w:rPr>
        <w:t>Pelo Comité Misto CETA</w:t>
      </w:r>
    </w:p>
    <w:p w14:paraId="5F7283F5" w14:textId="77777777" w:rsidR="005543C3" w:rsidRPr="002B4361" w:rsidRDefault="007820F5" w:rsidP="00242C65">
      <w:pPr>
        <w:spacing w:before="240" w:after="240"/>
        <w:rPr>
          <w:bCs/>
          <w:noProof/>
          <w:szCs w:val="24"/>
        </w:rPr>
      </w:pPr>
      <w:r w:rsidRPr="002B4361">
        <w:rPr>
          <w:noProof/>
        </w:rPr>
        <w:t>Os Copresidentes</w:t>
      </w:r>
    </w:p>
    <w:sectPr w:rsidR="005543C3" w:rsidRPr="002B4361" w:rsidSect="007B7EEA">
      <w:footerReference w:type="default" r:id="rId14"/>
      <w:footerReference w:type="first" r:id="rId15"/>
      <w:pgSz w:w="11907" w:h="16839"/>
      <w:pgMar w:top="1134" w:right="1417" w:bottom="1134" w:left="1417" w:header="709" w:footer="70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CF4E048" w14:textId="77777777" w:rsidR="00EC5F2D" w:rsidRDefault="00EC5F2D">
      <w:pPr>
        <w:spacing w:before="0" w:after="0"/>
      </w:pPr>
      <w:r>
        <w:separator/>
      </w:r>
    </w:p>
  </w:endnote>
  <w:endnote w:type="continuationSeparator" w:id="0">
    <w:p w14:paraId="0621530B" w14:textId="77777777" w:rsidR="00EC5F2D" w:rsidRDefault="00EC5F2D">
      <w:pPr>
        <w:spacing w:before="0" w:after="0"/>
      </w:pPr>
      <w:r>
        <w:continuationSeparator/>
      </w:r>
    </w:p>
  </w:endnote>
  <w:endnote w:type="continuationNotice" w:id="1">
    <w:p w14:paraId="60260F36" w14:textId="77777777" w:rsidR="00EC5F2D" w:rsidRDefault="00EC5F2D">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F7DD73" w14:textId="6AB86829" w:rsidR="005E7588" w:rsidRPr="007B7EEA" w:rsidRDefault="005E7588" w:rsidP="007B7E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EC82EE" w14:textId="2556540E" w:rsidR="005E7588" w:rsidRPr="007B7EEA" w:rsidRDefault="007B7EEA" w:rsidP="007B7EEA">
    <w:pPr>
      <w:pStyle w:val="Footer"/>
      <w:rPr>
        <w:rFonts w:ascii="Arial" w:hAnsi="Arial" w:cs="Arial"/>
        <w:b/>
        <w:sz w:val="48"/>
      </w:rPr>
    </w:pPr>
    <w:r w:rsidRPr="007B7EEA">
      <w:rPr>
        <w:rFonts w:ascii="Arial" w:hAnsi="Arial" w:cs="Arial"/>
        <w:b/>
        <w:sz w:val="48"/>
      </w:rPr>
      <w:t>PT</w:t>
    </w:r>
    <w:r w:rsidRPr="007B7EEA">
      <w:rPr>
        <w:rFonts w:ascii="Arial" w:hAnsi="Arial" w:cs="Arial"/>
        <w:b/>
        <w:sz w:val="48"/>
      </w:rPr>
      <w:tab/>
    </w:r>
    <w:r w:rsidRPr="007B7EEA">
      <w:rPr>
        <w:rFonts w:ascii="Arial" w:hAnsi="Arial" w:cs="Arial"/>
        <w:b/>
        <w:sz w:val="48"/>
      </w:rPr>
      <w:tab/>
    </w:r>
    <w:r w:rsidRPr="007B7EEA">
      <w:tab/>
    </w:r>
    <w:r w:rsidRPr="007B7EEA">
      <w:rPr>
        <w:rFonts w:ascii="Arial" w:hAnsi="Arial" w:cs="Arial"/>
        <w:b/>
        <w:sz w:val="48"/>
      </w:rPr>
      <w:t>PT</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6ED220" w14:textId="77777777" w:rsidR="007B7EEA" w:rsidRPr="007B7EEA" w:rsidRDefault="007B7EEA" w:rsidP="007B7EEA">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C310ED" w14:textId="2E52B8A8" w:rsidR="007B7EEA" w:rsidRPr="007B7EEA" w:rsidRDefault="007B7EEA" w:rsidP="007B7EEA">
    <w:pPr>
      <w:pStyle w:val="Footer"/>
      <w:rPr>
        <w:rFonts w:ascii="Arial" w:hAnsi="Arial" w:cs="Arial"/>
        <w:b/>
        <w:sz w:val="48"/>
      </w:rPr>
    </w:pPr>
    <w:r w:rsidRPr="007B7EEA">
      <w:rPr>
        <w:rFonts w:ascii="Arial" w:hAnsi="Arial" w:cs="Arial"/>
        <w:b/>
        <w:sz w:val="48"/>
      </w:rPr>
      <w:t>PT</w:t>
    </w:r>
    <w:r w:rsidRPr="007B7EEA">
      <w:rPr>
        <w:rFonts w:ascii="Arial" w:hAnsi="Arial" w:cs="Arial"/>
        <w:b/>
        <w:sz w:val="48"/>
      </w:rPr>
      <w:tab/>
    </w:r>
    <w:r>
      <w:fldChar w:fldCharType="begin"/>
    </w:r>
    <w:r>
      <w:instrText xml:space="preserve"> PAGE  \* MERGEFORMAT </w:instrText>
    </w:r>
    <w:r>
      <w:fldChar w:fldCharType="separate"/>
    </w:r>
    <w:r>
      <w:rPr>
        <w:noProof/>
      </w:rPr>
      <w:t>0</w:t>
    </w:r>
    <w:r>
      <w:fldChar w:fldCharType="end"/>
    </w:r>
    <w:r>
      <w:tab/>
    </w:r>
    <w:r w:rsidRPr="007B7EEA">
      <w:tab/>
    </w:r>
    <w:r w:rsidRPr="007B7EEA">
      <w:rPr>
        <w:rFonts w:ascii="Arial" w:hAnsi="Arial" w:cs="Arial"/>
        <w:b/>
        <w:sz w:val="48"/>
      </w:rPr>
      <w:t>PT</w:t>
    </w: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2A6042" w14:textId="77777777" w:rsidR="007B7EEA" w:rsidRPr="007B7EEA" w:rsidRDefault="007B7EEA" w:rsidP="007B7EE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33B7923" w14:textId="77777777" w:rsidR="00EC5F2D" w:rsidRDefault="00EC5F2D">
      <w:pPr>
        <w:spacing w:before="0" w:after="0"/>
      </w:pPr>
      <w:r>
        <w:separator/>
      </w:r>
    </w:p>
  </w:footnote>
  <w:footnote w:type="continuationSeparator" w:id="0">
    <w:p w14:paraId="5474EA00" w14:textId="77777777" w:rsidR="00EC5F2D" w:rsidRDefault="00EC5F2D">
      <w:pPr>
        <w:spacing w:before="0" w:after="0"/>
      </w:pPr>
      <w:r>
        <w:continuationSeparator/>
      </w:r>
    </w:p>
  </w:footnote>
  <w:footnote w:type="continuationNotice" w:id="1">
    <w:p w14:paraId="370BE9DA" w14:textId="77777777" w:rsidR="00EC5F2D" w:rsidRDefault="00EC5F2D">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840C40" w14:textId="77777777" w:rsidR="007B7EEA" w:rsidRPr="007B7EEA" w:rsidRDefault="007B7EEA" w:rsidP="007B7EE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24AA69" w14:textId="77777777" w:rsidR="007B7EEA" w:rsidRPr="007B7EEA" w:rsidRDefault="007B7EEA" w:rsidP="007B7EE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7B5240" w14:textId="77777777" w:rsidR="007B7EEA" w:rsidRPr="007B7EEA" w:rsidRDefault="007B7EEA" w:rsidP="007B7EE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D"/>
    <w:multiLevelType w:val="singleLevel"/>
    <w:tmpl w:val="F97004E0"/>
    <w:lvl w:ilvl="0">
      <w:start w:val="1"/>
      <w:numFmt w:val="decimal"/>
      <w:pStyle w:val="ListNumber4"/>
      <w:lvlText w:val="%1."/>
      <w:lvlJc w:val="left"/>
      <w:pPr>
        <w:tabs>
          <w:tab w:val="num" w:pos="1209"/>
        </w:tabs>
        <w:ind w:left="1209" w:hanging="360"/>
      </w:pPr>
    </w:lvl>
  </w:abstractNum>
  <w:abstractNum w:abstractNumId="1" w15:restartNumberingAfterBreak="0">
    <w:nsid w:val="FFFFFF7E"/>
    <w:multiLevelType w:val="singleLevel"/>
    <w:tmpl w:val="DE001EE2"/>
    <w:lvl w:ilvl="0">
      <w:start w:val="1"/>
      <w:numFmt w:val="decimal"/>
      <w:pStyle w:val="ListNumber3"/>
      <w:lvlText w:val="%1."/>
      <w:lvlJc w:val="left"/>
      <w:pPr>
        <w:tabs>
          <w:tab w:val="num" w:pos="926"/>
        </w:tabs>
        <w:ind w:left="926" w:hanging="360"/>
      </w:pPr>
    </w:lvl>
  </w:abstractNum>
  <w:abstractNum w:abstractNumId="2" w15:restartNumberingAfterBreak="0">
    <w:nsid w:val="FFFFFF7F"/>
    <w:multiLevelType w:val="singleLevel"/>
    <w:tmpl w:val="656AF1B0"/>
    <w:lvl w:ilvl="0">
      <w:start w:val="1"/>
      <w:numFmt w:val="decimal"/>
      <w:pStyle w:val="ListNumber2"/>
      <w:lvlText w:val="%1."/>
      <w:lvlJc w:val="left"/>
      <w:pPr>
        <w:tabs>
          <w:tab w:val="num" w:pos="643"/>
        </w:tabs>
        <w:ind w:left="643" w:hanging="360"/>
      </w:pPr>
    </w:lvl>
  </w:abstractNum>
  <w:abstractNum w:abstractNumId="3" w15:restartNumberingAfterBreak="0">
    <w:nsid w:val="FFFFFF81"/>
    <w:multiLevelType w:val="singleLevel"/>
    <w:tmpl w:val="A6B613D4"/>
    <w:lvl w:ilvl="0">
      <w:start w:val="1"/>
      <w:numFmt w:val="bullet"/>
      <w:pStyle w:val="ListBullet4"/>
      <w:lvlText w:val=""/>
      <w:lvlJc w:val="left"/>
      <w:pPr>
        <w:tabs>
          <w:tab w:val="num" w:pos="1209"/>
        </w:tabs>
        <w:ind w:left="1209" w:hanging="360"/>
      </w:pPr>
      <w:rPr>
        <w:rFonts w:ascii="Symbol" w:hAnsi="Symbol" w:hint="default"/>
      </w:rPr>
    </w:lvl>
  </w:abstractNum>
  <w:abstractNum w:abstractNumId="4" w15:restartNumberingAfterBreak="0">
    <w:nsid w:val="FFFFFF82"/>
    <w:multiLevelType w:val="singleLevel"/>
    <w:tmpl w:val="2C2C1D10"/>
    <w:lvl w:ilvl="0">
      <w:start w:val="1"/>
      <w:numFmt w:val="bullet"/>
      <w:pStyle w:val="ListBullet3"/>
      <w:lvlText w:val=""/>
      <w:lvlJc w:val="left"/>
      <w:pPr>
        <w:tabs>
          <w:tab w:val="num" w:pos="926"/>
        </w:tabs>
        <w:ind w:left="926" w:hanging="360"/>
      </w:pPr>
      <w:rPr>
        <w:rFonts w:ascii="Symbol" w:hAnsi="Symbol" w:hint="default"/>
      </w:rPr>
    </w:lvl>
  </w:abstractNum>
  <w:abstractNum w:abstractNumId="5" w15:restartNumberingAfterBreak="0">
    <w:nsid w:val="FFFFFF83"/>
    <w:multiLevelType w:val="singleLevel"/>
    <w:tmpl w:val="A1CCBF60"/>
    <w:lvl w:ilvl="0">
      <w:start w:val="1"/>
      <w:numFmt w:val="bullet"/>
      <w:pStyle w:val="ListBullet2"/>
      <w:lvlText w:val=""/>
      <w:lvlJc w:val="left"/>
      <w:pPr>
        <w:tabs>
          <w:tab w:val="num" w:pos="643"/>
        </w:tabs>
        <w:ind w:left="643" w:hanging="360"/>
      </w:pPr>
      <w:rPr>
        <w:rFonts w:ascii="Symbol" w:hAnsi="Symbol" w:hint="default"/>
      </w:rPr>
    </w:lvl>
  </w:abstractNum>
  <w:abstractNum w:abstractNumId="6" w15:restartNumberingAfterBreak="0">
    <w:nsid w:val="FFFFFF88"/>
    <w:multiLevelType w:val="singleLevel"/>
    <w:tmpl w:val="1CCE5BC8"/>
    <w:lvl w:ilvl="0">
      <w:start w:val="1"/>
      <w:numFmt w:val="decimal"/>
      <w:pStyle w:val="ListNumber"/>
      <w:lvlText w:val="%1."/>
      <w:lvlJc w:val="left"/>
      <w:pPr>
        <w:tabs>
          <w:tab w:val="num" w:pos="360"/>
        </w:tabs>
        <w:ind w:left="360" w:hanging="360"/>
      </w:pPr>
    </w:lvl>
  </w:abstractNum>
  <w:abstractNum w:abstractNumId="7" w15:restartNumberingAfterBreak="0">
    <w:nsid w:val="FFFFFF89"/>
    <w:multiLevelType w:val="singleLevel"/>
    <w:tmpl w:val="26C0EC90"/>
    <w:lvl w:ilvl="0">
      <w:start w:val="1"/>
      <w:numFmt w:val="bullet"/>
      <w:pStyle w:val="ListBullet"/>
      <w:lvlText w:val=""/>
      <w:lvlJc w:val="left"/>
      <w:pPr>
        <w:tabs>
          <w:tab w:val="num" w:pos="360"/>
        </w:tabs>
        <w:ind w:left="360" w:hanging="360"/>
      </w:pPr>
      <w:rPr>
        <w:rFonts w:ascii="Symbol" w:hAnsi="Symbol" w:hint="default"/>
      </w:rPr>
    </w:lvl>
  </w:abstractNum>
  <w:abstractNum w:abstractNumId="8" w15:restartNumberingAfterBreak="0">
    <w:nsid w:val="1B3C78B8"/>
    <w:multiLevelType w:val="multilevel"/>
    <w:tmpl w:val="2ED4F4D0"/>
    <w:name w:val="Point"/>
    <w:lvl w:ilvl="0">
      <w:start w:val="1"/>
      <w:numFmt w:val="decimal"/>
      <w:lvlRestart w:val="0"/>
      <w:pStyle w:val="Point0number"/>
      <w:lvlText w:val="(%1)"/>
      <w:lvlJc w:val="left"/>
      <w:pPr>
        <w:tabs>
          <w:tab w:val="num" w:pos="850"/>
        </w:tabs>
        <w:ind w:left="850" w:hanging="850"/>
      </w:pPr>
    </w:lvl>
    <w:lvl w:ilvl="1">
      <w:start w:val="1"/>
      <w:numFmt w:val="lowerLetter"/>
      <w:pStyle w:val="Point0letter"/>
      <w:lvlText w:val="(%2)"/>
      <w:lvlJc w:val="left"/>
      <w:pPr>
        <w:tabs>
          <w:tab w:val="num" w:pos="850"/>
        </w:tabs>
        <w:ind w:left="850" w:hanging="850"/>
      </w:pPr>
    </w:lvl>
    <w:lvl w:ilvl="2">
      <w:start w:val="1"/>
      <w:numFmt w:val="decimal"/>
      <w:pStyle w:val="Point1number"/>
      <w:lvlText w:val="(%3)"/>
      <w:lvlJc w:val="left"/>
      <w:pPr>
        <w:tabs>
          <w:tab w:val="num" w:pos="1417"/>
        </w:tabs>
        <w:ind w:left="1417" w:hanging="567"/>
      </w:pPr>
    </w:lvl>
    <w:lvl w:ilvl="3">
      <w:start w:val="1"/>
      <w:numFmt w:val="lowerLetter"/>
      <w:pStyle w:val="Point1letter"/>
      <w:lvlText w:val="(%4)"/>
      <w:lvlJc w:val="left"/>
      <w:pPr>
        <w:tabs>
          <w:tab w:val="num" w:pos="1417"/>
        </w:tabs>
        <w:ind w:left="1417" w:hanging="567"/>
      </w:pPr>
    </w:lvl>
    <w:lvl w:ilvl="4">
      <w:start w:val="1"/>
      <w:numFmt w:val="decimal"/>
      <w:pStyle w:val="Point2number"/>
      <w:lvlText w:val="(%5)"/>
      <w:lvlJc w:val="left"/>
      <w:pPr>
        <w:tabs>
          <w:tab w:val="num" w:pos="1984"/>
        </w:tabs>
        <w:ind w:left="1984" w:hanging="567"/>
      </w:pPr>
    </w:lvl>
    <w:lvl w:ilvl="5">
      <w:start w:val="1"/>
      <w:numFmt w:val="lowerLetter"/>
      <w:pStyle w:val="Point2letter"/>
      <w:lvlText w:val="(%6)"/>
      <w:lvlJc w:val="left"/>
      <w:pPr>
        <w:tabs>
          <w:tab w:val="num" w:pos="1984"/>
        </w:tabs>
        <w:ind w:left="1984" w:hanging="567"/>
      </w:pPr>
    </w:lvl>
    <w:lvl w:ilvl="6">
      <w:start w:val="1"/>
      <w:numFmt w:val="decimal"/>
      <w:pStyle w:val="Point3number"/>
      <w:lvlText w:val="(%7)"/>
      <w:lvlJc w:val="left"/>
      <w:pPr>
        <w:tabs>
          <w:tab w:val="num" w:pos="2551"/>
        </w:tabs>
        <w:ind w:left="2551" w:hanging="567"/>
      </w:pPr>
    </w:lvl>
    <w:lvl w:ilvl="7">
      <w:start w:val="1"/>
      <w:numFmt w:val="lowerLetter"/>
      <w:pStyle w:val="Point3letter"/>
      <w:lvlText w:val="(%8)"/>
      <w:lvlJc w:val="left"/>
      <w:pPr>
        <w:tabs>
          <w:tab w:val="num" w:pos="2551"/>
        </w:tabs>
        <w:ind w:left="2551" w:hanging="567"/>
      </w:pPr>
    </w:lvl>
    <w:lvl w:ilvl="8">
      <w:start w:val="1"/>
      <w:numFmt w:val="lowerLetter"/>
      <w:pStyle w:val="Point4letter"/>
      <w:lvlText w:val="(%9)"/>
      <w:lvlJc w:val="left"/>
      <w:pPr>
        <w:tabs>
          <w:tab w:val="num" w:pos="3118"/>
        </w:tabs>
        <w:ind w:left="3118" w:hanging="567"/>
      </w:pPr>
    </w:lvl>
  </w:abstractNum>
  <w:abstractNum w:abstractNumId="9" w15:restartNumberingAfterBreak="0">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decimal"/>
      <w:pStyle w:val="NumPar5"/>
      <w:lvlText w:val="%1.%2.%3.%4.%5."/>
      <w:lvlJc w:val="left"/>
      <w:pPr>
        <w:tabs>
          <w:tab w:val="num" w:pos="1417"/>
        </w:tabs>
        <w:ind w:left="1417" w:hanging="1417"/>
      </w:pPr>
    </w:lvl>
    <w:lvl w:ilvl="5">
      <w:start w:val="1"/>
      <w:numFmt w:val="decimal"/>
      <w:pStyle w:val="NumPar6"/>
      <w:lvlText w:val="%1.%2.%3.%4.%5.%6."/>
      <w:lvlJc w:val="left"/>
      <w:pPr>
        <w:tabs>
          <w:tab w:val="num" w:pos="1417"/>
        </w:tabs>
        <w:ind w:left="1417" w:hanging="1417"/>
      </w:pPr>
    </w:lvl>
    <w:lvl w:ilvl="6">
      <w:start w:val="1"/>
      <w:numFmt w:val="decimal"/>
      <w:pStyle w:val="NumPar7"/>
      <w:lvlText w:val="%1.%2.%3.%4.%5.%6.%7."/>
      <w:lvlJc w:val="left"/>
      <w:pPr>
        <w:tabs>
          <w:tab w:val="num" w:pos="1417"/>
        </w:tabs>
        <w:ind w:left="1417" w:hanging="1417"/>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2CB72C6E"/>
    <w:multiLevelType w:val="singleLevel"/>
    <w:tmpl w:val="10ACD464"/>
    <w:name w:val="Bullet 3"/>
    <w:lvl w:ilvl="0">
      <w:start w:val="1"/>
      <w:numFmt w:val="bullet"/>
      <w:lvlRestart w:val="0"/>
      <w:pStyle w:val="Bullet3"/>
      <w:lvlText w:val=""/>
      <w:lvlJc w:val="left"/>
      <w:pPr>
        <w:tabs>
          <w:tab w:val="num" w:pos="2551"/>
        </w:tabs>
        <w:ind w:left="2551" w:hanging="567"/>
      </w:pPr>
      <w:rPr>
        <w:rFonts w:ascii="Symbol" w:hAnsi="Symbol" w:hint="default"/>
      </w:rPr>
    </w:lvl>
  </w:abstractNum>
  <w:abstractNum w:abstractNumId="11" w15:restartNumberingAfterBreak="0">
    <w:nsid w:val="2CE9221F"/>
    <w:multiLevelType w:val="singleLevel"/>
    <w:tmpl w:val="9B4AFB48"/>
    <w:name w:val="Tiret 3"/>
    <w:lvl w:ilvl="0">
      <w:start w:val="1"/>
      <w:numFmt w:val="bullet"/>
      <w:lvlRestart w:val="0"/>
      <w:pStyle w:val="Tiret3"/>
      <w:lvlText w:val="–"/>
      <w:lvlJc w:val="left"/>
      <w:pPr>
        <w:tabs>
          <w:tab w:val="num" w:pos="2551"/>
        </w:tabs>
        <w:ind w:left="2551" w:hanging="567"/>
      </w:pPr>
    </w:lvl>
  </w:abstractNum>
  <w:abstractNum w:abstractNumId="12"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3" w15:restartNumberingAfterBreak="0">
    <w:nsid w:val="42FC0772"/>
    <w:multiLevelType w:val="singleLevel"/>
    <w:tmpl w:val="4128FCF8"/>
    <w:name w:val="Tiret 4"/>
    <w:lvl w:ilvl="0">
      <w:start w:val="1"/>
      <w:numFmt w:val="bullet"/>
      <w:lvlRestart w:val="0"/>
      <w:pStyle w:val="Tiret4"/>
      <w:lvlText w:val="–"/>
      <w:lvlJc w:val="left"/>
      <w:pPr>
        <w:tabs>
          <w:tab w:val="num" w:pos="3118"/>
        </w:tabs>
        <w:ind w:left="3118" w:hanging="567"/>
      </w:pPr>
    </w:lvl>
  </w:abstractNum>
  <w:abstractNum w:abstractNumId="14" w15:restartNumberingAfterBreak="0">
    <w:nsid w:val="42FC077D"/>
    <w:multiLevelType w:val="singleLevel"/>
    <w:tmpl w:val="4128FD03"/>
    <w:name w:val="Tiret 5"/>
    <w:lvl w:ilvl="0">
      <w:start w:val="1"/>
      <w:numFmt w:val="bullet"/>
      <w:lvlRestart w:val="0"/>
      <w:pStyle w:val="Tiret5"/>
      <w:lvlText w:val="–"/>
      <w:lvlJc w:val="left"/>
      <w:pPr>
        <w:tabs>
          <w:tab w:val="num" w:pos="3685"/>
        </w:tabs>
        <w:ind w:left="3685" w:hanging="567"/>
      </w:pPr>
    </w:lvl>
  </w:abstractNum>
  <w:abstractNum w:abstractNumId="15" w15:restartNumberingAfterBreak="0">
    <w:nsid w:val="4552127F"/>
    <w:multiLevelType w:val="singleLevel"/>
    <w:tmpl w:val="057A5296"/>
    <w:name w:val="Bullet 0"/>
    <w:lvl w:ilvl="0">
      <w:start w:val="1"/>
      <w:numFmt w:val="bullet"/>
      <w:lvlRestart w:val="0"/>
      <w:pStyle w:val="Bullet0"/>
      <w:lvlText w:val=""/>
      <w:lvlJc w:val="left"/>
      <w:pPr>
        <w:tabs>
          <w:tab w:val="num" w:pos="850"/>
        </w:tabs>
        <w:ind w:left="850" w:hanging="850"/>
      </w:pPr>
      <w:rPr>
        <w:rFonts w:ascii="Symbol" w:hAnsi="Symbol" w:hint="default"/>
      </w:rPr>
    </w:lvl>
  </w:abstractNum>
  <w:abstractNum w:abstractNumId="16" w15:restartNumberingAfterBreak="0">
    <w:nsid w:val="556E1D63"/>
    <w:multiLevelType w:val="singleLevel"/>
    <w:tmpl w:val="493AAFF0"/>
    <w:name w:val="Bullet 4"/>
    <w:lvl w:ilvl="0">
      <w:start w:val="1"/>
      <w:numFmt w:val="bullet"/>
      <w:lvlRestart w:val="0"/>
      <w:pStyle w:val="Bullet4"/>
      <w:lvlText w:val=""/>
      <w:lvlJc w:val="left"/>
      <w:pPr>
        <w:tabs>
          <w:tab w:val="num" w:pos="3118"/>
        </w:tabs>
        <w:ind w:left="3118" w:hanging="567"/>
      </w:pPr>
      <w:rPr>
        <w:rFonts w:ascii="Symbol" w:hAnsi="Symbol" w:hint="default"/>
      </w:rPr>
    </w:lvl>
  </w:abstractNum>
  <w:abstractNum w:abstractNumId="17" w15:restartNumberingAfterBreak="0">
    <w:nsid w:val="5B395AAA"/>
    <w:multiLevelType w:val="singleLevel"/>
    <w:tmpl w:val="96D02E8A"/>
    <w:name w:val="Bullet 1"/>
    <w:lvl w:ilvl="0">
      <w:start w:val="1"/>
      <w:numFmt w:val="bullet"/>
      <w:lvlRestart w:val="0"/>
      <w:pStyle w:val="Bullet1"/>
      <w:lvlText w:val=""/>
      <w:lvlJc w:val="left"/>
      <w:pPr>
        <w:tabs>
          <w:tab w:val="num" w:pos="1417"/>
        </w:tabs>
        <w:ind w:left="1417" w:hanging="567"/>
      </w:pPr>
      <w:rPr>
        <w:rFonts w:ascii="Symbol" w:hAnsi="Symbol" w:hint="default"/>
      </w:rPr>
    </w:lvl>
  </w:abstractNum>
  <w:abstractNum w:abstractNumId="18" w15:restartNumberingAfterBreak="0">
    <w:nsid w:val="5C056EE5"/>
    <w:multiLevelType w:val="singleLevel"/>
    <w:tmpl w:val="3378D27C"/>
    <w:name w:val="Bullet 2"/>
    <w:lvl w:ilvl="0">
      <w:start w:val="1"/>
      <w:numFmt w:val="bullet"/>
      <w:lvlRestart w:val="0"/>
      <w:pStyle w:val="Bullet2"/>
      <w:lvlText w:val=""/>
      <w:lvlJc w:val="left"/>
      <w:pPr>
        <w:tabs>
          <w:tab w:val="num" w:pos="1984"/>
        </w:tabs>
        <w:ind w:left="1984" w:hanging="567"/>
      </w:pPr>
      <w:rPr>
        <w:rFonts w:ascii="Symbol" w:hAnsi="Symbol" w:hint="default"/>
      </w:rPr>
    </w:lvl>
  </w:abstractNum>
  <w:abstractNum w:abstractNumId="19"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0" w15:restartNumberingAfterBreak="0">
    <w:nsid w:val="64A12FA4"/>
    <w:multiLevelType w:val="multilevel"/>
    <w:tmpl w:val="428ECF3E"/>
    <w:name w:val="Heading"/>
    <w:lvl w:ilvl="0">
      <w:start w:val="1"/>
      <w:numFmt w:val="decimal"/>
      <w:lvlRestart w:val="0"/>
      <w:pStyle w:val="Heading1"/>
      <w:lvlText w:val="%1."/>
      <w:lvlJc w:val="left"/>
      <w:pPr>
        <w:tabs>
          <w:tab w:val="num" w:pos="850"/>
        </w:tabs>
        <w:ind w:left="850" w:hanging="850"/>
      </w:pPr>
    </w:lvl>
    <w:lvl w:ilvl="1">
      <w:start w:val="1"/>
      <w:numFmt w:val="decimal"/>
      <w:pStyle w:val="Heading2"/>
      <w:lvlText w:val="%1.%2."/>
      <w:lvlJc w:val="left"/>
      <w:pPr>
        <w:tabs>
          <w:tab w:val="num" w:pos="850"/>
        </w:tabs>
        <w:ind w:left="850" w:hanging="850"/>
      </w:pPr>
    </w:lvl>
    <w:lvl w:ilvl="2">
      <w:start w:val="1"/>
      <w:numFmt w:val="decimal"/>
      <w:pStyle w:val="Heading3"/>
      <w:lvlText w:val="%1.%2.%3."/>
      <w:lvlJc w:val="left"/>
      <w:pPr>
        <w:tabs>
          <w:tab w:val="num" w:pos="850"/>
        </w:tabs>
        <w:ind w:left="850" w:hanging="850"/>
      </w:pPr>
    </w:lvl>
    <w:lvl w:ilvl="3">
      <w:start w:val="1"/>
      <w:numFmt w:val="decimal"/>
      <w:pStyle w:val="Heading4"/>
      <w:lvlText w:val="%1.%2.%3.%4."/>
      <w:lvlJc w:val="left"/>
      <w:pPr>
        <w:tabs>
          <w:tab w:val="num" w:pos="850"/>
        </w:tabs>
        <w:ind w:left="850" w:hanging="850"/>
      </w:pPr>
    </w:lvl>
    <w:lvl w:ilvl="4">
      <w:start w:val="1"/>
      <w:numFmt w:val="decimal"/>
      <w:pStyle w:val="Heading5"/>
      <w:lvlText w:val="%1.%2.%3.%4.%5."/>
      <w:lvlJc w:val="left"/>
      <w:pPr>
        <w:tabs>
          <w:tab w:val="num" w:pos="1417"/>
        </w:tabs>
        <w:ind w:left="1417" w:hanging="1417"/>
      </w:pPr>
    </w:lvl>
    <w:lvl w:ilvl="5">
      <w:start w:val="1"/>
      <w:numFmt w:val="decimal"/>
      <w:pStyle w:val="Heading6"/>
      <w:lvlText w:val="%1.%2.%3.%4.%5.%6."/>
      <w:lvlJc w:val="left"/>
      <w:pPr>
        <w:tabs>
          <w:tab w:val="num" w:pos="1417"/>
        </w:tabs>
        <w:ind w:left="1417" w:hanging="1417"/>
      </w:pPr>
    </w:lvl>
    <w:lvl w:ilvl="6">
      <w:start w:val="1"/>
      <w:numFmt w:val="decimal"/>
      <w:pStyle w:val="Heading7"/>
      <w:lvlText w:val="%1.%2.%3.%4.%5.%6.%7."/>
      <w:lvlJc w:val="left"/>
      <w:pPr>
        <w:tabs>
          <w:tab w:val="num" w:pos="1417"/>
        </w:tabs>
        <w:ind w:left="1417" w:hanging="1417"/>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67B856F6"/>
    <w:multiLevelType w:val="singleLevel"/>
    <w:tmpl w:val="0AB28E9C"/>
    <w:name w:val="Tiret 2"/>
    <w:lvl w:ilvl="0">
      <w:start w:val="1"/>
      <w:numFmt w:val="bullet"/>
      <w:lvlRestart w:val="0"/>
      <w:pStyle w:val="Tiret2"/>
      <w:lvlText w:val="–"/>
      <w:lvlJc w:val="left"/>
      <w:pPr>
        <w:tabs>
          <w:tab w:val="num" w:pos="1984"/>
        </w:tabs>
        <w:ind w:left="1984" w:hanging="567"/>
      </w:pPr>
    </w:lvl>
  </w:abstractNum>
  <w:abstractNum w:abstractNumId="22" w15:restartNumberingAfterBreak="0">
    <w:nsid w:val="7CBE4812"/>
    <w:multiLevelType w:val="singleLevel"/>
    <w:tmpl w:val="23C821E4"/>
    <w:name w:val="Considérant"/>
    <w:lvl w:ilvl="0">
      <w:start w:val="1"/>
      <w:numFmt w:val="decimal"/>
      <w:lvlRestart w:val="0"/>
      <w:pStyle w:val="Considrant"/>
      <w:lvlText w:val="(%1)"/>
      <w:lvlJc w:val="left"/>
      <w:pPr>
        <w:tabs>
          <w:tab w:val="num" w:pos="709"/>
        </w:tabs>
        <w:ind w:left="709" w:hanging="709"/>
      </w:pPr>
    </w:lvl>
  </w:abstractNum>
  <w:num w:numId="1">
    <w:abstractNumId w:val="7"/>
  </w:num>
  <w:num w:numId="2">
    <w:abstractNumId w:val="5"/>
  </w:num>
  <w:num w:numId="3">
    <w:abstractNumId w:val="4"/>
  </w:num>
  <w:num w:numId="4">
    <w:abstractNumId w:val="3"/>
  </w:num>
  <w:num w:numId="5">
    <w:abstractNumId w:val="6"/>
  </w:num>
  <w:num w:numId="6">
    <w:abstractNumId w:val="2"/>
  </w:num>
  <w:num w:numId="7">
    <w:abstractNumId w:val="1"/>
  </w:num>
  <w:num w:numId="8">
    <w:abstractNumId w:val="0"/>
  </w:num>
  <w:num w:numId="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9"/>
  </w:num>
  <w:num w:numId="16">
    <w:abstractNumId w:val="12"/>
  </w:num>
  <w:num w:numId="17">
    <w:abstractNumId w:val="21"/>
  </w:num>
  <w:num w:numId="18">
    <w:abstractNumId w:val="11"/>
  </w:num>
  <w:num w:numId="19">
    <w:abstractNumId w:val="13"/>
  </w:num>
  <w:num w:numId="20">
    <w:abstractNumId w:val="14"/>
  </w:num>
  <w:num w:numId="21">
    <w:abstractNumId w:val="9"/>
  </w:num>
  <w:num w:numId="22">
    <w:abstractNumId w:val="20"/>
  </w:num>
  <w:num w:numId="23">
    <w:abstractNumId w:val="8"/>
  </w:num>
  <w:num w:numId="24">
    <w:abstractNumId w:val="15"/>
  </w:num>
  <w:num w:numId="25">
    <w:abstractNumId w:val="17"/>
  </w:num>
  <w:num w:numId="26">
    <w:abstractNumId w:val="18"/>
  </w:num>
  <w:num w:numId="27">
    <w:abstractNumId w:val="10"/>
  </w:num>
  <w:num w:numId="28">
    <w:abstractNumId w:val="16"/>
  </w:num>
  <w:num w:numId="29">
    <w:abstractNumId w:val="22"/>
  </w:num>
  <w:num w:numId="30">
    <w:abstractNumId w:val="19"/>
  </w:num>
  <w:num w:numId="31">
    <w:abstractNumId w:val="12"/>
  </w:num>
  <w:num w:numId="32">
    <w:abstractNumId w:val="21"/>
  </w:num>
  <w:num w:numId="33">
    <w:abstractNumId w:val="11"/>
  </w:num>
  <w:num w:numId="34">
    <w:abstractNumId w:val="13"/>
  </w:num>
  <w:num w:numId="35">
    <w:abstractNumId w:val="14"/>
  </w:num>
  <w:num w:numId="36">
    <w:abstractNumId w:val="9"/>
  </w:num>
  <w:num w:numId="37">
    <w:abstractNumId w:val="20"/>
  </w:num>
  <w:num w:numId="38">
    <w:abstractNumId w:val="8"/>
  </w:num>
  <w:num w:numId="39">
    <w:abstractNumId w:val="15"/>
  </w:num>
  <w:num w:numId="40">
    <w:abstractNumId w:val="17"/>
  </w:num>
  <w:num w:numId="41">
    <w:abstractNumId w:val="18"/>
  </w:num>
  <w:num w:numId="42">
    <w:abstractNumId w:val="10"/>
  </w:num>
  <w:num w:numId="43">
    <w:abstractNumId w:val="16"/>
  </w:num>
  <w:num w:numId="44">
    <w:abstractNumId w:val="22"/>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hideSpellingErrors/>
  <w:hideGrammaticalErrors/>
  <w:attachedTemplate r:id="rId1"/>
  <w:revisionView w:markup="0"/>
  <w:defaultTabStop w:val="720"/>
  <w:hyphenationZone w:val="425"/>
  <w:characterSpacingControl w:val="doNotCompress"/>
  <w:hdrShapeDefaults>
    <o:shapedefaults v:ext="edit" spidmax="2051"/>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DQCDateTime" w:val="2023-11-10 12:00:29"/>
    <w:docVar w:name="DQCResult_Distribution" w:val="0;0"/>
    <w:docVar w:name="DQCResult_DocumentContent" w:val="0;0"/>
    <w:docVar w:name="DQCResult_DocumentSize" w:val="0;0"/>
    <w:docVar w:name="DQCResult_InvalidFootnotes" w:val="0;0"/>
    <w:docVar w:name="DQCResult_ModifiedMarkers" w:val="0;0"/>
    <w:docVar w:name="DQCResult_ModifiedNumbering" w:val="0;0"/>
    <w:docVar w:name="DQCResult_Objects" w:val="0;0"/>
    <w:docVar w:name="DQCResult_StructureCheck" w:val="0;0"/>
    <w:docVar w:name="DQCStatus" w:val="Green"/>
    <w:docVar w:name="DQCVersion" w:val="3"/>
    <w:docVar w:name="DQCWithWarnings" w:val="0"/>
    <w:docVar w:name="LW_ACCOMPAGNANT" w:val="da"/>
    <w:docVar w:name="LW_ACCOMPAGNANT.CP" w:val="da"/>
    <w:docVar w:name="LW_ANNEX_NBR_FIRST" w:val="1"/>
    <w:docVar w:name="LW_ANNEX_NBR_LAST" w:val="1"/>
    <w:docVar w:name="LW_ANNEX_UNIQUE" w:val="1"/>
    <w:docVar w:name="LW_CORRIGENDUM" w:val="&lt;UNUSED&gt;"/>
    <w:docVar w:name="LW_COVERPAGE_EXISTS" w:val="True"/>
    <w:docVar w:name="LW_COVERPAGE_GUID" w:val="1A5D0DFA-4DC3-4F87-AA37-BBECE2982CB4"/>
    <w:docVar w:name="LW_COVERPAGE_TYPE" w:val="1"/>
    <w:docVar w:name="LW_CROSSREFERENCE" w:val="&lt;UNUSED&gt;"/>
    <w:docVar w:name="LW_DocType" w:val="ANNEX"/>
    <w:docVar w:name="LW_EMISSION" w:val="17.11.2023"/>
    <w:docVar w:name="LW_EMISSION_ISODATE" w:val="2023-11-17"/>
    <w:docVar w:name="LW_EMISSION_LOCATION" w:val="BRX"/>
    <w:docVar w:name="LW_EMISSION_PREFIX" w:val="Bruxelas, "/>
    <w:docVar w:name="LW_EMISSION_SUFFIX" w:val=" "/>
    <w:docVar w:name="LW_ID_DOCSTRUCTURE" w:val="COM/ANNEX"/>
    <w:docVar w:name="LW_ID_DOCTYPE" w:val="SG-017"/>
    <w:docVar w:name="LW_LANGUE" w:val="PT"/>
    <w:docVar w:name="LW_LEVEL_OF_SENSITIVITY" w:val="Standard treatment"/>
    <w:docVar w:name="LW_NOM.INST" w:val="COMISSÃO EUROPEIA"/>
    <w:docVar w:name="LW_NOM.INST_JOINTDOC" w:val="&lt;EMPTY&gt;"/>
    <w:docVar w:name="LW_OBJETACTEPRINCIPAL" w:val="relativa à posição a adotar, em nome da União Europeia, no âmbito do Comité Misto CETA criado ao abrigo do Acordo Económico e Comercial Global (CETA) entre o Canadá, por um lado, e a União Europeia e os Estados-Membros, por outro, relativamente à adoção de uma decisão sobre a interpretação do artigo 8.10, do anexo 8\u8209?A, do artigo 8.9, n.º 1, e do artigo 8.39, n.º 3, do CETA, em conformidade com o artigo 26.1, n.º 5, alínea e), do CETA"/>
    <w:docVar w:name="LW_OBJETACTEPRINCIPAL.CP" w:val="relativa à posição a adotar, em nome da União Europeia, no âmbito do Comité Misto CETA criado ao abrigo do Acordo Económico e Comercial Global (CETA) entre o Canadá, por um lado, e a União Europeia e os Estados-Membros, por outro, relativamente à adoção de uma decisão sobre a interpretação do artigo 8.10, do anexo 8‑A, do artigo 8.9, n.º 1, e do artigo 8.39, n.º 3, do CETA, em conformidade com o artigo 26.1, n.º 5, alínea e), do CETA"/>
    <w:docVar w:name="LW_PART_NBR" w:val="1"/>
    <w:docVar w:name="LW_PART_NBR_TOTAL" w:val="1"/>
    <w:docVar w:name="LW_REF.INST.NEW" w:val="COM"/>
    <w:docVar w:name="LW_REF.INST.NEW_ADOPTED" w:val="final"/>
    <w:docVar w:name="LW_REF.INST.NEW_TEXT" w:val="(2023) 708"/>
    <w:docVar w:name="LW_REF.INTERNE" w:val="&lt;UNUSED&gt;"/>
    <w:docVar w:name="LW_SENSITIVITY" w:val="&lt;?xml version=&quot;1.0&quot; encoding=&quot;utf-8&quot;?&gt;_x000d__x000a_&lt;SensitivityLevel xmlns:xsd=&quot;http://www.w3.org/2001/XMLSchema&quot; xmlns:xsi=&quot;http://www.w3.org/2001/XMLSchema-instance&quot; id=&quot;standard&quot;&gt;_x000d__x000a_  &lt;nicename EN=&quot;Standard treatment&quot; FR=&quot;Traitement standard&quot; /&gt;_x000d__x000a_  &lt;documentProperty&gt;Standard treatment&lt;/documentProperty&gt;_x000d__x000a_  &lt;markingConfig isAvailable=&quot;false&quot; isMandatory=&quot;false&quot; sensitiveMarkingMandatory=&quot;false&quot; specialMarkingMandatory=&quot;true&quot; isOptionDisplayInHeaderAvailable=&quot;true&quot; sensitiveMarkingListSee=&quot;SensitiveMarkings&quot; specialMarkingListSee=&quot;SpecialMarkings&quot; sensitiveFootnoteTextSee=&quot;sensitiveFootnote&quot; specialFootnoteTextSee=&quot;specialFootnote&quot; /&gt;_x000d__x000a_  &lt;chosenMainMarking xsi:nil=&quot;true&quot; /&gt;_x000d__x000a_  &lt;dateMarking xsi:nil=&quot;true&quot; /&gt;_x000d__x000a_  &lt;releasableToConfig isAvailable=&quot;false&quot; institutionListSee=&quot;DefaultInstitutions&quot; /&gt;_x000d__x000a_  &lt;chosenReleasableTo xsi:nil=&quot;true&quot; /&gt;_x000d__x000a_  &lt;detached xsi:nil=&quot;true&quot; /&gt;_x000d__x000a_  &lt;declassify xsi:nil=&quot;true&quot; /&gt;_x000d__x000a_  &lt;headerTexts xsi:nil=&quot;true&quot; /&gt;_x000d__x000a_  &lt;footerTexts xsi:nil=&quot;true&quot; /&gt;_x000d__x000a_  &lt;isRestricted&gt;false&lt;/isRestricted&gt;_x000d__x000a_&lt;/SensitivityLevel&gt;"/>
    <w:docVar w:name="LW_SUPERTITRE" w:val="&lt;UNUSED&gt;"/>
    <w:docVar w:name="LW_TYPE.DOC" w:val="ANEXO"/>
    <w:docVar w:name="LW_TYPE.DOC.CP" w:val="ANEXO"/>
    <w:docVar w:name="LW_TYPEACTEPRINCIPAL" w:val="Proposta de Decisão do Conselho"/>
    <w:docVar w:name="LW_TYPEACTEPRINCIPAL.CP" w:val="Proposta de Decisão do Conselho"/>
    <w:docVar w:name="LwApiVersions" w:val="LW4CoDe 1.23.2.0; LW 8.0, Build 20211117"/>
  </w:docVars>
  <w:rsids>
    <w:rsidRoot w:val="005543C3"/>
    <w:rsid w:val="00030D93"/>
    <w:rsid w:val="001A752F"/>
    <w:rsid w:val="00242C65"/>
    <w:rsid w:val="00292997"/>
    <w:rsid w:val="002B4361"/>
    <w:rsid w:val="002C5F8A"/>
    <w:rsid w:val="002D4D76"/>
    <w:rsid w:val="00347BD8"/>
    <w:rsid w:val="003A603F"/>
    <w:rsid w:val="004006B9"/>
    <w:rsid w:val="0042434B"/>
    <w:rsid w:val="00446F60"/>
    <w:rsid w:val="00491692"/>
    <w:rsid w:val="004C1C07"/>
    <w:rsid w:val="004E2174"/>
    <w:rsid w:val="00520BF8"/>
    <w:rsid w:val="0052688D"/>
    <w:rsid w:val="005543C3"/>
    <w:rsid w:val="00585D97"/>
    <w:rsid w:val="005E7588"/>
    <w:rsid w:val="00602093"/>
    <w:rsid w:val="00664E5F"/>
    <w:rsid w:val="00665AC0"/>
    <w:rsid w:val="006723BA"/>
    <w:rsid w:val="006765A0"/>
    <w:rsid w:val="00680C5A"/>
    <w:rsid w:val="006C2DBC"/>
    <w:rsid w:val="006E0BAB"/>
    <w:rsid w:val="006F4EC2"/>
    <w:rsid w:val="006F6727"/>
    <w:rsid w:val="00715FA9"/>
    <w:rsid w:val="007302D7"/>
    <w:rsid w:val="00754270"/>
    <w:rsid w:val="00760338"/>
    <w:rsid w:val="007820F5"/>
    <w:rsid w:val="00792ACC"/>
    <w:rsid w:val="007B7EEA"/>
    <w:rsid w:val="007D417F"/>
    <w:rsid w:val="007E455A"/>
    <w:rsid w:val="00847C5A"/>
    <w:rsid w:val="008641AE"/>
    <w:rsid w:val="008751DF"/>
    <w:rsid w:val="00986033"/>
    <w:rsid w:val="009B0E79"/>
    <w:rsid w:val="009C609C"/>
    <w:rsid w:val="00AC66D9"/>
    <w:rsid w:val="00AD0E8D"/>
    <w:rsid w:val="00AF7F3A"/>
    <w:rsid w:val="00B9418E"/>
    <w:rsid w:val="00BA75A2"/>
    <w:rsid w:val="00C041E2"/>
    <w:rsid w:val="00C65F34"/>
    <w:rsid w:val="00CC07DC"/>
    <w:rsid w:val="00D01710"/>
    <w:rsid w:val="00D01E57"/>
    <w:rsid w:val="00D057FB"/>
    <w:rsid w:val="00D515EA"/>
    <w:rsid w:val="00D54A13"/>
    <w:rsid w:val="00E97EC3"/>
    <w:rsid w:val="00EA394A"/>
    <w:rsid w:val="00EC5F2D"/>
    <w:rsid w:val="00ED0531"/>
    <w:rsid w:val="00EE06F3"/>
    <w:rsid w:val="00F176F5"/>
    <w:rsid w:val="00F546F1"/>
    <w:rsid w:val="00F6688F"/>
    <w:rsid w:val="00FA4D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14:docId w14:val="02946AE5"/>
  <w15:docId w15:val="{4C35CD9F-47FD-4B0A-9D60-A43E39C089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before="120" w:after="120" w:line="240" w:lineRule="auto"/>
      <w:jc w:val="both"/>
    </w:pPr>
    <w:rPr>
      <w:rFonts w:ascii="Times New Roman" w:hAnsi="Times New Roman" w:cs="Times New Roman"/>
      <w:sz w:val="24"/>
      <w:lang w:val="pt-PT"/>
    </w:rPr>
  </w:style>
  <w:style w:type="paragraph" w:styleId="Heading1">
    <w:name w:val="heading 1"/>
    <w:basedOn w:val="Normal"/>
    <w:next w:val="Text1"/>
    <w:link w:val="Heading1Char"/>
    <w:uiPriority w:val="9"/>
    <w:qFormat/>
    <w:pPr>
      <w:keepNext/>
      <w:numPr>
        <w:numId w:val="37"/>
      </w:numPr>
      <w:spacing w:before="360"/>
      <w:outlineLvl w:val="0"/>
    </w:pPr>
    <w:rPr>
      <w:rFonts w:eastAsiaTheme="majorEastAsia"/>
      <w:b/>
      <w:bCs/>
      <w:smallCaps/>
      <w:szCs w:val="28"/>
    </w:rPr>
  </w:style>
  <w:style w:type="paragraph" w:styleId="Heading2">
    <w:name w:val="heading 2"/>
    <w:basedOn w:val="Normal"/>
    <w:next w:val="Text1"/>
    <w:link w:val="Heading2Char"/>
    <w:uiPriority w:val="9"/>
    <w:semiHidden/>
    <w:unhideWhenUsed/>
    <w:qFormat/>
    <w:pPr>
      <w:keepNext/>
      <w:numPr>
        <w:ilvl w:val="1"/>
        <w:numId w:val="37"/>
      </w:numPr>
      <w:outlineLvl w:val="1"/>
    </w:pPr>
    <w:rPr>
      <w:rFonts w:eastAsiaTheme="majorEastAsia"/>
      <w:b/>
      <w:bCs/>
      <w:szCs w:val="26"/>
    </w:rPr>
  </w:style>
  <w:style w:type="paragraph" w:styleId="Heading3">
    <w:name w:val="heading 3"/>
    <w:basedOn w:val="Normal"/>
    <w:next w:val="Text1"/>
    <w:link w:val="Heading3Char"/>
    <w:uiPriority w:val="9"/>
    <w:semiHidden/>
    <w:unhideWhenUsed/>
    <w:qFormat/>
    <w:pPr>
      <w:keepNext/>
      <w:numPr>
        <w:ilvl w:val="2"/>
        <w:numId w:val="37"/>
      </w:numPr>
      <w:outlineLvl w:val="2"/>
    </w:pPr>
    <w:rPr>
      <w:rFonts w:eastAsiaTheme="majorEastAsia"/>
      <w:bCs/>
      <w:i/>
    </w:rPr>
  </w:style>
  <w:style w:type="paragraph" w:styleId="Heading4">
    <w:name w:val="heading 4"/>
    <w:basedOn w:val="Normal"/>
    <w:next w:val="Text1"/>
    <w:link w:val="Heading4Char"/>
    <w:uiPriority w:val="9"/>
    <w:semiHidden/>
    <w:unhideWhenUsed/>
    <w:qFormat/>
    <w:pPr>
      <w:keepNext/>
      <w:numPr>
        <w:ilvl w:val="3"/>
        <w:numId w:val="37"/>
      </w:numPr>
      <w:outlineLvl w:val="3"/>
    </w:pPr>
    <w:rPr>
      <w:rFonts w:eastAsiaTheme="majorEastAsia"/>
      <w:bCs/>
      <w:iCs/>
    </w:rPr>
  </w:style>
  <w:style w:type="paragraph" w:styleId="Heading5">
    <w:name w:val="heading 5"/>
    <w:basedOn w:val="Normal"/>
    <w:next w:val="Text2"/>
    <w:link w:val="Heading5Char"/>
    <w:uiPriority w:val="9"/>
    <w:semiHidden/>
    <w:unhideWhenUsed/>
    <w:qFormat/>
    <w:pPr>
      <w:keepNext/>
      <w:numPr>
        <w:ilvl w:val="4"/>
        <w:numId w:val="37"/>
      </w:numPr>
      <w:outlineLvl w:val="4"/>
    </w:pPr>
    <w:rPr>
      <w:rFonts w:eastAsiaTheme="majorEastAsia"/>
    </w:rPr>
  </w:style>
  <w:style w:type="paragraph" w:styleId="Heading6">
    <w:name w:val="heading 6"/>
    <w:basedOn w:val="Normal"/>
    <w:next w:val="Text2"/>
    <w:link w:val="Heading6Char"/>
    <w:uiPriority w:val="9"/>
    <w:semiHidden/>
    <w:unhideWhenUsed/>
    <w:qFormat/>
    <w:pPr>
      <w:keepNext/>
      <w:numPr>
        <w:ilvl w:val="5"/>
        <w:numId w:val="37"/>
      </w:numPr>
      <w:outlineLvl w:val="5"/>
    </w:pPr>
    <w:rPr>
      <w:rFonts w:eastAsiaTheme="majorEastAsia"/>
      <w:iCs/>
    </w:rPr>
  </w:style>
  <w:style w:type="paragraph" w:styleId="Heading7">
    <w:name w:val="heading 7"/>
    <w:basedOn w:val="Normal"/>
    <w:next w:val="Text2"/>
    <w:link w:val="Heading7Char"/>
    <w:uiPriority w:val="9"/>
    <w:semiHidden/>
    <w:unhideWhenUsed/>
    <w:qFormat/>
    <w:pPr>
      <w:keepNext/>
      <w:numPr>
        <w:ilvl w:val="6"/>
        <w:numId w:val="37"/>
      </w:numPr>
      <w:outlineLvl w:val="6"/>
    </w:pPr>
    <w:rPr>
      <w:rFonts w:eastAsiaTheme="majorEastAsia"/>
      <w:i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reobjet">
    <w:name w:val="Titre objet"/>
    <w:basedOn w:val="Normal"/>
    <w:next w:val="IntrtEEE"/>
    <w:pPr>
      <w:spacing w:before="360" w:after="360"/>
      <w:jc w:val="center"/>
    </w:pPr>
    <w:rPr>
      <w:b/>
    </w:rPr>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semiHidden/>
    <w:unhideWhenUsed/>
    <w:rPr>
      <w:sz w:val="20"/>
      <w:szCs w:val="20"/>
    </w:rPr>
  </w:style>
  <w:style w:type="character" w:customStyle="1" w:styleId="CommentTextChar">
    <w:name w:val="Comment Text Char"/>
    <w:basedOn w:val="DefaultParagraphFont"/>
    <w:link w:val="CommentText"/>
    <w:uiPriority w:val="99"/>
    <w:semiHidden/>
    <w:rPr>
      <w:rFonts w:ascii="Times New Roman" w:hAnsi="Times New Roman" w:cs="Times New Roman"/>
      <w:sz w:val="20"/>
      <w:szCs w:val="20"/>
      <w:lang w:val="pt-PT"/>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rFonts w:ascii="Times New Roman" w:hAnsi="Times New Roman" w:cs="Times New Roman"/>
      <w:b/>
      <w:bCs/>
      <w:sz w:val="20"/>
      <w:szCs w:val="20"/>
      <w:lang w:val="pt-PT"/>
    </w:rPr>
  </w:style>
  <w:style w:type="paragraph" w:styleId="BalloonText">
    <w:name w:val="Balloon Text"/>
    <w:basedOn w:val="Normal"/>
    <w:link w:val="BalloonTextChar"/>
    <w:uiPriority w:val="99"/>
    <w:semiHidden/>
    <w:unhideWhenUsed/>
    <w:pPr>
      <w:spacing w:before="0"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lang w:val="pt-PT"/>
    </w:rPr>
  </w:style>
  <w:style w:type="paragraph" w:styleId="ListParagraph">
    <w:name w:val="List Paragraph"/>
    <w:basedOn w:val="Normal"/>
    <w:uiPriority w:val="34"/>
    <w:qFormat/>
    <w:pPr>
      <w:ind w:left="720"/>
      <w:contextualSpacing/>
    </w:pPr>
  </w:style>
  <w:style w:type="paragraph" w:styleId="ListBullet">
    <w:name w:val="List Bullet"/>
    <w:basedOn w:val="Normal"/>
    <w:uiPriority w:val="99"/>
    <w:semiHidden/>
    <w:unhideWhenUsed/>
    <w:pPr>
      <w:numPr>
        <w:numId w:val="1"/>
      </w:numPr>
      <w:contextualSpacing/>
    </w:pPr>
  </w:style>
  <w:style w:type="paragraph" w:styleId="ListBullet2">
    <w:name w:val="List Bullet 2"/>
    <w:basedOn w:val="Normal"/>
    <w:uiPriority w:val="99"/>
    <w:semiHidden/>
    <w:unhideWhenUsed/>
    <w:pPr>
      <w:numPr>
        <w:numId w:val="2"/>
      </w:numPr>
      <w:contextualSpacing/>
    </w:pPr>
  </w:style>
  <w:style w:type="paragraph" w:styleId="ListBullet3">
    <w:name w:val="List Bullet 3"/>
    <w:basedOn w:val="Normal"/>
    <w:uiPriority w:val="99"/>
    <w:semiHidden/>
    <w:unhideWhenUsed/>
    <w:pPr>
      <w:numPr>
        <w:numId w:val="3"/>
      </w:numPr>
      <w:contextualSpacing/>
    </w:pPr>
  </w:style>
  <w:style w:type="paragraph" w:styleId="ListBullet4">
    <w:name w:val="List Bullet 4"/>
    <w:basedOn w:val="Normal"/>
    <w:uiPriority w:val="99"/>
    <w:semiHidden/>
    <w:unhideWhenUsed/>
    <w:pPr>
      <w:numPr>
        <w:numId w:val="4"/>
      </w:numPr>
      <w:contextualSpacing/>
    </w:pPr>
  </w:style>
  <w:style w:type="paragraph" w:styleId="Caption">
    <w:name w:val="caption"/>
    <w:basedOn w:val="Normal"/>
    <w:next w:val="Normal"/>
    <w:uiPriority w:val="35"/>
    <w:semiHidden/>
    <w:unhideWhenUsed/>
    <w:qFormat/>
    <w:pPr>
      <w:spacing w:before="0" w:after="200"/>
    </w:pPr>
    <w:rPr>
      <w:i/>
      <w:iCs/>
      <w:color w:val="1F497D" w:themeColor="text2"/>
      <w:sz w:val="18"/>
      <w:szCs w:val="18"/>
    </w:rPr>
  </w:style>
  <w:style w:type="paragraph" w:styleId="TableofFigures">
    <w:name w:val="table of figures"/>
    <w:basedOn w:val="Normal"/>
    <w:next w:val="Normal"/>
    <w:uiPriority w:val="99"/>
    <w:semiHidden/>
    <w:unhideWhenUsed/>
    <w:pPr>
      <w:spacing w:after="0"/>
    </w:pPr>
  </w:style>
  <w:style w:type="paragraph" w:styleId="ListNumber">
    <w:name w:val="List Number"/>
    <w:basedOn w:val="Normal"/>
    <w:uiPriority w:val="99"/>
    <w:semiHidden/>
    <w:unhideWhenUsed/>
    <w:pPr>
      <w:numPr>
        <w:numId w:val="5"/>
      </w:numPr>
      <w:contextualSpacing/>
    </w:pPr>
  </w:style>
  <w:style w:type="paragraph" w:styleId="ListNumber2">
    <w:name w:val="List Number 2"/>
    <w:basedOn w:val="Normal"/>
    <w:uiPriority w:val="99"/>
    <w:semiHidden/>
    <w:unhideWhenUsed/>
    <w:pPr>
      <w:numPr>
        <w:numId w:val="6"/>
      </w:numPr>
      <w:contextualSpacing/>
    </w:pPr>
  </w:style>
  <w:style w:type="paragraph" w:styleId="ListNumber3">
    <w:name w:val="List Number 3"/>
    <w:basedOn w:val="Normal"/>
    <w:uiPriority w:val="99"/>
    <w:semiHidden/>
    <w:unhideWhenUsed/>
    <w:pPr>
      <w:numPr>
        <w:numId w:val="7"/>
      </w:numPr>
      <w:contextualSpacing/>
    </w:pPr>
  </w:style>
  <w:style w:type="paragraph" w:styleId="ListNumber4">
    <w:name w:val="List Number 4"/>
    <w:basedOn w:val="Normal"/>
    <w:uiPriority w:val="99"/>
    <w:semiHidden/>
    <w:unhideWhenUsed/>
    <w:pPr>
      <w:numPr>
        <w:numId w:val="8"/>
      </w:numPr>
      <w:contextualSpacing/>
    </w:pPr>
  </w:style>
  <w:style w:type="character" w:styleId="Hyperlink">
    <w:name w:val="Hyperlink"/>
    <w:basedOn w:val="DefaultParagraphFont"/>
    <w:uiPriority w:val="99"/>
    <w:unhideWhenUsed/>
    <w:rPr>
      <w:color w:val="0000FF" w:themeColor="hyperlink"/>
      <w:u w:val="single"/>
    </w:rPr>
  </w:style>
  <w:style w:type="character" w:customStyle="1" w:styleId="UnresolvedMention">
    <w:name w:val="Unresolved Mention"/>
    <w:basedOn w:val="DefaultParagraphFont"/>
    <w:uiPriority w:val="99"/>
    <w:semiHidden/>
    <w:unhideWhenUsed/>
    <w:rsid w:val="00680C5A"/>
    <w:rPr>
      <w:color w:val="605E5C"/>
      <w:shd w:val="clear" w:color="auto" w:fill="E1DFDD"/>
    </w:rPr>
  </w:style>
  <w:style w:type="paragraph" w:styleId="Revision">
    <w:name w:val="Revision"/>
    <w:hidden/>
    <w:uiPriority w:val="99"/>
    <w:semiHidden/>
    <w:rsid w:val="004C1C07"/>
    <w:pPr>
      <w:spacing w:after="0" w:line="240" w:lineRule="auto"/>
    </w:pPr>
    <w:rPr>
      <w:rFonts w:ascii="Times New Roman" w:hAnsi="Times New Roman" w:cs="Times New Roman"/>
      <w:sz w:val="24"/>
    </w:rPr>
  </w:style>
  <w:style w:type="paragraph" w:styleId="Header">
    <w:name w:val="header"/>
    <w:basedOn w:val="Normal"/>
    <w:link w:val="HeaderChar"/>
    <w:uiPriority w:val="99"/>
    <w:unhideWhenUsed/>
    <w:rsid w:val="007B7EEA"/>
    <w:pPr>
      <w:tabs>
        <w:tab w:val="center" w:pos="4535"/>
        <w:tab w:val="right" w:pos="9071"/>
      </w:tabs>
      <w:spacing w:before="0"/>
    </w:pPr>
  </w:style>
  <w:style w:type="character" w:customStyle="1" w:styleId="HeaderChar">
    <w:name w:val="Header Char"/>
    <w:basedOn w:val="DefaultParagraphFont"/>
    <w:link w:val="Header"/>
    <w:uiPriority w:val="99"/>
    <w:rsid w:val="007B7EEA"/>
    <w:rPr>
      <w:rFonts w:ascii="Times New Roman" w:hAnsi="Times New Roman" w:cs="Times New Roman"/>
      <w:sz w:val="24"/>
      <w:lang w:val="pt-PT"/>
    </w:rPr>
  </w:style>
  <w:style w:type="paragraph" w:styleId="Footer">
    <w:name w:val="footer"/>
    <w:basedOn w:val="Normal"/>
    <w:link w:val="FooterChar"/>
    <w:uiPriority w:val="99"/>
    <w:unhideWhenUsed/>
    <w:rsid w:val="007B7EEA"/>
    <w:pPr>
      <w:tabs>
        <w:tab w:val="center" w:pos="4535"/>
        <w:tab w:val="right" w:pos="9071"/>
        <w:tab w:val="right" w:pos="9921"/>
      </w:tabs>
      <w:spacing w:before="360" w:after="0"/>
      <w:ind w:left="-850" w:right="-850"/>
      <w:jc w:val="left"/>
    </w:pPr>
  </w:style>
  <w:style w:type="character" w:customStyle="1" w:styleId="FooterChar">
    <w:name w:val="Footer Char"/>
    <w:basedOn w:val="DefaultParagraphFont"/>
    <w:link w:val="Footer"/>
    <w:uiPriority w:val="99"/>
    <w:rsid w:val="007B7EEA"/>
    <w:rPr>
      <w:rFonts w:ascii="Times New Roman" w:hAnsi="Times New Roman" w:cs="Times New Roman"/>
      <w:sz w:val="24"/>
      <w:lang w:val="pt-PT"/>
    </w:rPr>
  </w:style>
  <w:style w:type="paragraph" w:styleId="FootnoteText">
    <w:name w:val="footnote text"/>
    <w:basedOn w:val="Normal"/>
    <w:link w:val="FootnoteTextChar"/>
    <w:uiPriority w:val="99"/>
    <w:semiHidden/>
    <w:unhideWhenUsed/>
    <w:pPr>
      <w:spacing w:before="0" w:after="0"/>
      <w:ind w:left="720" w:hanging="720"/>
    </w:pPr>
    <w:rPr>
      <w:sz w:val="20"/>
      <w:szCs w:val="20"/>
    </w:rPr>
  </w:style>
  <w:style w:type="character" w:customStyle="1" w:styleId="FootnoteTextChar">
    <w:name w:val="Footnote Text Char"/>
    <w:basedOn w:val="DefaultParagraphFont"/>
    <w:link w:val="FootnoteText"/>
    <w:uiPriority w:val="99"/>
    <w:semiHidden/>
    <w:rPr>
      <w:rFonts w:ascii="Times New Roman" w:hAnsi="Times New Roman" w:cs="Times New Roman"/>
      <w:sz w:val="20"/>
      <w:szCs w:val="20"/>
      <w:shd w:val="clear" w:color="auto" w:fill="auto"/>
      <w:lang w:val="en-GB"/>
    </w:rPr>
  </w:style>
  <w:style w:type="character" w:customStyle="1" w:styleId="Heading1Char">
    <w:name w:val="Heading 1 Char"/>
    <w:basedOn w:val="DefaultParagraphFont"/>
    <w:link w:val="Heading1"/>
    <w:uiPriority w:val="9"/>
    <w:rPr>
      <w:rFonts w:ascii="Times New Roman" w:eastAsiaTheme="majorEastAsia" w:hAnsi="Times New Roman" w:cs="Times New Roman"/>
      <w:b/>
      <w:bCs/>
      <w:smallCaps/>
      <w:sz w:val="24"/>
      <w:szCs w:val="28"/>
      <w:shd w:val="clear" w:color="auto" w:fill="auto"/>
      <w:lang w:val="en-GB"/>
    </w:rPr>
  </w:style>
  <w:style w:type="character" w:customStyle="1" w:styleId="Heading2Char">
    <w:name w:val="Heading 2 Char"/>
    <w:basedOn w:val="DefaultParagraphFont"/>
    <w:link w:val="Heading2"/>
    <w:uiPriority w:val="9"/>
    <w:semiHidden/>
    <w:rPr>
      <w:rFonts w:ascii="Times New Roman" w:eastAsiaTheme="majorEastAsia" w:hAnsi="Times New Roman" w:cs="Times New Roman"/>
      <w:b/>
      <w:bCs/>
      <w:sz w:val="24"/>
      <w:szCs w:val="26"/>
      <w:shd w:val="clear" w:color="auto" w:fill="auto"/>
      <w:lang w:val="en-GB"/>
    </w:rPr>
  </w:style>
  <w:style w:type="character" w:customStyle="1" w:styleId="Heading3Char">
    <w:name w:val="Heading 3 Char"/>
    <w:basedOn w:val="DefaultParagraphFont"/>
    <w:link w:val="Heading3"/>
    <w:uiPriority w:val="9"/>
    <w:semiHidden/>
    <w:rPr>
      <w:rFonts w:ascii="Times New Roman" w:eastAsiaTheme="majorEastAsia" w:hAnsi="Times New Roman" w:cs="Times New Roman"/>
      <w:bCs/>
      <w:i/>
      <w:sz w:val="24"/>
      <w:shd w:val="clear" w:color="auto" w:fill="auto"/>
      <w:lang w:val="en-GB"/>
    </w:rPr>
  </w:style>
  <w:style w:type="character" w:customStyle="1" w:styleId="Heading4Char">
    <w:name w:val="Heading 4 Char"/>
    <w:basedOn w:val="DefaultParagraphFont"/>
    <w:link w:val="Heading4"/>
    <w:uiPriority w:val="9"/>
    <w:semiHidden/>
    <w:rPr>
      <w:rFonts w:ascii="Times New Roman" w:eastAsiaTheme="majorEastAsia" w:hAnsi="Times New Roman" w:cs="Times New Roman"/>
      <w:bCs/>
      <w:iCs/>
      <w:sz w:val="24"/>
      <w:shd w:val="clear" w:color="auto" w:fill="auto"/>
      <w:lang w:val="en-GB"/>
    </w:rPr>
  </w:style>
  <w:style w:type="character" w:customStyle="1" w:styleId="Heading5Char">
    <w:name w:val="Heading 5 Char"/>
    <w:basedOn w:val="DefaultParagraphFont"/>
    <w:link w:val="Heading5"/>
    <w:uiPriority w:val="9"/>
    <w:semiHidden/>
    <w:rPr>
      <w:rFonts w:ascii="Times New Roman" w:eastAsiaTheme="majorEastAsia" w:hAnsi="Times New Roman" w:cs="Times New Roman"/>
      <w:sz w:val="24"/>
      <w:shd w:val="clear" w:color="auto" w:fill="auto"/>
      <w:lang w:val="en-GB"/>
    </w:rPr>
  </w:style>
  <w:style w:type="character" w:customStyle="1" w:styleId="Heading6Char">
    <w:name w:val="Heading 6 Char"/>
    <w:basedOn w:val="DefaultParagraphFont"/>
    <w:link w:val="Heading6"/>
    <w:uiPriority w:val="9"/>
    <w:semiHidden/>
    <w:rPr>
      <w:rFonts w:ascii="Times New Roman" w:eastAsiaTheme="majorEastAsia" w:hAnsi="Times New Roman" w:cs="Times New Roman"/>
      <w:iCs/>
      <w:sz w:val="24"/>
      <w:shd w:val="clear" w:color="auto" w:fill="auto"/>
      <w:lang w:val="en-GB"/>
    </w:rPr>
  </w:style>
  <w:style w:type="character" w:customStyle="1" w:styleId="Heading7Char">
    <w:name w:val="Heading 7 Char"/>
    <w:basedOn w:val="DefaultParagraphFont"/>
    <w:link w:val="Heading7"/>
    <w:uiPriority w:val="9"/>
    <w:semiHidden/>
    <w:rPr>
      <w:rFonts w:ascii="Times New Roman" w:eastAsiaTheme="majorEastAsia" w:hAnsi="Times New Roman" w:cs="Times New Roman"/>
      <w:iCs/>
      <w:sz w:val="24"/>
      <w:shd w:val="clear" w:color="auto" w:fill="auto"/>
      <w:lang w:val="en-GB"/>
    </w:rPr>
  </w:style>
  <w:style w:type="paragraph" w:styleId="TOCHeading">
    <w:name w:val="TOC Heading"/>
    <w:basedOn w:val="Normal"/>
    <w:next w:val="Normal"/>
    <w:uiPriority w:val="39"/>
    <w:semiHidden/>
    <w:unhideWhenUsed/>
    <w:qFormat/>
    <w:pPr>
      <w:spacing w:after="240"/>
      <w:jc w:val="center"/>
    </w:pPr>
    <w:rPr>
      <w:b/>
      <w:sz w:val="28"/>
    </w:rPr>
  </w:style>
  <w:style w:type="paragraph" w:styleId="TOC1">
    <w:name w:val="toc 1"/>
    <w:basedOn w:val="Normal"/>
    <w:next w:val="Normal"/>
    <w:uiPriority w:val="39"/>
    <w:semiHidden/>
    <w:unhideWhenUsed/>
    <w:pPr>
      <w:tabs>
        <w:tab w:val="right" w:leader="dot" w:pos="9071"/>
      </w:tabs>
      <w:spacing w:before="60"/>
      <w:ind w:left="850" w:hanging="850"/>
      <w:jc w:val="left"/>
    </w:pPr>
  </w:style>
  <w:style w:type="paragraph" w:styleId="TOC2">
    <w:name w:val="toc 2"/>
    <w:basedOn w:val="Normal"/>
    <w:next w:val="Normal"/>
    <w:uiPriority w:val="39"/>
    <w:semiHidden/>
    <w:unhideWhenUsed/>
    <w:pPr>
      <w:tabs>
        <w:tab w:val="right" w:leader="dot" w:pos="9071"/>
      </w:tabs>
      <w:spacing w:before="60"/>
      <w:ind w:left="850" w:hanging="850"/>
      <w:jc w:val="left"/>
    </w:pPr>
  </w:style>
  <w:style w:type="paragraph" w:styleId="TOC3">
    <w:name w:val="toc 3"/>
    <w:basedOn w:val="Normal"/>
    <w:next w:val="Normal"/>
    <w:uiPriority w:val="39"/>
    <w:semiHidden/>
    <w:unhideWhenUsed/>
    <w:pPr>
      <w:tabs>
        <w:tab w:val="right" w:leader="dot" w:pos="9071"/>
      </w:tabs>
      <w:spacing w:before="60"/>
      <w:ind w:left="850" w:hanging="850"/>
      <w:jc w:val="left"/>
    </w:pPr>
  </w:style>
  <w:style w:type="paragraph" w:styleId="TOC4">
    <w:name w:val="toc 4"/>
    <w:basedOn w:val="Normal"/>
    <w:next w:val="Normal"/>
    <w:uiPriority w:val="39"/>
    <w:semiHidden/>
    <w:unhideWhenUsed/>
    <w:pPr>
      <w:tabs>
        <w:tab w:val="right" w:leader="dot" w:pos="9071"/>
      </w:tabs>
      <w:spacing w:before="60"/>
      <w:ind w:left="850" w:hanging="850"/>
      <w:jc w:val="left"/>
    </w:pPr>
  </w:style>
  <w:style w:type="paragraph" w:styleId="TOC5">
    <w:name w:val="toc 5"/>
    <w:basedOn w:val="Normal"/>
    <w:next w:val="Normal"/>
    <w:uiPriority w:val="39"/>
    <w:semiHidden/>
    <w:unhideWhenUsed/>
    <w:pPr>
      <w:tabs>
        <w:tab w:val="right" w:leader="dot" w:pos="9071"/>
      </w:tabs>
      <w:spacing w:before="300"/>
      <w:jc w:val="left"/>
    </w:pPr>
  </w:style>
  <w:style w:type="paragraph" w:styleId="TOC6">
    <w:name w:val="toc 6"/>
    <w:basedOn w:val="Normal"/>
    <w:next w:val="Normal"/>
    <w:uiPriority w:val="39"/>
    <w:semiHidden/>
    <w:unhideWhenUsed/>
    <w:pPr>
      <w:tabs>
        <w:tab w:val="right" w:leader="dot" w:pos="9071"/>
      </w:tabs>
      <w:spacing w:before="240"/>
      <w:jc w:val="left"/>
    </w:pPr>
  </w:style>
  <w:style w:type="paragraph" w:styleId="TOC7">
    <w:name w:val="toc 7"/>
    <w:basedOn w:val="Normal"/>
    <w:next w:val="Normal"/>
    <w:uiPriority w:val="39"/>
    <w:semiHidden/>
    <w:unhideWhenUsed/>
    <w:pPr>
      <w:tabs>
        <w:tab w:val="right" w:leader="dot" w:pos="9071"/>
      </w:tabs>
      <w:spacing w:before="180"/>
      <w:jc w:val="left"/>
    </w:pPr>
  </w:style>
  <w:style w:type="paragraph" w:styleId="TOC8">
    <w:name w:val="toc 8"/>
    <w:basedOn w:val="Normal"/>
    <w:next w:val="Normal"/>
    <w:uiPriority w:val="39"/>
    <w:semiHidden/>
    <w:unhideWhenUsed/>
    <w:pPr>
      <w:tabs>
        <w:tab w:val="right" w:leader="dot" w:pos="9071"/>
      </w:tabs>
      <w:jc w:val="left"/>
    </w:pPr>
  </w:style>
  <w:style w:type="paragraph" w:styleId="TOC9">
    <w:name w:val="toc 9"/>
    <w:basedOn w:val="Normal"/>
    <w:next w:val="Normal"/>
    <w:uiPriority w:val="39"/>
    <w:semiHidden/>
    <w:unhideWhenUsed/>
    <w:pPr>
      <w:tabs>
        <w:tab w:val="right" w:leader="dot" w:pos="9071"/>
      </w:tabs>
      <w:ind w:left="1417" w:hanging="1417"/>
      <w:jc w:val="left"/>
    </w:pPr>
  </w:style>
  <w:style w:type="paragraph" w:customStyle="1" w:styleId="HeaderLandscape">
    <w:name w:val="HeaderLandscape"/>
    <w:basedOn w:val="Normal"/>
    <w:rsid w:val="007B7EEA"/>
    <w:pPr>
      <w:tabs>
        <w:tab w:val="center" w:pos="7285"/>
        <w:tab w:val="right" w:pos="14003"/>
      </w:tabs>
      <w:spacing w:before="0"/>
    </w:pPr>
  </w:style>
  <w:style w:type="paragraph" w:customStyle="1" w:styleId="FooterLandscape">
    <w:name w:val="FooterLandscape"/>
    <w:basedOn w:val="Normal"/>
    <w:rsid w:val="007B7EEA"/>
    <w:pPr>
      <w:tabs>
        <w:tab w:val="center" w:pos="7285"/>
        <w:tab w:val="center" w:pos="10913"/>
        <w:tab w:val="right" w:pos="15137"/>
      </w:tabs>
      <w:spacing w:before="360" w:after="0"/>
      <w:ind w:left="-567" w:right="-567"/>
      <w:jc w:val="left"/>
    </w:pPr>
  </w:style>
  <w:style w:type="character" w:styleId="FootnoteReference">
    <w:name w:val="footnote reference"/>
    <w:basedOn w:val="DefaultParagraphFont"/>
    <w:uiPriority w:val="99"/>
    <w:semiHidden/>
    <w:unhideWhenUsed/>
    <w:rPr>
      <w:shd w:val="clear" w:color="auto" w:fill="auto"/>
      <w:vertAlign w:val="superscript"/>
    </w:rPr>
  </w:style>
  <w:style w:type="paragraph" w:customStyle="1" w:styleId="HeaderSensitivity">
    <w:name w:val="Header Sensitivity"/>
    <w:basedOn w:val="Normal"/>
    <w:rsid w:val="007B7EEA"/>
    <w:pPr>
      <w:pBdr>
        <w:top w:val="single" w:sz="4" w:space="1" w:color="auto"/>
        <w:left w:val="single" w:sz="4" w:space="4" w:color="auto"/>
        <w:bottom w:val="single" w:sz="4" w:space="1" w:color="auto"/>
        <w:right w:val="single" w:sz="4" w:space="4" w:color="auto"/>
      </w:pBdr>
      <w:spacing w:before="0"/>
      <w:ind w:left="113" w:right="113"/>
      <w:jc w:val="center"/>
    </w:pPr>
    <w:rPr>
      <w:b/>
      <w:sz w:val="32"/>
    </w:rPr>
  </w:style>
  <w:style w:type="paragraph" w:customStyle="1" w:styleId="HeaderSensitivityRight">
    <w:name w:val="Header Sensitivity Right"/>
    <w:basedOn w:val="Normal"/>
    <w:rsid w:val="007B7EEA"/>
    <w:pPr>
      <w:spacing w:before="0"/>
      <w:jc w:val="right"/>
    </w:pPr>
    <w:rPr>
      <w:sz w:val="28"/>
    </w:rPr>
  </w:style>
  <w:style w:type="paragraph" w:customStyle="1" w:styleId="FooterSensitivity">
    <w:name w:val="Footer Sensitivity"/>
    <w:basedOn w:val="Normal"/>
    <w:rsid w:val="007B7EEA"/>
    <w:pPr>
      <w:pBdr>
        <w:top w:val="single" w:sz="4" w:space="1" w:color="auto"/>
        <w:left w:val="single" w:sz="4" w:space="4" w:color="auto"/>
        <w:bottom w:val="single" w:sz="4" w:space="1" w:color="auto"/>
        <w:right w:val="single" w:sz="4" w:space="4" w:color="auto"/>
      </w:pBdr>
      <w:spacing w:before="360" w:after="0"/>
      <w:ind w:left="113" w:right="113"/>
      <w:jc w:val="center"/>
    </w:pPr>
    <w:rPr>
      <w:b/>
      <w:sz w:val="32"/>
    </w:rPr>
  </w:style>
  <w:style w:type="paragraph" w:customStyle="1" w:styleId="Text1">
    <w:name w:val="Text 1"/>
    <w:basedOn w:val="Normal"/>
    <w:pPr>
      <w:ind w:left="850"/>
    </w:pPr>
  </w:style>
  <w:style w:type="paragraph" w:customStyle="1" w:styleId="Text2">
    <w:name w:val="Text 2"/>
    <w:basedOn w:val="Normal"/>
    <w:pPr>
      <w:ind w:left="1417"/>
    </w:pPr>
  </w:style>
  <w:style w:type="paragraph" w:customStyle="1" w:styleId="Text3">
    <w:name w:val="Text 3"/>
    <w:basedOn w:val="Normal"/>
    <w:pPr>
      <w:ind w:left="1984"/>
    </w:pPr>
  </w:style>
  <w:style w:type="paragraph" w:customStyle="1" w:styleId="Text4">
    <w:name w:val="Text 4"/>
    <w:basedOn w:val="Normal"/>
    <w:pPr>
      <w:ind w:left="2551"/>
    </w:pPr>
  </w:style>
  <w:style w:type="paragraph" w:customStyle="1" w:styleId="Text5">
    <w:name w:val="Text 5"/>
    <w:basedOn w:val="Normal"/>
    <w:pPr>
      <w:ind w:left="3118"/>
    </w:pPr>
  </w:style>
  <w:style w:type="paragraph" w:customStyle="1" w:styleId="Text6">
    <w:name w:val="Text 6"/>
    <w:basedOn w:val="Normal"/>
    <w:pPr>
      <w:ind w:left="3685"/>
    </w:pPr>
  </w:style>
  <w:style w:type="paragraph" w:customStyle="1" w:styleId="NormalCentered">
    <w:name w:val="Normal Centered"/>
    <w:basedOn w:val="Normal"/>
    <w:pPr>
      <w:jc w:val="center"/>
    </w:pPr>
  </w:style>
  <w:style w:type="paragraph" w:customStyle="1" w:styleId="NormalLeft">
    <w:name w:val="Normal Left"/>
    <w:basedOn w:val="Normal"/>
    <w:pPr>
      <w:jc w:val="left"/>
    </w:pPr>
  </w:style>
  <w:style w:type="paragraph" w:customStyle="1" w:styleId="NormalRight">
    <w:name w:val="Normal Right"/>
    <w:basedOn w:val="Normal"/>
    <w:pPr>
      <w:jc w:val="right"/>
    </w:pPr>
  </w:style>
  <w:style w:type="paragraph" w:customStyle="1" w:styleId="QuotedText">
    <w:name w:val="Quoted Text"/>
    <w:basedOn w:val="Normal"/>
    <w:pPr>
      <w:ind w:left="1417"/>
    </w:pPr>
  </w:style>
  <w:style w:type="paragraph" w:customStyle="1" w:styleId="Point0">
    <w:name w:val="Point 0"/>
    <w:basedOn w:val="Normal"/>
    <w:pPr>
      <w:ind w:left="850" w:hanging="850"/>
    </w:pPr>
  </w:style>
  <w:style w:type="paragraph" w:customStyle="1" w:styleId="Point1">
    <w:name w:val="Point 1"/>
    <w:basedOn w:val="Normal"/>
    <w:pPr>
      <w:ind w:left="1417" w:hanging="567"/>
    </w:pPr>
  </w:style>
  <w:style w:type="paragraph" w:customStyle="1" w:styleId="Point2">
    <w:name w:val="Point 2"/>
    <w:basedOn w:val="Normal"/>
    <w:pPr>
      <w:ind w:left="1984" w:hanging="567"/>
    </w:pPr>
  </w:style>
  <w:style w:type="paragraph" w:customStyle="1" w:styleId="Point3">
    <w:name w:val="Point 3"/>
    <w:basedOn w:val="Normal"/>
    <w:pPr>
      <w:ind w:left="2551" w:hanging="567"/>
    </w:pPr>
  </w:style>
  <w:style w:type="paragraph" w:customStyle="1" w:styleId="Point4">
    <w:name w:val="Point 4"/>
    <w:basedOn w:val="Normal"/>
    <w:pPr>
      <w:ind w:left="3118" w:hanging="567"/>
    </w:pPr>
  </w:style>
  <w:style w:type="paragraph" w:customStyle="1" w:styleId="Point5">
    <w:name w:val="Point 5"/>
    <w:basedOn w:val="Normal"/>
    <w:pPr>
      <w:ind w:left="3685" w:hanging="567"/>
    </w:pPr>
  </w:style>
  <w:style w:type="paragraph" w:customStyle="1" w:styleId="Tiret0">
    <w:name w:val="Tiret 0"/>
    <w:basedOn w:val="Point0"/>
    <w:pPr>
      <w:numPr>
        <w:numId w:val="30"/>
      </w:numPr>
    </w:pPr>
  </w:style>
  <w:style w:type="paragraph" w:customStyle="1" w:styleId="Tiret1">
    <w:name w:val="Tiret 1"/>
    <w:basedOn w:val="Point1"/>
    <w:pPr>
      <w:numPr>
        <w:numId w:val="31"/>
      </w:numPr>
    </w:pPr>
  </w:style>
  <w:style w:type="paragraph" w:customStyle="1" w:styleId="Tiret2">
    <w:name w:val="Tiret 2"/>
    <w:basedOn w:val="Point2"/>
    <w:pPr>
      <w:numPr>
        <w:numId w:val="32"/>
      </w:numPr>
    </w:pPr>
  </w:style>
  <w:style w:type="paragraph" w:customStyle="1" w:styleId="Tiret3">
    <w:name w:val="Tiret 3"/>
    <w:basedOn w:val="Point3"/>
    <w:pPr>
      <w:numPr>
        <w:numId w:val="33"/>
      </w:numPr>
    </w:pPr>
  </w:style>
  <w:style w:type="paragraph" w:customStyle="1" w:styleId="Tiret4">
    <w:name w:val="Tiret 4"/>
    <w:basedOn w:val="Point4"/>
    <w:pPr>
      <w:numPr>
        <w:numId w:val="34"/>
      </w:numPr>
    </w:pPr>
  </w:style>
  <w:style w:type="paragraph" w:customStyle="1" w:styleId="Tiret5">
    <w:name w:val="Tiret 5"/>
    <w:basedOn w:val="Point5"/>
    <w:pPr>
      <w:numPr>
        <w:numId w:val="35"/>
      </w:numPr>
    </w:pPr>
  </w:style>
  <w:style w:type="paragraph" w:customStyle="1" w:styleId="PointDouble0">
    <w:name w:val="PointDouble 0"/>
    <w:basedOn w:val="Normal"/>
    <w:pPr>
      <w:tabs>
        <w:tab w:val="left" w:pos="850"/>
      </w:tabs>
      <w:ind w:left="1417" w:hanging="1417"/>
    </w:pPr>
  </w:style>
  <w:style w:type="paragraph" w:customStyle="1" w:styleId="PointDouble1">
    <w:name w:val="PointDouble 1"/>
    <w:basedOn w:val="Normal"/>
    <w:pPr>
      <w:tabs>
        <w:tab w:val="left" w:pos="1417"/>
      </w:tabs>
      <w:ind w:left="1984" w:hanging="1134"/>
    </w:pPr>
  </w:style>
  <w:style w:type="paragraph" w:customStyle="1" w:styleId="PointDouble2">
    <w:name w:val="PointDouble 2"/>
    <w:basedOn w:val="Normal"/>
    <w:pPr>
      <w:tabs>
        <w:tab w:val="left" w:pos="1984"/>
      </w:tabs>
      <w:ind w:left="2551" w:hanging="1134"/>
    </w:pPr>
  </w:style>
  <w:style w:type="paragraph" w:customStyle="1" w:styleId="PointDouble3">
    <w:name w:val="PointDouble 3"/>
    <w:basedOn w:val="Normal"/>
    <w:pPr>
      <w:tabs>
        <w:tab w:val="left" w:pos="2551"/>
      </w:tabs>
      <w:ind w:left="3118" w:hanging="1134"/>
    </w:pPr>
  </w:style>
  <w:style w:type="paragraph" w:customStyle="1" w:styleId="PointDouble4">
    <w:name w:val="PointDouble 4"/>
    <w:basedOn w:val="Normal"/>
    <w:pPr>
      <w:tabs>
        <w:tab w:val="left" w:pos="3118"/>
      </w:tabs>
      <w:ind w:left="3685" w:hanging="1134"/>
    </w:pPr>
  </w:style>
  <w:style w:type="paragraph" w:customStyle="1" w:styleId="PointTriple0">
    <w:name w:val="PointTriple 0"/>
    <w:basedOn w:val="Normal"/>
    <w:pPr>
      <w:tabs>
        <w:tab w:val="left" w:pos="850"/>
        <w:tab w:val="left" w:pos="1417"/>
      </w:tabs>
      <w:ind w:left="1984" w:hanging="1984"/>
    </w:pPr>
  </w:style>
  <w:style w:type="paragraph" w:customStyle="1" w:styleId="PointTriple1">
    <w:name w:val="PointTriple 1"/>
    <w:basedOn w:val="Normal"/>
    <w:pPr>
      <w:tabs>
        <w:tab w:val="left" w:pos="1417"/>
        <w:tab w:val="left" w:pos="1984"/>
      </w:tabs>
      <w:ind w:left="2551" w:hanging="1701"/>
    </w:pPr>
  </w:style>
  <w:style w:type="paragraph" w:customStyle="1" w:styleId="PointTriple2">
    <w:name w:val="PointTriple 2"/>
    <w:basedOn w:val="Normal"/>
    <w:pPr>
      <w:tabs>
        <w:tab w:val="left" w:pos="1984"/>
        <w:tab w:val="left" w:pos="2551"/>
      </w:tabs>
      <w:ind w:left="3118" w:hanging="1701"/>
    </w:pPr>
  </w:style>
  <w:style w:type="paragraph" w:customStyle="1" w:styleId="PointTriple3">
    <w:name w:val="PointTriple 3"/>
    <w:basedOn w:val="Normal"/>
    <w:pPr>
      <w:tabs>
        <w:tab w:val="left" w:pos="2551"/>
        <w:tab w:val="left" w:pos="3118"/>
      </w:tabs>
      <w:ind w:left="3685" w:hanging="1701"/>
    </w:pPr>
  </w:style>
  <w:style w:type="paragraph" w:customStyle="1" w:styleId="PointTriple4">
    <w:name w:val="PointTriple 4"/>
    <w:basedOn w:val="Normal"/>
    <w:pPr>
      <w:tabs>
        <w:tab w:val="left" w:pos="3118"/>
        <w:tab w:val="left" w:pos="3685"/>
      </w:tabs>
      <w:ind w:left="4252" w:hanging="1701"/>
    </w:pPr>
  </w:style>
  <w:style w:type="paragraph" w:customStyle="1" w:styleId="NumPar1">
    <w:name w:val="NumPar 1"/>
    <w:basedOn w:val="Normal"/>
    <w:next w:val="Text1"/>
    <w:pPr>
      <w:numPr>
        <w:numId w:val="36"/>
      </w:numPr>
    </w:pPr>
  </w:style>
  <w:style w:type="paragraph" w:customStyle="1" w:styleId="NumPar2">
    <w:name w:val="NumPar 2"/>
    <w:basedOn w:val="Normal"/>
    <w:next w:val="Text1"/>
    <w:pPr>
      <w:numPr>
        <w:ilvl w:val="1"/>
        <w:numId w:val="36"/>
      </w:numPr>
    </w:pPr>
  </w:style>
  <w:style w:type="paragraph" w:customStyle="1" w:styleId="NumPar3">
    <w:name w:val="NumPar 3"/>
    <w:basedOn w:val="Normal"/>
    <w:next w:val="Text1"/>
    <w:pPr>
      <w:numPr>
        <w:ilvl w:val="2"/>
        <w:numId w:val="36"/>
      </w:numPr>
    </w:pPr>
  </w:style>
  <w:style w:type="paragraph" w:customStyle="1" w:styleId="NumPar4">
    <w:name w:val="NumPar 4"/>
    <w:basedOn w:val="Normal"/>
    <w:next w:val="Text1"/>
    <w:pPr>
      <w:numPr>
        <w:ilvl w:val="3"/>
        <w:numId w:val="36"/>
      </w:numPr>
    </w:pPr>
  </w:style>
  <w:style w:type="paragraph" w:customStyle="1" w:styleId="NumPar5">
    <w:name w:val="NumPar 5"/>
    <w:basedOn w:val="Normal"/>
    <w:next w:val="Text2"/>
    <w:pPr>
      <w:numPr>
        <w:ilvl w:val="4"/>
        <w:numId w:val="36"/>
      </w:numPr>
    </w:pPr>
  </w:style>
  <w:style w:type="paragraph" w:customStyle="1" w:styleId="NumPar6">
    <w:name w:val="NumPar 6"/>
    <w:basedOn w:val="Normal"/>
    <w:next w:val="Text2"/>
    <w:pPr>
      <w:numPr>
        <w:ilvl w:val="5"/>
        <w:numId w:val="36"/>
      </w:numPr>
    </w:pPr>
  </w:style>
  <w:style w:type="paragraph" w:customStyle="1" w:styleId="NumPar7">
    <w:name w:val="NumPar 7"/>
    <w:basedOn w:val="Normal"/>
    <w:next w:val="Text2"/>
    <w:pPr>
      <w:numPr>
        <w:ilvl w:val="6"/>
        <w:numId w:val="36"/>
      </w:numPr>
    </w:pPr>
  </w:style>
  <w:style w:type="paragraph" w:customStyle="1" w:styleId="ManualNumPar1">
    <w:name w:val="Manual NumPar 1"/>
    <w:basedOn w:val="Normal"/>
    <w:next w:val="Text1"/>
    <w:pPr>
      <w:ind w:left="850" w:hanging="850"/>
    </w:pPr>
  </w:style>
  <w:style w:type="paragraph" w:customStyle="1" w:styleId="ManualNumPar2">
    <w:name w:val="Manual NumPar 2"/>
    <w:basedOn w:val="Normal"/>
    <w:next w:val="Text1"/>
    <w:pPr>
      <w:ind w:left="850" w:hanging="850"/>
    </w:pPr>
  </w:style>
  <w:style w:type="paragraph" w:customStyle="1" w:styleId="ManualNumPar3">
    <w:name w:val="Manual NumPar 3"/>
    <w:basedOn w:val="Normal"/>
    <w:next w:val="Text1"/>
    <w:pPr>
      <w:ind w:left="850" w:hanging="850"/>
    </w:pPr>
  </w:style>
  <w:style w:type="paragraph" w:customStyle="1" w:styleId="ManualNumPar4">
    <w:name w:val="Manual NumPar 4"/>
    <w:basedOn w:val="Normal"/>
    <w:next w:val="Text1"/>
    <w:pPr>
      <w:ind w:left="850" w:hanging="850"/>
    </w:pPr>
  </w:style>
  <w:style w:type="paragraph" w:customStyle="1" w:styleId="ManualNumPar5">
    <w:name w:val="Manual NumPar 5"/>
    <w:basedOn w:val="Normal"/>
    <w:next w:val="Text2"/>
    <w:pPr>
      <w:ind w:left="1417" w:hanging="1417"/>
    </w:pPr>
  </w:style>
  <w:style w:type="paragraph" w:customStyle="1" w:styleId="ManualNumPar6">
    <w:name w:val="Manual NumPar 6"/>
    <w:basedOn w:val="Normal"/>
    <w:next w:val="Text2"/>
    <w:pPr>
      <w:ind w:left="1417" w:hanging="1417"/>
    </w:pPr>
  </w:style>
  <w:style w:type="paragraph" w:customStyle="1" w:styleId="ManualNumPar7">
    <w:name w:val="Manual NumPar 7"/>
    <w:basedOn w:val="Normal"/>
    <w:next w:val="Text2"/>
    <w:pPr>
      <w:ind w:left="1417" w:hanging="1417"/>
    </w:pPr>
  </w:style>
  <w:style w:type="paragraph" w:customStyle="1" w:styleId="QuotedNumPar">
    <w:name w:val="Quoted NumPar"/>
    <w:basedOn w:val="Normal"/>
    <w:pPr>
      <w:ind w:left="1417" w:hanging="567"/>
    </w:pPr>
  </w:style>
  <w:style w:type="paragraph" w:customStyle="1" w:styleId="ManualHeading1">
    <w:name w:val="Manual Heading 1"/>
    <w:basedOn w:val="Normal"/>
    <w:next w:val="Text1"/>
    <w:pPr>
      <w:keepNext/>
      <w:tabs>
        <w:tab w:val="left" w:pos="850"/>
      </w:tabs>
      <w:spacing w:before="360"/>
      <w:ind w:left="850" w:hanging="850"/>
      <w:outlineLvl w:val="0"/>
    </w:pPr>
    <w:rPr>
      <w:b/>
      <w:smallCaps/>
    </w:rPr>
  </w:style>
  <w:style w:type="paragraph" w:customStyle="1" w:styleId="ManualHeading2">
    <w:name w:val="Manual Heading 2"/>
    <w:basedOn w:val="Normal"/>
    <w:next w:val="Text1"/>
    <w:pPr>
      <w:keepNext/>
      <w:tabs>
        <w:tab w:val="left" w:pos="850"/>
      </w:tabs>
      <w:ind w:left="850" w:hanging="850"/>
      <w:outlineLvl w:val="1"/>
    </w:pPr>
    <w:rPr>
      <w:b/>
    </w:rPr>
  </w:style>
  <w:style w:type="paragraph" w:customStyle="1" w:styleId="ManualHeading3">
    <w:name w:val="Manual Heading 3"/>
    <w:basedOn w:val="Normal"/>
    <w:next w:val="Text1"/>
    <w:pPr>
      <w:keepNext/>
      <w:tabs>
        <w:tab w:val="left" w:pos="850"/>
      </w:tabs>
      <w:ind w:left="850" w:hanging="850"/>
      <w:outlineLvl w:val="2"/>
    </w:pPr>
    <w:rPr>
      <w:i/>
    </w:rPr>
  </w:style>
  <w:style w:type="paragraph" w:customStyle="1" w:styleId="ManualHeading4">
    <w:name w:val="Manual Heading 4"/>
    <w:basedOn w:val="Normal"/>
    <w:next w:val="Text1"/>
    <w:pPr>
      <w:keepNext/>
      <w:tabs>
        <w:tab w:val="left" w:pos="850"/>
      </w:tabs>
      <w:ind w:left="850" w:hanging="850"/>
      <w:outlineLvl w:val="3"/>
    </w:pPr>
  </w:style>
  <w:style w:type="paragraph" w:customStyle="1" w:styleId="ManualHeading5">
    <w:name w:val="Manual Heading 5"/>
    <w:basedOn w:val="Normal"/>
    <w:next w:val="Text2"/>
    <w:pPr>
      <w:keepNext/>
      <w:tabs>
        <w:tab w:val="left" w:pos="1417"/>
      </w:tabs>
      <w:ind w:left="1417" w:hanging="1417"/>
      <w:outlineLvl w:val="4"/>
    </w:pPr>
  </w:style>
  <w:style w:type="paragraph" w:customStyle="1" w:styleId="ManualHeading6">
    <w:name w:val="Manual Heading 6"/>
    <w:basedOn w:val="Normal"/>
    <w:next w:val="Text2"/>
    <w:pPr>
      <w:keepNext/>
      <w:tabs>
        <w:tab w:val="left" w:pos="1417"/>
      </w:tabs>
      <w:ind w:left="1417" w:hanging="1417"/>
      <w:outlineLvl w:val="5"/>
    </w:pPr>
  </w:style>
  <w:style w:type="paragraph" w:customStyle="1" w:styleId="ManualHeading7">
    <w:name w:val="Manual Heading 7"/>
    <w:basedOn w:val="Normal"/>
    <w:next w:val="Text2"/>
    <w:pPr>
      <w:keepNext/>
      <w:tabs>
        <w:tab w:val="left" w:pos="1417"/>
      </w:tabs>
      <w:ind w:left="1417" w:hanging="1417"/>
      <w:outlineLvl w:val="6"/>
    </w:pPr>
  </w:style>
  <w:style w:type="paragraph" w:customStyle="1" w:styleId="ChapterTitle">
    <w:name w:val="ChapterTitle"/>
    <w:basedOn w:val="Normal"/>
    <w:next w:val="Normal"/>
    <w:pPr>
      <w:keepNext/>
      <w:spacing w:after="360"/>
      <w:jc w:val="center"/>
    </w:pPr>
    <w:rPr>
      <w:b/>
      <w:sz w:val="32"/>
    </w:rPr>
  </w:style>
  <w:style w:type="paragraph" w:customStyle="1" w:styleId="PartTitle">
    <w:name w:val="PartTitle"/>
    <w:basedOn w:val="Normal"/>
    <w:next w:val="ChapterTitle"/>
    <w:pPr>
      <w:keepNext/>
      <w:pageBreakBefore/>
      <w:spacing w:after="360"/>
      <w:jc w:val="center"/>
    </w:pPr>
    <w:rPr>
      <w:b/>
      <w:sz w:val="36"/>
    </w:rPr>
  </w:style>
  <w:style w:type="paragraph" w:customStyle="1" w:styleId="SectionTitle">
    <w:name w:val="SectionTitle"/>
    <w:basedOn w:val="Normal"/>
    <w:next w:val="Heading1"/>
    <w:pPr>
      <w:keepNext/>
      <w:spacing w:after="360"/>
      <w:jc w:val="center"/>
    </w:pPr>
    <w:rPr>
      <w:b/>
      <w:smallCaps/>
      <w:sz w:val="28"/>
    </w:rPr>
  </w:style>
  <w:style w:type="paragraph" w:customStyle="1" w:styleId="TableTitle">
    <w:name w:val="Table Title"/>
    <w:basedOn w:val="Normal"/>
    <w:next w:val="Normal"/>
    <w:pPr>
      <w:jc w:val="center"/>
    </w:pPr>
    <w:rPr>
      <w:b/>
    </w:rPr>
  </w:style>
  <w:style w:type="character" w:customStyle="1" w:styleId="Marker">
    <w:name w:val="Marker"/>
    <w:basedOn w:val="DefaultParagraphFont"/>
    <w:rPr>
      <w:color w:val="0000FF"/>
      <w:shd w:val="clear" w:color="auto" w:fill="auto"/>
    </w:rPr>
  </w:style>
  <w:style w:type="character" w:customStyle="1" w:styleId="Marker1">
    <w:name w:val="Marker1"/>
    <w:basedOn w:val="DefaultParagraphFont"/>
    <w:rPr>
      <w:color w:val="008000"/>
      <w:shd w:val="clear" w:color="auto" w:fill="auto"/>
    </w:rPr>
  </w:style>
  <w:style w:type="character" w:customStyle="1" w:styleId="Marker2">
    <w:name w:val="Marker2"/>
    <w:basedOn w:val="DefaultParagraphFont"/>
    <w:rPr>
      <w:color w:val="FF0000"/>
      <w:shd w:val="clear" w:color="auto" w:fill="auto"/>
    </w:rPr>
  </w:style>
  <w:style w:type="paragraph" w:customStyle="1" w:styleId="Point0number">
    <w:name w:val="Point 0 (number)"/>
    <w:basedOn w:val="Normal"/>
    <w:pPr>
      <w:numPr>
        <w:numId w:val="38"/>
      </w:numPr>
    </w:pPr>
  </w:style>
  <w:style w:type="paragraph" w:customStyle="1" w:styleId="Point1number">
    <w:name w:val="Point 1 (number)"/>
    <w:basedOn w:val="Normal"/>
    <w:pPr>
      <w:numPr>
        <w:ilvl w:val="2"/>
        <w:numId w:val="38"/>
      </w:numPr>
    </w:pPr>
  </w:style>
  <w:style w:type="paragraph" w:customStyle="1" w:styleId="Point2number">
    <w:name w:val="Point 2 (number)"/>
    <w:basedOn w:val="Normal"/>
    <w:pPr>
      <w:numPr>
        <w:ilvl w:val="4"/>
        <w:numId w:val="38"/>
      </w:numPr>
    </w:pPr>
  </w:style>
  <w:style w:type="paragraph" w:customStyle="1" w:styleId="Point3number">
    <w:name w:val="Point 3 (number)"/>
    <w:basedOn w:val="Normal"/>
    <w:pPr>
      <w:numPr>
        <w:ilvl w:val="6"/>
        <w:numId w:val="38"/>
      </w:numPr>
    </w:pPr>
  </w:style>
  <w:style w:type="paragraph" w:customStyle="1" w:styleId="Point0letter">
    <w:name w:val="Point 0 (letter)"/>
    <w:basedOn w:val="Normal"/>
    <w:pPr>
      <w:numPr>
        <w:ilvl w:val="1"/>
        <w:numId w:val="38"/>
      </w:numPr>
    </w:pPr>
  </w:style>
  <w:style w:type="paragraph" w:customStyle="1" w:styleId="Point1letter">
    <w:name w:val="Point 1 (letter)"/>
    <w:basedOn w:val="Normal"/>
    <w:pPr>
      <w:numPr>
        <w:ilvl w:val="3"/>
        <w:numId w:val="38"/>
      </w:numPr>
    </w:pPr>
  </w:style>
  <w:style w:type="paragraph" w:customStyle="1" w:styleId="Point2letter">
    <w:name w:val="Point 2 (letter)"/>
    <w:basedOn w:val="Normal"/>
    <w:pPr>
      <w:numPr>
        <w:ilvl w:val="5"/>
        <w:numId w:val="38"/>
      </w:numPr>
    </w:pPr>
  </w:style>
  <w:style w:type="paragraph" w:customStyle="1" w:styleId="Point3letter">
    <w:name w:val="Point 3 (letter)"/>
    <w:basedOn w:val="Normal"/>
    <w:pPr>
      <w:numPr>
        <w:ilvl w:val="7"/>
        <w:numId w:val="38"/>
      </w:numPr>
    </w:pPr>
  </w:style>
  <w:style w:type="paragraph" w:customStyle="1" w:styleId="Point4letter">
    <w:name w:val="Point 4 (letter)"/>
    <w:basedOn w:val="Normal"/>
    <w:pPr>
      <w:numPr>
        <w:ilvl w:val="8"/>
        <w:numId w:val="38"/>
      </w:numPr>
    </w:pPr>
  </w:style>
  <w:style w:type="paragraph" w:customStyle="1" w:styleId="Bullet0">
    <w:name w:val="Bullet 0"/>
    <w:basedOn w:val="Normal"/>
    <w:pPr>
      <w:numPr>
        <w:numId w:val="39"/>
      </w:numPr>
    </w:pPr>
  </w:style>
  <w:style w:type="paragraph" w:customStyle="1" w:styleId="Bullet1">
    <w:name w:val="Bullet 1"/>
    <w:basedOn w:val="Normal"/>
    <w:pPr>
      <w:numPr>
        <w:numId w:val="40"/>
      </w:numPr>
    </w:pPr>
  </w:style>
  <w:style w:type="paragraph" w:customStyle="1" w:styleId="Bullet2">
    <w:name w:val="Bullet 2"/>
    <w:basedOn w:val="Normal"/>
    <w:pPr>
      <w:numPr>
        <w:numId w:val="41"/>
      </w:numPr>
    </w:pPr>
  </w:style>
  <w:style w:type="paragraph" w:customStyle="1" w:styleId="Bullet3">
    <w:name w:val="Bullet 3"/>
    <w:basedOn w:val="Normal"/>
    <w:pPr>
      <w:numPr>
        <w:numId w:val="42"/>
      </w:numPr>
    </w:pPr>
  </w:style>
  <w:style w:type="paragraph" w:customStyle="1" w:styleId="Bullet4">
    <w:name w:val="Bullet 4"/>
    <w:basedOn w:val="Normal"/>
    <w:pPr>
      <w:numPr>
        <w:numId w:val="43"/>
      </w:numPr>
    </w:pPr>
  </w:style>
  <w:style w:type="paragraph" w:customStyle="1" w:styleId="Langue">
    <w:name w:val="Langue"/>
    <w:basedOn w:val="Normal"/>
    <w:next w:val="Rfrenceinterne"/>
    <w:pPr>
      <w:framePr w:wrap="around" w:vAnchor="page" w:hAnchor="text" w:xAlign="center" w:y="14741"/>
      <w:spacing w:before="0" w:after="600"/>
      <w:jc w:val="center"/>
    </w:pPr>
    <w:rPr>
      <w:b/>
      <w:caps/>
    </w:rPr>
  </w:style>
  <w:style w:type="paragraph" w:customStyle="1" w:styleId="Nomdelinstitution">
    <w:name w:val="Nom de l'institution"/>
    <w:basedOn w:val="Normal"/>
    <w:next w:val="Emission"/>
    <w:pPr>
      <w:spacing w:before="0" w:after="0"/>
      <w:jc w:val="left"/>
    </w:pPr>
    <w:rPr>
      <w:rFonts w:ascii="Arial" w:hAnsi="Arial" w:cs="Arial"/>
    </w:rPr>
  </w:style>
  <w:style w:type="paragraph" w:customStyle="1" w:styleId="Emission">
    <w:name w:val="Emission"/>
    <w:basedOn w:val="Normal"/>
    <w:next w:val="Rfrenceinstitutionnelle"/>
    <w:pPr>
      <w:spacing w:before="0" w:after="0"/>
      <w:ind w:left="5103"/>
      <w:jc w:val="left"/>
    </w:pPr>
  </w:style>
  <w:style w:type="paragraph" w:customStyle="1" w:styleId="Rfrenceinstitutionnelle">
    <w:name w:val="Référence institutionnelle"/>
    <w:basedOn w:val="Normal"/>
    <w:next w:val="Confidentialit"/>
    <w:pPr>
      <w:spacing w:before="0" w:after="240"/>
      <w:ind w:left="5103"/>
      <w:jc w:val="left"/>
    </w:pPr>
  </w:style>
  <w:style w:type="paragraph" w:customStyle="1" w:styleId="Pagedecouverture">
    <w:name w:val="Page de couverture"/>
    <w:basedOn w:val="Normal"/>
    <w:next w:val="Normal"/>
    <w:pPr>
      <w:spacing w:before="0" w:after="0"/>
    </w:pPr>
  </w:style>
  <w:style w:type="paragraph" w:customStyle="1" w:styleId="Declassification">
    <w:name w:val="Declassification"/>
    <w:basedOn w:val="Normal"/>
    <w:next w:val="Normal"/>
    <w:pPr>
      <w:spacing w:before="0" w:after="0"/>
    </w:pPr>
  </w:style>
  <w:style w:type="paragraph" w:customStyle="1" w:styleId="Disclaimer">
    <w:name w:val="Disclaimer"/>
    <w:basedOn w:val="Normal"/>
    <w:pPr>
      <w:framePr w:w="8220" w:wrap="notBeside" w:hAnchor="margin" w:xAlign="center" w:y="10401"/>
      <w:pBdr>
        <w:top w:val="single" w:sz="6" w:space="4" w:color="auto"/>
        <w:left w:val="single" w:sz="6" w:space="7" w:color="auto"/>
        <w:bottom w:val="single" w:sz="6" w:space="4" w:color="auto"/>
        <w:right w:val="single" w:sz="6" w:space="7" w:color="auto"/>
      </w:pBdr>
      <w:shd w:val="clear" w:color="FFFFFF" w:fill="auto"/>
    </w:pPr>
  </w:style>
  <w:style w:type="paragraph" w:customStyle="1" w:styleId="SecurityMarking">
    <w:name w:val="SecurityMarking"/>
    <w:basedOn w:val="Normal"/>
    <w:pPr>
      <w:spacing w:before="0" w:after="0" w:line="276" w:lineRule="auto"/>
      <w:ind w:left="5103"/>
      <w:jc w:val="left"/>
    </w:pPr>
    <w:rPr>
      <w:sz w:val="28"/>
    </w:rPr>
  </w:style>
  <w:style w:type="paragraph" w:customStyle="1" w:styleId="DateMarking">
    <w:name w:val="DateMarking"/>
    <w:basedOn w:val="Normal"/>
    <w:pPr>
      <w:spacing w:before="0" w:after="0" w:line="276" w:lineRule="auto"/>
      <w:ind w:left="5103"/>
      <w:jc w:val="left"/>
    </w:pPr>
    <w:rPr>
      <w:i/>
      <w:sz w:val="28"/>
    </w:rPr>
  </w:style>
  <w:style w:type="paragraph" w:customStyle="1" w:styleId="ReleasableTo">
    <w:name w:val="ReleasableTo"/>
    <w:basedOn w:val="Normal"/>
    <w:pPr>
      <w:spacing w:before="0" w:after="0" w:line="276" w:lineRule="auto"/>
      <w:ind w:left="5103"/>
      <w:jc w:val="left"/>
    </w:pPr>
    <w:rPr>
      <w:i/>
      <w:sz w:val="28"/>
    </w:rPr>
  </w:style>
  <w:style w:type="paragraph" w:customStyle="1" w:styleId="Annexetitreexpos">
    <w:name w:val="Annexe titre (exposé)"/>
    <w:basedOn w:val="Normal"/>
    <w:next w:val="Normal"/>
    <w:pPr>
      <w:jc w:val="center"/>
    </w:pPr>
    <w:rPr>
      <w:b/>
      <w:u w:val="single"/>
    </w:rPr>
  </w:style>
  <w:style w:type="paragraph" w:customStyle="1" w:styleId="Annexetitre">
    <w:name w:val="Annexe titre"/>
    <w:basedOn w:val="Normal"/>
    <w:next w:val="Normal"/>
    <w:pPr>
      <w:jc w:val="center"/>
    </w:pPr>
    <w:rPr>
      <w:b/>
      <w:u w:val="single"/>
    </w:rPr>
  </w:style>
  <w:style w:type="paragraph" w:customStyle="1" w:styleId="Annexetitrefichefinancire">
    <w:name w:val="Annexe titre (fiche financière)"/>
    <w:basedOn w:val="Normal"/>
    <w:next w:val="Normal"/>
    <w:pPr>
      <w:jc w:val="center"/>
    </w:pPr>
    <w:rPr>
      <w:b/>
      <w:u w:val="single"/>
    </w:rPr>
  </w:style>
  <w:style w:type="paragraph" w:customStyle="1" w:styleId="Applicationdirecte">
    <w:name w:val="Application directe"/>
    <w:basedOn w:val="Normal"/>
    <w:next w:val="Fait"/>
    <w:pPr>
      <w:spacing w:before="480"/>
    </w:pPr>
  </w:style>
  <w:style w:type="paragraph" w:customStyle="1" w:styleId="Avertissementtitre">
    <w:name w:val="Avertissement titre"/>
    <w:basedOn w:val="Normal"/>
    <w:next w:val="Normal"/>
    <w:pPr>
      <w:keepNext/>
      <w:spacing w:before="480"/>
    </w:pPr>
    <w:rPr>
      <w:u w:val="single"/>
    </w:rPr>
  </w:style>
  <w:style w:type="paragraph" w:customStyle="1" w:styleId="Confidence">
    <w:name w:val="Confidence"/>
    <w:basedOn w:val="Normal"/>
    <w:next w:val="Normal"/>
    <w:pPr>
      <w:spacing w:before="360"/>
      <w:jc w:val="center"/>
    </w:pPr>
  </w:style>
  <w:style w:type="paragraph" w:customStyle="1" w:styleId="Confidentialit">
    <w:name w:val="Confidentialité"/>
    <w:basedOn w:val="Normal"/>
    <w:next w:val="TypedudocumentPagedecouverture"/>
    <w:pPr>
      <w:spacing w:before="240" w:after="240"/>
      <w:ind w:left="5103"/>
      <w:jc w:val="left"/>
    </w:pPr>
    <w:rPr>
      <w:i/>
      <w:sz w:val="32"/>
    </w:rPr>
  </w:style>
  <w:style w:type="paragraph" w:customStyle="1" w:styleId="Considrant">
    <w:name w:val="Considérant"/>
    <w:basedOn w:val="Normal"/>
    <w:pPr>
      <w:numPr>
        <w:numId w:val="44"/>
      </w:numPr>
    </w:pPr>
  </w:style>
  <w:style w:type="paragraph" w:customStyle="1" w:styleId="Corrigendum">
    <w:name w:val="Corrigendum"/>
    <w:basedOn w:val="Normal"/>
    <w:next w:val="Normal"/>
    <w:pPr>
      <w:spacing w:before="0" w:after="240"/>
      <w:jc w:val="left"/>
    </w:pPr>
  </w:style>
  <w:style w:type="paragraph" w:customStyle="1" w:styleId="Datedadoption">
    <w:name w:val="Date d'adoption"/>
    <w:basedOn w:val="Normal"/>
    <w:next w:val="IntrtEEE"/>
    <w:pPr>
      <w:spacing w:before="360" w:after="0"/>
      <w:jc w:val="center"/>
    </w:pPr>
    <w:rPr>
      <w:b/>
    </w:rPr>
  </w:style>
  <w:style w:type="paragraph" w:customStyle="1" w:styleId="Exposdesmotifstitre">
    <w:name w:val="Exposé des motifs titre"/>
    <w:basedOn w:val="Normal"/>
    <w:next w:val="Normal"/>
    <w:pPr>
      <w:jc w:val="center"/>
    </w:pPr>
    <w:rPr>
      <w:b/>
      <w:u w:val="single"/>
    </w:rPr>
  </w:style>
  <w:style w:type="paragraph" w:customStyle="1" w:styleId="Fait">
    <w:name w:val="Fait à"/>
    <w:basedOn w:val="Normal"/>
    <w:next w:val="Institutionquisigne"/>
    <w:pPr>
      <w:keepNext/>
      <w:spacing w:after="0"/>
    </w:pPr>
  </w:style>
  <w:style w:type="paragraph" w:customStyle="1" w:styleId="Formuledadoption">
    <w:name w:val="Formule d'adoption"/>
    <w:basedOn w:val="Normal"/>
    <w:next w:val="Titrearticle"/>
    <w:pPr>
      <w:keepNext/>
    </w:pPr>
  </w:style>
  <w:style w:type="paragraph" w:customStyle="1" w:styleId="Institutionquiagit">
    <w:name w:val="Institution qui agit"/>
    <w:basedOn w:val="Normal"/>
    <w:next w:val="Normal"/>
    <w:pPr>
      <w:keepNext/>
      <w:spacing w:before="600"/>
    </w:pPr>
  </w:style>
  <w:style w:type="paragraph" w:customStyle="1" w:styleId="Institutionquisigne">
    <w:name w:val="Institution qui signe"/>
    <w:basedOn w:val="Normal"/>
    <w:next w:val="Personnequisigne"/>
    <w:pPr>
      <w:keepNext/>
      <w:tabs>
        <w:tab w:val="left" w:pos="4252"/>
      </w:tabs>
      <w:spacing w:before="720" w:after="0"/>
    </w:pPr>
    <w:rPr>
      <w:i/>
    </w:rPr>
  </w:style>
  <w:style w:type="paragraph" w:customStyle="1" w:styleId="ManualConsidrant">
    <w:name w:val="Manual Considérant"/>
    <w:basedOn w:val="Normal"/>
    <w:pPr>
      <w:ind w:left="709" w:hanging="709"/>
    </w:pPr>
  </w:style>
  <w:style w:type="paragraph" w:customStyle="1" w:styleId="Personnequisigne">
    <w:name w:val="Personne qui signe"/>
    <w:basedOn w:val="Normal"/>
    <w:next w:val="Institutionquisigne"/>
    <w:pPr>
      <w:tabs>
        <w:tab w:val="left" w:pos="4252"/>
      </w:tabs>
      <w:spacing w:before="0" w:after="0"/>
      <w:jc w:val="left"/>
    </w:pPr>
    <w:rPr>
      <w:i/>
    </w:rPr>
  </w:style>
  <w:style w:type="paragraph" w:customStyle="1" w:styleId="Rfrenceinterinstitutionnelle">
    <w:name w:val="Référence interinstitutionnelle"/>
    <w:basedOn w:val="Normal"/>
    <w:next w:val="Statut"/>
    <w:pPr>
      <w:spacing w:before="0" w:after="0"/>
      <w:ind w:left="5103"/>
      <w:jc w:val="left"/>
    </w:pPr>
  </w:style>
  <w:style w:type="paragraph" w:customStyle="1" w:styleId="Rfrenceinterne">
    <w:name w:val="Référence interne"/>
    <w:basedOn w:val="Normal"/>
    <w:next w:val="Rfrenceinterinstitutionnelle"/>
    <w:pPr>
      <w:spacing w:before="0" w:after="0"/>
      <w:ind w:left="5103"/>
      <w:jc w:val="left"/>
    </w:pPr>
  </w:style>
  <w:style w:type="paragraph" w:customStyle="1" w:styleId="Statut">
    <w:name w:val="Statut"/>
    <w:basedOn w:val="Normal"/>
    <w:next w:val="Typedudocument"/>
    <w:pPr>
      <w:spacing w:before="0" w:after="240"/>
      <w:jc w:val="center"/>
    </w:pPr>
  </w:style>
  <w:style w:type="paragraph" w:customStyle="1" w:styleId="Titrearticle">
    <w:name w:val="Titre article"/>
    <w:basedOn w:val="Normal"/>
    <w:next w:val="Normal"/>
    <w:pPr>
      <w:keepNext/>
      <w:spacing w:before="360"/>
      <w:jc w:val="center"/>
    </w:pPr>
    <w:rPr>
      <w:i/>
    </w:rPr>
  </w:style>
  <w:style w:type="paragraph" w:customStyle="1" w:styleId="Typedudocument">
    <w:name w:val="Type du document"/>
    <w:basedOn w:val="Normal"/>
    <w:next w:val="Accompagnant"/>
    <w:pPr>
      <w:spacing w:before="360" w:after="180"/>
      <w:jc w:val="center"/>
    </w:pPr>
    <w:rPr>
      <w:b/>
    </w:rPr>
  </w:style>
  <w:style w:type="character" w:customStyle="1" w:styleId="Added">
    <w:name w:val="Added"/>
    <w:basedOn w:val="DefaultParagraphFont"/>
    <w:rPr>
      <w:b/>
      <w:u w:val="single"/>
      <w:shd w:val="clear" w:color="auto" w:fill="auto"/>
    </w:rPr>
  </w:style>
  <w:style w:type="character" w:customStyle="1" w:styleId="Deleted">
    <w:name w:val="Deleted"/>
    <w:basedOn w:val="DefaultParagraphFont"/>
    <w:rPr>
      <w:strike/>
      <w:dstrike w:val="0"/>
      <w:shd w:val="clear" w:color="auto" w:fill="auto"/>
    </w:rPr>
  </w:style>
  <w:style w:type="paragraph" w:customStyle="1" w:styleId="Address">
    <w:name w:val="Address"/>
    <w:basedOn w:val="Normal"/>
    <w:next w:val="Normal"/>
    <w:pPr>
      <w:keepLines/>
      <w:spacing w:line="360" w:lineRule="auto"/>
      <w:ind w:left="3402"/>
      <w:jc w:val="left"/>
    </w:pPr>
  </w:style>
  <w:style w:type="paragraph" w:customStyle="1" w:styleId="Objetexterne">
    <w:name w:val="Objet externe"/>
    <w:basedOn w:val="Normal"/>
    <w:next w:val="Normal"/>
    <w:rPr>
      <w:i/>
      <w:caps/>
    </w:rPr>
  </w:style>
  <w:style w:type="paragraph" w:customStyle="1" w:styleId="Supertitre">
    <w:name w:val="Supertitre"/>
    <w:basedOn w:val="Normal"/>
    <w:next w:val="Normal"/>
    <w:pPr>
      <w:spacing w:before="0" w:after="600"/>
      <w:jc w:val="center"/>
    </w:pPr>
    <w:rPr>
      <w:b/>
    </w:rPr>
  </w:style>
  <w:style w:type="paragraph" w:customStyle="1" w:styleId="Languesfaisantfoi">
    <w:name w:val="Langues faisant foi"/>
    <w:basedOn w:val="Normal"/>
    <w:next w:val="Normal"/>
    <w:pPr>
      <w:spacing w:before="360" w:after="0"/>
      <w:jc w:val="center"/>
    </w:pPr>
  </w:style>
  <w:style w:type="paragraph" w:customStyle="1" w:styleId="Rfrencecroise">
    <w:name w:val="Référence croisée"/>
    <w:basedOn w:val="Normal"/>
    <w:pPr>
      <w:spacing w:before="0" w:after="0"/>
      <w:jc w:val="center"/>
    </w:pPr>
  </w:style>
  <w:style w:type="paragraph" w:customStyle="1" w:styleId="Fichefinanciretitre">
    <w:name w:val="Fiche financière titre"/>
    <w:basedOn w:val="Normal"/>
    <w:next w:val="Normal"/>
    <w:pPr>
      <w:jc w:val="center"/>
    </w:pPr>
    <w:rPr>
      <w:b/>
      <w:u w:val="single"/>
    </w:rPr>
  </w:style>
  <w:style w:type="paragraph" w:customStyle="1" w:styleId="DatedadoptionPagedecouverture">
    <w:name w:val="Date d'adoption (Page de couverture)"/>
    <w:basedOn w:val="Datedadoption"/>
    <w:next w:val="IntrtEEEPagedecouverture"/>
  </w:style>
  <w:style w:type="paragraph" w:customStyle="1" w:styleId="RfrenceinterinstitutionnellePagedecouverture">
    <w:name w:val="Référence interinstitutionnelle (Page de couverture)"/>
    <w:basedOn w:val="Rfrenceinterinstitutionnelle"/>
    <w:next w:val="Confidentialit"/>
  </w:style>
  <w:style w:type="paragraph" w:customStyle="1" w:styleId="StatutPagedecouverture">
    <w:name w:val="Statut (Page de couverture)"/>
    <w:basedOn w:val="Statut"/>
    <w:next w:val="TypedudocumentPagedecouverture"/>
  </w:style>
  <w:style w:type="paragraph" w:customStyle="1" w:styleId="TypedudocumentPagedecouverture">
    <w:name w:val="Type du document (Page de couverture)"/>
    <w:basedOn w:val="Typedudocument"/>
    <w:next w:val="AccompagnantPagedecouverture"/>
  </w:style>
  <w:style w:type="paragraph" w:customStyle="1" w:styleId="Volume">
    <w:name w:val="Volume"/>
    <w:basedOn w:val="Normal"/>
    <w:next w:val="Confidentialit"/>
    <w:pPr>
      <w:spacing w:before="0" w:after="240"/>
      <w:ind w:left="5103"/>
      <w:jc w:val="left"/>
    </w:pPr>
  </w:style>
  <w:style w:type="paragraph" w:customStyle="1" w:styleId="IntrtEEE">
    <w:name w:val="Intérêt EEE"/>
    <w:basedOn w:val="Languesfaisantfoi"/>
    <w:next w:val="Normal"/>
    <w:pPr>
      <w:spacing w:after="240"/>
    </w:pPr>
  </w:style>
  <w:style w:type="paragraph" w:customStyle="1" w:styleId="Accompagnant">
    <w:name w:val="Accompagnant"/>
    <w:basedOn w:val="Normal"/>
    <w:next w:val="Typeacteprincipal"/>
    <w:pPr>
      <w:spacing w:before="180" w:after="240"/>
      <w:jc w:val="center"/>
    </w:pPr>
    <w:rPr>
      <w:b/>
    </w:rPr>
  </w:style>
  <w:style w:type="paragraph" w:customStyle="1" w:styleId="Typeacteprincipal">
    <w:name w:val="Type acte principal"/>
    <w:basedOn w:val="Normal"/>
    <w:next w:val="Objetacteprincipal"/>
    <w:pPr>
      <w:spacing w:before="0" w:after="240"/>
      <w:jc w:val="center"/>
    </w:pPr>
    <w:rPr>
      <w:b/>
    </w:rPr>
  </w:style>
  <w:style w:type="paragraph" w:customStyle="1" w:styleId="Objetacteprincipal">
    <w:name w:val="Objet acte principal"/>
    <w:basedOn w:val="Normal"/>
    <w:next w:val="Titrearticle"/>
    <w:pPr>
      <w:spacing w:before="0" w:after="360"/>
      <w:jc w:val="center"/>
    </w:pPr>
    <w:rPr>
      <w:b/>
    </w:rPr>
  </w:style>
  <w:style w:type="paragraph" w:customStyle="1" w:styleId="IntrtEEEPagedecouverture">
    <w:name w:val="Intérêt EEE (Page de couverture)"/>
    <w:basedOn w:val="IntrtEEE"/>
    <w:next w:val="Rfrencecroise"/>
  </w:style>
  <w:style w:type="paragraph" w:customStyle="1" w:styleId="AccompagnantPagedecouverture">
    <w:name w:val="Accompagnant (Page de couverture)"/>
    <w:basedOn w:val="Accompagnant"/>
    <w:next w:val="TypeacteprincipalPagedecouverture"/>
  </w:style>
  <w:style w:type="paragraph" w:customStyle="1" w:styleId="TypeacteprincipalPagedecouverture">
    <w:name w:val="Type acte principal (Page de couverture)"/>
    <w:basedOn w:val="Typeacteprincipal"/>
    <w:next w:val="ObjetacteprincipalPagedecouverture"/>
  </w:style>
  <w:style w:type="paragraph" w:customStyle="1" w:styleId="ObjetacteprincipalPagedecouverture">
    <w:name w:val="Objet acte principal (Page de couverture)"/>
    <w:basedOn w:val="Objetacteprincipal"/>
    <w:next w:val="Rfrencecroise"/>
  </w:style>
  <w:style w:type="paragraph" w:customStyle="1" w:styleId="LanguesfaisantfoiPagedecouverture">
    <w:name w:val="Langues faisant foi (Page de couverture)"/>
    <w:basedOn w:val="Normal"/>
    <w:next w:val="Normal"/>
    <w:pPr>
      <w:spacing w:before="360" w:after="0"/>
      <w:jc w:val="cente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2030051">
      <w:bodyDiv w:val="1"/>
      <w:marLeft w:val="0"/>
      <w:marRight w:val="0"/>
      <w:marTop w:val="0"/>
      <w:marBottom w:val="0"/>
      <w:divBdr>
        <w:top w:val="none" w:sz="0" w:space="0" w:color="auto"/>
        <w:left w:val="none" w:sz="0" w:space="0" w:color="auto"/>
        <w:bottom w:val="none" w:sz="0" w:space="0" w:color="auto"/>
        <w:right w:val="none" w:sz="0" w:space="0" w:color="auto"/>
      </w:divBdr>
    </w:div>
    <w:div w:id="3644457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header" Target="header3.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footer" Target="footer5.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oter" Target="foot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ublic\Documents\Templates\ANNEX.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ANNEX.dotm</Template>
  <TotalTime>10</TotalTime>
  <Pages>5</Pages>
  <Words>1429</Words>
  <Characters>8146</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23</cp:revision>
  <dcterms:created xsi:type="dcterms:W3CDTF">2023-11-03T09:00:00Z</dcterms:created>
  <dcterms:modified xsi:type="dcterms:W3CDTF">2023-11-10T11:00:00Z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tegory">
    <vt:lpwstr>COM/ANNEX</vt:lpwstr>
  </property>
  <property fmtid="{D5CDD505-2E9C-101B-9397-08002B2CF9AE}" pid="3" name="Version">
    <vt:lpwstr>6.0.1.0</vt:lpwstr>
  </property>
  <property fmtid="{D5CDD505-2E9C-101B-9397-08002B2CF9AE}" pid="4" name="Last edited using">
    <vt:lpwstr>LW 9.0, Build 20230317</vt:lpwstr>
  </property>
  <property fmtid="{D5CDD505-2E9C-101B-9397-08002B2CF9AE}" pid="5" name="Created using">
    <vt:lpwstr>LW 6.0.1, Build 20180503</vt:lpwstr>
  </property>
  <property fmtid="{D5CDD505-2E9C-101B-9397-08002B2CF9AE}" pid="6" name="First annex">
    <vt:lpwstr>1</vt:lpwstr>
  </property>
  <property fmtid="{D5CDD505-2E9C-101B-9397-08002B2CF9AE}" pid="7" name="Last annex">
    <vt:lpwstr>1</vt:lpwstr>
  </property>
  <property fmtid="{D5CDD505-2E9C-101B-9397-08002B2CF9AE}" pid="8" name="Unique annex">
    <vt:lpwstr>1</vt:lpwstr>
  </property>
  <property fmtid="{D5CDD505-2E9C-101B-9397-08002B2CF9AE}" pid="9" name="Part">
    <vt:lpwstr>1</vt:lpwstr>
  </property>
  <property fmtid="{D5CDD505-2E9C-101B-9397-08002B2CF9AE}" pid="10" name="Total parts">
    <vt:lpwstr>1</vt:lpwstr>
  </property>
  <property fmtid="{D5CDD505-2E9C-101B-9397-08002B2CF9AE}" pid="11" name="Level of sensitivity">
    <vt:lpwstr>Standard treatment</vt:lpwstr>
  </property>
  <property fmtid="{D5CDD505-2E9C-101B-9397-08002B2CF9AE}" pid="12" name="LWTemplateID">
    <vt:lpwstr>SG-017</vt:lpwstr>
  </property>
  <property fmtid="{D5CDD505-2E9C-101B-9397-08002B2CF9AE}" pid="13" name="MSIP_Label_6bd9ddd1-4d20-43f6-abfa-fc3c07406f94_Enabled">
    <vt:lpwstr>true</vt:lpwstr>
  </property>
  <property fmtid="{D5CDD505-2E9C-101B-9397-08002B2CF9AE}" pid="14" name="MSIP_Label_6bd9ddd1-4d20-43f6-abfa-fc3c07406f94_SetDate">
    <vt:lpwstr>2023-09-20T09:12:09Z</vt:lpwstr>
  </property>
  <property fmtid="{D5CDD505-2E9C-101B-9397-08002B2CF9AE}" pid="15" name="MSIP_Label_6bd9ddd1-4d20-43f6-abfa-fc3c07406f94_Method">
    <vt:lpwstr>Standard</vt:lpwstr>
  </property>
  <property fmtid="{D5CDD505-2E9C-101B-9397-08002B2CF9AE}" pid="16" name="MSIP_Label_6bd9ddd1-4d20-43f6-abfa-fc3c07406f94_Name">
    <vt:lpwstr>Commission Use</vt:lpwstr>
  </property>
  <property fmtid="{D5CDD505-2E9C-101B-9397-08002B2CF9AE}" pid="17" name="MSIP_Label_6bd9ddd1-4d20-43f6-abfa-fc3c07406f94_SiteId">
    <vt:lpwstr>b24c8b06-522c-46fe-9080-70926f8dddb1</vt:lpwstr>
  </property>
  <property fmtid="{D5CDD505-2E9C-101B-9397-08002B2CF9AE}" pid="18" name="MSIP_Label_6bd9ddd1-4d20-43f6-abfa-fc3c07406f94_ActionId">
    <vt:lpwstr>7a72740f-5d4b-4863-b941-ffab21bc0821</vt:lpwstr>
  </property>
  <property fmtid="{D5CDD505-2E9C-101B-9397-08002B2CF9AE}" pid="19" name="MSIP_Label_6bd9ddd1-4d20-43f6-abfa-fc3c07406f94_ContentBits">
    <vt:lpwstr>0</vt:lpwstr>
  </property>
  <property fmtid="{D5CDD505-2E9C-101B-9397-08002B2CF9AE}" pid="20" name="DQCStatus">
    <vt:lpwstr>Green (DQC version 03)</vt:lpwstr>
  </property>
  <property name="OP_sanitized" fmtid="{D5CDD505-2E9C-101B-9397-08002B2CF9AE}" pid="21">
    <vt:lpwstr>True</vt:lpwstr>
  </property>
</Properties>
</file>