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alt="4D125879-DEDE-4D2C-A020-3BFFD5F44D15" style="width:451.25pt;height:392.65pt">
            <v:imagedata r:id="rId7" o:title=""/>
          </v:shape>
        </w:pict>
      </w:r>
    </w:p>
    <w:bookmarkEnd w:id="0"/>
    <w:p>
      <w:pPr>
        <w:rPr>
          <w:noProof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Heading1"/>
        <w:rPr>
          <w:noProof/>
          <w:color w:val="auto"/>
        </w:rPr>
      </w:pPr>
      <w:bookmarkStart w:id="1" w:name="_GoBack"/>
      <w:bookmarkEnd w:id="1"/>
      <w:r>
        <w:rPr>
          <w:noProof/>
          <w:color w:val="auto"/>
        </w:rPr>
        <w:lastRenderedPageBreak/>
        <w:t xml:space="preserve">Bilag – Skatteinitiativer: Status </w:t>
      </w:r>
    </w:p>
    <w:p>
      <w:pPr>
        <w:rPr>
          <w:noProof/>
          <w:color w:val="1F497D"/>
        </w:rPr>
      </w:pPr>
    </w:p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1357"/>
        <w:gridCol w:w="3056"/>
        <w:gridCol w:w="5369"/>
      </w:tblGrid>
      <w:tr>
        <w:trPr>
          <w:trHeight w:val="150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Dato for forslaget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after="12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Tiltag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Status</w:t>
            </w:r>
          </w:p>
        </w:tc>
      </w:tr>
      <w:tr>
        <w:trPr>
          <w:trHeight w:val="525"/>
        </w:trPr>
        <w:tc>
          <w:tcPr>
            <w:tcW w:w="9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Initiativer på området for direkte beskatning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Maj 2015 og juli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Styrkede foranstaltninger til bekæmpelse af hvidvaskning af penge og øget gennemsigtighed i forbindelse med uigennemsigtige virksomhedsstrukturer (det fjerde hvidvaskningsdirektiv)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 og DELVIS I KRAFT</w:t>
            </w:r>
          </w:p>
        </w:tc>
      </w:tr>
      <w:tr>
        <w:trPr>
          <w:trHeight w:val="506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Oktober 2015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Gennemsigtighedsregler, der pålægger medlemsstaterne at udveksle oplysninger om grænseoverskridende forhåndstilsagn i skattesager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 og I KRAFT</w:t>
            </w:r>
          </w:p>
        </w:tc>
      </w:tr>
      <w:tr>
        <w:trPr>
          <w:trHeight w:val="863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Januar 2016 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Foranstaltninger, der pålægger EU's skattemyndigheder at udveksle oplysninger om den skat, som multinationale selskaber betaler i deres land (udveksling af land for land-rapporter blandt skattemyndighederne)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 og I KRAFT</w:t>
            </w:r>
          </w:p>
        </w:tc>
      </w:tr>
      <w:tr>
        <w:trPr>
          <w:trHeight w:val="506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Januar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Bindende regler, som skal lukke smuthuller, der gør det muligt at undgå at betale skat (direktivet om bekæmpelse af skatteundgåelse)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</w:t>
            </w:r>
          </w:p>
        </w:tc>
      </w:tr>
      <w:tr>
        <w:trPr>
          <w:trHeight w:val="506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Januar 2016 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Strategi til brug for opstillingen af en fælles EU-liste over jurisdiktioner, der ikke samarbejder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shd w:val="clear" w:color="auto" w:fill="92D05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shd w:val="clear" w:color="auto" w:fill="92D05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 OG UNDER AJOURFØRING</w:t>
            </w:r>
          </w:p>
          <w:p>
            <w:pPr>
              <w:shd w:val="clear" w:color="auto" w:fill="92D05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</w:tr>
      <w:tr>
        <w:trPr>
          <w:trHeight w:val="694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April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after="12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Foranstaltninger, der pålægger multinationale selskaber at offentliggøre, hvor meget de betaler i skat i EU (offentlige land for land-rapporter)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 og Europa-Parlamentet</w:t>
            </w:r>
          </w:p>
        </w:tc>
      </w:tr>
      <w:tr>
        <w:trPr>
          <w:trHeight w:val="506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Juli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Skattemyndighedernes adgang til oplysninger indberettet i henhold til hvidvaskningslovgivningen 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 og I KRAFT</w:t>
            </w:r>
          </w:p>
        </w:tc>
      </w:tr>
      <w:tr>
        <w:trPr>
          <w:trHeight w:val="67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2015 –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Historiske internationale aftaler om gennemsigtighed indgået med Schweiz, Andorra, Liechtenstein, San Marino og Monaco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UNDERTEGNET og I KRAFT</w:t>
            </w:r>
          </w:p>
        </w:tc>
      </w:tr>
      <w:tr>
        <w:trPr>
          <w:trHeight w:val="338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September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Strammere regler, der skal forhindre, at EU-midler investeres i skattely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</w:t>
            </w:r>
          </w:p>
        </w:tc>
      </w:tr>
      <w:tr>
        <w:trPr>
          <w:trHeight w:val="694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Oktober 2016 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Foranstaltninger, der skal forhindre virksomheder i at udnytte det mismatch, der er mellem medlemsstaternes og tredjelandes skattesystemer 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</w:t>
            </w:r>
          </w:p>
        </w:tc>
      </w:tr>
      <w:tr>
        <w:trPr>
          <w:trHeight w:val="506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Oktober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Planer for et retfærdigt, vækstvenligt og konkurrencedygtigt selskabsskattesystem i EU (fælles konsolideret selskabsskattegrundlag – FKSSG)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  <w:tr>
        <w:trPr>
          <w:trHeight w:val="506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Oktober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Ny ordning til bilæggelse af tvister, der hurtigt og definitivt skal gøre en ende på dobbeltbeskatningsspørgsmål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</w:t>
            </w:r>
          </w:p>
        </w:tc>
      </w:tr>
      <w:tr>
        <w:trPr>
          <w:trHeight w:val="338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2016 – 2017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Gennemgang af medlemsstaternes patentbokse med henblik på at sikre retfærdig konkurrence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IGANGVÆRENDE</w:t>
            </w:r>
          </w:p>
        </w:tc>
      </w:tr>
      <w:tr>
        <w:trPr>
          <w:trHeight w:val="338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2014 – i dag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Anlagte sager om ulovlig statsstøtte i forbindelse med beskatning med henblik på at reducere konkurrenceforvridning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IGANGVÆRENDE</w:t>
            </w: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(5 endelige afgørelser, 4 åbne formelle undersøgelser)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Juni 2017</w:t>
            </w:r>
          </w:p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after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Nye gennemsigtighedsregler for mellemmænd, der er involveret i skatteplanlægning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Politisk enighed i Rådet</w:t>
            </w:r>
          </w:p>
        </w:tc>
      </w:tr>
      <w:tr>
        <w:trPr>
          <w:trHeight w:val="525"/>
        </w:trPr>
        <w:tc>
          <w:tcPr>
            <w:tcW w:w="9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lastRenderedPageBreak/>
              <w:t>Initiativer på området for indirekte beskatning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December 2015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Forlængelse af forpligtelsen til at respektere en minimumssats for moms på 15 %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 og I KRAFT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December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Nye regler for momssatsen på bøger, aviser og månedsmagasiner 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December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Nye regler for moms på grænseoverskridende e-handel og ophævelse af tærsklen for momsfritagelse af småforsendelser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VEDTAGET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December 2016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Foranstaltninger om midlertidig anvendelse af en generel ordning for omvendt momsbetalingspligt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Oktober 2017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Regler om indførelse af et definitivt momssystem for beskatning af handel mellem medlemsstaterne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November 2017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Foranstaltninger til styrkelse af det administrative samarbejde på momsområdet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December 2017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Foranstaltninger, der skal gøre forpligtelsen til at respektere en minimumssats for moms på 15 % til en permanent forpligtelse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Januar 2018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Nye momsregler for små virksomheder 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  <w:tr>
        <w:trPr>
          <w:trHeight w:val="52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Januar 2018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12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Nye regler for momssatser 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Under behandling i Rådet</w:t>
            </w:r>
          </w:p>
        </w:tc>
      </w:tr>
    </w:tbl>
    <w:p>
      <w:pPr>
        <w:rPr>
          <w:noProof/>
        </w:rPr>
      </w:pPr>
    </w:p>
    <w:p>
      <w:pPr>
        <w:pStyle w:val="Heading1"/>
        <w:rPr>
          <w:noProof/>
        </w:rPr>
      </w:pPr>
    </w:p>
    <w:sectPr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DA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DA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6901601"/>
      <w:docPartObj>
        <w:docPartGallery w:val="Page Numbers (Bottom of Page)"/>
        <w:docPartUnique/>
      </w:docPartObj>
    </w:sdtPr>
    <w:sdtEndPr>
      <w:rPr>
        <w:noProof/>
      </w:rPr>
    </w:sdtEndPr>
    <w:sdtContent>
      <w:p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>
    <w:pPr>
      <w:pStyle w:val="FooterCoverPage"/>
      <w:rPr>
        <w:rFonts w:ascii="Arial" w:hAnsi="Arial" w:cs="Arial"/>
        <w:b/>
        <w:sz w:val="4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Status" w:val="Green"/>
    <w:docVar w:name="LW_ACCOMPAGNANT.CP" w:val="til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4D125879-DEDE-4D2C-A020-3BFFD5F44D15"/>
    <w:docVar w:name="LW_COVERPAGE_TYPE" w:val="1"/>
    <w:docVar w:name="LW_CROSSREFERENCE" w:val="&lt;UNUSED&gt;"/>
    <w:docVar w:name="LW_DocType" w:val="NORMAL"/>
    <w:docVar w:name="LW_EMISSION" w:val="21.3.2018"/>
    <w:docVar w:name="LW_EMISSION_ISODATE" w:val="2018-03-21"/>
    <w:docVar w:name="LW_EMISSION_LOCATION" w:val="BRX"/>
    <w:docVar w:name="LW_EMISSION_PREFIX" w:val="Bruxelles, den "/>
    <w:docVar w:name="LW_EMISSION_SUFFIX" w:val="&lt;EMPTY&gt;"/>
    <w:docVar w:name="LW_ID_DOCTYPE_NONLW" w:val="CP-039"/>
    <w:docVar w:name="LW_LANGUE" w:val="DA"/>
    <w:docVar w:name="LW_LEVEL_OF_SENSITIVITY" w:val="Standard treatment"/>
    <w:docVar w:name="LW_NOM.INST" w:val="EUROPA-KOMMISSIONEN"/>
    <w:docVar w:name="LW_NOM.INST_JOINTDOC" w:val="&lt;EMPTY&gt;"/>
    <w:docVar w:name="LW_OBJETACTEPRINCIPAL.CP" w:val="Nødvendigheden af at fastsætte en moderne, retfærdig og effektiv beskatningsstandard for den digitale økonomi"/>
    <w:docVar w:name="LW_PART_NBR" w:val="1"/>
    <w:docVar w:name="LW_PART_NBR_TOTAL" w:val="1"/>
    <w:docVar w:name="LW_REF.INST.NEW" w:val="COM"/>
    <w:docVar w:name="LW_REF.INST.NEW_ADOPTED" w:val="final"/>
    <w:docVar w:name="LW_REF.INST.NEW_TEXT" w:val="(2018) 146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.CP" w:val="BILAG_x000b_"/>
    <w:docVar w:name="LW_TYPEACTEPRINCIPAL.CP" w:val="MEDDELELSE FRA KOMMISSIONEN TIL EUROPA-PARLAMENTET OG RÅDET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da-DK" w:bidi="da-D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jc w:val="both"/>
    </w:pPr>
    <w:rPr>
      <w:rFonts w:ascii="Times New Roman" w:eastAsiaTheme="minorHAnsi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Times New Roman" w:hAnsi="Calibri" w:cs="Times New Roman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/>
      <w:ind w:left="-850" w:right="-850"/>
    </w:pPr>
    <w:rPr>
      <w:rFonts w:ascii="Times New Roman" w:hAnsi="Times New Roman"/>
      <w:sz w:val="24"/>
    </w:rPr>
  </w:style>
  <w:style w:type="character" w:customStyle="1" w:styleId="FooterCoverPageChar">
    <w:name w:val="Footer Cover Page Char"/>
    <w:basedOn w:val="Heading1Char"/>
    <w:link w:val="FooterCoverPage"/>
    <w:rPr>
      <w:rFonts w:ascii="Times New Roman" w:eastAsia="Times New Roman" w:hAnsi="Times New Roman" w:cs="Times New Roman"/>
      <w:b w:val="0"/>
      <w:bCs w:val="0"/>
      <w:color w:val="365F91" w:themeColor="accent1" w:themeShade="BF"/>
      <w:sz w:val="24"/>
      <w:szCs w:val="28"/>
    </w:rPr>
  </w:style>
  <w:style w:type="paragraph" w:customStyle="1" w:styleId="FooterSensitivity">
    <w:name w:val="Footer Sensitivity"/>
    <w:basedOn w:val="Normal"/>
    <w:link w:val="Foot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left="113" w:right="113"/>
      <w:jc w:val="center"/>
    </w:pPr>
    <w:rPr>
      <w:rFonts w:ascii="Times New Roman" w:hAnsi="Times New Roman"/>
      <w:b/>
      <w:sz w:val="32"/>
    </w:rPr>
  </w:style>
  <w:style w:type="character" w:customStyle="1" w:styleId="FooterSensitivityChar">
    <w:name w:val="Footer Sensitivity Char"/>
    <w:basedOn w:val="Heading1Char"/>
    <w:link w:val="FooterSensitivity"/>
    <w:rPr>
      <w:rFonts w:ascii="Times New Roman" w:eastAsia="Times New Roman" w:hAnsi="Times New Roman" w:cs="Times New Roman"/>
      <w:b/>
      <w:bCs w:val="0"/>
      <w:color w:val="365F91" w:themeColor="accent1" w:themeShade="BF"/>
      <w:sz w:val="32"/>
      <w:szCs w:val="28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/>
      <w:jc w:val="both"/>
    </w:pPr>
    <w:rPr>
      <w:rFonts w:ascii="Times New Roman" w:hAnsi="Times New Roman"/>
      <w:sz w:val="24"/>
    </w:rPr>
  </w:style>
  <w:style w:type="character" w:customStyle="1" w:styleId="HeaderCoverPageChar">
    <w:name w:val="Header Cover Page Char"/>
    <w:basedOn w:val="Heading1Char"/>
    <w:link w:val="HeaderCoverPage"/>
    <w:rPr>
      <w:rFonts w:ascii="Times New Roman" w:eastAsia="Times New Roman" w:hAnsi="Times New Roman" w:cs="Times New Roman"/>
      <w:b w:val="0"/>
      <w:bCs w:val="0"/>
      <w:color w:val="365F91" w:themeColor="accent1" w:themeShade="BF"/>
      <w:sz w:val="24"/>
      <w:szCs w:val="28"/>
    </w:rPr>
  </w:style>
  <w:style w:type="paragraph" w:customStyle="1" w:styleId="HeaderSensitivity">
    <w:name w:val="Header Sensitivity"/>
    <w:basedOn w:val="Normal"/>
    <w:link w:val="Head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ind w:left="113" w:right="113"/>
      <w:jc w:val="center"/>
    </w:pPr>
    <w:rPr>
      <w:rFonts w:ascii="Times New Roman" w:hAnsi="Times New Roman"/>
      <w:b/>
      <w:sz w:val="32"/>
    </w:rPr>
  </w:style>
  <w:style w:type="character" w:customStyle="1" w:styleId="HeaderSensitivityChar">
    <w:name w:val="Header Sensitivity Char"/>
    <w:basedOn w:val="Heading1Char"/>
    <w:link w:val="HeaderSensitivity"/>
    <w:rPr>
      <w:rFonts w:ascii="Times New Roman" w:eastAsia="Times New Roman" w:hAnsi="Times New Roman" w:cs="Times New Roman"/>
      <w:b/>
      <w:bCs w:val="0"/>
      <w:color w:val="365F91" w:themeColor="accent1" w:themeShade="BF"/>
      <w:sz w:val="32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da-DK" w:bidi="da-D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jc w:val="both"/>
    </w:pPr>
    <w:rPr>
      <w:rFonts w:ascii="Times New Roman" w:eastAsiaTheme="minorHAnsi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Times New Roman" w:hAnsi="Calibri" w:cs="Times New Roman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/>
      <w:ind w:left="-850" w:right="-850"/>
    </w:pPr>
    <w:rPr>
      <w:rFonts w:ascii="Times New Roman" w:hAnsi="Times New Roman"/>
      <w:sz w:val="24"/>
    </w:rPr>
  </w:style>
  <w:style w:type="character" w:customStyle="1" w:styleId="FooterCoverPageChar">
    <w:name w:val="Footer Cover Page Char"/>
    <w:basedOn w:val="Heading1Char"/>
    <w:link w:val="FooterCoverPage"/>
    <w:rPr>
      <w:rFonts w:ascii="Times New Roman" w:eastAsia="Times New Roman" w:hAnsi="Times New Roman" w:cs="Times New Roman"/>
      <w:b w:val="0"/>
      <w:bCs w:val="0"/>
      <w:color w:val="365F91" w:themeColor="accent1" w:themeShade="BF"/>
      <w:sz w:val="24"/>
      <w:szCs w:val="28"/>
    </w:rPr>
  </w:style>
  <w:style w:type="paragraph" w:customStyle="1" w:styleId="FooterSensitivity">
    <w:name w:val="Footer Sensitivity"/>
    <w:basedOn w:val="Normal"/>
    <w:link w:val="Foot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left="113" w:right="113"/>
      <w:jc w:val="center"/>
    </w:pPr>
    <w:rPr>
      <w:rFonts w:ascii="Times New Roman" w:hAnsi="Times New Roman"/>
      <w:b/>
      <w:sz w:val="32"/>
    </w:rPr>
  </w:style>
  <w:style w:type="character" w:customStyle="1" w:styleId="FooterSensitivityChar">
    <w:name w:val="Footer Sensitivity Char"/>
    <w:basedOn w:val="Heading1Char"/>
    <w:link w:val="FooterSensitivity"/>
    <w:rPr>
      <w:rFonts w:ascii="Times New Roman" w:eastAsia="Times New Roman" w:hAnsi="Times New Roman" w:cs="Times New Roman"/>
      <w:b/>
      <w:bCs w:val="0"/>
      <w:color w:val="365F91" w:themeColor="accent1" w:themeShade="BF"/>
      <w:sz w:val="32"/>
      <w:szCs w:val="28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/>
      <w:jc w:val="both"/>
    </w:pPr>
    <w:rPr>
      <w:rFonts w:ascii="Times New Roman" w:hAnsi="Times New Roman"/>
      <w:sz w:val="24"/>
    </w:rPr>
  </w:style>
  <w:style w:type="character" w:customStyle="1" w:styleId="HeaderCoverPageChar">
    <w:name w:val="Header Cover Page Char"/>
    <w:basedOn w:val="Heading1Char"/>
    <w:link w:val="HeaderCoverPage"/>
    <w:rPr>
      <w:rFonts w:ascii="Times New Roman" w:eastAsia="Times New Roman" w:hAnsi="Times New Roman" w:cs="Times New Roman"/>
      <w:b w:val="0"/>
      <w:bCs w:val="0"/>
      <w:color w:val="365F91" w:themeColor="accent1" w:themeShade="BF"/>
      <w:sz w:val="24"/>
      <w:szCs w:val="28"/>
    </w:rPr>
  </w:style>
  <w:style w:type="paragraph" w:customStyle="1" w:styleId="HeaderSensitivity">
    <w:name w:val="Header Sensitivity"/>
    <w:basedOn w:val="Normal"/>
    <w:link w:val="Head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ind w:left="113" w:right="113"/>
      <w:jc w:val="center"/>
    </w:pPr>
    <w:rPr>
      <w:rFonts w:ascii="Times New Roman" w:hAnsi="Times New Roman"/>
      <w:b/>
      <w:sz w:val="32"/>
    </w:rPr>
  </w:style>
  <w:style w:type="character" w:customStyle="1" w:styleId="HeaderSensitivityChar">
    <w:name w:val="Header Sensitivity Char"/>
    <w:basedOn w:val="Heading1Char"/>
    <w:link w:val="HeaderSensitivity"/>
    <w:rPr>
      <w:rFonts w:ascii="Times New Roman" w:eastAsia="Times New Roman" w:hAnsi="Times New Roman" w:cs="Times New Roman"/>
      <w:b/>
      <w:bCs w:val="0"/>
      <w:color w:val="365F91" w:themeColor="accent1" w:themeShade="BF"/>
      <w:sz w:val="32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3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microsoft.com/office/2007/relationships/stylesWithEffects" Target="stylesWithEffect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487</Words>
  <Characters>3186</Characters>
  <Application>Microsoft Office Word</Application>
  <DocSecurity>0</DocSecurity>
  <Lines>227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11</cp:revision>
  <cp:lastPrinted>2018-03-16T08:20:00Z</cp:lastPrinted>
  <dcterms:created xsi:type="dcterms:W3CDTF">2018-03-16T14:32:00Z</dcterms:created>
  <dcterms:modified xsi:type="dcterms:W3CDTF">2018-03-21T16:23:00Z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vel of sensitivity">
    <vt:lpwstr>Standard treatment</vt:lpwstr>
  </property>
  <property fmtid="{D5CDD505-2E9C-101B-9397-08002B2CF9AE}" pid="3" name="First annex">
    <vt:lpwstr>1</vt:lpwstr>
  </property>
  <property fmtid="{D5CDD505-2E9C-101B-9397-08002B2CF9AE}" pid="4" name="Last annex">
    <vt:lpwstr>1</vt:lpwstr>
  </property>
  <property fmtid="{D5CDD505-2E9C-101B-9397-08002B2CF9AE}" pid="5" name="Unique annex">
    <vt:lpwstr>1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DocStatus">
    <vt:lpwstr>Green</vt:lpwstr>
  </property>
  <property name="OP_sanitized" fmtid="{D5CDD505-2E9C-101B-9397-08002B2CF9AE}" pid="9">
    <vt:lpwstr>True</vt:lpwstr>
  </property>
</Properties>
</file>