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alt="FFA096F1E39E42A4A7DE4B64E4DA021A" style="width:450.7pt;height:419.85pt">
            <v:imagedata r:id="rId9" o:title=""/>
          </v:shape>
        </w:pict>
      </w:r>
    </w:p>
    <w:bookmarkEnd w:id="0"/>
    <w:p>
      <w:pPr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spacing w:after="600" w:line="240" w:lineRule="auto"/>
        <w:jc w:val="center"/>
        <w:outlineLvl w:val="0"/>
        <w:rPr>
          <w:rFonts w:ascii="Times New Roman" w:hAnsi="Times New Roman"/>
          <w:b/>
          <w:noProof/>
          <w:sz w:val="28"/>
          <w:szCs w:val="28"/>
          <w:u w:val="single"/>
        </w:rPr>
      </w:pPr>
      <w:bookmarkStart w:id="1" w:name="_GoBack"/>
      <w:bookmarkEnd w:id="1"/>
      <w:r>
        <w:rPr>
          <w:rFonts w:ascii="Times New Roman" w:hAnsi="Times New Roman"/>
          <w:b/>
          <w:noProof/>
          <w:sz w:val="28"/>
          <w:u w:val="single"/>
        </w:rPr>
        <w:lastRenderedPageBreak/>
        <w:t>VI lisa: Õigusaktid, mida hakatakse kohaldama 2016. aastal</w:t>
      </w:r>
    </w:p>
    <w:p>
      <w:pPr>
        <w:spacing w:after="120" w:line="240" w:lineRule="auto"/>
        <w:outlineLvl w:val="0"/>
        <w:rPr>
          <w:rFonts w:ascii="Times New Roman" w:hAnsi="Times New Roman"/>
          <w:noProof/>
          <w:color w:val="000000"/>
          <w:sz w:val="20"/>
          <w:szCs w:val="20"/>
        </w:rPr>
      </w:pPr>
      <w:r>
        <w:rPr>
          <w:rFonts w:ascii="Times New Roman" w:hAnsi="Times New Roman"/>
          <w:noProof/>
          <w:color w:val="000000"/>
          <w:sz w:val="20"/>
        </w:rPr>
        <w:t xml:space="preserve">Täiendavat teavet delegeeritud õigusaktide ja rakendusaktide kohta, mida hakatakse kohaldama 2016. aastal, saab veebilehelt: http://ec.europa.eu/atwork/key-documents/index_en.htm. </w:t>
      </w:r>
    </w:p>
    <w:p>
      <w:pPr>
        <w:spacing w:after="240" w:line="240" w:lineRule="auto"/>
        <w:outlineLvl w:val="0"/>
        <w:rPr>
          <w:rFonts w:ascii="Times New Roman" w:hAnsi="Times New Roman"/>
          <w:noProof/>
          <w:color w:val="000000"/>
          <w:sz w:val="20"/>
          <w:szCs w:val="20"/>
        </w:rPr>
      </w:pPr>
      <w:r>
        <w:rPr>
          <w:rFonts w:ascii="Times New Roman" w:hAnsi="Times New Roman"/>
          <w:noProof/>
          <w:color w:val="000000"/>
          <w:sz w:val="20"/>
        </w:rPr>
        <w:t xml:space="preserve">Kui kohaldamiskuupäeva järele on märgitud tärn (*), tähendab see, et õigusakti muude osade puhul võivad lisaks märgitud kuupäevale kehtida ka muud kuupäevad.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376"/>
        <w:gridCol w:w="9984"/>
        <w:gridCol w:w="1876"/>
        <w:gridCol w:w="1910"/>
      </w:tblGrid>
      <w:tr>
        <w:trPr>
          <w:cantSplit/>
          <w:tblHeader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99CCFF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Nr</w:t>
            </w:r>
          </w:p>
        </w:tc>
        <w:tc>
          <w:tcPr>
            <w:tcW w:w="3599" w:type="pct"/>
            <w:tcBorders>
              <w:bottom w:val="single" w:sz="4" w:space="0" w:color="auto"/>
            </w:tcBorders>
            <w:shd w:val="clear" w:color="auto" w:fill="99CCFF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Pealkiri</w:t>
            </w:r>
          </w:p>
        </w:tc>
        <w:tc>
          <w:tcPr>
            <w:tcW w:w="701" w:type="pct"/>
            <w:tcBorders>
              <w:bottom w:val="single" w:sz="4" w:space="0" w:color="auto"/>
            </w:tcBorders>
            <w:shd w:val="clear" w:color="auto" w:fill="99CCFF"/>
          </w:tcPr>
          <w:p>
            <w:pPr>
              <w:spacing w:after="6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Poliitikavaldkond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99CCFF"/>
            <w:vAlign w:val="center"/>
          </w:tcPr>
          <w:p>
            <w:pPr>
              <w:spacing w:after="6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Kohaldamiskuupäev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5576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Nõukogu direktiiv 2014/48/EL, 24. märts 2014, millega muudetakse direktiivi 2003/48/EÜ hoiuste intresside maksustamise kohta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5576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Maksustamine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2009/138/EÜ, 25. november 2009, kindlustus- ja edasikindlustustegevuse alustamise ja jätkamise kohta (Solventsus II) (EMPs kohaldatav tekst)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2014/61/EL, 15. mai 2014, kiire elektroonilise side võrkude kasutuselevõtukulude vähendamise meetmete kohta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Digitaalmajandus ja -ühiskond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 806/2014, 15. juuli 2014, millega kehtestatakse ühtsed eeskirjad ja ühtne menetlus krediidiasutuste ja teatavate investeerimisühingute kriisilahenduseks ühtse kriisilahenduskorra ja ühtse kriisilahendusfondi raames ning millega muudetakse määrust (EL) nr 1093/2010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Finantsstabiilsus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1308/2013, 17. detsember 2013, millega kehtestatakse põllumajandustoodete ühine turukorraldus ning millega tunnistatakse kehtetuks nõukogu määrused (EMÜ) nr 922/72, (EMÜ) nr 234/79, (EÜ) nr 1037/2001 ja (EÜ) nr 1234/2007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Põllumajandus ja maaelu areng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määrus (EL) nr 167/2013, 5. veebruar 2013, põllu- ja metsamajanduses kasutatavate sõidukite kinnituse ja turujärelevalve kohta 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määrus (EL) nr 168/2013, 15. jaanuar 2013, kahe-, kolme- ja neljarattaliste sõidukite kinnituse ja turujärelevalve kohta 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määrus (EL) nr 575/2013, 26. juuni 2013, krediidiasutuste ja investeerimisühingute suhtes kohaldatavate usaldatavusnõuete kohta ja määruse (EL) nr 648/2012 muutmise kohta 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660/2014, 15. mai 2014, millega muudetakse määrust (EÜ) nr 1013/2006 jäätmesaadetiste kohta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Keskkond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(EL, Euratom) nr 1141/2014, 22. oktoober 2014, mis käsitleb Euroopa tasandi erakondade ja Euroopa tasandi poliitiliste sihtasutuste põhikirja ning rahastamist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Institutsioonid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1151/2012, 21. november 2012, põllumajandustoodete ja toidu kvaliteedikavade kohta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Põllumajandus ja maaelu areng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4. jaanuar 2016.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524/2013, 21. mai 2013, tarbijavaidluste internetipõhise lahendamise kohta, millega muudetakse määrust (EÜ) nr 2006/2004 ja direktiivi 2009/22/EÜ (tarbijavaidluste internetipõhise lahendamise määrus)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Tarbijad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9. jaanuar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2013/53/EL, 20. november 2013, väikelaevade ja jettide kohta ning direktiivi 94/25/EÜ kehtetuks tunnistamise kohta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jaanuar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2013/55/EL, 20. november 2013, millega muudetakse direktiivi 2005/36/EÜ kutsekvalifikatsioonide tunnustamise kohta ning määrust (EL) nr 1024/2012 siseturu infosüsteemi kaudu tehtava halduskoostöö kohta (IMI määrus)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jaanuar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2014/64/EL, 15. mai 2014, millega muudetakse nõukogu direktiivi 64/432/EMÜ liikmesriikide järelevalvevõrkude süsteemi kuuluvate elektrooniliste andmebaaside osas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Toiduohutus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jaanuar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(EL) 2015/254, 11. veebruar 2015 , millega tunnistatakse kehtetuks nõukogu direktiiv 93/5/EMÜ liikmesriikidelt komisjonile antava abi ja liikmesriikide koostöö kohta toidualaste küsimuste teaduslikul uurimisel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Toiduohutus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29. veebruar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Nõukogu otsus (EL) 2015/137, 26. jaanuar 2015, millega pikendatakse Siseturu Ühtlustamise Ameti (kaubamärgid ja tööstusdisainilahendused) asejuhataja ametiaega ning Siseturu Ühtlustamise Ameti (kaubamärgid ja tööstusdisainilahendused) apellatsiooninõukogude kahe juhataja ametiaega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märts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määrus (EL) nr 165/2014, 4. veebruar 2014, autovedudel kasutatavate sõidumeerikute kohta, millega tunnistatakse kehtetuks nõukogu määrus (EMÜ) nr 3821/85 autovedudel kasutatavate sõidumeerikute kohta ning muudetakse Euroopa Parlamendi ja nõukogu määrust (EÜ) nr 561/2006, mis käsitleb teatavate autovedusid käsitlevate sotsiaalõigusnormide ühtlustamist 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Transport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2. märts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6413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2014/91/EL, 23. juuli 2014, millega muudetakse direktiivi 2009/65/EÜ vabalt võõrandatavatesse väärtpaberitesse ühiseks investeeringuks loodud ettevõtjaid (eurofondid) käsitlevate õigus- ja haldusnormide kooskõlastamise kohta seoses depositooriumi ülesannete, tasustamispoliitika ja karistustega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6413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märts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2014/17/EL, 4. veebruar 2014, elamukinnisvaraga seotud tarbijakrediidilepingute kohta ning millega muudetakse direktiive 2008/48/EÜ ja 2013/36/EL ja määrust (EL) nr 1093/2010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21. märts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2014/26/EL, 26. veebruar 2014, autoriõiguse ja autoriõigusega kaasnevate õiguste kollektiivse teostamise ning muusikateose internetis kasutamise õiguse multiterritoriaalse litsentsimise kohta siseturul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Digitaalmajandus ja -ühiskond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10. aprill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2014/23/EL, 26. veebruar 2014, kontsessioonilepingute sõlmimise kohta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aprill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2014/24/EL, 26. veebruar 2014, riigihangete kohta ja direktiivi 2004/18/EÜ kehtetuks tunnistamise kohta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aprill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4923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2014/25/EL, 26. veebruar 2014, milles käsitletakse vee-, energeetika-, transpordi- ja postiteenuste sektoris tegutsevate üksuste riigihankeid ja millega tunnistatakse kehtetuks direktiiv 2004/17/EÜ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4923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2014/33/EL, 26. veebruar 2014, lifte ja lifti ohutusseadiseid käsitlevate liikmesriikide õigusaktide ühtlustamise kohta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19.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2014/28/EL, 26. veebruar 2014, tsiviilotstarbeliseks kasutamiseks mõeldud lõhkematerjalide turul kättesaadavaks tegemist ja järelevalvet käsitlevate liikmesriikide õigusaktide ühtlustamise kohta (uuesti sõnastatud)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2014/29/EL, 26. veebruar 2014, lihtsate surveanumate turul kättesaadavaks tegemist käsitlevate liikmesriikide õigusaktide ühtlustamise kohta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2014/30/EL, 26. veebruar 2014, elektromagnetilist ühilduvust käsitlevate liikmesriikide õigusaktide ühtlustamise kohta (uuesti sõnastatud)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2014/31/EL, 26. veebruar 2014, mitteautomaatkaalude turul kättesaadavaks tegemist käsitlevate liikmesriikide õigusaktide ühtlustamise kohta 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2014/32/EL, 26. veebruar 2014, mõõtevahendite turul kättesaadavaks tegemist käsitlevate liikmesriikide õigusaktide ühtlustamise kohta (uuesti sõnastatud)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2014/34/EL, 26. veebruar 2014, plahvatusohtlikus keskkonnas kasutatavaid seadmeid ja kaitsesüsteeme käsitlevate liikmesriikide õigusaktide ühtlustamise kohta (uuesti sõnastatud)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2014/35/EL, 26. veebruar 2014, teatavates pingevahemikes kasutatavate elektriseadmete turul kättesaadavaks tegemist käsitlevate liikmesriikide õigusaktide ühtlustamise kohta </w:t>
            </w:r>
          </w:p>
        </w:tc>
        <w:tc>
          <w:tcPr>
            <w:tcW w:w="701" w:type="pct"/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aprill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952/2013, 9. oktoober 2013, millega kehtestatakse liidu tolliseadustik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Maksustamine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mai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686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2014/40/EL, 3. aprill 2014, tubaka- ja seonduvate toodete tootmist, esitlemist ja müüki käsitlevate liikmesriikide õigus- ja haldusnormide ühtlustamise kohta ning millega tunnistatakse kehtetuks direktiiv 2001/37/EÜ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686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Tervis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mai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2014/54/EL, 16. aprill 2014, meetmete kohta, mis lihtsustavad töötajate vaba liikumise raames töötajatele antud õiguste kasutamist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Tööhõive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21. mai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2014/62/EL, 15. mai 2014, milles käsitletakse euro ja muude vääringute kriminaalõiguslikku kaitset võltsimise vastu ning millega asendatakse nõukogu raamotsus 2000/383/JSK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Pettusevastane tegevus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23. mai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2015/751, 29. aprill 2015, kaardipõhiste maksetehingute vahendustasude kohta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9. juuni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2014/53/EL, 16. aprill 2014, raadioseadmete turul kättesaadavaks tegemist käsitlevate liikmesriikide õigusaktide ühtlustamise kohta ja millega tunnistatakse kehtetuks direktiiv 1999/5/EÜ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13. juuni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598/2014, 16. aprill 2014, müraga seotud käitamispiirangute eeskirjade ja korra kehtestamise kohta liidu lennujaamades tasakaalustatud lähenemisviisi raames ning direktiivi 2002/30/EÜ kehtetuks tunnistamise kohta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Keskkond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13. juuni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2014/56/EL, 16. aprill 2014, millega muudetakse direktiivi 2006/43/EÜ, mis käsitleb raamatupidamise aastaaruannete ja konsolideeritud raamatupidamise aastaaruannete kohustuslikku auditit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17. juuni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 537/2014, 16. aprill 2014, mis käsitleb avaliku huvi üksuste kohustusliku auditi erinõudeid ning millega tunnistatakse kehtetuks komisjoni otsus 2005/909/EÜ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17. juuni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2014/67/EL, 15. mai 2014, mis käsitleb direktiivi 96/71/EÜ (töötajate lähetamise kohta seoses teenuste osutamisega) jõustamist ning millega muudetakse määrust (EL) nr 1024/2012, mis käsitleb siseturu infosüsteemi kaudu tehtavat halduskoostööd ( „IMI määrus”)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Tööhõive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juuni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4822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2015/848, 20. mai 2015, maksejõuetusmenetluse kohta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jc w:val="both"/>
              <w:rPr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Õigusküsimused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26. juuni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Nõukogu direktiiv 2013/64/EL, 17. detsember 2013, millega muudetakse nõukogu direktiive 91/271/EMÜ ja 1999/74/EÜ ning Euroopa Parlamendi ja nõukogu direktiive 2000/60/EÜ, 2006/7/EÜ, 2006/25/EÜ ja 2011/24/EL seoses Mayotte’i staatuse muutmisega Euroopa Liidu suhtes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Regionaalpoliitika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30. juuni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2013/35/EL, 26. juuni 2013, mis käsitleb töötervishoiu ja tööohutuse miinimumnõudeid seoses töötajate kokkupuutega füüsikalistest mõjuritest (elektromagnetväljad) tulenevate riskidega (20. üksikdirektiiv direktiivi 89/391/EMÜ artikli 16 lõike 1 tähenduses) ja millega tunnistatakse kehtetuks direktiiv 2004/40/EÜ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Tööhõive</w:t>
            </w:r>
          </w:p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juuli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 540/2014, 16. aprill 2014, mootorsõidukite ja varusummutisüsteemide mürataseme kohta, millega muudetakse direktiivi 2007/46/EÜ ja tunnistatakse kehtetuks direktiiv 70/157/EMÜ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jc w:val="both"/>
              <w:rPr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juuli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910/2014, 23. juuli 2014, e-identimise ja e-tehingute jaoks vajalike usaldusteenuste kohta siseturul ja millega tunnistatakse kehtetuks direktiiv 1999/93/EÜ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1. juuli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2014/57/EL, 16. aprill 2014, turukuritarvituse korral kohaldatavate kriminaalkaristuste kohta (turukuritarvituse direktiiv)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3. juuli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2014/65/EL, 15. mai 2014, finantsinstrumentide turgude kohta ning millega muudetakse direktiive 2002/92/EÜ ja 2011/61/EL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3. juuli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määrus (EL) nr 596/2014, 16. aprill 2014, mis käsitleb turukuritarvitusi (turukuritarvituse määrus) ning millega tunnistatakse kehtetuks Euroopa Parlamendi ja nõukogu direktiiv 2003/6/EÜ ja komisjoni direktiivid 2003/124/EÜ, 2003/125/EÜ ja 2004/72/EÜ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3. juuli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655/2014, 15. mai 2014, millega luuakse pangakontode Euroopa arestimismääruse menetlus, et hõlbustada võlgade piiriülest sissenõudmist tsiviil- ja kaubandusasjades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Õigusküsimused 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 juuli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0"/>
              </w:rPr>
              <w:t>(ainult artikkel 50, ülejäänud määrus 18. jaanuar 2016)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2014/68/EL, 15. mai 2014, surveseadmete turul kättesaadavaks tegemist käsitlevate liikmesriikide õigusaktide ühtlustamise kohta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19. juuli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määrus (EL) nr 609/2013, 12. juuni 2013, imikute ja väikelaste toidu, meditsiinilisel näidustusel kasutamiseks ettenähtud toidu ning kehakaalu alandamiseks ettenähtud päevase toidu asendajate kohta, millega tunnistatakse kehtetuks nõukogu direktiiv 92/52/EMÜ, komisjoni direktiivid 96/8/EÜ, 1999/21/EÜ, 2006/125/EÜ ja 2006/141/EÜ, Euroopa Parlamendi ja nõukogu direktiiv 2009/39/EÜ ning komisjoni määrused (EÜ) nr 41/2009 ja (EÜ) nr 953/2009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Toiduohutus </w:t>
            </w:r>
          </w:p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20. juuli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2014/89/EL, 23. juuli 2014, millega kehtestatakse mereruumi planeerimise raamistik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Merendus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september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2014/90/EL, 23. juuli 2014, milles käsitletakse laevavarustust ja millega tunnistatakse kehtetuks nõukogu direktiiv 96/98/EÜ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Transport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september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2014/92/EL, 23. juuli 2014, maksekontoga seotud tasude võrreldavuse, maksekonto vahetamise ja põhimaksekontole juurdepääsu kohta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september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249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2014/36/EL, 26. veebruar 2014, kolmandate riikide kodanike hooajatöötajatena riiki sisenemise ja seal viibimise tingimuste kohta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249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Siseküsimused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30. september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249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Nõukogu otsus (ÜVJP) 2015/1763, 1 oktoober 2015, mis käsitleb piiravaid meetmeid seoses olukorraga Burundis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249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Välisasjad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3. oktoober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249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2014/42/EL, 3. aprill 2014, kuriteovahendite ja kriminaaltulu arestimise ja konfiskeerimise kohta Euroopa Liidus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2495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Õigusküsimused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4. oktoober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2014/94/EL, 22. oktoober 2014, alternatiivkütuste taristu kasutuselevõtu kohta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Energeetika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18. november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(EL) 2015/720, 29. aprill 2015, millega muudetakse direktiivi 94/62/EÜ seoses õhukeste plastkandekottide tarbimise vähendamisega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Keskkond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27. november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3349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2013/48/EL, 22. oktoober 2013, mis käsitleb õigust kaitsjale kriminaalmenetluses ja Euroopa vahistamismäärusega seotud menetluses ning õigust lasta teavitada vabaduse võtmisest kolmandat isikut ja suhelda vabaduse võtmise ajal kolmandate isikute ja konsulaarasutustega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3349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Õigusküsimused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27. november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direktiiv 2014/66/EL, 15. mai 2014, kolmandate riikide kodanike liikmesriiki sisenemise ja seal elamise tingimuste kohta ettevõtjasisese üleviimise korral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Siseasjad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29. november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2014/95/EL, 22. oktoober 2014, millega muudetakse direktiivi 2013/34/EL seoses mitmekesisust käsitleva teabe ja muu kui finantsteabe avalikustamisega teatavate suurettevõtjate ja kontsernide poolt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Siseturg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6. detsember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1169/2011, 25. oktoober 2011, milles käsitletakse toidualase teabe esitamist tarbijatele ning millega muudetakse Euroopa Parlamendi ja nõukogu määrusi (EÜ) nr 1924/2006 ja (EÜ) nr 1925/2006 ning tunnistatakse kehtetuks komisjoni direktiiv 87/250/EMÜ, nõukogu direktiiv 90/496/EMÜ, komisjoni direktiiv 1999/10/EÜ, Euroopa Parlamendi ja nõukogu direktiiv 2000/13/EÜ, komisjoni direktiivid 2002/67/EÜ ja 2008/5/EÜ ning komisjoni määrus (EÜ) nr 608/2004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Tarbijad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13. detsember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Euroopa Parlamendi ja nõukogu direktiiv 2014/104/EL, 26. november 2014, teatavate eeskirjade kohta, millega reguleeritakse liikmesriikide õiguse kohaseid kahju hüvitamise hagisid liikmesriikide ja Euroopa Liidu konkurentsiõiguse rikkumise korral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Konkurents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27. detsember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 xml:space="preserve">Nõukogu direktiiv 2014/112/EL, 19. detsember 2014, millega rakendatakse Euroopa Siseveetranspordi Liidu (EBU), Euroopa Kiprite Liidu (ESO) ja Euroopa Transporditöötajate Föderatsiooni (ETF) vahel sõlmitud kokkulepe, milles käsitletakse tööaja korralduse teatavaid aspekte siseveetranspordi sektoris 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Tööhõive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31. detsember 2016</w:t>
            </w:r>
          </w:p>
        </w:tc>
      </w:tr>
      <w:tr>
        <w:trPr>
          <w:cantSplit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599" w:type="pct"/>
            <w:tcBorders>
              <w:bottom w:val="single" w:sz="4" w:space="0" w:color="auto"/>
            </w:tcBorders>
          </w:tcPr>
          <w:p>
            <w:pPr>
              <w:tabs>
                <w:tab w:val="left" w:pos="7568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Euroopa Parlamendi ja nõukogu määrus (EL) nr 1286/2014, 26. november 2014, mis käsitleb kombineeritud jae- ja kindlustuspõhiste investeerimistoodete (PRIIPid) põhiteabedokumente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>
            <w:pPr>
              <w:tabs>
                <w:tab w:val="left" w:pos="7568"/>
              </w:tabs>
              <w:spacing w:after="60" w:line="240" w:lineRule="auto"/>
              <w:jc w:val="both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Finantsteenused</w:t>
            </w:r>
          </w:p>
        </w:tc>
        <w:tc>
          <w:tcPr>
            <w:tcW w:w="561" w:type="pct"/>
            <w:tcBorders>
              <w:bottom w:val="single" w:sz="4" w:space="0" w:color="auto"/>
            </w:tcBorders>
          </w:tcPr>
          <w:p>
            <w:pPr>
              <w:spacing w:after="6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z w:val="20"/>
              </w:rPr>
              <w:t>31. detsember 2016</w:t>
            </w:r>
            <w:r>
              <w:rPr>
                <w:rFonts w:ascii="Times New Roman" w:hAnsi="Times New Roman"/>
                <w:b/>
                <w:noProof/>
                <w:color w:val="000000"/>
                <w:sz w:val="20"/>
              </w:rPr>
              <w:t>*</w:t>
            </w:r>
          </w:p>
        </w:tc>
      </w:tr>
    </w:tbl>
    <w:p>
      <w:pPr>
        <w:rPr>
          <w:noProof/>
        </w:rPr>
      </w:pPr>
    </w:p>
    <w:sectPr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ET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2425655"/>
      <w:docPartObj>
        <w:docPartGallery w:val="Page Numbers (Bottom of Page)"/>
        <w:docPartUnique/>
      </w:docPartObj>
    </w:sdtPr>
    <w:sdtEndPr>
      <w:rPr>
        <w:noProof/>
      </w:rPr>
    </w:sdtEndPr>
    <w:sdtContent>
      <w:p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>
    <w:pPr>
      <w:pStyle w:val="FooterCoverPage"/>
      <w:rPr>
        <w:rFonts w:ascii="Arial" w:hAnsi="Arial" w:cs="Arial"/>
        <w:b/>
        <w:sz w:val="4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D369E"/>
    <w:multiLevelType w:val="hybridMultilevel"/>
    <w:tmpl w:val="4E0E01E4"/>
    <w:lvl w:ilvl="0" w:tplc="FD7E75A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revisionView w:markup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ocStatus" w:val="Green"/>
    <w:docVar w:name="LW_ACCOMPAGNANT.CP" w:val="järgmise dokumendi juurde:"/>
    <w:docVar w:name="LW_ANNEX_NBR_FIRST" w:val="6"/>
    <w:docVar w:name="LW_ANNEX_NBR_LAST" w:val="6"/>
    <w:docVar w:name="LW_CONFIDENCE" w:val=" "/>
    <w:docVar w:name="LW_CONST_RESTREINT_UE" w:val="RESTREINT UE"/>
    <w:docVar w:name="LW_CORRIGENDUM" w:val="&lt;UNUSED&gt;"/>
    <w:docVar w:name="LW_COVERPAGE_GUID" w:val="FFA096F1E39E42A4A7DE4B64E4DA021A"/>
    <w:docVar w:name="LW_CROSSREFERENCE" w:val="&lt;UNUSED&gt;"/>
    <w:docVar w:name="LW_DocType" w:val="NORMAL"/>
    <w:docVar w:name="LW_EMISSION" w:val="27.10.2015"/>
    <w:docVar w:name="LW_EMISSION_ISODATE" w:val="2015-10-27"/>
    <w:docVar w:name="LW_EMISSION_LOCATION" w:val="STR"/>
    <w:docVar w:name="LW_EMISSION_PREFIX" w:val="Strasbourg, "/>
    <w:docVar w:name="LW_EMISSION_SUFFIX" w:val=" "/>
    <w:docVar w:name="LW_ID_DOCTYPE_NONLW" w:val="CP-039"/>
    <w:docVar w:name="LW_LANGUE" w:val="ET"/>
    <w:docVar w:name="LW_MARKING" w:val="&lt;UNUSED&gt;"/>
    <w:docVar w:name="LW_NOM.INST" w:val="EUROOPA KOMISJON"/>
    <w:docVar w:name="LW_NOM.INST_JOINTDOC" w:val="&lt;EMPTY&gt;"/>
    <w:docVar w:name="LW_OBJETACTEPRINCIPAL.CP" w:val="_x000b_Komisjoni 2016. aasta tööprogramm_x000b__x000b_Vanamoodi edasi minna ei saa"/>
    <w:docVar w:name="LW_PART_NBR" w:val="1"/>
    <w:docVar w:name="LW_PART_NBR_TOTAL" w:val="1"/>
    <w:docVar w:name="LW_REF.INST.NEW" w:val="COM"/>
    <w:docVar w:name="LW_REF.INST.NEW_ADOPTED" w:val="final"/>
    <w:docVar w:name="LW_REF.INST.NEW_TEXT" w:val="(2015) 610"/>
    <w:docVar w:name="LW_REF.INTERNE" w:val="&lt;UNUSED&gt;"/>
    <w:docVar w:name="LW_SUPERTITRE" w:val="&lt;UNUSED&gt;"/>
    <w:docVar w:name="LW_TITRE.OBJ.CP" w:val="&lt;UNUSED&gt;"/>
    <w:docVar w:name="LW_TYPE.DOC.CP" w:val="LISA_x000b_"/>
    <w:docVar w:name="LW_TYPEACTEPRINCIPAL.CP" w:val="KOMISJONI TEATIS EUROOPA PARLAMENDILE, NÕUKOGULE, EUROOPA MAJANDUS- JA SOTSIAALKOMITEELE NING REGIOONIDE KOMITEEL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t-EE" w:bidi="et-EE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  <w:outlineLvl w:val="0"/>
    </w:pPr>
    <w:rPr>
      <w:rFonts w:ascii="Times New Roman" w:hAnsi="Times New Roman"/>
      <w:noProof/>
      <w:sz w:val="24"/>
      <w:szCs w:val="28"/>
    </w:rPr>
  </w:style>
  <w:style w:type="character" w:customStyle="1" w:styleId="FooterCoverPageChar">
    <w:name w:val="Footer Cover Page Char"/>
    <w:link w:val="FooterCoverPage"/>
    <w:rPr>
      <w:rFonts w:ascii="Times New Roman" w:eastAsia="Calibri" w:hAnsi="Times New Roman" w:cs="Times New Roman"/>
      <w:noProof/>
      <w:sz w:val="24"/>
      <w:szCs w:val="28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  <w:outlineLvl w:val="0"/>
    </w:pPr>
    <w:rPr>
      <w:rFonts w:ascii="Times New Roman" w:hAnsi="Times New Roman"/>
      <w:noProof/>
      <w:sz w:val="24"/>
      <w:szCs w:val="28"/>
    </w:rPr>
  </w:style>
  <w:style w:type="character" w:customStyle="1" w:styleId="HeaderCoverPageChar">
    <w:name w:val="Header Cover Page Char"/>
    <w:link w:val="HeaderCoverPage"/>
    <w:rPr>
      <w:rFonts w:ascii="Times New Roman" w:eastAsia="Calibri" w:hAnsi="Times New Roman" w:cs="Times New Roman"/>
      <w:noProof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t-EE" w:bidi="et-EE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  <w:outlineLvl w:val="0"/>
    </w:pPr>
    <w:rPr>
      <w:rFonts w:ascii="Times New Roman" w:hAnsi="Times New Roman"/>
      <w:noProof/>
      <w:sz w:val="24"/>
      <w:szCs w:val="28"/>
    </w:rPr>
  </w:style>
  <w:style w:type="character" w:customStyle="1" w:styleId="FooterCoverPageChar">
    <w:name w:val="Footer Cover Page Char"/>
    <w:link w:val="FooterCoverPage"/>
    <w:rPr>
      <w:rFonts w:ascii="Times New Roman" w:eastAsia="Calibri" w:hAnsi="Times New Roman" w:cs="Times New Roman"/>
      <w:noProof/>
      <w:sz w:val="24"/>
      <w:szCs w:val="28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  <w:outlineLvl w:val="0"/>
    </w:pPr>
    <w:rPr>
      <w:rFonts w:ascii="Times New Roman" w:hAnsi="Times New Roman"/>
      <w:noProof/>
      <w:sz w:val="24"/>
      <w:szCs w:val="28"/>
    </w:rPr>
  </w:style>
  <w:style w:type="character" w:customStyle="1" w:styleId="HeaderCoverPageChar">
    <w:name w:val="Header Cover Page Char"/>
    <w:link w:val="HeaderCoverPage"/>
    <w:rPr>
      <w:rFonts w:ascii="Times New Roman" w:eastAsia="Calibri" w:hAnsi="Times New Roman" w:cs="Times New Roman"/>
      <w:noProof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20043-A03F-40A1-B082-D647B9EF5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9</Pages>
  <Words>2049</Words>
  <Characters>15021</Characters>
  <Application>Microsoft Office Word</Application>
  <DocSecurity>0</DocSecurity>
  <Lines>385</Lines>
  <Paragraphs>310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16</cp:revision>
  <cp:lastPrinted>2015-10-27T11:35:00Z</cp:lastPrinted>
  <dcterms:created xsi:type="dcterms:W3CDTF">2015-10-26T16:49:00Z</dcterms:created>
  <dcterms:modified xsi:type="dcterms:W3CDTF">2015-11-05T15:05:00Z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 annex">
    <vt:lpwstr>6</vt:lpwstr>
  </property>
  <property fmtid="{D5CDD505-2E9C-101B-9397-08002B2CF9AE}" pid="3" name="Last annex">
    <vt:lpwstr>6</vt:lpwstr>
  </property>
  <property fmtid="{D5CDD505-2E9C-101B-9397-08002B2CF9AE}" pid="4" name="Part">
    <vt:lpwstr>1</vt:lpwstr>
  </property>
  <property fmtid="{D5CDD505-2E9C-101B-9397-08002B2CF9AE}" pid="5" name="Total parts">
    <vt:lpwstr>1</vt:lpwstr>
  </property>
  <property fmtid="{D5CDD505-2E9C-101B-9397-08002B2CF9AE}" pid="6" name="DocStatus">
    <vt:lpwstr>Green</vt:lpwstr>
  </property>
  <property fmtid="{D5CDD505-2E9C-101B-9397-08002B2CF9AE}" pid="7" name="Classification">
    <vt:lpwstr> </vt:lpwstr>
  </property>
  <property name="OP_sanitized" fmtid="{D5CDD505-2E9C-101B-9397-08002B2CF9AE}" pid="8">
    <vt:lpwstr>True</vt:lpwstr>
  </property>
</Properties>
</file>