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C0CA0659DF3B4D619D5870B8A2E175AB" style="width:450.4pt;height:434.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2"/>
          <w:cols w:space="720"/>
          <w:docGrid w:linePitch="360"/>
        </w:sectPr>
      </w:pPr>
    </w:p>
    <w:p>
      <w:pPr>
        <w:spacing w:after="600"/>
        <w:jc w:val="center"/>
        <w:outlineLvl w:val="0"/>
        <w:rPr>
          <w:rFonts w:ascii="Times New Roman" w:hAnsi="Times New Roman"/>
          <w:b/>
          <w:i/>
          <w:noProof/>
          <w:sz w:val="20"/>
          <w:szCs w:val="20"/>
          <w:highlight w:val="yellow"/>
          <w:u w:val="single"/>
        </w:rPr>
      </w:pPr>
      <w:bookmarkStart w:id="1" w:name="_GoBack"/>
      <w:bookmarkEnd w:id="1"/>
      <w:r>
        <w:rPr>
          <w:rFonts w:ascii="Times New Roman" w:hAnsi="Times New Roman"/>
          <w:b/>
          <w:noProof/>
          <w:sz w:val="28"/>
          <w:u w:val="single"/>
        </w:rPr>
        <w:lastRenderedPageBreak/>
        <w:t>I lisa: Uued algatused</w:t>
      </w: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000" w:firstRow="0" w:lastRow="0" w:firstColumn="0" w:lastColumn="0" w:noHBand="0" w:noVBand="0"/>
      </w:tblPr>
      <w:tblGrid>
        <w:gridCol w:w="404"/>
        <w:gridCol w:w="3216"/>
        <w:gridCol w:w="1748"/>
        <w:gridCol w:w="8936"/>
      </w:tblGrid>
      <w:tr>
        <w:trPr>
          <w:cantSplit/>
          <w:tblHeader/>
        </w:trPr>
        <w:tc>
          <w:tcPr>
            <w:tcW w:w="133" w:type="pct"/>
            <w:tcBorders>
              <w:bottom w:val="single" w:sz="4" w:space="0" w:color="auto"/>
            </w:tcBorders>
            <w:shd w:val="clear" w:color="auto" w:fill="99CCFF"/>
            <w:vAlign w:val="center"/>
          </w:tcPr>
          <w:p>
            <w:pPr>
              <w:spacing w:after="0"/>
              <w:jc w:val="center"/>
              <w:rPr>
                <w:rFonts w:ascii="Times New Roman" w:hAnsi="Times New Roman"/>
                <w:b/>
                <w:noProof/>
                <w:sz w:val="20"/>
                <w:szCs w:val="20"/>
              </w:rPr>
            </w:pPr>
            <w:r>
              <w:rPr>
                <w:rFonts w:ascii="Times New Roman" w:hAnsi="Times New Roman"/>
                <w:b/>
                <w:noProof/>
                <w:sz w:val="20"/>
              </w:rPr>
              <w:t>Nr</w:t>
            </w:r>
          </w:p>
        </w:tc>
        <w:tc>
          <w:tcPr>
            <w:tcW w:w="1141" w:type="pct"/>
            <w:tcBorders>
              <w:bottom w:val="single" w:sz="4" w:space="0" w:color="auto"/>
            </w:tcBorders>
            <w:shd w:val="clear" w:color="auto" w:fill="99CCFF"/>
            <w:vAlign w:val="center"/>
          </w:tcPr>
          <w:p>
            <w:pPr>
              <w:spacing w:after="0"/>
              <w:jc w:val="center"/>
              <w:rPr>
                <w:rFonts w:ascii="Times New Roman" w:hAnsi="Times New Roman"/>
                <w:b/>
                <w:noProof/>
                <w:sz w:val="20"/>
                <w:szCs w:val="20"/>
              </w:rPr>
            </w:pPr>
            <w:r>
              <w:rPr>
                <w:rFonts w:ascii="Times New Roman" w:hAnsi="Times New Roman"/>
                <w:b/>
                <w:noProof/>
                <w:sz w:val="20"/>
              </w:rPr>
              <w:t>Pealkiri</w:t>
            </w:r>
          </w:p>
        </w:tc>
        <w:tc>
          <w:tcPr>
            <w:tcW w:w="586" w:type="pct"/>
            <w:tcBorders>
              <w:bottom w:val="single" w:sz="4" w:space="0" w:color="auto"/>
            </w:tcBorders>
            <w:shd w:val="clear" w:color="auto" w:fill="99CCFF"/>
            <w:vAlign w:val="center"/>
          </w:tcPr>
          <w:p>
            <w:pPr>
              <w:spacing w:after="0"/>
              <w:jc w:val="center"/>
              <w:rPr>
                <w:rFonts w:ascii="Times New Roman" w:hAnsi="Times New Roman"/>
                <w:b/>
                <w:noProof/>
                <w:sz w:val="20"/>
                <w:szCs w:val="20"/>
              </w:rPr>
            </w:pPr>
            <w:r>
              <w:rPr>
                <w:rFonts w:ascii="Times New Roman" w:hAnsi="Times New Roman"/>
                <w:b/>
                <w:noProof/>
                <w:sz w:val="20"/>
              </w:rPr>
              <w:t>Algatuse liik</w:t>
            </w:r>
          </w:p>
        </w:tc>
        <w:tc>
          <w:tcPr>
            <w:tcW w:w="3140" w:type="pct"/>
            <w:tcBorders>
              <w:bottom w:val="single" w:sz="4" w:space="0" w:color="auto"/>
            </w:tcBorders>
            <w:shd w:val="clear" w:color="auto" w:fill="99CCFF"/>
            <w:vAlign w:val="center"/>
          </w:tcPr>
          <w:p>
            <w:pPr>
              <w:spacing w:after="0"/>
              <w:jc w:val="center"/>
              <w:rPr>
                <w:rFonts w:ascii="Times New Roman" w:hAnsi="Times New Roman"/>
                <w:b/>
                <w:noProof/>
                <w:sz w:val="20"/>
                <w:szCs w:val="20"/>
              </w:rPr>
            </w:pPr>
            <w:r>
              <w:rPr>
                <w:rFonts w:ascii="Times New Roman" w:hAnsi="Times New Roman"/>
                <w:b/>
                <w:noProof/>
                <w:sz w:val="20"/>
              </w:rPr>
              <w:t>Kohaldamisala ja eesmärkide kirjeldus</w:t>
            </w:r>
          </w:p>
        </w:tc>
      </w:tr>
      <w:tr>
        <w:trPr>
          <w:cantSplit/>
        </w:trPr>
        <w:tc>
          <w:tcPr>
            <w:tcW w:w="5000" w:type="pct"/>
            <w:gridSpan w:val="4"/>
            <w:tcBorders>
              <w:top w:val="single" w:sz="4" w:space="0" w:color="auto"/>
              <w:left w:val="single" w:sz="4" w:space="0" w:color="auto"/>
              <w:bottom w:val="single" w:sz="4" w:space="0" w:color="auto"/>
            </w:tcBorders>
            <w:shd w:val="clear" w:color="auto" w:fill="F3F3F3"/>
          </w:tcPr>
          <w:p>
            <w:pPr>
              <w:spacing w:after="0"/>
              <w:rPr>
                <w:rFonts w:ascii="Times New Roman" w:hAnsi="Times New Roman"/>
                <w:b/>
                <w:noProof/>
                <w:sz w:val="20"/>
                <w:szCs w:val="20"/>
              </w:rPr>
            </w:pPr>
            <w:r>
              <w:rPr>
                <w:rFonts w:ascii="Times New Roman" w:hAnsi="Times New Roman"/>
                <w:b/>
                <w:noProof/>
                <w:sz w:val="20"/>
              </w:rPr>
              <w:t>Uus hoog tööhõivele, majanduskasvule ja investeeringutele</w:t>
            </w:r>
          </w:p>
        </w:tc>
      </w:tr>
      <w:tr>
        <w:trPr>
          <w:cantSplit/>
        </w:trPr>
        <w:tc>
          <w:tcPr>
            <w:tcW w:w="133" w:type="pct"/>
            <w:tcBorders>
              <w:top w:val="single" w:sz="4" w:space="0" w:color="auto"/>
              <w:left w:val="single" w:sz="4" w:space="0" w:color="auto"/>
              <w:bottom w:val="single" w:sz="4" w:space="0" w:color="auto"/>
              <w:right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top w:val="single" w:sz="4" w:space="0" w:color="auto"/>
              <w:left w:val="single" w:sz="4" w:space="0" w:color="auto"/>
              <w:bottom w:val="single" w:sz="4" w:space="0" w:color="auto"/>
              <w:right w:val="single" w:sz="4" w:space="0" w:color="auto"/>
            </w:tcBorders>
          </w:tcPr>
          <w:p>
            <w:pPr>
              <w:spacing w:after="0"/>
              <w:rPr>
                <w:rFonts w:ascii="Times New Roman" w:hAnsi="Times New Roman"/>
                <w:noProof/>
                <w:sz w:val="20"/>
                <w:szCs w:val="20"/>
              </w:rPr>
            </w:pPr>
            <w:r>
              <w:rPr>
                <w:rFonts w:ascii="Times New Roman" w:hAnsi="Times New Roman"/>
                <w:noProof/>
                <w:sz w:val="20"/>
              </w:rPr>
              <w:t>Euroopa oskuste uus tegevuskava</w:t>
            </w:r>
          </w:p>
        </w:tc>
        <w:tc>
          <w:tcPr>
            <w:tcW w:w="586" w:type="pct"/>
            <w:tcBorders>
              <w:top w:val="single" w:sz="4" w:space="0" w:color="auto"/>
              <w:left w:val="single" w:sz="4" w:space="0" w:color="auto"/>
              <w:bottom w:val="single" w:sz="4" w:space="0" w:color="auto"/>
              <w:right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Borders>
              <w:top w:val="single" w:sz="4" w:space="0" w:color="auto"/>
              <w:left w:val="single" w:sz="4" w:space="0" w:color="auto"/>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 xml:space="preserve">Tegevuskava eesmärk on edendada oskuste arendamist (sh kvalifikatsioonide vastastikune tunnustamine), toetada kutseõpet ja kõrgemat haridust ning kasutada ära digitaalvaldkonna töökohtade kogu potentsiaali. </w:t>
            </w:r>
          </w:p>
        </w:tc>
      </w:tr>
      <w:tr>
        <w:trPr>
          <w:cantSplit/>
        </w:trPr>
        <w:tc>
          <w:tcPr>
            <w:tcW w:w="133" w:type="pct"/>
            <w:tcBorders>
              <w:top w:val="single" w:sz="4" w:space="0" w:color="auto"/>
              <w:left w:val="single" w:sz="4" w:space="0" w:color="auto"/>
              <w:bottom w:val="single" w:sz="4" w:space="0" w:color="auto"/>
              <w:right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top w:val="single" w:sz="4" w:space="0" w:color="auto"/>
              <w:left w:val="single" w:sz="4" w:space="0" w:color="auto"/>
              <w:bottom w:val="single" w:sz="4" w:space="0" w:color="auto"/>
              <w:right w:val="single" w:sz="4" w:space="0" w:color="auto"/>
            </w:tcBorders>
          </w:tcPr>
          <w:p>
            <w:pPr>
              <w:spacing w:after="0"/>
              <w:rPr>
                <w:rFonts w:ascii="Times New Roman" w:hAnsi="Times New Roman"/>
                <w:noProof/>
                <w:sz w:val="20"/>
                <w:szCs w:val="20"/>
              </w:rPr>
            </w:pPr>
            <w:r>
              <w:rPr>
                <w:rFonts w:ascii="Times New Roman" w:hAnsi="Times New Roman"/>
                <w:noProof/>
                <w:sz w:val="20"/>
              </w:rPr>
              <w:t>Töö- ja pereelu ühildamise uus algatus</w:t>
            </w:r>
          </w:p>
        </w:tc>
        <w:tc>
          <w:tcPr>
            <w:tcW w:w="586" w:type="pct"/>
            <w:tcBorders>
              <w:top w:val="single" w:sz="4" w:space="0" w:color="auto"/>
              <w:left w:val="single" w:sz="4" w:space="0" w:color="auto"/>
              <w:bottom w:val="single" w:sz="4" w:space="0" w:color="auto"/>
              <w:right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Borders>
              <w:top w:val="single" w:sz="4" w:space="0" w:color="auto"/>
              <w:left w:val="single" w:sz="4" w:space="0" w:color="auto"/>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Seadusandlike ja muude kui seadusandlike meetmete kogum, et leida paremaid lahendusi töötavate lapsevanemate töö- ja pereelu tasakaalu probleemidele ja toetada naiste osalemist tööturul.</w:t>
            </w:r>
          </w:p>
        </w:tc>
      </w:tr>
      <w:tr>
        <w:trPr>
          <w:cantSplit/>
        </w:trPr>
        <w:tc>
          <w:tcPr>
            <w:tcW w:w="133" w:type="pct"/>
            <w:tcBorders>
              <w:top w:val="single" w:sz="4" w:space="0" w:color="auto"/>
              <w:left w:val="single" w:sz="4" w:space="0" w:color="auto"/>
              <w:bottom w:val="single" w:sz="4" w:space="0" w:color="auto"/>
              <w:right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top w:val="single" w:sz="4" w:space="0" w:color="auto"/>
              <w:left w:val="single" w:sz="4" w:space="0" w:color="auto"/>
              <w:bottom w:val="single" w:sz="4" w:space="0" w:color="auto"/>
              <w:right w:val="single" w:sz="4" w:space="0" w:color="auto"/>
            </w:tcBorders>
          </w:tcPr>
          <w:p>
            <w:pPr>
              <w:spacing w:after="0"/>
              <w:rPr>
                <w:rFonts w:ascii="Times New Roman" w:hAnsi="Times New Roman"/>
                <w:noProof/>
                <w:sz w:val="20"/>
                <w:szCs w:val="20"/>
              </w:rPr>
            </w:pPr>
            <w:r>
              <w:rPr>
                <w:rFonts w:ascii="Times New Roman" w:hAnsi="Times New Roman"/>
                <w:noProof/>
                <w:sz w:val="20"/>
              </w:rPr>
              <w:t>Ringmajanduse pakett</w:t>
            </w:r>
          </w:p>
        </w:tc>
        <w:tc>
          <w:tcPr>
            <w:tcW w:w="586" w:type="pct"/>
            <w:tcBorders>
              <w:top w:val="single" w:sz="4" w:space="0" w:color="auto"/>
              <w:left w:val="single" w:sz="4" w:space="0" w:color="auto"/>
              <w:bottom w:val="single" w:sz="4" w:space="0" w:color="auto"/>
              <w:right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Borders>
              <w:top w:val="single" w:sz="4" w:space="0" w:color="auto"/>
              <w:left w:val="single" w:sz="4" w:space="0" w:color="auto"/>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 xml:space="preserve">Paketi eesmärk on leida lahendusi majanduse ja keskkonnaga seotud mureküsimustele selliste vahenditega nagu ressursikasutuse tõhususe maksimeerimine, kogu väärtusahela hõlmamine (sh säästev tarbimine, tootmine ja jäätmekäitlus) ja innovatsioon, võimaldades seeläbi arendada uusi turge ja ettevõtlusmudeleid. Paketti kuuluvad laiaulatuslik tegevuskava, mis hõlmab meetmeid reaalsete edusammude jälgimiseks, ja jäätmeid käsitlev ettepanek, mis sisaldab pikaajalisi eesmärke. </w:t>
            </w:r>
          </w:p>
        </w:tc>
      </w:tr>
      <w:tr>
        <w:trPr>
          <w:cantSplit/>
        </w:trPr>
        <w:tc>
          <w:tcPr>
            <w:tcW w:w="133" w:type="pct"/>
            <w:tcBorders>
              <w:top w:val="single" w:sz="4" w:space="0" w:color="auto"/>
              <w:left w:val="single" w:sz="4" w:space="0" w:color="auto"/>
              <w:bottom w:val="single" w:sz="4" w:space="0" w:color="auto"/>
              <w:right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top w:val="single" w:sz="4" w:space="0" w:color="auto"/>
              <w:left w:val="single" w:sz="4" w:space="0" w:color="auto"/>
              <w:bottom w:val="single" w:sz="4" w:space="0" w:color="auto"/>
              <w:right w:val="single" w:sz="4" w:space="0" w:color="auto"/>
            </w:tcBorders>
          </w:tcPr>
          <w:p>
            <w:pPr>
              <w:spacing w:after="0"/>
              <w:rPr>
                <w:rFonts w:ascii="Times New Roman" w:hAnsi="Times New Roman"/>
                <w:noProof/>
                <w:sz w:val="20"/>
                <w:szCs w:val="20"/>
              </w:rPr>
            </w:pPr>
            <w:r>
              <w:rPr>
                <w:rFonts w:ascii="Times New Roman" w:hAnsi="Times New Roman"/>
                <w:noProof/>
                <w:sz w:val="20"/>
              </w:rPr>
              <w:t>Mitmeaastase finantsraamistiku 2014–2020 läbivaatamine</w:t>
            </w:r>
          </w:p>
        </w:tc>
        <w:tc>
          <w:tcPr>
            <w:tcW w:w="586" w:type="pct"/>
            <w:tcBorders>
              <w:top w:val="single" w:sz="4" w:space="0" w:color="auto"/>
              <w:left w:val="single" w:sz="4" w:space="0" w:color="auto"/>
              <w:bottom w:val="single" w:sz="4" w:space="0" w:color="auto"/>
              <w:right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Borders>
              <w:top w:val="single" w:sz="4" w:space="0" w:color="auto"/>
              <w:left w:val="single" w:sz="4" w:space="0" w:color="auto"/>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Mitmeaastase finantsraamistiku vahehindamise käigus uuritakse, kuidas suunata rahalisi vahendeid paremini ELi jaoks kõige olulisemate probleemide lahendamisse. Vahehindamisega püütakse leida mooduseid, mis aitaksid muuta ELi eelarve veelgi tulemustele orienteeritumaks ja võimaldaksid lihtsustada näiteks Euroopa struktuuri- ja investeerimisfondide ja ühise põllumajanduspoliitika suhtes kehtivaid õigusnorme (REFIT), lisaks püütakse leida täiendavaid lihtsustamisvõimalusi programmi „Horisont 2020” alusel toimuvas rahastamises.</w:t>
            </w:r>
            <w:r>
              <w:rPr>
                <w:rFonts w:ascii="Times New Roman" w:hAnsi="Times New Roman"/>
                <w:i/>
                <w:noProof/>
                <w:sz w:val="20"/>
              </w:rPr>
              <w:t xml:space="preserve"> </w:t>
            </w:r>
          </w:p>
        </w:tc>
      </w:tr>
      <w:tr>
        <w:trPr>
          <w:cantSplit/>
        </w:trPr>
        <w:tc>
          <w:tcPr>
            <w:tcW w:w="133" w:type="pct"/>
            <w:tcBorders>
              <w:top w:val="single" w:sz="4" w:space="0" w:color="auto"/>
              <w:left w:val="single" w:sz="4" w:space="0" w:color="auto"/>
              <w:bottom w:val="single" w:sz="4" w:space="0" w:color="auto"/>
              <w:right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top w:val="single" w:sz="4" w:space="0" w:color="auto"/>
              <w:left w:val="single" w:sz="4" w:space="0" w:color="auto"/>
              <w:bottom w:val="single" w:sz="4" w:space="0" w:color="auto"/>
              <w:right w:val="single" w:sz="4" w:space="0" w:color="auto"/>
            </w:tcBorders>
          </w:tcPr>
          <w:p>
            <w:pPr>
              <w:spacing w:after="0"/>
              <w:rPr>
                <w:rFonts w:ascii="Times New Roman" w:hAnsi="Times New Roman"/>
                <w:noProof/>
                <w:sz w:val="20"/>
                <w:szCs w:val="20"/>
              </w:rPr>
            </w:pPr>
            <w:r>
              <w:rPr>
                <w:rFonts w:ascii="Times New Roman" w:hAnsi="Times New Roman"/>
                <w:noProof/>
                <w:sz w:val="20"/>
              </w:rPr>
              <w:t>Euroopa jätkusuutliku tuleviku järgmised sammud</w:t>
            </w:r>
          </w:p>
        </w:tc>
        <w:tc>
          <w:tcPr>
            <w:tcW w:w="586" w:type="pct"/>
            <w:tcBorders>
              <w:top w:val="single" w:sz="4" w:space="0" w:color="auto"/>
              <w:left w:val="single" w:sz="4" w:space="0" w:color="auto"/>
              <w:bottom w:val="single" w:sz="4" w:space="0" w:color="auto"/>
              <w:right w:val="single" w:sz="4" w:space="0" w:color="auto"/>
            </w:tcBorders>
          </w:tcPr>
          <w:p>
            <w:pPr>
              <w:spacing w:after="0"/>
              <w:jc w:val="both"/>
              <w:rPr>
                <w:rFonts w:ascii="Times New Roman" w:hAnsi="Times New Roman"/>
                <w:noProof/>
                <w:sz w:val="20"/>
                <w:szCs w:val="20"/>
              </w:rPr>
            </w:pPr>
            <w:r>
              <w:rPr>
                <w:rFonts w:ascii="Times New Roman" w:hAnsi="Times New Roman"/>
                <w:noProof/>
                <w:sz w:val="20"/>
              </w:rPr>
              <w:t>Muu kui seadusandlik</w:t>
            </w:r>
          </w:p>
        </w:tc>
        <w:tc>
          <w:tcPr>
            <w:tcW w:w="3140" w:type="pct"/>
            <w:tcBorders>
              <w:top w:val="single" w:sz="4" w:space="0" w:color="auto"/>
              <w:left w:val="single" w:sz="4" w:space="0" w:color="auto"/>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Selles algatuses esitatakse uus lähenemisviis, et tagada Euroopa majanduskasv ning sotsiaalne ja keskkonnaalane jätkusuutlikkus pärast 2020. aastat, võttes arvesse strateegia „Euroopa 2020” läbivaatamise tulemusi ning ÜRO jätkusuutliku arengu eesmärkide rakendamist liidus ja väljaspool seda.</w:t>
            </w:r>
          </w:p>
        </w:tc>
      </w:tr>
      <w:tr>
        <w:trPr>
          <w:cantSplit/>
        </w:trPr>
        <w:tc>
          <w:tcPr>
            <w:tcW w:w="5000" w:type="pct"/>
            <w:gridSpan w:val="4"/>
            <w:shd w:val="clear" w:color="auto" w:fill="F3F3F3"/>
          </w:tcPr>
          <w:p>
            <w:pPr>
              <w:keepNext/>
              <w:spacing w:after="0"/>
              <w:rPr>
                <w:rFonts w:ascii="Times New Roman" w:hAnsi="Times New Roman"/>
                <w:b/>
                <w:noProof/>
                <w:sz w:val="20"/>
                <w:szCs w:val="20"/>
              </w:rPr>
            </w:pPr>
            <w:r>
              <w:rPr>
                <w:rFonts w:ascii="Times New Roman" w:hAnsi="Times New Roman"/>
                <w:b/>
                <w:noProof/>
                <w:sz w:val="20"/>
              </w:rPr>
              <w:lastRenderedPageBreak/>
              <w:t>Ühendatud digitaalne ühtne turg</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Digitaalse ühtse turu strateegia rakendamine</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2015. aasta mais esitatud digitaalse ühtse turu strateegia rakendamist jätkatakse kolme meetmetekogumiga: 1) autoriõigust käsitlev teatis ja õigusakti ettepanek ülekantavuse kohta, millele järgnevad õigusaktide ettepanekud autoriõiguse kohta, satelliit- ja kaabellevi direktiivi läbivaatamine (REFIT), õigusaktide ettepanekud e-lepingute õiguse, geoblokeeringute ja e-kaubanduse käibemaksu kohta (REFIT) ning tarbijakaitsekoostöö määruse läbivaatamine (REFIT); 2) telekommunikatsioonivaldkonna reguleeriva raamistiku ja audiovisuaal- ja meediateenuste direktiivi läbivaatamine (REFIT) ning 3) õigusakti ettepanek andmete vaba liikumise kohta.</w:t>
            </w:r>
          </w:p>
        </w:tc>
      </w:tr>
      <w:tr>
        <w:trPr>
          <w:cantSplit/>
        </w:trPr>
        <w:tc>
          <w:tcPr>
            <w:tcW w:w="5000" w:type="pct"/>
            <w:gridSpan w:val="4"/>
            <w:shd w:val="clear" w:color="auto" w:fill="F3F3F3"/>
          </w:tcPr>
          <w:p>
            <w:pPr>
              <w:keepNext/>
              <w:spacing w:after="0"/>
              <w:rPr>
                <w:rFonts w:ascii="Times New Roman" w:hAnsi="Times New Roman"/>
                <w:b/>
                <w:noProof/>
                <w:sz w:val="20"/>
                <w:szCs w:val="20"/>
              </w:rPr>
            </w:pPr>
            <w:r>
              <w:rPr>
                <w:rFonts w:ascii="Times New Roman" w:hAnsi="Times New Roman"/>
                <w:b/>
                <w:noProof/>
                <w:sz w:val="20"/>
              </w:rPr>
              <w:t>Vastupidav energialiit ja tulevikku suunatud kliimamuutuste poliitika</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Energialiidu pakett</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 xml:space="preserve">Raamstrateegiat jätkavasse paketti kuuluvad: õigusaktide ettepanekud elektrituru ülesehituse ja õigusraamistiku kohta, sh Energeetikasektorit Reguleerivate Asutuste Koostööameti (ACER) ülevaatamine, ja elektrienergia varustuskindluse määruse läbivaatamine; gaasivarustuse kindluse määruse ja valitsusvaheliste lepingute otsuse läbivaatamine; jõupingutuste jagamist käsitlev otsus ning maakasutuse, maakasutuse muutuse ja metsanduse sektori integreerimine 2030. aasta kliimaraamistikku; taastuvenergia pakett (REFIT), sh biomassi jätkusuutlikkuse kriteeriumid, ning energiatõhususe pakett, mis hõlmab ka hoonete energiatõhusust (REFIT). </w:t>
            </w:r>
          </w:p>
        </w:tc>
      </w:tr>
      <w:tr>
        <w:trPr>
          <w:cantSplit/>
        </w:trPr>
        <w:tc>
          <w:tcPr>
            <w:tcW w:w="5000" w:type="pct"/>
            <w:gridSpan w:val="4"/>
            <w:shd w:val="clear" w:color="auto" w:fill="F3F3F3"/>
          </w:tcPr>
          <w:p>
            <w:pPr>
              <w:spacing w:after="0"/>
              <w:rPr>
                <w:rFonts w:ascii="Times New Roman" w:hAnsi="Times New Roman"/>
                <w:b/>
                <w:noProof/>
                <w:sz w:val="20"/>
                <w:szCs w:val="20"/>
              </w:rPr>
            </w:pPr>
            <w:r>
              <w:rPr>
                <w:rFonts w:ascii="Times New Roman" w:hAnsi="Times New Roman"/>
                <w:b/>
                <w:noProof/>
                <w:sz w:val="20"/>
              </w:rPr>
              <w:t>Süvendatud ja õiglasem siseturg tugevama tööstusbaasiga</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Töötajate liikuvuse pakett</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 xml:space="preserve">Algatus koosneb teatisest tööjõu liikuvuse kohta, töötajate lähetamise direktiivi sihipärasest läbivaatamisest ja sotsiaalkindlustuse koordineerimise määruste läbivaatamisest. </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Ühtse turu strateegia järelmeetmed</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i/>
                <w:noProof/>
                <w:sz w:val="20"/>
                <w:szCs w:val="20"/>
              </w:rPr>
            </w:pPr>
            <w:r>
              <w:rPr>
                <w:rFonts w:ascii="Times New Roman" w:hAnsi="Times New Roman"/>
                <w:noProof/>
                <w:sz w:val="20"/>
              </w:rPr>
              <w:t>Ühtse turu strateegiat viiakse edasi suunistega selle kohta, kuidas kohaldatakse ELi õigusakte ühistarbimisel põhinevate ettevõtlusmudelite suhtes; meetmetega, mis aitavad kaasa VKEde ja idufirmade kasvule; kutsealade reguleerimise algatustega; seadusandliku algatusega, milles pannakse paika uus lähenemisviis äritegevuse ebaõnnestumisele ja maksejõuetusele; seadusandlike algatustega, mis hõlbustavad teenuste piiriülest pakkumist, kõrvaldavad peamiste äri- ja ehitusteenuste regulatiivsed tõkked ning võitlevad kodakondsusest või elukohast tuleneva diskrimineerimisega; ELi intellektuaalomandi õigusnormide täitmise tagamise raamistiku läbivaatamisega (REFIT); standardimisalaste meetmetega, sh teenindusstandardid; ettepanekutega turuteabe vahendite kohta ja teenuste direktiivi kohase teatamiskorra parandamisega ning tegevuskavaga, mille eesmärk on suurendada teadlikkust vastastikkuse tunnustamise põhimõtetest kaupade sektoris.</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Kaitsealane Euroopa tegevuskava</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 xml:space="preserve">Eesmärgiks on õiguslik ja poliitiline raamistik, millega tagatakse, et Euroopa turg ning tööstus- ja oskusbaas suudavad pakkuda esmatähtsat sõjalist suutlikkust, mida liikmesriigid võivad vajada tulevaste julgeolekuvajaduste täitmiseks. </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Käibemaksu tegevuskava</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Tegevuskava eesmärk on luua tõhus ja pettusekindel käibemaksukord ning see hõlmab algatusi käibemaksumäärade kohta (REFIT), ettepanekut e-kaubanduse käibemaksu kohta digitaalse ühtse turu strateegia raames ja teatist, milles kirjeldatakse lõplikku käibemaksukorda (REFIT).</w:t>
            </w:r>
            <w:r>
              <w:rPr>
                <w:noProof/>
                <w:sz w:val="20"/>
              </w:rPr>
              <w:t xml:space="preserve"> </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Äriühingute maksustamise pakett</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Pakett põhineb teatisel „Euroopa Liidu õiglane ja tõhus äriühingute maksustamise süsteem: viis tähtsaimat meetmevaldkonda” ning sisaldab meetmeid, mille eesmärk on suurendada äriühingute maksustamise läbipaistvust ja võidelda maksustamise vältimisega, näiteks rahvusvaheliste standardite rakendamisega maksubaasi kahanemise ja kasumi ümberpaigutamise suhtes, ja järkjärgulist lähenemisviisi, mille puhul alustatakse kohustuslikust maksubaasist (REFIT). Lisaks sellele võetakse tagasi praegune ettepanek äriühingu tulumaksu ühtse konsolideeritud maksubaasi kohta.</w:t>
            </w:r>
          </w:p>
        </w:tc>
      </w:tr>
      <w:tr>
        <w:trPr>
          <w:cantSplit/>
        </w:trPr>
        <w:tc>
          <w:tcPr>
            <w:tcW w:w="133" w:type="pct"/>
            <w:tcBorders>
              <w:top w:val="single" w:sz="4" w:space="0" w:color="auto"/>
              <w:left w:val="single" w:sz="4" w:space="0" w:color="auto"/>
              <w:bottom w:val="single" w:sz="4" w:space="0" w:color="auto"/>
              <w:right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top w:val="single" w:sz="4" w:space="0" w:color="auto"/>
              <w:left w:val="single" w:sz="4" w:space="0" w:color="auto"/>
              <w:bottom w:val="single" w:sz="4" w:space="0" w:color="auto"/>
              <w:right w:val="single" w:sz="4" w:space="0" w:color="auto"/>
            </w:tcBorders>
          </w:tcPr>
          <w:p>
            <w:pPr>
              <w:spacing w:after="0"/>
              <w:rPr>
                <w:rFonts w:ascii="Times New Roman" w:hAnsi="Times New Roman"/>
                <w:noProof/>
                <w:sz w:val="20"/>
                <w:szCs w:val="20"/>
              </w:rPr>
            </w:pPr>
            <w:r>
              <w:rPr>
                <w:rFonts w:ascii="Times New Roman" w:hAnsi="Times New Roman"/>
                <w:noProof/>
                <w:sz w:val="20"/>
              </w:rPr>
              <w:t>Euroopa kosmosestrateegia</w:t>
            </w:r>
          </w:p>
        </w:tc>
        <w:tc>
          <w:tcPr>
            <w:tcW w:w="586" w:type="pct"/>
            <w:tcBorders>
              <w:top w:val="single" w:sz="4" w:space="0" w:color="auto"/>
              <w:left w:val="single" w:sz="4" w:space="0" w:color="auto"/>
              <w:bottom w:val="single" w:sz="4" w:space="0" w:color="auto"/>
              <w:right w:val="single" w:sz="4" w:space="0" w:color="auto"/>
            </w:tcBorders>
          </w:tcPr>
          <w:p>
            <w:pPr>
              <w:spacing w:after="0"/>
              <w:jc w:val="both"/>
              <w:rPr>
                <w:rFonts w:ascii="Times New Roman" w:hAnsi="Times New Roman"/>
                <w:noProof/>
                <w:sz w:val="20"/>
                <w:szCs w:val="20"/>
              </w:rPr>
            </w:pPr>
            <w:r>
              <w:rPr>
                <w:rFonts w:ascii="Times New Roman" w:hAnsi="Times New Roman"/>
                <w:noProof/>
                <w:sz w:val="20"/>
              </w:rPr>
              <w:t>Muu kui seadusandlik</w:t>
            </w:r>
          </w:p>
        </w:tc>
        <w:tc>
          <w:tcPr>
            <w:tcW w:w="3140" w:type="pct"/>
            <w:tcBorders>
              <w:top w:val="single" w:sz="4" w:space="0" w:color="auto"/>
              <w:left w:val="single" w:sz="4" w:space="0" w:color="auto"/>
              <w:bottom w:val="single" w:sz="4" w:space="0" w:color="auto"/>
              <w:right w:val="single" w:sz="4" w:space="0" w:color="auto"/>
            </w:tcBorders>
          </w:tcPr>
          <w:p>
            <w:pPr>
              <w:spacing w:after="0"/>
              <w:jc w:val="both"/>
              <w:rPr>
                <w:rFonts w:ascii="Times New Roman" w:hAnsi="Times New Roman"/>
                <w:noProof/>
                <w:sz w:val="20"/>
                <w:szCs w:val="20"/>
              </w:rPr>
            </w:pPr>
            <w:r>
              <w:rPr>
                <w:rFonts w:ascii="Times New Roman" w:hAnsi="Times New Roman"/>
                <w:noProof/>
                <w:sz w:val="20"/>
              </w:rPr>
              <w:t xml:space="preserve">Strateegia eesmärk on koordineerida ELi kosmosetegevuse eri harusid. Selle käigus koostatakse konkreetsete meetmete tegevuskava, mis võimaldavad sihipärast sektoripõhist kohaldamist ja ELi kosmoseprogrammide edasist arendamist, et sellest oleks kasu majandusele, avalik-õiguslikele asutustele ja ühiskonnale tervikuna. </w:t>
            </w:r>
          </w:p>
        </w:tc>
      </w:tr>
      <w:tr>
        <w:trPr>
          <w:cantSplit/>
        </w:trPr>
        <w:tc>
          <w:tcPr>
            <w:tcW w:w="5000" w:type="pct"/>
            <w:gridSpan w:val="4"/>
            <w:shd w:val="clear" w:color="auto" w:fill="F2F2F2"/>
          </w:tcPr>
          <w:p>
            <w:pPr>
              <w:keepNext/>
              <w:spacing w:after="0"/>
              <w:rPr>
                <w:rFonts w:ascii="Times New Roman" w:hAnsi="Times New Roman"/>
                <w:b/>
                <w:noProof/>
                <w:sz w:val="20"/>
                <w:szCs w:val="20"/>
              </w:rPr>
            </w:pPr>
            <w:r>
              <w:rPr>
                <w:rFonts w:ascii="Times New Roman" w:hAnsi="Times New Roman"/>
                <w:b/>
                <w:noProof/>
                <w:sz w:val="20"/>
              </w:rPr>
              <w:t xml:space="preserve">Süvendatud ja õiglasem majandus- ja rahaliit </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Sotsiaalõiguste miinimumtase</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Algatusega tahetakse kindlaks teha kehtivates õigusaktides esinevad lüngad ning leida ühised põhimõtted ja võrdlusalused, et aja jooksul lähendada tööhõivealast ja sotsiaalset suutlikkust.</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Euroopa ühine hoiuste tagamise süsteem / pangandusliidu loomise lõpuleviimine</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Viie ELi juhi aruandel põhinevas ettepanekus kirjeldatakse meetmeid, mis tuleb võtta, et liikuda edasikindlustusmehhanismile tugineva Euroopa ühise hoiuste tagamise süsteemi suunas. Teatises esitatakse pangandusliidu loomise lõpuleviimise täiendavad meetmed.</w:t>
            </w:r>
          </w:p>
        </w:tc>
      </w:tr>
      <w:tr>
        <w:trPr>
          <w:cantSplit/>
        </w:trPr>
        <w:tc>
          <w:tcPr>
            <w:tcW w:w="5000" w:type="pct"/>
            <w:gridSpan w:val="4"/>
            <w:shd w:val="clear" w:color="auto" w:fill="F3F3F3"/>
          </w:tcPr>
          <w:p>
            <w:pPr>
              <w:spacing w:after="0"/>
              <w:rPr>
                <w:rFonts w:ascii="Times New Roman" w:hAnsi="Times New Roman"/>
                <w:b/>
                <w:noProof/>
                <w:sz w:val="20"/>
                <w:szCs w:val="20"/>
              </w:rPr>
            </w:pPr>
            <w:r>
              <w:rPr>
                <w:rFonts w:ascii="Times New Roman" w:hAnsi="Times New Roman"/>
                <w:b/>
                <w:noProof/>
                <w:sz w:val="20"/>
              </w:rPr>
              <w:t>Kaubandus: mõistlik ja tasakaalustatud vabakaubandusleping USAga</w:t>
            </w:r>
          </w:p>
        </w:tc>
      </w:tr>
      <w:tr>
        <w:trPr>
          <w:cantSplit/>
        </w:trPr>
        <w:tc>
          <w:tcPr>
            <w:tcW w:w="133" w:type="pct"/>
            <w:tcBorders>
              <w:bottom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bottom w:val="single" w:sz="4" w:space="0" w:color="auto"/>
            </w:tcBorders>
          </w:tcPr>
          <w:p>
            <w:pPr>
              <w:spacing w:after="0"/>
              <w:rPr>
                <w:rFonts w:ascii="Times New Roman" w:hAnsi="Times New Roman"/>
                <w:noProof/>
                <w:sz w:val="20"/>
                <w:szCs w:val="20"/>
              </w:rPr>
            </w:pPr>
            <w:r>
              <w:rPr>
                <w:rFonts w:ascii="Times New Roman" w:hAnsi="Times New Roman"/>
                <w:noProof/>
                <w:sz w:val="20"/>
              </w:rPr>
              <w:t>Kaubandus- ja investeerimisstrateegia järelmeetmed</w:t>
            </w:r>
          </w:p>
        </w:tc>
        <w:tc>
          <w:tcPr>
            <w:tcW w:w="586" w:type="pct"/>
            <w:tcBorders>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Borders>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 xml:space="preserve">Lähtudes strateegiast „Kaubandus kõigile”, mille eesmärk on väärtustel põhinev tõhusam ja läbipaistvam kaubandus- ja investeerimispoliitika, jätkab komisjon USAga läbirääkimisi Atlandi-ülese kaubandus- ja investeerimispartnerluse üle. Ühtlasi jätkatakse tööd WTOs, arendatakse strateegilisi suhteid Aasiaga ja tagatakse, et majanduspartnerluslepinguid rakendatakse hästi. </w:t>
            </w:r>
          </w:p>
        </w:tc>
      </w:tr>
      <w:tr>
        <w:trPr>
          <w:cantSplit/>
        </w:trPr>
        <w:tc>
          <w:tcPr>
            <w:tcW w:w="5000" w:type="pct"/>
            <w:gridSpan w:val="4"/>
            <w:shd w:val="clear" w:color="auto" w:fill="F3F3F3"/>
          </w:tcPr>
          <w:p>
            <w:pPr>
              <w:keepNext/>
              <w:spacing w:after="0"/>
              <w:rPr>
                <w:rFonts w:ascii="Times New Roman" w:hAnsi="Times New Roman"/>
                <w:b/>
                <w:noProof/>
                <w:sz w:val="20"/>
                <w:szCs w:val="20"/>
              </w:rPr>
            </w:pPr>
            <w:r>
              <w:rPr>
                <w:rFonts w:ascii="Times New Roman" w:hAnsi="Times New Roman"/>
                <w:b/>
                <w:noProof/>
                <w:sz w:val="20"/>
              </w:rPr>
              <w:t>Vastastikusel usaldusel põhinev õigusruum ja põhiõigused</w:t>
            </w:r>
          </w:p>
        </w:tc>
      </w:tr>
      <w:tr>
        <w:trPr>
          <w:cantSplit/>
        </w:trPr>
        <w:tc>
          <w:tcPr>
            <w:tcW w:w="133" w:type="pct"/>
            <w:tcBorders>
              <w:bottom w:val="single" w:sz="4" w:space="0" w:color="auto"/>
            </w:tcBorders>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Borders>
              <w:bottom w:val="single" w:sz="4" w:space="0" w:color="auto"/>
            </w:tcBorders>
          </w:tcPr>
          <w:p>
            <w:pPr>
              <w:spacing w:after="0"/>
              <w:rPr>
                <w:rFonts w:ascii="Times New Roman" w:hAnsi="Times New Roman"/>
                <w:noProof/>
                <w:sz w:val="20"/>
                <w:szCs w:val="20"/>
              </w:rPr>
            </w:pPr>
            <w:r>
              <w:rPr>
                <w:rFonts w:ascii="Times New Roman" w:hAnsi="Times New Roman"/>
                <w:noProof/>
                <w:sz w:val="20"/>
              </w:rPr>
              <w:t>Euroopa julgeoleku tegevuskava rakendamine</w:t>
            </w:r>
          </w:p>
        </w:tc>
        <w:tc>
          <w:tcPr>
            <w:tcW w:w="586" w:type="pct"/>
            <w:tcBorders>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Borders>
              <w:bottom w:val="single" w:sz="4" w:space="0" w:color="auto"/>
            </w:tcBorders>
          </w:tcPr>
          <w:p>
            <w:pPr>
              <w:spacing w:after="0"/>
              <w:jc w:val="both"/>
              <w:rPr>
                <w:rFonts w:ascii="Times New Roman" w:hAnsi="Times New Roman"/>
                <w:noProof/>
                <w:sz w:val="20"/>
                <w:szCs w:val="20"/>
              </w:rPr>
            </w:pPr>
            <w:r>
              <w:rPr>
                <w:rFonts w:ascii="Times New Roman" w:hAnsi="Times New Roman"/>
                <w:noProof/>
                <w:sz w:val="20"/>
              </w:rPr>
              <w:t xml:space="preserve">Meetmed Euroopa julgeoleku tegevuskava rakendamiseks, sh ettepanek muuta terrorismi käsitlevat raamotsust, tulirelvade alase seadusandluse parandamine ja ettepanek pettuse ja mitterahaliste maksevahendite võltsimise vastase võitluse kohta. </w:t>
            </w:r>
          </w:p>
        </w:tc>
      </w:tr>
      <w:tr>
        <w:trPr>
          <w:cantSplit/>
        </w:trPr>
        <w:tc>
          <w:tcPr>
            <w:tcW w:w="5000" w:type="pct"/>
            <w:gridSpan w:val="4"/>
            <w:shd w:val="clear" w:color="auto" w:fill="F2F2F2"/>
          </w:tcPr>
          <w:p>
            <w:pPr>
              <w:keepNext/>
              <w:spacing w:after="0"/>
              <w:rPr>
                <w:rFonts w:ascii="Times New Roman" w:hAnsi="Times New Roman"/>
                <w:noProof/>
                <w:sz w:val="20"/>
                <w:szCs w:val="20"/>
              </w:rPr>
            </w:pPr>
            <w:r>
              <w:rPr>
                <w:rFonts w:ascii="Times New Roman" w:hAnsi="Times New Roman"/>
                <w:b/>
                <w:noProof/>
                <w:sz w:val="20"/>
              </w:rPr>
              <w:t>Uue rändepoliitika suunas</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 xml:space="preserve">Parem rändehaldus </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 xml:space="preserve">Algatusel on kaks aspekti: 1) seaduslik ränne: teatis ja täiendavad seadusandlikud meetmed, sh sinise kaardi lähenemisviisi pikendamine; 2) varjupaik ja pagulased: ettepanek pagulaste ümberasustamise struktuurse süsteemi kohta ja Dublini varjupaigasüsteemi läbivaatamine. </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Piirihalduse pakett</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 xml:space="preserve">Eesmärk on luua Euroopa piiri- ja rannavalve, mille aluseks oleks oluliselt tugevdatud Frontex. </w:t>
            </w:r>
          </w:p>
        </w:tc>
      </w:tr>
      <w:tr>
        <w:trPr>
          <w:cantSplit/>
        </w:trPr>
        <w:tc>
          <w:tcPr>
            <w:tcW w:w="5000" w:type="pct"/>
            <w:gridSpan w:val="4"/>
            <w:shd w:val="clear" w:color="auto" w:fill="F3F3F3"/>
          </w:tcPr>
          <w:p>
            <w:pPr>
              <w:keepNext/>
              <w:spacing w:after="0"/>
              <w:rPr>
                <w:rFonts w:ascii="Times New Roman" w:hAnsi="Times New Roman"/>
                <w:b/>
                <w:noProof/>
                <w:sz w:val="20"/>
                <w:szCs w:val="20"/>
              </w:rPr>
            </w:pPr>
            <w:r>
              <w:rPr>
                <w:rFonts w:ascii="Times New Roman" w:hAnsi="Times New Roman"/>
                <w:b/>
                <w:noProof/>
                <w:sz w:val="20"/>
              </w:rPr>
              <w:t>Tugevam tegija rahvusvahelisel tasandil</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 xml:space="preserve">Cotonou lepingu järgne raamistik </w:t>
            </w:r>
          </w:p>
        </w:tc>
        <w:tc>
          <w:tcPr>
            <w:tcW w:w="586" w:type="pct"/>
          </w:tcPr>
          <w:p>
            <w:pPr>
              <w:spacing w:after="0"/>
              <w:jc w:val="both"/>
              <w:rPr>
                <w:rFonts w:ascii="Times New Roman" w:hAnsi="Times New Roman"/>
                <w:noProof/>
                <w:sz w:val="20"/>
                <w:szCs w:val="20"/>
              </w:rPr>
            </w:pPr>
            <w:r>
              <w:rPr>
                <w:rFonts w:ascii="Times New Roman" w:hAnsi="Times New Roman"/>
                <w:noProof/>
                <w:sz w:val="20"/>
              </w:rPr>
              <w:t>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 xml:space="preserve">Uus poliitiline raamistik, mis reguleeriks suhteid AKV riikide ja piirkondadega. </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 xml:space="preserve">Suutlikkuse suurendamine julgeolekusektoris </w:t>
            </w:r>
          </w:p>
        </w:tc>
        <w:tc>
          <w:tcPr>
            <w:tcW w:w="586" w:type="pct"/>
          </w:tcPr>
          <w:p>
            <w:pPr>
              <w:spacing w:after="0"/>
              <w:jc w:val="both"/>
              <w:rPr>
                <w:rFonts w:ascii="Times New Roman" w:hAnsi="Times New Roman"/>
                <w:noProof/>
                <w:sz w:val="20"/>
                <w:szCs w:val="20"/>
              </w:rPr>
            </w:pPr>
            <w:r>
              <w:rPr>
                <w:rFonts w:ascii="Times New Roman" w:hAnsi="Times New Roman"/>
                <w:noProof/>
                <w:sz w:val="20"/>
              </w:rPr>
              <w:t>Seadusandlik / muu kui seadusandlik</w:t>
            </w:r>
          </w:p>
        </w:tc>
        <w:tc>
          <w:tcPr>
            <w:tcW w:w="3140" w:type="pct"/>
          </w:tcPr>
          <w:p>
            <w:pPr>
              <w:spacing w:after="0"/>
              <w:jc w:val="both"/>
              <w:rPr>
                <w:rFonts w:ascii="Times New Roman" w:hAnsi="Times New Roman"/>
                <w:noProof/>
                <w:sz w:val="20"/>
                <w:szCs w:val="20"/>
                <w:highlight w:val="yellow"/>
              </w:rPr>
            </w:pPr>
            <w:r>
              <w:rPr>
                <w:rFonts w:ascii="Times New Roman" w:hAnsi="Times New Roman"/>
                <w:noProof/>
                <w:sz w:val="20"/>
              </w:rPr>
              <w:t xml:space="preserve">Pakett puudutab julgeolekusektori reformi ja võimalikku uut erivahendit suutlikkuse suurendamiseks, et toetada julgeolekut ja arengut kolmandates riikides. </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Komisjoni panus üldisesse strateegiasse</w:t>
            </w:r>
          </w:p>
        </w:tc>
        <w:tc>
          <w:tcPr>
            <w:tcW w:w="586" w:type="pct"/>
          </w:tcPr>
          <w:p>
            <w:pPr>
              <w:spacing w:after="0"/>
              <w:jc w:val="both"/>
              <w:rPr>
                <w:rFonts w:ascii="Times New Roman" w:hAnsi="Times New Roman"/>
                <w:noProof/>
                <w:sz w:val="20"/>
                <w:szCs w:val="20"/>
              </w:rPr>
            </w:pPr>
            <w:r>
              <w:rPr>
                <w:rFonts w:ascii="Times New Roman" w:hAnsi="Times New Roman"/>
                <w:noProof/>
                <w:sz w:val="20"/>
              </w:rPr>
              <w:t>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Komisjon panustab aktiivselt kõrge esindaja ja asepresidendi eestvedamisel toimuvasse töösse uue üldise välis- ja julgeolekupoliitika strateegia kallal, et anda ELi välistegevusele selgem suund.</w:t>
            </w:r>
          </w:p>
        </w:tc>
      </w:tr>
      <w:tr>
        <w:trPr>
          <w:cantSplit/>
        </w:trPr>
        <w:tc>
          <w:tcPr>
            <w:tcW w:w="5000" w:type="pct"/>
            <w:gridSpan w:val="4"/>
            <w:shd w:val="clear" w:color="auto" w:fill="F3F3F3"/>
          </w:tcPr>
          <w:p>
            <w:pPr>
              <w:keepNext/>
              <w:spacing w:after="0"/>
              <w:rPr>
                <w:rFonts w:ascii="Times New Roman" w:hAnsi="Times New Roman"/>
                <w:b/>
                <w:noProof/>
                <w:sz w:val="20"/>
                <w:szCs w:val="20"/>
              </w:rPr>
            </w:pPr>
            <w:r>
              <w:rPr>
                <w:noProof/>
              </w:rPr>
              <w:br w:type="page"/>
            </w:r>
            <w:r>
              <w:rPr>
                <w:rFonts w:ascii="Times New Roman" w:hAnsi="Times New Roman"/>
                <w:b/>
                <w:noProof/>
                <w:sz w:val="20"/>
              </w:rPr>
              <w:t>Demokraatlike muutuste liit</w:t>
            </w:r>
          </w:p>
        </w:tc>
      </w:tr>
      <w:tr>
        <w:trPr>
          <w:cantSplit/>
        </w:trPr>
        <w:tc>
          <w:tcPr>
            <w:tcW w:w="133" w:type="pct"/>
            <w:shd w:val="clear" w:color="auto" w:fill="auto"/>
          </w:tcPr>
          <w:p>
            <w:pPr>
              <w:numPr>
                <w:ilvl w:val="0"/>
                <w:numId w:val="1"/>
              </w:numPr>
              <w:spacing w:after="0" w:line="240" w:lineRule="auto"/>
              <w:rPr>
                <w:rFonts w:ascii="Times New Roman" w:hAnsi="Times New Roman"/>
                <w:noProof/>
                <w:color w:val="000000"/>
                <w:sz w:val="20"/>
                <w:szCs w:val="20"/>
              </w:rPr>
            </w:pPr>
          </w:p>
        </w:tc>
        <w:tc>
          <w:tcPr>
            <w:tcW w:w="1141" w:type="pct"/>
          </w:tcPr>
          <w:p>
            <w:pPr>
              <w:spacing w:after="0"/>
              <w:rPr>
                <w:rFonts w:ascii="Times New Roman" w:hAnsi="Times New Roman"/>
                <w:noProof/>
                <w:sz w:val="20"/>
                <w:szCs w:val="20"/>
              </w:rPr>
            </w:pPr>
            <w:r>
              <w:rPr>
                <w:rFonts w:ascii="Times New Roman" w:hAnsi="Times New Roman"/>
                <w:noProof/>
                <w:sz w:val="20"/>
              </w:rPr>
              <w:t>Kohustuslikku läbipaistvusregistrit käsitleva institutsioonidevahelise kokkuleppe ettepanek</w:t>
            </w:r>
          </w:p>
        </w:tc>
        <w:tc>
          <w:tcPr>
            <w:tcW w:w="586" w:type="pct"/>
          </w:tcPr>
          <w:p>
            <w:pPr>
              <w:spacing w:after="0"/>
              <w:jc w:val="both"/>
              <w:rPr>
                <w:rFonts w:ascii="Times New Roman" w:hAnsi="Times New Roman"/>
                <w:noProof/>
                <w:sz w:val="20"/>
                <w:szCs w:val="20"/>
              </w:rPr>
            </w:pPr>
            <w:r>
              <w:rPr>
                <w:rFonts w:ascii="Times New Roman" w:hAnsi="Times New Roman"/>
                <w:noProof/>
                <w:sz w:val="20"/>
              </w:rPr>
              <w:t>Muu kui seadusandlik</w:t>
            </w:r>
          </w:p>
        </w:tc>
        <w:tc>
          <w:tcPr>
            <w:tcW w:w="3140" w:type="pct"/>
          </w:tcPr>
          <w:p>
            <w:pPr>
              <w:spacing w:after="0"/>
              <w:jc w:val="both"/>
              <w:rPr>
                <w:rFonts w:ascii="Times New Roman" w:hAnsi="Times New Roman"/>
                <w:noProof/>
                <w:sz w:val="20"/>
                <w:szCs w:val="20"/>
              </w:rPr>
            </w:pPr>
            <w:r>
              <w:rPr>
                <w:rFonts w:ascii="Times New Roman" w:hAnsi="Times New Roman"/>
                <w:noProof/>
                <w:sz w:val="20"/>
              </w:rPr>
              <w:t>Ettepanek sõlmida Euroopa Parlamendi ja nõukoguga institutsioonidevaheline kokkulepe, mille eesmärk oleks suurendada avatust ja aruandluskohustust, muutes läbipaistvusregistri kohustuslikuks kõigi huvirühmade esindajaile, kes soovivad mõjutada poliitika kujundamist ükskõik millises kolmest institutsioonist.</w:t>
            </w:r>
          </w:p>
        </w:tc>
      </w:tr>
    </w:tbl>
    <w:p>
      <w:pPr>
        <w:rPr>
          <w:noProof/>
        </w:rPr>
      </w:pPr>
    </w:p>
    <w:sectPr>
      <w:headerReference w:type="even" r:id="rId16"/>
      <w:headerReference w:type="default" r:id="rId17"/>
      <w:footerReference w:type="even" r:id="rId18"/>
      <w:footerReference w:type="default" r:id="rId19"/>
      <w:headerReference w:type="first" r:id="rId20"/>
      <w:footerReference w:type="first" r:id="rId21"/>
      <w:pgSz w:w="16838" w:h="11906" w:orient="landscape"/>
      <w:pgMar w:top="1417" w:right="1417" w:bottom="1417" w:left="1417" w:header="708" w:footer="708"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ET</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ET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right"/>
    </w:pPr>
    <w:r>
      <w:fldChar w:fldCharType="begin"/>
    </w:r>
    <w:r>
      <w:instrText xml:space="preserve"> PAGE   \* MERGEFORMAT </w:instrText>
    </w:r>
    <w:r>
      <w:fldChar w:fldCharType="separate"/>
    </w:r>
    <w:r>
      <w:rPr>
        <w:noProof/>
      </w:rPr>
      <w:t>2</w:t>
    </w:r>
    <w:r>
      <w:rPr>
        <w:noProof/>
      </w:rPr>
      <w:fldChar w:fldCharType="end"/>
    </w:r>
  </w:p>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37A2"/>
    <w:multiLevelType w:val="hybridMultilevel"/>
    <w:tmpl w:val="DC52E516"/>
    <w:lvl w:ilvl="0" w:tplc="50041C60">
      <w:numFmt w:val="bullet"/>
      <w:lvlText w:val="-"/>
      <w:lvlJc w:val="left"/>
      <w:pPr>
        <w:ind w:left="720" w:hanging="360"/>
      </w:pPr>
      <w:rPr>
        <w:rFonts w:ascii="Calibri" w:eastAsia="SimSu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9D369E"/>
    <w:multiLevelType w:val="hybridMultilevel"/>
    <w:tmpl w:val="02CA5520"/>
    <w:lvl w:ilvl="0" w:tplc="FD7E75AC">
      <w:start w:val="1"/>
      <w:numFmt w:val="decimal"/>
      <w:lvlText w:val="%1."/>
      <w:lvlJc w:val="left"/>
      <w:pPr>
        <w:tabs>
          <w:tab w:val="num" w:pos="0"/>
        </w:tabs>
        <w:ind w:left="0" w:firstLine="0"/>
      </w:pPr>
      <w:rPr>
        <w:rFonts w:ascii="Times New Roman" w:hAnsi="Times New Roman" w:cs="Times New Roman"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37E45813"/>
    <w:multiLevelType w:val="hybridMultilevel"/>
    <w:tmpl w:val="2C16C1E6"/>
    <w:lvl w:ilvl="0" w:tplc="50041C60">
      <w:numFmt w:val="bullet"/>
      <w:lvlText w:val="-"/>
      <w:lvlJc w:val="left"/>
      <w:pPr>
        <w:ind w:left="720" w:hanging="360"/>
      </w:pPr>
      <w:rPr>
        <w:rFonts w:ascii="Calibri" w:eastAsia="SimSu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ACCOMPAGNANT.CP" w:val="järgmise dokumendi juurde:"/>
    <w:docVar w:name="LW_ANNEX_NBR_FIRST" w:val="1"/>
    <w:docVar w:name="LW_ANNEX_NBR_LAST" w:val="1"/>
    <w:docVar w:name="LW_CONFIDENCE" w:val=" "/>
    <w:docVar w:name="LW_CONST_RESTREINT_UE" w:val="RESTREINT UE"/>
    <w:docVar w:name="LW_CORRIGENDUM" w:val="&lt;UNUSED&gt;"/>
    <w:docVar w:name="LW_COVERPAGE_GUID" w:val="C0CA0659DF3B4D619D5870B8A2E175AB"/>
    <w:docVar w:name="LW_CROSSREFERENCE" w:val="&lt;UNUSED&gt;"/>
    <w:docVar w:name="LW_DocType" w:val="NORMAL"/>
    <w:docVar w:name="LW_EMISSION" w:val="27.10.2015"/>
    <w:docVar w:name="LW_EMISSION_ISODATE" w:val="2015-10-27"/>
    <w:docVar w:name="LW_EMISSION_LOCATION" w:val="STR"/>
    <w:docVar w:name="LW_EMISSION_PREFIX" w:val="Strasbourg, "/>
    <w:docVar w:name="LW_EMISSION_SUFFIX" w:val=" "/>
    <w:docVar w:name="LW_ID_DOCTYPE_NONLW" w:val="CP-039"/>
    <w:docVar w:name="LW_LANGUE" w:val="ET"/>
    <w:docVar w:name="LW_MARKING" w:val="&lt;UNUSED&gt;"/>
    <w:docVar w:name="LW_NOM.INST" w:val="EUROOPA KOMISJON"/>
    <w:docVar w:name="LW_NOM.INST_JOINTDOC" w:val="&lt;EMPTY&gt;"/>
    <w:docVar w:name="LW_OBJETACTEPRINCIPAL.CP" w:val="_x000b_Komisjoni 2016. aasta tööprogramm_x000b__x000b_Vanamoodi edasi minna ei saa"/>
    <w:docVar w:name="LW_PART_NBR" w:val="1"/>
    <w:docVar w:name="LW_PART_NBR_TOTAL" w:val="1"/>
    <w:docVar w:name="LW_REF.INST.NEW" w:val="COM"/>
    <w:docVar w:name="LW_REF.INST.NEW_ADOPTED" w:val="final"/>
    <w:docVar w:name="LW_REF.INST.NEW_TEXT" w:val="(2015) 610"/>
    <w:docVar w:name="LW_REF.INTERNE" w:val="&lt;UNUSED&gt;"/>
    <w:docVar w:name="LW_SUPERTITRE" w:val="&lt;UNUSED&gt;"/>
    <w:docVar w:name="LW_TITRE.OBJ.CP" w:val="&lt;UNUSED&gt;"/>
    <w:docVar w:name="LW_TYPE.DOC.CP" w:val="LISA_x000b_"/>
    <w:docVar w:name="LW_TYPEACTEPRINCIPAL.CP" w:val="KOMISJONI TEATIS EUROOPA PARLAMENDILE, NÕUKOGULE, EUROOPA MAJANDUS- JA SOTSIAALKOMITEELE NING REGIOONIDE KOMITEELE_x000b_"/>
  </w:docVar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t-EE" w:bidi="et-E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
    <w:basedOn w:val="Normal"/>
    <w:link w:val="FootnoteTextChar"/>
    <w:pPr>
      <w:spacing w:after="0" w:line="240" w:lineRule="auto"/>
    </w:pPr>
    <w:rPr>
      <w:rFonts w:ascii="Times New Roman" w:eastAsia="Times New Roman" w:hAnsi="Times New Roman"/>
      <w:sz w:val="20"/>
      <w:szCs w:val="20"/>
    </w:rPr>
  </w:style>
  <w:style w:type="character" w:customStyle="1" w:styleId="FootnoteTextChar">
    <w:name w:val="Footnote Text Char"/>
    <w:aliases w:val="Footnote Char,Fußnote Char"/>
    <w:basedOn w:val="DefaultParagraphFont"/>
    <w:link w:val="FootnoteText"/>
    <w:rPr>
      <w:rFonts w:ascii="Times New Roman" w:eastAsia="Times New Roman" w:hAnsi="Times New Roman" w:cs="Times New Roman"/>
      <w:sz w:val="20"/>
      <w:szCs w:val="20"/>
      <w:lang w:eastAsia="et-EE"/>
    </w:rPr>
  </w:style>
  <w:style w:type="character" w:styleId="FootnoteReference">
    <w:name w:val="footnote reference"/>
    <w:aliases w:val="Footnote Reference Superscript,Footnote symbol,Footnote reference number,note TESI,SUPERS,EN Footnote Reference,Voetnootverwijzing,Times 10 Point,Exposant 3 Point,Appel note de bas de p,BVI fnr,Ref,de nota al pie,EN Footnote text,numb"/>
    <w:rPr>
      <w:vertAlign w:val="superscript"/>
    </w:rPr>
  </w:style>
  <w:style w:type="paragraph" w:styleId="Header">
    <w:name w:val="header"/>
    <w:basedOn w:val="Normal"/>
    <w:link w:val="HeaderChar"/>
    <w:uiPriority w:val="99"/>
    <w:unhideWhenUsed/>
    <w:pPr>
      <w:tabs>
        <w:tab w:val="center" w:pos="4536"/>
        <w:tab w:val="right" w:pos="9072"/>
      </w:tabs>
    </w:pPr>
  </w:style>
  <w:style w:type="character" w:customStyle="1" w:styleId="HeaderChar">
    <w:name w:val="Header Char"/>
    <w:basedOn w:val="DefaultParagraphFont"/>
    <w:link w:val="Header"/>
    <w:uiPriority w:val="99"/>
    <w:rPr>
      <w:rFonts w:ascii="Calibri" w:eastAsia="Calibri" w:hAnsi="Calibri" w:cs="Times New Roman"/>
    </w:rPr>
  </w:style>
  <w:style w:type="paragraph" w:styleId="Footer">
    <w:name w:val="footer"/>
    <w:basedOn w:val="Normal"/>
    <w:link w:val="FooterChar"/>
    <w:uiPriority w:val="99"/>
    <w:unhideWhenUsed/>
    <w:pPr>
      <w:tabs>
        <w:tab w:val="center" w:pos="4536"/>
        <w:tab w:val="right" w:pos="9072"/>
      </w:tabs>
    </w:pPr>
  </w:style>
  <w:style w:type="character" w:customStyle="1" w:styleId="FooterChar">
    <w:name w:val="Footer Char"/>
    <w:basedOn w:val="DefaultParagraphFont"/>
    <w:link w:val="Footer"/>
    <w:uiPriority w:val="99"/>
    <w:rPr>
      <w:rFonts w:ascii="Calibri" w:eastAsia="Calibri" w:hAnsi="Calibri" w:cs="Times New Roman"/>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eastAsiaTheme="minorHAnsi" w:hAnsi="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outlineLvl w:val="0"/>
    </w:pPr>
    <w:rPr>
      <w:rFonts w:ascii="Times New Roman" w:hAnsi="Times New Roman"/>
      <w:noProof/>
      <w:sz w:val="24"/>
      <w:szCs w:val="28"/>
    </w:rPr>
  </w:style>
  <w:style w:type="character" w:customStyle="1" w:styleId="FooterCoverPageChar">
    <w:name w:val="Footer Cover Page Char"/>
    <w:basedOn w:val="DefaultParagraphFont"/>
    <w:link w:val="FooterCoverPage"/>
    <w:rPr>
      <w:rFonts w:ascii="Times New Roman" w:eastAsia="Calibri" w:hAnsi="Times New Roman" w:cs="Times New Roman"/>
      <w:noProof/>
      <w:sz w:val="24"/>
      <w:szCs w:val="28"/>
    </w:rPr>
  </w:style>
  <w:style w:type="paragraph" w:customStyle="1" w:styleId="HeaderCoverPage">
    <w:name w:val="Header Cover Page"/>
    <w:basedOn w:val="Normal"/>
    <w:link w:val="HeaderCoverPageChar"/>
    <w:pPr>
      <w:tabs>
        <w:tab w:val="center" w:pos="4535"/>
        <w:tab w:val="right" w:pos="9071"/>
      </w:tabs>
      <w:spacing w:after="120" w:line="240" w:lineRule="auto"/>
      <w:jc w:val="both"/>
      <w:outlineLvl w:val="0"/>
    </w:pPr>
    <w:rPr>
      <w:rFonts w:ascii="Times New Roman" w:hAnsi="Times New Roman"/>
      <w:noProof/>
      <w:sz w:val="24"/>
      <w:szCs w:val="28"/>
    </w:rPr>
  </w:style>
  <w:style w:type="character" w:customStyle="1" w:styleId="HeaderCoverPageChar">
    <w:name w:val="Header Cover Page Char"/>
    <w:basedOn w:val="DefaultParagraphFont"/>
    <w:link w:val="HeaderCoverPage"/>
    <w:rPr>
      <w:rFonts w:ascii="Times New Roman" w:eastAsia="Calibri" w:hAnsi="Times New Roman" w:cs="Times New Roman"/>
      <w:noProof/>
      <w:sz w:val="24"/>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t-EE" w:bidi="et-E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
    <w:basedOn w:val="Normal"/>
    <w:link w:val="FootnoteTextChar"/>
    <w:pPr>
      <w:spacing w:after="0" w:line="240" w:lineRule="auto"/>
    </w:pPr>
    <w:rPr>
      <w:rFonts w:ascii="Times New Roman" w:eastAsia="Times New Roman" w:hAnsi="Times New Roman"/>
      <w:sz w:val="20"/>
      <w:szCs w:val="20"/>
    </w:rPr>
  </w:style>
  <w:style w:type="character" w:customStyle="1" w:styleId="FootnoteTextChar">
    <w:name w:val="Footnote Text Char"/>
    <w:aliases w:val="Footnote Char,Fußnote Char"/>
    <w:basedOn w:val="DefaultParagraphFont"/>
    <w:link w:val="FootnoteText"/>
    <w:rPr>
      <w:rFonts w:ascii="Times New Roman" w:eastAsia="Times New Roman" w:hAnsi="Times New Roman" w:cs="Times New Roman"/>
      <w:sz w:val="20"/>
      <w:szCs w:val="20"/>
      <w:lang w:eastAsia="et-EE"/>
    </w:rPr>
  </w:style>
  <w:style w:type="character" w:styleId="FootnoteReference">
    <w:name w:val="footnote reference"/>
    <w:aliases w:val="Footnote Reference Superscript,Footnote symbol,Footnote reference number,note TESI,SUPERS,EN Footnote Reference,Voetnootverwijzing,Times 10 Point,Exposant 3 Point,Appel note de bas de p,BVI fnr,Ref,de nota al pie,EN Footnote text,numb"/>
    <w:rPr>
      <w:vertAlign w:val="superscript"/>
    </w:rPr>
  </w:style>
  <w:style w:type="paragraph" w:styleId="Header">
    <w:name w:val="header"/>
    <w:basedOn w:val="Normal"/>
    <w:link w:val="HeaderChar"/>
    <w:uiPriority w:val="99"/>
    <w:unhideWhenUsed/>
    <w:pPr>
      <w:tabs>
        <w:tab w:val="center" w:pos="4536"/>
        <w:tab w:val="right" w:pos="9072"/>
      </w:tabs>
    </w:pPr>
  </w:style>
  <w:style w:type="character" w:customStyle="1" w:styleId="HeaderChar">
    <w:name w:val="Header Char"/>
    <w:basedOn w:val="DefaultParagraphFont"/>
    <w:link w:val="Header"/>
    <w:uiPriority w:val="99"/>
    <w:rPr>
      <w:rFonts w:ascii="Calibri" w:eastAsia="Calibri" w:hAnsi="Calibri" w:cs="Times New Roman"/>
    </w:rPr>
  </w:style>
  <w:style w:type="paragraph" w:styleId="Footer">
    <w:name w:val="footer"/>
    <w:basedOn w:val="Normal"/>
    <w:link w:val="FooterChar"/>
    <w:uiPriority w:val="99"/>
    <w:unhideWhenUsed/>
    <w:pPr>
      <w:tabs>
        <w:tab w:val="center" w:pos="4536"/>
        <w:tab w:val="right" w:pos="9072"/>
      </w:tabs>
    </w:pPr>
  </w:style>
  <w:style w:type="character" w:customStyle="1" w:styleId="FooterChar">
    <w:name w:val="Footer Char"/>
    <w:basedOn w:val="DefaultParagraphFont"/>
    <w:link w:val="Footer"/>
    <w:uiPriority w:val="99"/>
    <w:rPr>
      <w:rFonts w:ascii="Calibri" w:eastAsia="Calibri" w:hAnsi="Calibri" w:cs="Times New Roman"/>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eastAsiaTheme="minorHAnsi" w:hAnsi="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outlineLvl w:val="0"/>
    </w:pPr>
    <w:rPr>
      <w:rFonts w:ascii="Times New Roman" w:hAnsi="Times New Roman"/>
      <w:noProof/>
      <w:sz w:val="24"/>
      <w:szCs w:val="28"/>
    </w:rPr>
  </w:style>
  <w:style w:type="character" w:customStyle="1" w:styleId="FooterCoverPageChar">
    <w:name w:val="Footer Cover Page Char"/>
    <w:basedOn w:val="DefaultParagraphFont"/>
    <w:link w:val="FooterCoverPage"/>
    <w:rPr>
      <w:rFonts w:ascii="Times New Roman" w:eastAsia="Calibri" w:hAnsi="Times New Roman" w:cs="Times New Roman"/>
      <w:noProof/>
      <w:sz w:val="24"/>
      <w:szCs w:val="28"/>
    </w:rPr>
  </w:style>
  <w:style w:type="paragraph" w:customStyle="1" w:styleId="HeaderCoverPage">
    <w:name w:val="Header Cover Page"/>
    <w:basedOn w:val="Normal"/>
    <w:link w:val="HeaderCoverPageChar"/>
    <w:pPr>
      <w:tabs>
        <w:tab w:val="center" w:pos="4535"/>
        <w:tab w:val="right" w:pos="9071"/>
      </w:tabs>
      <w:spacing w:after="120" w:line="240" w:lineRule="auto"/>
      <w:jc w:val="both"/>
      <w:outlineLvl w:val="0"/>
    </w:pPr>
    <w:rPr>
      <w:rFonts w:ascii="Times New Roman" w:hAnsi="Times New Roman"/>
      <w:noProof/>
      <w:sz w:val="24"/>
      <w:szCs w:val="28"/>
    </w:rPr>
  </w:style>
  <w:style w:type="character" w:customStyle="1" w:styleId="HeaderCoverPageChar">
    <w:name w:val="Header Cover Page Char"/>
    <w:basedOn w:val="DefaultParagraphFont"/>
    <w:link w:val="HeaderCoverPage"/>
    <w:rPr>
      <w:rFonts w:ascii="Times New Roman" w:eastAsia="Calibri" w:hAnsi="Times New Roman" w:cs="Times New Roman"/>
      <w:noProof/>
      <w:sz w:val="24"/>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1EDE1-CDFF-4B9B-8E07-69DEFF31C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1087</Words>
  <Characters>8835</Characters>
  <Application>Microsoft Office Word</Application>
  <DocSecurity>0</DocSecurity>
  <Lines>205</Lines>
  <Paragraphs>119</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21</cp:revision>
  <cp:lastPrinted>2015-10-27T11:30:00Z</cp:lastPrinted>
  <dcterms:created xsi:type="dcterms:W3CDTF">2015-10-26T16:44:00Z</dcterms:created>
  <dcterms:modified xsi:type="dcterms:W3CDTF">2015-11-05T14:58:00Z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1</vt:lpwstr>
  </property>
  <property fmtid="{D5CDD505-2E9C-101B-9397-08002B2CF9AE}" pid="4" name="Part">
    <vt:lpwstr>1</vt:lpwstr>
  </property>
  <property fmtid="{D5CDD505-2E9C-101B-9397-08002B2CF9AE}" pid="5" name="Total parts">
    <vt:lpwstr>1</vt:lpwstr>
  </property>
  <property fmtid="{D5CDD505-2E9C-101B-9397-08002B2CF9AE}" pid="6" name="DocStatus">
    <vt:lpwstr>Green</vt:lpwstr>
  </property>
  <property fmtid="{D5CDD505-2E9C-101B-9397-08002B2CF9AE}" pid="7" name="Classification">
    <vt:lpwstr> </vt:lpwstr>
  </property>
  <property name="OP_sanitized" fmtid="{D5CDD505-2E9C-101B-9397-08002B2CF9AE}" pid="8">
    <vt:lpwstr>True</vt:lpwstr>
  </property>
</Properties>
</file>