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3E2" w:rsidRPr="00EF1023" w:rsidRDefault="000D5C7F" w:rsidP="000D5C7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484331F4-A4CF-41E4-BB00-83042DCFAC10" style="width:455.25pt;height:369.75pt">
            <v:imagedata r:id="rId8" o:title=""/>
          </v:shape>
        </w:pict>
      </w:r>
    </w:p>
    <w:p w:rsidR="00A063E2" w:rsidRPr="00EF1023" w:rsidRDefault="00A063E2" w:rsidP="00A063E2">
      <w:pPr>
        <w:rPr>
          <w:noProof/>
        </w:rPr>
        <w:sectPr w:rsidR="00A063E2" w:rsidRPr="00EF1023" w:rsidSect="000D5C7F">
          <w:footerReference w:type="even" r:id="rId9"/>
          <w:footerReference w:type="default" r:id="rId10"/>
          <w:pgSz w:w="11907" w:h="16839"/>
          <w:pgMar w:top="1134" w:right="1417" w:bottom="1134" w:left="1417" w:header="709" w:footer="709" w:gutter="0"/>
          <w:pgNumType w:start="0"/>
          <w:cols w:space="720"/>
          <w:docGrid w:linePitch="360"/>
        </w:sectPr>
      </w:pPr>
    </w:p>
    <w:p w:rsidR="00A063E2" w:rsidRPr="00EF1023" w:rsidRDefault="00A063E2" w:rsidP="00BB6B30">
      <w:pPr>
        <w:pStyle w:val="Exposdesmotifstitre"/>
        <w:rPr>
          <w:noProof/>
        </w:rPr>
      </w:pPr>
      <w:bookmarkStart w:id="0" w:name="_GoBack"/>
      <w:bookmarkEnd w:id="0"/>
      <w:r w:rsidRPr="00EF1023">
        <w:rPr>
          <w:noProof/>
        </w:rPr>
        <w:lastRenderedPageBreak/>
        <w:t>EXPOSICIÓN DE MOTIVOS</w:t>
      </w:r>
    </w:p>
    <w:p w:rsidR="00A063E2" w:rsidRPr="00EF1023" w:rsidRDefault="00A063E2" w:rsidP="00BB6B30">
      <w:pPr>
        <w:pStyle w:val="ManualHeading1"/>
        <w:rPr>
          <w:noProof/>
        </w:rPr>
      </w:pPr>
      <w:r w:rsidRPr="00EF1023">
        <w:rPr>
          <w:noProof/>
        </w:rPr>
        <w:t>1.</w:t>
      </w:r>
      <w:r w:rsidRPr="00EF1023">
        <w:rPr>
          <w:noProof/>
        </w:rPr>
        <w:tab/>
        <w:t>CONTEXTO DE LA PROPUESTA</w:t>
      </w:r>
    </w:p>
    <w:p w:rsidR="00A063E2" w:rsidRPr="00EF1023" w:rsidRDefault="00A063E2" w:rsidP="00044058">
      <w:pPr>
        <w:pStyle w:val="ManualHeading2"/>
        <w:rPr>
          <w:rFonts w:eastAsia="Arial Unicode MS"/>
          <w:noProof/>
        </w:rPr>
      </w:pPr>
      <w:r w:rsidRPr="00EF1023">
        <w:rPr>
          <w:noProof/>
          <w:color w:val="000000"/>
          <w:u w:color="000000"/>
          <w:bdr w:val="nil"/>
        </w:rPr>
        <w:t>•</w:t>
      </w:r>
      <w:r w:rsidRPr="00EF1023">
        <w:rPr>
          <w:noProof/>
          <w:color w:val="000000"/>
          <w:u w:color="000000"/>
          <w:bdr w:val="nil"/>
        </w:rPr>
        <w:tab/>
      </w:r>
      <w:r w:rsidRPr="00EF1023">
        <w:rPr>
          <w:noProof/>
        </w:rPr>
        <w:t>Razones y objetivos de la propuesta</w:t>
      </w:r>
    </w:p>
    <w:p w:rsidR="003F2BC1" w:rsidRPr="00EF1023" w:rsidRDefault="00E77558" w:rsidP="0029266A">
      <w:pPr>
        <w:pBdr>
          <w:top w:val="nil"/>
          <w:left w:val="nil"/>
          <w:bottom w:val="nil"/>
          <w:right w:val="nil"/>
          <w:between w:val="nil"/>
          <w:bar w:val="nil"/>
        </w:pBdr>
        <w:spacing w:before="0" w:after="240"/>
        <w:rPr>
          <w:rFonts w:eastAsia="Arial Unicode MS"/>
          <w:noProof/>
        </w:rPr>
      </w:pPr>
      <w:r w:rsidRPr="00EF1023">
        <w:rPr>
          <w:noProof/>
        </w:rPr>
        <w:t>El Acuerdo de Comercio y Cooperación entre la Unión Europea (en lo sucesivo, «UE») y la Comunidad Europea de la Energía Atómica, por una parte, y el Reino Unido de Gran Bretaña e Irlanda del Norte, por otra (en lo sucesivo, «Reino Unido»), de 30 de diciembre de 2020 (en lo sucesivo, «ACC»), establece normas sobre cooperación y coordinación en el ámbito del Derecho de la competencia y su ejecución. El artículo 361, apartado 4, del ACC establece que las Partes podrán celebrar un acuerdo separado sobre cooperación y coordinación en materia de competencia. Este acuerdo complementario sobre cooperación en materia de competencia proporcionará un marco para la cooperación existente.</w:t>
      </w:r>
    </w:p>
    <w:p w:rsidR="00D55AC6" w:rsidRPr="00EF1023" w:rsidRDefault="00ED1AD5" w:rsidP="005706AB">
      <w:pPr>
        <w:pBdr>
          <w:top w:val="nil"/>
          <w:left w:val="nil"/>
          <w:bottom w:val="nil"/>
          <w:right w:val="nil"/>
          <w:between w:val="nil"/>
          <w:bar w:val="nil"/>
        </w:pBdr>
        <w:spacing w:before="0" w:after="240"/>
        <w:rPr>
          <w:noProof/>
        </w:rPr>
      </w:pPr>
      <w:r w:rsidRPr="00EF1023">
        <w:rPr>
          <w:noProof/>
        </w:rPr>
        <w:t xml:space="preserve">El 8 de junio de 2023, el Consejo autorizó a la Comisión a entablar negociaciones con vistas a celebrar un acuerdo con el Reino Unido sobre cooperación e intercambio de información en materia de competencia. Las negociaciones concluyeron a nivel técnico en octubre de 2024. </w:t>
      </w:r>
    </w:p>
    <w:p w:rsidR="008D2268" w:rsidRPr="00EF1023" w:rsidRDefault="004672D7" w:rsidP="008D2268">
      <w:pPr>
        <w:pBdr>
          <w:top w:val="nil"/>
          <w:left w:val="nil"/>
          <w:bottom w:val="nil"/>
          <w:right w:val="nil"/>
          <w:between w:val="nil"/>
          <w:bar w:val="nil"/>
        </w:pBdr>
        <w:spacing w:before="0" w:after="240"/>
        <w:rPr>
          <w:rStyle w:val="Corpsdutexte"/>
          <w:noProof/>
          <w:szCs w:val="24"/>
        </w:rPr>
      </w:pPr>
      <w:r w:rsidRPr="00EF1023">
        <w:rPr>
          <w:noProof/>
        </w:rPr>
        <w:t>El acuerdo de cooperación en materia de competencia es un acuerdo complementario del ACC, de conformidad con el artículo 2 del ACC. Por tanto, se aplicarán la estructura de gobernanza y el ámbito territorial del ACC, con la excepción del mecanismo de solución de diferencias, que no es aplicable en materia de competencia en virtud del ACC.</w:t>
      </w:r>
    </w:p>
    <w:p w:rsidR="005706AB" w:rsidRPr="00EF1023" w:rsidRDefault="005706AB" w:rsidP="005706AB">
      <w:pPr>
        <w:pBdr>
          <w:top w:val="nil"/>
          <w:left w:val="nil"/>
          <w:bottom w:val="nil"/>
          <w:right w:val="nil"/>
          <w:between w:val="nil"/>
          <w:bar w:val="nil"/>
        </w:pBdr>
        <w:spacing w:before="0" w:after="240"/>
        <w:rPr>
          <w:rStyle w:val="Corpsdutexte"/>
          <w:noProof/>
          <w:szCs w:val="24"/>
        </w:rPr>
      </w:pPr>
      <w:r w:rsidRPr="00EF1023">
        <w:rPr>
          <w:noProof/>
        </w:rPr>
        <w:t>El objetivo del acuerdo de cooperación en materia de competencia es promover la cooperación y la coordinación en materia de competencia entre las autoridades de competencia de la UE y sus Estados miembros, por una parte, y del Reino Unido, por otra, con vistas a una aplicación más eficaz de las normas de competencia de la UE y del Reino Unido.</w:t>
      </w:r>
      <w:r w:rsidRPr="00EF1023">
        <w:rPr>
          <w:rStyle w:val="Corpsdutexte"/>
          <w:noProof/>
        </w:rPr>
        <w:t xml:space="preserve"> </w:t>
      </w:r>
      <w:r w:rsidRPr="00EF1023">
        <w:rPr>
          <w:noProof/>
        </w:rPr>
        <w:t xml:space="preserve">Así pues, el acuerdo de cooperación en materia de competencia permite no solo a la Comisión, sino también a las autoridades nacionales de competencia de los Estados miembros de la UE que aplican el Derecho de la competencia de la UE, cooperar directamente con la autoridad de competencia del Reino Unido (la </w:t>
      </w:r>
      <w:r w:rsidRPr="00EF1023">
        <w:rPr>
          <w:i/>
          <w:noProof/>
        </w:rPr>
        <w:t>Competition and Markets Authority</w:t>
      </w:r>
      <w:r w:rsidRPr="00EF1023">
        <w:rPr>
          <w:noProof/>
        </w:rPr>
        <w:t>).</w:t>
      </w:r>
    </w:p>
    <w:p w:rsidR="003B5D79" w:rsidRPr="00EF1023" w:rsidRDefault="003B10EE" w:rsidP="003B5D79">
      <w:pPr>
        <w:rPr>
          <w:noProof/>
          <w:szCs w:val="24"/>
        </w:rPr>
      </w:pPr>
      <w:r w:rsidRPr="00EF1023">
        <w:rPr>
          <w:noProof/>
        </w:rPr>
        <w:t xml:space="preserve">La UE y el Reino Unido promueven la aplicación efectiva de sus respectivas legislaciones en materia de competencia, en particular para hacer frente a las prácticas contrarias a la competencia de dimensión internacional, con vistas a garantizar el funcionamiento eficiente de sus respectivos mercados y del comercio entre ellos. El acuerdo de cooperación en materia de competencia proporciona un marco para la cooperación existente, con vistas a reforzar las relaciones de la UE y sus Estados miembros con el Reino Unido. La propuesta de Decisión del Consejo adjunta autoriza a la Comisión a firmar el acuerdo de cooperación en materia de competencia.  </w:t>
      </w:r>
    </w:p>
    <w:p w:rsidR="00A063E2" w:rsidRPr="00EF1023" w:rsidRDefault="00A063E2" w:rsidP="00044058">
      <w:pPr>
        <w:pStyle w:val="ManualHeading2"/>
        <w:rPr>
          <w:rFonts w:eastAsia="Arial Unicode MS"/>
          <w:noProof/>
          <w:color w:val="000000"/>
          <w:u w:color="000000"/>
          <w:bdr w:val="nil"/>
        </w:rPr>
      </w:pPr>
      <w:r w:rsidRPr="00EF1023">
        <w:rPr>
          <w:noProof/>
          <w:color w:val="000000"/>
          <w:u w:color="000000"/>
          <w:bdr w:val="nil"/>
        </w:rPr>
        <w:t>•</w:t>
      </w:r>
      <w:r w:rsidRPr="00EF1023">
        <w:rPr>
          <w:noProof/>
          <w:color w:val="000000"/>
          <w:u w:color="000000"/>
          <w:bdr w:val="nil"/>
        </w:rPr>
        <w:tab/>
      </w:r>
      <w:r w:rsidRPr="00EF1023">
        <w:rPr>
          <w:noProof/>
        </w:rPr>
        <w:t>Compatibilidad con las disposiciones existentes la misma política sectorial</w:t>
      </w:r>
    </w:p>
    <w:p w:rsidR="00795130" w:rsidRPr="00EF1023" w:rsidRDefault="00795130" w:rsidP="00795130">
      <w:pPr>
        <w:pBdr>
          <w:top w:val="nil"/>
          <w:left w:val="nil"/>
          <w:bottom w:val="nil"/>
          <w:right w:val="nil"/>
          <w:between w:val="nil"/>
          <w:bar w:val="nil"/>
        </w:pBdr>
        <w:spacing w:before="0" w:after="240"/>
        <w:rPr>
          <w:noProof/>
        </w:rPr>
      </w:pPr>
      <w:r w:rsidRPr="00EF1023">
        <w:rPr>
          <w:noProof/>
        </w:rPr>
        <w:t>La UE ha celebrado acuerdos bilaterales de cooperación en el ámbito de la política de competencia con el fin de estructurar y facilitar la cooperación entre la Comisión y las autoridades de competencia extranjeras. Algunos ejemplos de acuerdos de cooperación en materia de competencia son los celebrados con los Estados Unidos</w:t>
      </w:r>
      <w:r w:rsidRPr="00EF1023">
        <w:rPr>
          <w:rStyle w:val="FootnoteReference"/>
          <w:noProof/>
        </w:rPr>
        <w:footnoteReference w:id="2"/>
      </w:r>
      <w:r w:rsidRPr="00EF1023">
        <w:rPr>
          <w:noProof/>
        </w:rPr>
        <w:t xml:space="preserve"> (1991), Canadá</w:t>
      </w:r>
      <w:r w:rsidRPr="00EF1023">
        <w:rPr>
          <w:rStyle w:val="FootnoteReference"/>
          <w:noProof/>
        </w:rPr>
        <w:footnoteReference w:id="3"/>
      </w:r>
      <w:r w:rsidRPr="00EF1023">
        <w:rPr>
          <w:noProof/>
        </w:rPr>
        <w:t xml:space="preserve"> (1999), Japón</w:t>
      </w:r>
      <w:r w:rsidRPr="00EF1023">
        <w:rPr>
          <w:rStyle w:val="FootnoteReference"/>
          <w:noProof/>
        </w:rPr>
        <w:footnoteReference w:id="4"/>
      </w:r>
      <w:r w:rsidRPr="00EF1023">
        <w:rPr>
          <w:noProof/>
        </w:rPr>
        <w:t xml:space="preserve"> (2003) y Corea del Sur (2009)</w:t>
      </w:r>
      <w:r w:rsidRPr="00EF1023">
        <w:rPr>
          <w:rStyle w:val="FootnoteReference"/>
          <w:noProof/>
        </w:rPr>
        <w:footnoteReference w:id="5"/>
      </w:r>
      <w:r w:rsidRPr="00EF1023">
        <w:rPr>
          <w:noProof/>
        </w:rPr>
        <w:t>. Estos acuerdos contienen diversos instrumentos de cooperación en el ámbito de la política de competencia y se consideran un éxito. Su principal ventaja es que proporcionan una cooperación relacionada con los casos dentro de un marco estructurado y, de este modo, contribuyen a una aplicación más eficiente del Derecho de la competencia.</w:t>
      </w:r>
    </w:p>
    <w:p w:rsidR="00A063E2" w:rsidRPr="00EF1023" w:rsidRDefault="00A063E2" w:rsidP="00A4693B">
      <w:pPr>
        <w:pStyle w:val="ManualHeading2"/>
        <w:rPr>
          <w:rFonts w:eastAsia="Arial Unicode MS"/>
          <w:noProof/>
        </w:rPr>
      </w:pPr>
      <w:r w:rsidRPr="00EF1023">
        <w:rPr>
          <w:noProof/>
          <w:color w:val="000000"/>
          <w:u w:color="000000"/>
          <w:bdr w:val="nil"/>
        </w:rPr>
        <w:t>•</w:t>
      </w:r>
      <w:r w:rsidRPr="00EF1023">
        <w:rPr>
          <w:noProof/>
          <w:color w:val="000000"/>
          <w:u w:color="000000"/>
          <w:bdr w:val="nil"/>
        </w:rPr>
        <w:tab/>
      </w:r>
      <w:r w:rsidRPr="00EF1023">
        <w:rPr>
          <w:noProof/>
        </w:rPr>
        <w:t>Compatibilidad con otras políticas de la UE</w:t>
      </w:r>
    </w:p>
    <w:p w:rsidR="00795130" w:rsidRPr="00EF1023" w:rsidRDefault="00780ECA" w:rsidP="00795130">
      <w:pPr>
        <w:pBdr>
          <w:top w:val="nil"/>
          <w:left w:val="nil"/>
          <w:bottom w:val="nil"/>
          <w:right w:val="nil"/>
          <w:between w:val="nil"/>
          <w:bar w:val="nil"/>
        </w:pBdr>
        <w:spacing w:before="0" w:after="240"/>
        <w:rPr>
          <w:noProof/>
        </w:rPr>
      </w:pPr>
      <w:r w:rsidRPr="00EF1023">
        <w:rPr>
          <w:noProof/>
        </w:rPr>
        <w:t>La política de competencia tiene como objetivo asegurar que los mercados aporten más beneficios para los consumidores, las empresas y la sociedad en su conjunto. Por tanto, la política de competencia contribuye a objetivos más amplios de la UE, en particular, a impulsar el empleo, el crecimiento y la inversión. La Comisión persigue este objetivo aplicando las normas de competencia, sancionando las infracciones y fomentando una cultura de la competencia a nivel internacional.</w:t>
      </w:r>
    </w:p>
    <w:p w:rsidR="00795130" w:rsidRPr="00EF1023" w:rsidRDefault="00780ECA" w:rsidP="00795130">
      <w:pPr>
        <w:pBdr>
          <w:top w:val="nil"/>
          <w:left w:val="nil"/>
          <w:bottom w:val="nil"/>
          <w:right w:val="nil"/>
          <w:between w:val="nil"/>
          <w:bar w:val="nil"/>
        </w:pBdr>
        <w:spacing w:before="0" w:after="240"/>
        <w:rPr>
          <w:noProof/>
        </w:rPr>
      </w:pPr>
      <w:r w:rsidRPr="00EF1023">
        <w:rPr>
          <w:noProof/>
        </w:rPr>
        <w:t>Los consumidores de la UE y del Reino Unido se beneficiarán en última instancia de una mejor detección y sanción de las infracciones de las normas de competencia, lo que también surtirá un mayor efecto disuasorio. Mejorar la aplicación efectiva de las normas de competencia crea mercados más abiertos y competitivos en los que las empresas compiten con más libertad en función de sus méritos, lo que les permite generar riqueza y crear puestos de trabajo. También presenta a los consumidores una mayor oferta de productos a precios más bajos.</w:t>
      </w:r>
    </w:p>
    <w:p w:rsidR="00A063E2" w:rsidRPr="00EF1023" w:rsidRDefault="00A063E2" w:rsidP="00550536">
      <w:pPr>
        <w:pStyle w:val="ManualHeading1"/>
        <w:rPr>
          <w:noProof/>
        </w:rPr>
      </w:pPr>
      <w:r w:rsidRPr="00EF1023">
        <w:rPr>
          <w:noProof/>
        </w:rPr>
        <w:t>2.</w:t>
      </w:r>
      <w:r w:rsidRPr="00EF1023">
        <w:rPr>
          <w:noProof/>
        </w:rPr>
        <w:tab/>
        <w:t>BASE JURÍDICA, SUBSIDIARIEDAD Y PROPORCIONALIDAD</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Base jurídica</w:t>
      </w:r>
    </w:p>
    <w:p w:rsidR="00A063E2" w:rsidRPr="00EF1023" w:rsidRDefault="00F33C48" w:rsidP="00550536">
      <w:pPr>
        <w:pBdr>
          <w:top w:val="nil"/>
          <w:left w:val="nil"/>
          <w:bottom w:val="nil"/>
          <w:right w:val="nil"/>
          <w:between w:val="nil"/>
          <w:bar w:val="nil"/>
        </w:pBdr>
        <w:spacing w:before="0" w:after="240"/>
        <w:rPr>
          <w:noProof/>
        </w:rPr>
      </w:pPr>
      <w:r w:rsidRPr="00EF1023">
        <w:rPr>
          <w:noProof/>
        </w:rPr>
        <w:t xml:space="preserve">La base jurídica de la actuación de la UE la constituyen los artículos 103 y 352 del Tratado de Funcionamiento de la Unión Europea (en lo sucesivo, «TFUE»), leídos en relación con su artículo 218, apartado 5. El artículo 103 constituye la base jurídica para la aplicación de los artículos 101 y 102 del TFUE. El artículo 352 constituye la base jurídica del Reglamento 139/2004 («Reglamento de concentraciones»), ya que el acuerdo de cooperación en materia de competencia cubre también la cooperación en las investigaciones sobre concentraciones. El artículo 218, apartado 5, del TFUE constituye la base jurídica para que el Consejo adopte una decisión por la que se autorice la firma del acuerdo. </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 xml:space="preserve">Subsidiariedad (en el caso de competencia no exclusiva) </w:t>
      </w:r>
    </w:p>
    <w:p w:rsidR="00F33C48" w:rsidRPr="00EF1023" w:rsidRDefault="00F33C48" w:rsidP="00F33C48">
      <w:pPr>
        <w:pBdr>
          <w:top w:val="nil"/>
          <w:left w:val="nil"/>
          <w:bottom w:val="nil"/>
          <w:right w:val="nil"/>
          <w:between w:val="nil"/>
          <w:bar w:val="nil"/>
        </w:pBdr>
        <w:spacing w:before="0" w:after="240"/>
        <w:rPr>
          <w:noProof/>
        </w:rPr>
      </w:pPr>
      <w:r w:rsidRPr="00EF1023">
        <w:rPr>
          <w:noProof/>
        </w:rPr>
        <w:t>El acuerdo de cooperación en materia de competencia es competencia exclusiva de la UE de conformidad con el artículo 3, apartado 1, letra b), del TFUE, ya que se refiere a las normas de competencia necesarias para el funcionamiento del mercado interior. Por tanto, no es aplicable el principio de subsidiariedad.</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Proporcionalidad</w:t>
      </w:r>
    </w:p>
    <w:p w:rsidR="00F33C48" w:rsidRPr="00EF1023" w:rsidRDefault="00C83E6A" w:rsidP="00F33C48">
      <w:pPr>
        <w:pBdr>
          <w:top w:val="nil"/>
          <w:left w:val="nil"/>
          <w:bottom w:val="nil"/>
          <w:right w:val="nil"/>
          <w:between w:val="nil"/>
          <w:bar w:val="nil"/>
        </w:pBdr>
        <w:spacing w:before="0" w:after="240"/>
        <w:rPr>
          <w:noProof/>
        </w:rPr>
      </w:pPr>
      <w:r w:rsidRPr="00EF1023">
        <w:rPr>
          <w:noProof/>
        </w:rPr>
        <w:t xml:space="preserve">La acción de la UE no va más allá de lo necesario para alcanzar el objetivo político de mejorar la cooperación internacional existente entre la Comisión y la </w:t>
      </w:r>
      <w:r w:rsidRPr="00EF1023">
        <w:rPr>
          <w:i/>
          <w:noProof/>
        </w:rPr>
        <w:t>Competition and Markets Authority</w:t>
      </w:r>
      <w:r w:rsidRPr="00EF1023">
        <w:rPr>
          <w:noProof/>
        </w:rPr>
        <w:t xml:space="preserve"> del Reino Unido. Esta mayor cooperación puede lograrse mejor mediante un acuerdo vinculante que complemente el ACC, celebrado entre la UE y el Reino Unido.</w:t>
      </w:r>
    </w:p>
    <w:p w:rsidR="00840DBD" w:rsidRPr="00EF1023" w:rsidRDefault="00F33C48" w:rsidP="00840DBD">
      <w:pPr>
        <w:pBdr>
          <w:top w:val="nil"/>
          <w:left w:val="nil"/>
          <w:bottom w:val="nil"/>
          <w:right w:val="nil"/>
          <w:between w:val="nil"/>
          <w:bar w:val="nil"/>
        </w:pBdr>
        <w:spacing w:before="0" w:after="240"/>
        <w:rPr>
          <w:rStyle w:val="Corpsdutexte"/>
          <w:noProof/>
          <w:szCs w:val="24"/>
        </w:rPr>
      </w:pPr>
      <w:r w:rsidRPr="00EF1023">
        <w:rPr>
          <w:noProof/>
        </w:rPr>
        <w:t xml:space="preserve">El acuerdo de cooperación en materia de competencia regula la cooperación administrativa entre las </w:t>
      </w:r>
      <w:r w:rsidRPr="00EF1023">
        <w:rPr>
          <w:rStyle w:val="Corpsdutexte"/>
          <w:noProof/>
        </w:rPr>
        <w:t>autoridades de competencia de la UE y sus Estados miembros, por una parte, y la del Reino Unido, por otra. Por lo que se refiere a los Estados miembros de la UE, el Acuerdo solo se aplica a la cooperación en el contexto de la aplicación por parte de estos del Derecho de la competencia de la UE, y no de sus respectivos Derechos nacionales.</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Elección del instrumento</w:t>
      </w:r>
    </w:p>
    <w:p w:rsidR="00F33C48" w:rsidRPr="00EF1023" w:rsidRDefault="00F33C48" w:rsidP="00F33C48">
      <w:pPr>
        <w:pBdr>
          <w:top w:val="nil"/>
          <w:left w:val="nil"/>
          <w:bottom w:val="nil"/>
          <w:right w:val="nil"/>
          <w:between w:val="nil"/>
          <w:bar w:val="nil"/>
        </w:pBdr>
        <w:spacing w:before="0" w:after="240"/>
        <w:rPr>
          <w:noProof/>
        </w:rPr>
      </w:pPr>
      <w:r w:rsidRPr="00EF1023">
        <w:rPr>
          <w:noProof/>
        </w:rPr>
        <w:t xml:space="preserve">La elección del instrumento está prevista en el ACC y en la Decisión del Consejo por la que se autoriza la negociación del acuerdo de cooperación en materia de competencia. </w:t>
      </w:r>
    </w:p>
    <w:p w:rsidR="00A063E2" w:rsidRPr="00EF1023" w:rsidRDefault="00A063E2" w:rsidP="00550536">
      <w:pPr>
        <w:pStyle w:val="ManualHeading1"/>
        <w:rPr>
          <w:noProof/>
        </w:rPr>
      </w:pPr>
      <w:r w:rsidRPr="00EF1023">
        <w:rPr>
          <w:noProof/>
        </w:rPr>
        <w:t>3.</w:t>
      </w:r>
      <w:r w:rsidRPr="00EF1023">
        <w:rPr>
          <w:noProof/>
        </w:rPr>
        <w:tab/>
        <w:t xml:space="preserve">RESULTADOS DE LAS EVALUACIONES </w:t>
      </w:r>
      <w:r w:rsidRPr="00EF1023">
        <w:rPr>
          <w:i/>
          <w:noProof/>
        </w:rPr>
        <w:t>EX POST</w:t>
      </w:r>
      <w:r w:rsidRPr="00EF1023">
        <w:rPr>
          <w:noProof/>
        </w:rPr>
        <w:t>, DE LAS CONSULTAS CON LAS PARTES INTERESADAS Y DE LAS EVALUACIONES DE IMPACTO</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 xml:space="preserve">Evaluaciones </w:t>
      </w:r>
      <w:r w:rsidRPr="00EF1023">
        <w:rPr>
          <w:i/>
          <w:noProof/>
          <w:u w:color="000000"/>
          <w:bdr w:val="nil"/>
        </w:rPr>
        <w:t>ex post</w:t>
      </w:r>
      <w:r w:rsidRPr="00EF1023">
        <w:rPr>
          <w:noProof/>
          <w:u w:color="000000"/>
          <w:bdr w:val="nil"/>
        </w:rPr>
        <w:t xml:space="preserve"> / controles de la adecuación de la legislación existente</w:t>
      </w:r>
    </w:p>
    <w:p w:rsidR="00A063E2" w:rsidRPr="00EF1023" w:rsidRDefault="00F33C48" w:rsidP="00550536">
      <w:pPr>
        <w:pBdr>
          <w:top w:val="nil"/>
          <w:left w:val="nil"/>
          <w:bottom w:val="nil"/>
          <w:right w:val="nil"/>
          <w:between w:val="nil"/>
          <w:bar w:val="nil"/>
        </w:pBdr>
        <w:spacing w:before="0" w:after="240"/>
        <w:rPr>
          <w:rFonts w:eastAsia="Arial Unicode MS"/>
          <w:noProof/>
        </w:rPr>
      </w:pPr>
      <w:r w:rsidRPr="00EF1023">
        <w:rPr>
          <w:noProof/>
        </w:rPr>
        <w:t>No aplicable.</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Consultas con las partes interesadas</w:t>
      </w:r>
    </w:p>
    <w:p w:rsidR="00F33C48" w:rsidRPr="00EF1023" w:rsidRDefault="0049786F" w:rsidP="00F33C48">
      <w:pPr>
        <w:pBdr>
          <w:top w:val="nil"/>
          <w:left w:val="nil"/>
          <w:bottom w:val="nil"/>
          <w:right w:val="nil"/>
          <w:between w:val="nil"/>
          <w:bar w:val="nil"/>
        </w:pBdr>
        <w:spacing w:before="0" w:after="240"/>
        <w:rPr>
          <w:noProof/>
        </w:rPr>
      </w:pPr>
      <w:r w:rsidRPr="00EF1023">
        <w:rPr>
          <w:noProof/>
        </w:rPr>
        <w:t xml:space="preserve">Los Estados miembros de la UE han sido consultados regularmente durante el proceso de negociación en el Grupo «Reino Unido» del Consejo. La Comisión también ha mantenido intercambios con las autoridades nacionales de competencia que forman la Red Europea de Competencia.  </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r>
      <w:bookmarkStart w:id="1" w:name="_Hlk189233661"/>
      <w:r w:rsidRPr="00EF1023">
        <w:rPr>
          <w:noProof/>
          <w:u w:color="000000"/>
          <w:bdr w:val="nil"/>
        </w:rPr>
        <w:t>Obtención y uso de asesoramiento especializado</w:t>
      </w:r>
    </w:p>
    <w:p w:rsidR="00A063E2" w:rsidRPr="00EF1023" w:rsidRDefault="00FA0743" w:rsidP="00550536">
      <w:pPr>
        <w:pBdr>
          <w:top w:val="nil"/>
          <w:left w:val="nil"/>
          <w:bottom w:val="nil"/>
          <w:right w:val="nil"/>
          <w:between w:val="nil"/>
          <w:bar w:val="nil"/>
        </w:pBdr>
        <w:spacing w:before="0" w:after="240"/>
        <w:rPr>
          <w:noProof/>
        </w:rPr>
      </w:pPr>
      <w:r w:rsidRPr="00EF1023">
        <w:rPr>
          <w:noProof/>
        </w:rPr>
        <w:t>No aplicable.</w:t>
      </w:r>
    </w:p>
    <w:bookmarkEnd w:id="1"/>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Evaluación de impacto</w:t>
      </w:r>
    </w:p>
    <w:p w:rsidR="003F2BC1" w:rsidRPr="00EF1023" w:rsidRDefault="003F2BC1" w:rsidP="003F2BC1">
      <w:pPr>
        <w:pBdr>
          <w:top w:val="nil"/>
          <w:left w:val="nil"/>
          <w:bottom w:val="nil"/>
          <w:right w:val="nil"/>
          <w:between w:val="nil"/>
          <w:bar w:val="nil"/>
        </w:pBdr>
        <w:spacing w:before="0" w:after="240"/>
        <w:rPr>
          <w:noProof/>
        </w:rPr>
      </w:pPr>
      <w:r w:rsidRPr="00EF1023">
        <w:rPr>
          <w:noProof/>
        </w:rPr>
        <w:t>No se requiere una evaluación de impacto. El acuerdo de cooperación en materia de competencia sigue las instrucciones del mandato del Consejo, que no preveía ninguna otra opción para el cumplimiento de dicho mandato.</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Adecuación regulatoria y simplificación</w:t>
      </w:r>
    </w:p>
    <w:p w:rsidR="00A063E2" w:rsidRPr="00EF1023" w:rsidRDefault="003F2BC1" w:rsidP="003F2BC1">
      <w:pPr>
        <w:pBdr>
          <w:top w:val="nil"/>
          <w:left w:val="nil"/>
          <w:bottom w:val="nil"/>
          <w:right w:val="nil"/>
          <w:between w:val="nil"/>
          <w:bar w:val="nil"/>
        </w:pBdr>
        <w:spacing w:before="0" w:after="240"/>
        <w:rPr>
          <w:rFonts w:eastAsia="Arial Unicode MS"/>
          <w:noProof/>
        </w:rPr>
      </w:pPr>
      <w:r w:rsidRPr="00EF1023">
        <w:rPr>
          <w:noProof/>
        </w:rPr>
        <w:t xml:space="preserve">No aplicable. </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Derechos fundamentales</w:t>
      </w:r>
    </w:p>
    <w:p w:rsidR="00A063E2" w:rsidRPr="00EF1023" w:rsidRDefault="00C83E6A" w:rsidP="00550536">
      <w:pPr>
        <w:pBdr>
          <w:top w:val="nil"/>
          <w:left w:val="nil"/>
          <w:bottom w:val="nil"/>
          <w:right w:val="nil"/>
          <w:between w:val="nil"/>
          <w:bar w:val="nil"/>
        </w:pBdr>
        <w:spacing w:before="0" w:after="240"/>
        <w:rPr>
          <w:noProof/>
        </w:rPr>
      </w:pPr>
      <w:r w:rsidRPr="00EF1023">
        <w:rPr>
          <w:noProof/>
        </w:rPr>
        <w:t xml:space="preserve">En el contexto de la cooperación objeto del presente Acuerdo, los datos personales están protegidos por la Decisión de Ejecución (UE) 2021/1772 de la Comisión, de 28 de junio de 2021, con arreglo al Reglamento (UE) 2016/679 del Parlamento Europeo y del Consejo, relativa a la protección adecuada de los datos personales por parte del Reino Unido, y por el Anexo 21 de la </w:t>
      </w:r>
      <w:r w:rsidRPr="00EF1023">
        <w:rPr>
          <w:i/>
          <w:noProof/>
        </w:rPr>
        <w:t>Data Protection Act</w:t>
      </w:r>
      <w:r w:rsidRPr="00EF1023">
        <w:rPr>
          <w:noProof/>
        </w:rPr>
        <w:t xml:space="preserve"> de 2018, incorporado por las </w:t>
      </w:r>
      <w:r w:rsidRPr="00EF1023">
        <w:rPr>
          <w:i/>
          <w:noProof/>
        </w:rPr>
        <w:t>UK Data Protection, Privacy and Electronic Communications (Amendments etc) (EU Exit) Regulations</w:t>
      </w:r>
      <w:r w:rsidRPr="00EF1023">
        <w:rPr>
          <w:noProof/>
        </w:rPr>
        <w:t xml:space="preserve"> 2019, que se refieren a la protección adecuada de los datos personales por parte de la Unión.</w:t>
      </w:r>
    </w:p>
    <w:p w:rsidR="008B79C3" w:rsidRPr="00EF1023" w:rsidRDefault="00C83E6A" w:rsidP="00550536">
      <w:pPr>
        <w:pBdr>
          <w:top w:val="nil"/>
          <w:left w:val="nil"/>
          <w:bottom w:val="nil"/>
          <w:right w:val="nil"/>
          <w:between w:val="nil"/>
          <w:bar w:val="nil"/>
        </w:pBdr>
        <w:spacing w:before="0" w:after="240"/>
        <w:rPr>
          <w:rStyle w:val="Corpsdutexte"/>
          <w:noProof/>
          <w:szCs w:val="24"/>
        </w:rPr>
      </w:pPr>
      <w:r w:rsidRPr="00EF1023">
        <w:rPr>
          <w:noProof/>
        </w:rPr>
        <w:t xml:space="preserve">Además, el acuerdo de cooperación en materia de competencia establece que los datos personales solo pueden compartirse a efectos de llevar a cabo investigaciones sobre el </w:t>
      </w:r>
      <w:r w:rsidRPr="00EF1023">
        <w:rPr>
          <w:rStyle w:val="Corpsdutexte"/>
          <w:noProof/>
        </w:rPr>
        <w:t xml:space="preserve">asunto para el que se obtuvieron inicialmente. </w:t>
      </w:r>
    </w:p>
    <w:p w:rsidR="00A063E2" w:rsidRPr="00EF1023" w:rsidRDefault="00A063E2" w:rsidP="00550536">
      <w:pPr>
        <w:pStyle w:val="ManualHeading1"/>
        <w:rPr>
          <w:noProof/>
        </w:rPr>
      </w:pPr>
      <w:r w:rsidRPr="00EF1023">
        <w:rPr>
          <w:noProof/>
        </w:rPr>
        <w:t>4.</w:t>
      </w:r>
      <w:r w:rsidRPr="00EF1023">
        <w:rPr>
          <w:noProof/>
        </w:rPr>
        <w:tab/>
        <w:t>REPERCUSIONES PRESUPUESTARIAS</w:t>
      </w:r>
    </w:p>
    <w:p w:rsidR="007F79B6" w:rsidRPr="00EF1023" w:rsidRDefault="003F2BC1" w:rsidP="00044058">
      <w:pPr>
        <w:pBdr>
          <w:top w:val="nil"/>
          <w:left w:val="nil"/>
          <w:bottom w:val="nil"/>
          <w:right w:val="nil"/>
          <w:between w:val="nil"/>
          <w:bar w:val="nil"/>
        </w:pBdr>
        <w:spacing w:before="0" w:after="240"/>
        <w:rPr>
          <w:noProof/>
        </w:rPr>
      </w:pPr>
      <w:r w:rsidRPr="00EF1023">
        <w:rPr>
          <w:noProof/>
        </w:rPr>
        <w:t xml:space="preserve">El acuerdo propuesto no tiene ninguna repercusión presupuestaria. </w:t>
      </w:r>
    </w:p>
    <w:p w:rsidR="00A063E2" w:rsidRPr="00EF1023" w:rsidRDefault="00A063E2" w:rsidP="00550536">
      <w:pPr>
        <w:pStyle w:val="ManualHeading1"/>
        <w:rPr>
          <w:noProof/>
        </w:rPr>
      </w:pPr>
      <w:r w:rsidRPr="00EF1023">
        <w:rPr>
          <w:noProof/>
        </w:rPr>
        <w:t>5.</w:t>
      </w:r>
      <w:r w:rsidRPr="00EF1023">
        <w:rPr>
          <w:noProof/>
        </w:rPr>
        <w:tab/>
        <w:t>OTROS ASPECTOS</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Planes de ejecución y modalidades de seguimiento, evaluación e información</w:t>
      </w:r>
    </w:p>
    <w:p w:rsidR="00A063E2" w:rsidRPr="00EF1023" w:rsidRDefault="00AE0058" w:rsidP="00550536">
      <w:pPr>
        <w:pBdr>
          <w:top w:val="nil"/>
          <w:left w:val="nil"/>
          <w:bottom w:val="nil"/>
          <w:right w:val="nil"/>
          <w:between w:val="nil"/>
          <w:bar w:val="nil"/>
        </w:pBdr>
        <w:spacing w:before="0" w:after="240"/>
        <w:rPr>
          <w:rFonts w:eastAsia="Arial Unicode MS"/>
          <w:noProof/>
        </w:rPr>
      </w:pPr>
      <w:r w:rsidRPr="00EF1023">
        <w:rPr>
          <w:noProof/>
        </w:rPr>
        <w:t>Los Estados miembros adoptarán, cuando proceda, las medidas necesarias para dar pleno efecto al acuerdo.</w:t>
      </w:r>
    </w:p>
    <w:p w:rsidR="00A063E2" w:rsidRPr="00EF1023" w:rsidRDefault="00A063E2" w:rsidP="00A4693B">
      <w:pPr>
        <w:pStyle w:val="ManualHeading2"/>
        <w:rPr>
          <w:rFonts w:eastAsia="Arial Unicode MS"/>
          <w:noProof/>
          <w:u w:color="000000"/>
          <w:bdr w:val="nil"/>
        </w:rPr>
      </w:pPr>
      <w:r w:rsidRPr="00EF1023">
        <w:rPr>
          <w:noProof/>
          <w:u w:color="000000"/>
          <w:bdr w:val="nil"/>
        </w:rPr>
        <w:t>•</w:t>
      </w:r>
      <w:r w:rsidRPr="00EF1023">
        <w:rPr>
          <w:noProof/>
          <w:u w:color="000000"/>
          <w:bdr w:val="nil"/>
        </w:rPr>
        <w:tab/>
        <w:t>Explicación detallada de las disposiciones específicas de la propuesta</w:t>
      </w:r>
    </w:p>
    <w:p w:rsidR="002D0E14" w:rsidRPr="00EF1023" w:rsidRDefault="002D0E14" w:rsidP="002D0E14">
      <w:pPr>
        <w:pBdr>
          <w:top w:val="nil"/>
          <w:left w:val="nil"/>
          <w:bottom w:val="nil"/>
          <w:right w:val="nil"/>
          <w:between w:val="nil"/>
          <w:bar w:val="nil"/>
        </w:pBdr>
        <w:spacing w:before="0" w:after="240"/>
        <w:rPr>
          <w:noProof/>
        </w:rPr>
      </w:pPr>
      <w:r w:rsidRPr="00EF1023">
        <w:rPr>
          <w:noProof/>
        </w:rPr>
        <w:t xml:space="preserve">El acuerdo de cooperación en materia de competencia contiene disposiciones que también figuran en otros acuerdos de este tipo que la UE ha celebrado anteriormente. Se refiere a la notificación de las actividades de ejecución que afecten significativamente a los intereses importantes de la otra Parte y establece normas sobre cortesía negativa. Además, el acuerdo de cooperación en materia de competencia contiene disposiciones sobre la cooperación práctica entre la Comisión, las autoridades nacionales de competencia y la </w:t>
      </w:r>
      <w:r w:rsidRPr="00EF1023">
        <w:rPr>
          <w:i/>
          <w:noProof/>
        </w:rPr>
        <w:t>Competition and Markets Authority</w:t>
      </w:r>
      <w:r w:rsidRPr="00EF1023">
        <w:rPr>
          <w:noProof/>
        </w:rPr>
        <w:t xml:space="preserve"> del Reino Unido.</w:t>
      </w:r>
    </w:p>
    <w:p w:rsidR="002D0E14" w:rsidRPr="00EF1023" w:rsidRDefault="00DD3A4D" w:rsidP="002D0E14">
      <w:pPr>
        <w:pBdr>
          <w:top w:val="nil"/>
          <w:left w:val="nil"/>
          <w:bottom w:val="nil"/>
          <w:right w:val="nil"/>
          <w:between w:val="nil"/>
          <w:bar w:val="nil"/>
        </w:pBdr>
        <w:spacing w:before="0" w:after="240"/>
        <w:rPr>
          <w:rFonts w:eastAsia="Arial Unicode MS"/>
          <w:noProof/>
        </w:rPr>
      </w:pPr>
      <w:r w:rsidRPr="00EF1023">
        <w:rPr>
          <w:noProof/>
        </w:rPr>
        <w:t xml:space="preserve">El acuerdo de cooperación en materia de competencia también faculta a la Comisión y a las autoridades nacionales de competencia de los Estados miembros, cuando apliquen el Derecho de la competencia de la UE, para debatir sobre la información con la </w:t>
      </w:r>
      <w:r w:rsidRPr="00EF1023">
        <w:rPr>
          <w:i/>
          <w:noProof/>
        </w:rPr>
        <w:t>Competition and Markets Authority</w:t>
      </w:r>
      <w:r w:rsidRPr="00EF1023">
        <w:rPr>
          <w:noProof/>
        </w:rPr>
        <w:t xml:space="preserve">, así como para remitírsela y recibirla de esta, y para utilizar dicha información como prueba. El acuerdo permite el intercambio de información entre las autoridades de competencia en la medida en que lo permita la legislación nacional que les sea aplicable. Si se utiliza como medio de prueba, la información intercambiada solo debe utilizarse en relación con el asunto para el que fue recabada por la autoridad remitente. El acuerdo también establece normas sobre la confidencialidad de la información compartida en virtud de sus disposiciones. </w:t>
      </w:r>
    </w:p>
    <w:p w:rsidR="003B10EE" w:rsidRPr="00EF1023" w:rsidRDefault="00BC6154" w:rsidP="003B10EE">
      <w:pPr>
        <w:pBdr>
          <w:top w:val="nil"/>
          <w:left w:val="nil"/>
          <w:bottom w:val="nil"/>
          <w:right w:val="nil"/>
          <w:between w:val="nil"/>
          <w:bar w:val="nil"/>
        </w:pBdr>
        <w:spacing w:before="0" w:after="240"/>
        <w:rPr>
          <w:rFonts w:eastAsia="Arial Unicode MS"/>
          <w:noProof/>
        </w:rPr>
      </w:pPr>
      <w:r w:rsidRPr="00EF1023">
        <w:rPr>
          <w:noProof/>
        </w:rPr>
        <w:t>Además, no podrá exigirse sobre la base del acuerdo ninguna modificación en el Derecho nacional vigente ni ninguna actuación de una autoridad de competencia que sea incompatible con el Derecho nacional vigente.</w:t>
      </w:r>
    </w:p>
    <w:p w:rsidR="003B10EE" w:rsidRPr="00EF1023" w:rsidRDefault="00F56D8F" w:rsidP="002D0E14">
      <w:pPr>
        <w:pBdr>
          <w:top w:val="nil"/>
          <w:left w:val="nil"/>
          <w:bottom w:val="nil"/>
          <w:right w:val="nil"/>
          <w:between w:val="nil"/>
          <w:bar w:val="nil"/>
        </w:pBdr>
        <w:spacing w:before="0" w:after="240"/>
        <w:rPr>
          <w:rFonts w:eastAsia="Arial Unicode MS"/>
          <w:noProof/>
        </w:rPr>
      </w:pPr>
      <w:r w:rsidRPr="00EF1023">
        <w:rPr>
          <w:noProof/>
        </w:rPr>
        <w:t xml:space="preserve">El acuerdo de cooperación en materia de competencia también regula el modo en que las Partes </w:t>
      </w:r>
      <w:r w:rsidRPr="00EF1023">
        <w:rPr>
          <w:rStyle w:val="Corpsdutexte"/>
          <w:noProof/>
        </w:rPr>
        <w:t>intercambian información sobre cuestiones técnicas relacionadas con el funcionamiento</w:t>
      </w:r>
      <w:r w:rsidRPr="00EF1023">
        <w:rPr>
          <w:noProof/>
        </w:rPr>
        <w:t xml:space="preserve"> del acuerdo, la manera en que se comunican en el marco del acuerdo y el modo en que gestionan un uso o revelación accidental de la información. </w:t>
      </w:r>
    </w:p>
    <w:p w:rsidR="00020E36" w:rsidRPr="00EF1023" w:rsidRDefault="00020E36" w:rsidP="00020E36">
      <w:pPr>
        <w:outlineLvl w:val="3"/>
        <w:rPr>
          <w:bCs/>
          <w:iCs/>
          <w:noProof/>
        </w:rPr>
      </w:pPr>
      <w:r w:rsidRPr="00EF1023">
        <w:rPr>
          <w:noProof/>
        </w:rPr>
        <w:t xml:space="preserve">Según el acuerdo, a petición de una de las Partes, estas llevarán a cabo una </w:t>
      </w:r>
      <w:r w:rsidRPr="00EF1023">
        <w:rPr>
          <w:noProof/>
          <w:shd w:val="clear" w:color="auto" w:fill="FFFFFF"/>
        </w:rPr>
        <w:t>revisión conjunta de su aplicación</w:t>
      </w:r>
      <w:r w:rsidRPr="00EF1023">
        <w:rPr>
          <w:noProof/>
        </w:rPr>
        <w:t xml:space="preserve"> en un plazo de dos años a partir de su entrada en vigor. </w:t>
      </w:r>
    </w:p>
    <w:p w:rsidR="009E0344" w:rsidRPr="00EF1023" w:rsidRDefault="009E0344" w:rsidP="00020E36">
      <w:pPr>
        <w:outlineLvl w:val="3"/>
        <w:rPr>
          <w:rFonts w:cs="Calibri"/>
          <w:noProof/>
        </w:rPr>
      </w:pPr>
      <w:r w:rsidRPr="00EF1023">
        <w:rPr>
          <w:noProof/>
        </w:rPr>
        <w:t xml:space="preserve">Por último, el acuerdo contiene normas relativas a su aprobación por las Partes, su entrada en vigor y su terminación.  </w:t>
      </w:r>
    </w:p>
    <w:p w:rsidR="00C701F4" w:rsidRPr="00EF1023" w:rsidRDefault="00C701F4" w:rsidP="002D0E14">
      <w:pPr>
        <w:pBdr>
          <w:top w:val="nil"/>
          <w:left w:val="nil"/>
          <w:bottom w:val="nil"/>
          <w:right w:val="nil"/>
          <w:between w:val="nil"/>
          <w:bar w:val="nil"/>
        </w:pBdr>
        <w:spacing w:before="0" w:after="240"/>
        <w:rPr>
          <w:rFonts w:eastAsia="Arial Unicode MS"/>
          <w:noProof/>
        </w:rPr>
      </w:pPr>
    </w:p>
    <w:p w:rsidR="00A063E2" w:rsidRPr="00EF1023" w:rsidRDefault="00A063E2" w:rsidP="00FD40BA">
      <w:pPr>
        <w:rPr>
          <w:noProof/>
        </w:rPr>
        <w:sectPr w:rsidR="00A063E2" w:rsidRPr="00EF1023" w:rsidSect="000D5C7F">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8C4ACA" w:rsidRDefault="007044BD">
      <w:pPr>
        <w:pStyle w:val="Rfrenceinterinstitutionnelle"/>
        <w:rPr>
          <w:noProof/>
        </w:rPr>
      </w:pPr>
      <w:r>
        <w:rPr>
          <w:noProof/>
        </w:rPr>
        <w:t>2025/0109 (NLE)</w:t>
      </w:r>
    </w:p>
    <w:p w:rsidR="00A063E2" w:rsidRPr="00EF1023" w:rsidRDefault="00EF1023" w:rsidP="00EF1023">
      <w:pPr>
        <w:pStyle w:val="Statut"/>
        <w:rPr>
          <w:noProof/>
        </w:rPr>
      </w:pPr>
      <w:r w:rsidRPr="00EF1023">
        <w:rPr>
          <w:noProof/>
        </w:rPr>
        <w:t>Propuesta de</w:t>
      </w:r>
    </w:p>
    <w:p w:rsidR="00A063E2" w:rsidRPr="00EF1023" w:rsidRDefault="00EF1023" w:rsidP="00EF1023">
      <w:pPr>
        <w:pStyle w:val="Typedudocument"/>
        <w:rPr>
          <w:noProof/>
        </w:rPr>
      </w:pPr>
      <w:r w:rsidRPr="00EF1023">
        <w:rPr>
          <w:noProof/>
        </w:rPr>
        <w:t>DECISIÓN DEL CONSEJO</w:t>
      </w:r>
    </w:p>
    <w:p w:rsidR="00A063E2" w:rsidRPr="00EF1023" w:rsidRDefault="00EF1023" w:rsidP="00EF1023">
      <w:pPr>
        <w:pStyle w:val="Titreobjet"/>
        <w:rPr>
          <w:noProof/>
        </w:rPr>
      </w:pPr>
      <w:r w:rsidRPr="00EF1023">
        <w:rPr>
          <w:noProof/>
        </w:rPr>
        <w:t>relativa a la firma, en nombre de la Unión Europea, del Acuerdo entre la Unión Europea y el Reino Unido de Gran Bretaña e Irlanda del Norte relativo a la cooperación en la aplicación de sus normas de competencia</w:t>
      </w:r>
    </w:p>
    <w:p w:rsidR="00A063E2" w:rsidRPr="00EF1023" w:rsidRDefault="00A063E2" w:rsidP="00197315">
      <w:pPr>
        <w:pStyle w:val="Institutionquiagit"/>
        <w:rPr>
          <w:noProof/>
        </w:rPr>
      </w:pPr>
      <w:r w:rsidRPr="00EF1023">
        <w:rPr>
          <w:noProof/>
        </w:rPr>
        <w:t>EL CONSEJO DE LA UNIÓN EUROPEA,</w:t>
      </w:r>
    </w:p>
    <w:p w:rsidR="00A063E2" w:rsidRPr="00EF1023" w:rsidRDefault="00A063E2" w:rsidP="00197315">
      <w:pPr>
        <w:rPr>
          <w:noProof/>
        </w:rPr>
      </w:pPr>
      <w:r w:rsidRPr="00EF1023">
        <w:rPr>
          <w:noProof/>
        </w:rPr>
        <w:t>Visto el Tratado de Funcionamiento de la Unión Europea y, en particular sus artículos 103 y 352, en relación con su artículo 218, apartado 5,</w:t>
      </w:r>
    </w:p>
    <w:p w:rsidR="00A063E2" w:rsidRPr="00EF1023" w:rsidRDefault="00A063E2" w:rsidP="00197315">
      <w:pPr>
        <w:rPr>
          <w:noProof/>
        </w:rPr>
      </w:pPr>
      <w:r w:rsidRPr="00EF1023">
        <w:rPr>
          <w:noProof/>
        </w:rPr>
        <w:t>Vista la propuesta de la Comisión Europea,</w:t>
      </w:r>
    </w:p>
    <w:p w:rsidR="00A063E2" w:rsidRPr="00EF1023" w:rsidRDefault="00A063E2" w:rsidP="00197315">
      <w:pPr>
        <w:rPr>
          <w:noProof/>
        </w:rPr>
      </w:pPr>
      <w:r w:rsidRPr="00EF1023">
        <w:rPr>
          <w:noProof/>
        </w:rPr>
        <w:t>Considerando lo siguiente:</w:t>
      </w:r>
    </w:p>
    <w:p w:rsidR="00A77F61" w:rsidRPr="00EF1023" w:rsidRDefault="00A77F61" w:rsidP="00197315">
      <w:pPr>
        <w:rPr>
          <w:noProof/>
        </w:rPr>
      </w:pPr>
    </w:p>
    <w:p w:rsidR="00F82D2A" w:rsidRPr="00EF1023" w:rsidRDefault="004A0CA9" w:rsidP="004A0CA9">
      <w:pPr>
        <w:pStyle w:val="ManualConsidrant"/>
        <w:rPr>
          <w:noProof/>
        </w:rPr>
      </w:pPr>
      <w:r w:rsidRPr="004A0CA9">
        <w:rPr>
          <w:noProof/>
        </w:rPr>
        <w:t>(1)</w:t>
      </w:r>
      <w:r w:rsidRPr="004A0CA9">
        <w:rPr>
          <w:noProof/>
        </w:rPr>
        <w:tab/>
      </w:r>
      <w:r w:rsidR="00A77F61" w:rsidRPr="00EF1023">
        <w:rPr>
          <w:noProof/>
        </w:rPr>
        <w:t xml:space="preserve">El 8 de junio de 2023, el Consejo autorizó a la Comisión a entablar negociaciones con el Reino Unido de Gran Bretaña e Irlanda del Norte (en lo sucesivo, «Reino Unido»), para celebrar un acuerdo complementario, en el sentido del artículo 2 del Acuerdo de Comercio y Cooperación entre la Unión Europea y la Comunidad Europea de la Energía Atómica, por una parte, y el Reino Unido de Gran Bretaña e Irlanda del Norte, por otra, de 30 de diciembre de 2020 (en lo sucesivo, «Acuerdo de Comercio y Cooperación»), en relación con la cooperación en materia de competencia.  </w:t>
      </w:r>
    </w:p>
    <w:p w:rsidR="00A063E2" w:rsidRPr="00EF1023" w:rsidRDefault="004A0CA9" w:rsidP="004A0CA9">
      <w:pPr>
        <w:pStyle w:val="ManualConsidrant"/>
        <w:rPr>
          <w:noProof/>
        </w:rPr>
      </w:pPr>
      <w:r w:rsidRPr="004A0CA9">
        <w:rPr>
          <w:noProof/>
        </w:rPr>
        <w:t>(2)</w:t>
      </w:r>
      <w:r w:rsidRPr="004A0CA9">
        <w:rPr>
          <w:noProof/>
        </w:rPr>
        <w:tab/>
      </w:r>
      <w:r w:rsidR="00F82D2A" w:rsidRPr="00EF1023">
        <w:rPr>
          <w:noProof/>
        </w:rPr>
        <w:t xml:space="preserve">La Comisión ha negociado, en nombre de la Unión, un Acuerdo entre la Unión y el Reino Unido relativo a la cooperación en la aplicación de sus normas de competencia. Las negociaciones han concluido a nivel técnico. </w:t>
      </w:r>
    </w:p>
    <w:p w:rsidR="0055707A" w:rsidRPr="00EF1023" w:rsidRDefault="004A0CA9" w:rsidP="004A0CA9">
      <w:pPr>
        <w:pStyle w:val="ManualConsidrant"/>
        <w:rPr>
          <w:noProof/>
          <w:sz w:val="22"/>
        </w:rPr>
      </w:pPr>
      <w:r w:rsidRPr="004A0CA9">
        <w:rPr>
          <w:noProof/>
        </w:rPr>
        <w:t>(3)</w:t>
      </w:r>
      <w:r w:rsidRPr="004A0CA9">
        <w:rPr>
          <w:noProof/>
        </w:rPr>
        <w:tab/>
      </w:r>
      <w:r w:rsidR="007145EC" w:rsidRPr="00EF1023">
        <w:rPr>
          <w:noProof/>
        </w:rPr>
        <w:t>El objetivo del Acuerdo es enmarcar e impulsar la cooperación y coordinación existentes en materia de competencia entre las autoridades de competencia de la Unión y sus Estados miembros, por una parte, y del Reino Unido, por otra, con vistas a una aplicación más eficaz de las normas de competencia de la Unión y del Reino Unido. Si bien las autoridades de competencia de la Unión y del Reino Unido cooperan sobre la base del artículo 361, apartado 2, del Acuerdo de Comercio y Cooperación, el artículo 361, apartado 4, establece que las partes podrán celebrar un acuerdo separado sobre cooperación y coordinación en materia de competencia. El Acuerdo constituye un acuerdo complementario del Acuerdo de Comercio y Cooperación.</w:t>
      </w:r>
    </w:p>
    <w:p w:rsidR="007145EC" w:rsidRPr="00EF1023" w:rsidRDefault="004A0CA9" w:rsidP="004A0CA9">
      <w:pPr>
        <w:pStyle w:val="ManualConsidrant"/>
        <w:rPr>
          <w:noProof/>
        </w:rPr>
      </w:pPr>
      <w:r w:rsidRPr="004A0CA9">
        <w:rPr>
          <w:noProof/>
        </w:rPr>
        <w:t>(4)</w:t>
      </w:r>
      <w:r w:rsidRPr="004A0CA9">
        <w:rPr>
          <w:noProof/>
        </w:rPr>
        <w:tab/>
      </w:r>
      <w:r w:rsidR="00E17CF4" w:rsidRPr="00EF1023">
        <w:rPr>
          <w:noProof/>
        </w:rPr>
        <w:t>Procede, por tanto, firmar el Acuerdo en nombre de la Unión, a reserva de su celebración en una fecha posterior.</w:t>
      </w:r>
    </w:p>
    <w:p w:rsidR="0058044F" w:rsidRPr="00EF1023" w:rsidRDefault="004A0CA9" w:rsidP="004A0CA9">
      <w:pPr>
        <w:pStyle w:val="ManualConsidrant"/>
        <w:rPr>
          <w:noProof/>
        </w:rPr>
      </w:pPr>
      <w:r w:rsidRPr="004A0CA9">
        <w:rPr>
          <w:noProof/>
        </w:rPr>
        <w:t>(5)</w:t>
      </w:r>
      <w:r w:rsidRPr="004A0CA9">
        <w:rPr>
          <w:noProof/>
        </w:rPr>
        <w:tab/>
      </w:r>
      <w:r w:rsidR="0058044F" w:rsidRPr="00EF1023">
        <w:rPr>
          <w:noProof/>
        </w:rPr>
        <w:t>De conformidad con los Tratados, la Comisión debe asegurar la firma del Acuerdo, a reserva de su celebración en una fecha posterior.</w:t>
      </w:r>
    </w:p>
    <w:p w:rsidR="007937EA" w:rsidRPr="00EF1023" w:rsidRDefault="004A0CA9" w:rsidP="004A0CA9">
      <w:pPr>
        <w:pStyle w:val="ManualConsidrant"/>
        <w:rPr>
          <w:noProof/>
        </w:rPr>
      </w:pPr>
      <w:r w:rsidRPr="004A0CA9">
        <w:rPr>
          <w:noProof/>
        </w:rPr>
        <w:t>(6)</w:t>
      </w:r>
      <w:r w:rsidRPr="004A0CA9">
        <w:rPr>
          <w:noProof/>
        </w:rPr>
        <w:tab/>
      </w:r>
      <w:r w:rsidR="007937EA" w:rsidRPr="00EF1023">
        <w:rPr>
          <w:noProof/>
        </w:rPr>
        <w:t>El Supervisor Europeo de Protección de Datos, al que se consultó de conformidad con el artículo 42 del Reglamento (UE) 2018/1725, emitió su dictamen el [...].</w:t>
      </w:r>
    </w:p>
    <w:p w:rsidR="00A063E2" w:rsidRPr="00EF1023" w:rsidRDefault="00A063E2" w:rsidP="00F51C8B">
      <w:pPr>
        <w:pStyle w:val="Formuledadoption"/>
        <w:rPr>
          <w:noProof/>
        </w:rPr>
      </w:pPr>
      <w:r w:rsidRPr="00EF1023">
        <w:rPr>
          <w:noProof/>
        </w:rPr>
        <w:t xml:space="preserve">HA ADOPTADO LA PRESENTE DECISIÓN: </w:t>
      </w:r>
    </w:p>
    <w:p w:rsidR="00A063E2" w:rsidRPr="00EF1023" w:rsidRDefault="00A063E2" w:rsidP="00197315">
      <w:pPr>
        <w:pStyle w:val="Titrearticle"/>
        <w:rPr>
          <w:noProof/>
        </w:rPr>
      </w:pPr>
      <w:r w:rsidRPr="00EF1023">
        <w:rPr>
          <w:noProof/>
        </w:rPr>
        <w:t>Artículo 1</w:t>
      </w:r>
    </w:p>
    <w:p w:rsidR="00A063E2" w:rsidRPr="00EF1023" w:rsidRDefault="00641376" w:rsidP="00197315">
      <w:pPr>
        <w:rPr>
          <w:noProof/>
        </w:rPr>
      </w:pPr>
      <w:r w:rsidRPr="00EF1023">
        <w:rPr>
          <w:noProof/>
        </w:rPr>
        <w:t>Queda aprobada, en nombre de la Unión, la firma del Acuerdo entre la Unión Europea y el Reino Unido de Gran Bretaña e Irlanda del Norte relativo a la cooperación en la aplicación de sus normas de competencia, a reserva de la celebración de dicho Acuerdo</w:t>
      </w:r>
      <w:r w:rsidRPr="00EF1023">
        <w:rPr>
          <w:rStyle w:val="FootnoteReference"/>
          <w:noProof/>
        </w:rPr>
        <w:footnoteReference w:id="6"/>
      </w:r>
      <w:r w:rsidRPr="00EF1023">
        <w:rPr>
          <w:noProof/>
        </w:rPr>
        <w:t xml:space="preserve">. </w:t>
      </w:r>
    </w:p>
    <w:p w:rsidR="0058044F" w:rsidRPr="00EF1023" w:rsidRDefault="0058044F" w:rsidP="00197315">
      <w:pPr>
        <w:rPr>
          <w:noProof/>
        </w:rPr>
      </w:pPr>
      <w:r w:rsidRPr="00EF1023">
        <w:rPr>
          <w:noProof/>
        </w:rPr>
        <w:t>El texto del Acuerdo que debe firmarse se adjunta a la presente Decisión.</w:t>
      </w:r>
    </w:p>
    <w:p w:rsidR="00641376" w:rsidRPr="00EF1023" w:rsidRDefault="00641376" w:rsidP="001B6C86">
      <w:pPr>
        <w:pStyle w:val="Titrearticle"/>
        <w:rPr>
          <w:noProof/>
        </w:rPr>
      </w:pPr>
      <w:r w:rsidRPr="00EF1023">
        <w:rPr>
          <w:noProof/>
        </w:rPr>
        <w:t>Artículo 2</w:t>
      </w:r>
    </w:p>
    <w:p w:rsidR="00641376" w:rsidRPr="00EF1023" w:rsidRDefault="0058044F" w:rsidP="00197315">
      <w:pPr>
        <w:rPr>
          <w:noProof/>
        </w:rPr>
      </w:pPr>
      <w:r w:rsidRPr="00EF1023">
        <w:rPr>
          <w:noProof/>
        </w:rPr>
        <w:t xml:space="preserve">La presente Decisión entrará en vigor el día de su adopción. </w:t>
      </w:r>
    </w:p>
    <w:p w:rsidR="00A063E2" w:rsidRPr="00EF1023" w:rsidRDefault="00EF1023" w:rsidP="001B6C86">
      <w:pPr>
        <w:pStyle w:val="Fait"/>
        <w:rPr>
          <w:noProof/>
        </w:rPr>
      </w:pPr>
      <w:r>
        <w:rPr>
          <w:noProof/>
        </w:rPr>
        <w:t>Hecho en Bruselas, el</w:t>
      </w:r>
    </w:p>
    <w:p w:rsidR="00A063E2" w:rsidRPr="00EF1023" w:rsidRDefault="00A063E2" w:rsidP="001B6C86">
      <w:pPr>
        <w:pStyle w:val="Institutionquisigne"/>
        <w:rPr>
          <w:noProof/>
        </w:rPr>
      </w:pPr>
      <w:r w:rsidRPr="00EF1023">
        <w:rPr>
          <w:noProof/>
        </w:rPr>
        <w:tab/>
        <w:t>Por el Consejo</w:t>
      </w:r>
    </w:p>
    <w:p w:rsidR="006326CA" w:rsidRPr="00EF1023" w:rsidRDefault="00A063E2" w:rsidP="0000344F">
      <w:pPr>
        <w:pStyle w:val="Personnequisigne"/>
        <w:rPr>
          <w:noProof/>
        </w:rPr>
      </w:pPr>
      <w:r w:rsidRPr="00EF1023">
        <w:rPr>
          <w:noProof/>
        </w:rPr>
        <w:tab/>
        <w:t>La Presidenta / El Presidente</w:t>
      </w:r>
    </w:p>
    <w:sectPr w:rsidR="006326CA" w:rsidRPr="00EF1023" w:rsidSect="000D5C7F">
      <w:pgSz w:w="11907" w:h="16840" w:code="9"/>
      <w:pgMar w:top="1134" w:right="1418" w:bottom="1134" w:left="1418"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2AB" w:rsidRDefault="00AC02AB" w:rsidP="00A063E2">
      <w:pPr>
        <w:spacing w:before="0" w:after="0"/>
      </w:pPr>
      <w:r>
        <w:separator/>
      </w:r>
    </w:p>
  </w:endnote>
  <w:endnote w:type="continuationSeparator" w:id="0">
    <w:p w:rsidR="00AC02AB" w:rsidRDefault="00AC02AB" w:rsidP="00A063E2">
      <w:pPr>
        <w:spacing w:before="0" w:after="0"/>
      </w:pPr>
      <w:r>
        <w:continuationSeparator/>
      </w:r>
    </w:p>
  </w:endnote>
  <w:endnote w:type="continuationNotice" w:id="1">
    <w:p w:rsidR="00AC02AB" w:rsidRDefault="00AC02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Pr="000D5C7F" w:rsidRDefault="000D5C7F" w:rsidP="000D5C7F">
    <w:pPr>
      <w:pStyle w:val="Footer"/>
      <w:rPr>
        <w:rFonts w:ascii="Arial" w:hAnsi="Arial" w:cs="Arial"/>
        <w:b/>
        <w:sz w:val="48"/>
      </w:rPr>
    </w:pPr>
    <w:r w:rsidRPr="000D5C7F">
      <w:rPr>
        <w:rFonts w:ascii="Arial" w:hAnsi="Arial" w:cs="Arial"/>
        <w:b/>
        <w:sz w:val="48"/>
      </w:rPr>
      <w:t>ES</w:t>
    </w:r>
    <w:r w:rsidRPr="000D5C7F">
      <w:rPr>
        <w:rFonts w:ascii="Arial" w:hAnsi="Arial" w:cs="Arial"/>
        <w:b/>
        <w:sz w:val="48"/>
      </w:rPr>
      <w:tab/>
    </w:r>
    <w:r w:rsidRPr="000D5C7F">
      <w:rPr>
        <w:rFonts w:ascii="Arial" w:hAnsi="Arial" w:cs="Arial"/>
        <w:b/>
        <w:sz w:val="48"/>
      </w:rPr>
      <w:tab/>
    </w:r>
    <w:r w:rsidRPr="000D5C7F">
      <w:tab/>
    </w:r>
    <w:r w:rsidRPr="000D5C7F">
      <w:rPr>
        <w:rFonts w:ascii="Arial" w:hAnsi="Arial" w:cs="Arial"/>
        <w:b/>
        <w:sz w:val="48"/>
      </w:rPr>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Pr="000D5C7F" w:rsidRDefault="000D5C7F" w:rsidP="000D5C7F">
    <w:pPr>
      <w:pStyle w:val="Footer"/>
      <w:rPr>
        <w:rFonts w:ascii="Arial" w:hAnsi="Arial" w:cs="Arial"/>
        <w:b/>
        <w:sz w:val="48"/>
      </w:rPr>
    </w:pPr>
    <w:r w:rsidRPr="000D5C7F">
      <w:rPr>
        <w:rFonts w:ascii="Arial" w:hAnsi="Arial" w:cs="Arial"/>
        <w:b/>
        <w:sz w:val="48"/>
      </w:rPr>
      <w:t>ES</w:t>
    </w:r>
    <w:r w:rsidRPr="000D5C7F">
      <w:rPr>
        <w:rFonts w:ascii="Arial" w:hAnsi="Arial" w:cs="Arial"/>
        <w:b/>
        <w:sz w:val="48"/>
      </w:rPr>
      <w:tab/>
    </w:r>
    <w:r w:rsidRPr="000D5C7F">
      <w:rPr>
        <w:rFonts w:ascii="Arial" w:hAnsi="Arial" w:cs="Arial"/>
        <w:b/>
        <w:sz w:val="48"/>
      </w:rPr>
      <w:tab/>
    </w:r>
    <w:r w:rsidRPr="000D5C7F">
      <w:tab/>
    </w:r>
    <w:r w:rsidRPr="000D5C7F">
      <w:rPr>
        <w:rFonts w:ascii="Arial" w:hAnsi="Arial" w:cs="Arial"/>
        <w:b/>
        <w:sz w:val="48"/>
      </w:rPr>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Default="000D5C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Pr="000D5C7F" w:rsidRDefault="000D5C7F" w:rsidP="000D5C7F">
    <w:pPr>
      <w:pStyle w:val="Footer"/>
      <w:rPr>
        <w:rFonts w:ascii="Arial" w:hAnsi="Arial" w:cs="Arial"/>
        <w:b/>
        <w:sz w:val="48"/>
      </w:rPr>
    </w:pPr>
    <w:r w:rsidRPr="000D5C7F">
      <w:rPr>
        <w:rFonts w:ascii="Arial" w:hAnsi="Arial" w:cs="Arial"/>
        <w:b/>
        <w:sz w:val="48"/>
      </w:rPr>
      <w:t>ES</w:t>
    </w:r>
    <w:r w:rsidRPr="000D5C7F">
      <w:rPr>
        <w:rFonts w:ascii="Arial" w:hAnsi="Arial" w:cs="Arial"/>
        <w:b/>
        <w:sz w:val="48"/>
      </w:rPr>
      <w:tab/>
    </w:r>
    <w:r>
      <w:fldChar w:fldCharType="begin"/>
    </w:r>
    <w:r>
      <w:instrText xml:space="preserve"> PAGE  \* MERGEFORMAT </w:instrText>
    </w:r>
    <w:r>
      <w:fldChar w:fldCharType="separate"/>
    </w:r>
    <w:r w:rsidR="001B6C86">
      <w:rPr>
        <w:noProof/>
      </w:rPr>
      <w:t>2</w:t>
    </w:r>
    <w:r>
      <w:fldChar w:fldCharType="end"/>
    </w:r>
    <w:r>
      <w:tab/>
    </w:r>
    <w:r w:rsidRPr="000D5C7F">
      <w:tab/>
    </w:r>
    <w:r w:rsidRPr="000D5C7F">
      <w:rPr>
        <w:rFonts w:ascii="Arial" w:hAnsi="Arial" w:cs="Arial"/>
        <w:b/>
        <w:sz w:val="48"/>
      </w:rPr>
      <w:t>ES</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Default="000D5C7F" w:rsidP="000D5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2AB" w:rsidRDefault="00AC02AB" w:rsidP="00A063E2">
      <w:pPr>
        <w:spacing w:before="0" w:after="0"/>
      </w:pPr>
      <w:r>
        <w:separator/>
      </w:r>
    </w:p>
  </w:footnote>
  <w:footnote w:type="continuationSeparator" w:id="0">
    <w:p w:rsidR="00AC02AB" w:rsidRDefault="00AC02AB" w:rsidP="00A063E2">
      <w:pPr>
        <w:spacing w:before="0" w:after="0"/>
      </w:pPr>
      <w:r>
        <w:continuationSeparator/>
      </w:r>
    </w:p>
  </w:footnote>
  <w:footnote w:type="continuationNotice" w:id="1">
    <w:p w:rsidR="00AC02AB" w:rsidRDefault="00AC02AB">
      <w:pPr>
        <w:spacing w:before="0" w:after="0"/>
      </w:pPr>
    </w:p>
  </w:footnote>
  <w:footnote w:id="2">
    <w:p w:rsidR="00795130" w:rsidRPr="00EF1023" w:rsidRDefault="00795130" w:rsidP="00795130">
      <w:pPr>
        <w:pStyle w:val="FootnoteText"/>
        <w:rPr>
          <w:lang w:val="es-ES"/>
        </w:rPr>
      </w:pPr>
      <w:r>
        <w:rPr>
          <w:rStyle w:val="FootnoteReference"/>
        </w:rPr>
        <w:footnoteRef/>
      </w:r>
      <w:r w:rsidRPr="00EF1023">
        <w:rPr>
          <w:lang w:val="es-ES"/>
        </w:rPr>
        <w:tab/>
        <w:t>Acuerdo entre las Comunidades Europeas y el Gobierno de los Estados Unidos de América relativo a la aplicación de sus normas de competencia, DO L 95 de 27.4.95, p. 47, en su versión rectificada por DO L 131 de 15.6.95, p. 38.</w:t>
      </w:r>
    </w:p>
  </w:footnote>
  <w:footnote w:id="3">
    <w:p w:rsidR="00795130" w:rsidRPr="00EF1023" w:rsidRDefault="00795130" w:rsidP="00795130">
      <w:pPr>
        <w:pStyle w:val="FootnoteText"/>
        <w:rPr>
          <w:lang w:val="es-ES"/>
        </w:rPr>
      </w:pPr>
      <w:r>
        <w:rPr>
          <w:rStyle w:val="FootnoteReference"/>
        </w:rPr>
        <w:footnoteRef/>
      </w:r>
      <w:r w:rsidRPr="00EF1023">
        <w:rPr>
          <w:lang w:val="es-ES"/>
        </w:rPr>
        <w:tab/>
        <w:t>Acuerdo entre las Comunidades Europeas y el Gobierno de Canadá relativo a la aplicación de sus normas de competencia, DO L 175 de 10.7.1999, p.49.</w:t>
      </w:r>
    </w:p>
  </w:footnote>
  <w:footnote w:id="4">
    <w:p w:rsidR="00795130" w:rsidRPr="00EF1023" w:rsidRDefault="00795130" w:rsidP="00795130">
      <w:pPr>
        <w:pStyle w:val="FootnoteText"/>
        <w:rPr>
          <w:lang w:val="es-ES"/>
        </w:rPr>
      </w:pPr>
      <w:r>
        <w:rPr>
          <w:rStyle w:val="FootnoteReference"/>
        </w:rPr>
        <w:footnoteRef/>
      </w:r>
      <w:r w:rsidRPr="00EF1023">
        <w:rPr>
          <w:lang w:val="es-ES"/>
        </w:rPr>
        <w:tab/>
        <w:t>Acuerdo entre las Comunidades Europeas y el Gobierno de Japón sobre la cooperación en la lucha contra las actividades contrarias a la competencia, DO L 183 de 22.7.2003, p. 12.</w:t>
      </w:r>
    </w:p>
  </w:footnote>
  <w:footnote w:id="5">
    <w:p w:rsidR="00795130" w:rsidRPr="00EF1023" w:rsidRDefault="00795130" w:rsidP="00795130">
      <w:pPr>
        <w:pStyle w:val="FootnoteText"/>
        <w:rPr>
          <w:lang w:val="es-ES"/>
        </w:rPr>
      </w:pPr>
      <w:r>
        <w:rPr>
          <w:rStyle w:val="FootnoteReference"/>
        </w:rPr>
        <w:footnoteRef/>
      </w:r>
      <w:r w:rsidRPr="00EF1023">
        <w:rPr>
          <w:lang w:val="es-ES"/>
        </w:rPr>
        <w:tab/>
        <w:t>Acuerdo entre la Comunidad Europea y el Gobierno de la República de Corea sobre cooperación en materia de actividades contrarias a la competencia, DO L 202 de 4.8.2009, p. 36.</w:t>
      </w:r>
    </w:p>
  </w:footnote>
  <w:footnote w:id="6">
    <w:p w:rsidR="00641376" w:rsidRPr="00EF1023" w:rsidRDefault="00641376">
      <w:pPr>
        <w:pStyle w:val="FootnoteText"/>
        <w:rPr>
          <w:lang w:val="es-ES"/>
        </w:rPr>
      </w:pPr>
      <w:r>
        <w:rPr>
          <w:rStyle w:val="FootnoteReference"/>
        </w:rPr>
        <w:footnoteRef/>
      </w:r>
      <w:r w:rsidRPr="00EF1023">
        <w:rPr>
          <w:lang w:val="es-ES"/>
        </w:rPr>
        <w:tab/>
        <w:t xml:space="preserve">El texto del Acuerdo se publicará junto con la Decisión relativa a su celebración.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Default="000D5C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C7F" w:rsidRDefault="000D5C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9"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7"/>
  </w:num>
  <w:num w:numId="7">
    <w:abstractNumId w:val="24"/>
  </w:num>
  <w:num w:numId="8">
    <w:abstractNumId w:val="28"/>
  </w:num>
  <w:num w:numId="9">
    <w:abstractNumId w:val="29"/>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30"/>
    <w:lvlOverride w:ilvl="0">
      <w:startOverride w:val="1"/>
    </w:lvlOverride>
  </w:num>
  <w:num w:numId="18">
    <w:abstractNumId w:val="23"/>
  </w:num>
  <w:num w:numId="19">
    <w:abstractNumId w:val="12"/>
  </w:num>
  <w:num w:numId="20">
    <w:abstractNumId w:val="26"/>
  </w:num>
  <w:num w:numId="21">
    <w:abstractNumId w:val="6"/>
  </w:num>
  <w:num w:numId="22">
    <w:abstractNumId w:val="13"/>
  </w:num>
  <w:num w:numId="23">
    <w:abstractNumId w:val="14"/>
  </w:num>
  <w:num w:numId="24">
    <w:abstractNumId w:val="4"/>
  </w:num>
  <w:num w:numId="25">
    <w:abstractNumId w:val="25"/>
  </w:num>
  <w:num w:numId="26">
    <w:abstractNumId w:val="3"/>
  </w:num>
  <w:num w:numId="27">
    <w:abstractNumId w:val="15"/>
  </w:num>
  <w:num w:numId="28">
    <w:abstractNumId w:val="21"/>
  </w:num>
  <w:num w:numId="29">
    <w:abstractNumId w:val="22"/>
  </w:num>
  <w:num w:numId="30">
    <w:abstractNumId w:val="5"/>
  </w:num>
  <w:num w:numId="31">
    <w:abstractNumId w:val="19"/>
  </w:num>
  <w:num w:numId="32">
    <w:abstractNumId w:val="30"/>
  </w:num>
  <w:num w:numId="33">
    <w:abstractNumId w:val="23"/>
  </w:num>
  <w:num w:numId="34">
    <w:abstractNumId w:val="12"/>
  </w:num>
  <w:num w:numId="35">
    <w:abstractNumId w:val="26"/>
  </w:num>
  <w:num w:numId="36">
    <w:abstractNumId w:val="6"/>
  </w:num>
  <w:num w:numId="37">
    <w:abstractNumId w:val="13"/>
  </w:num>
  <w:num w:numId="38">
    <w:abstractNumId w:val="14"/>
  </w:num>
  <w:num w:numId="39">
    <w:abstractNumId w:val="4"/>
  </w:num>
  <w:num w:numId="40">
    <w:abstractNumId w:val="25"/>
  </w:num>
  <w:num w:numId="41">
    <w:abstractNumId w:val="3"/>
  </w:num>
  <w:num w:numId="42">
    <w:abstractNumId w:val="15"/>
  </w:num>
  <w:num w:numId="43">
    <w:abstractNumId w:val="21"/>
  </w:num>
  <w:num w:numId="44">
    <w:abstractNumId w:val="22"/>
  </w:num>
  <w:num w:numId="45">
    <w:abstractNumId w:val="5"/>
  </w:num>
  <w:num w:numId="46">
    <w:abstractNumId w:val="19"/>
  </w:num>
  <w:num w:numId="47">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5-13 14:56:1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484331F4-A4CF-41E4-BB00-83042DCFAC10"/>
    <w:docVar w:name="LW_COVERPAGE_TYPE" w:val="1"/>
    <w:docVar w:name="LW_CreatedUtc" w:val="2025-01-17T16:23:51.1226936Z"/>
    <w:docVar w:name="LW_CROSSREFERENCE" w:val="&lt;UNUSED&gt;"/>
    <w:docVar w:name="LW_DocType" w:val="COM"/>
    <w:docVar w:name="LW_EMISSION" w:val="19.5.2025"/>
    <w:docVar w:name="LW_EMISSION_ISODATE" w:val="2025-05-19"/>
    <w:docVar w:name="LW_EMISSION_LOCATION" w:val="BRX"/>
    <w:docVar w:name="LW_EMISSION_PREFIX" w:val="Bruselas, "/>
    <w:docVar w:name="LW_EMISSION_SUFFIX" w:val=" "/>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ES"/>
    <w:docVar w:name="LW_LEVEL_OF_SENSITIVITY" w:val="Standard treatment"/>
    <w:docVar w:name="LW_NOM.INST" w:val="COMISIÓN EUROPEA"/>
    <w:docVar w:name="LW_NOM.INST_JOINTDOC" w:val="&lt;EMPTY&gt;"/>
    <w:docVar w:name="LW_PART_NBR" w:val="1"/>
    <w:docVar w:name="LW_PART_NBR_TOTAL" w:val="1"/>
    <w:docVar w:name="LW_REF.II.NEW.CP" w:val="NLE"/>
    <w:docVar w:name="LW_REF.II.NEW.CP_NUMBER" w:val="0109"/>
    <w:docVar w:name="LW_REF.II.NEW.CP_YEAR" w:val="2025"/>
    <w:docVar w:name="LW_REF.INST.NEW" w:val="COM"/>
    <w:docVar w:name="LW_REF.INST.NEW_ADOPTED" w:val="final"/>
    <w:docVar w:name="LW_REF.INST.NEW_TEXT" w:val="(2025) 23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esta de"/>
    <w:docVar w:name="LW_SUPERTITRE" w:val="&lt;UNUSED&gt;"/>
    <w:docVar w:name="LW_TITRE.OBJ.CP" w:val="relativa a la firma, en nombre de la Unión Europea, del Acuerdo entre la Unión Europea y el Reino Unido de Gran Bretaña e Irlanda del Norte relativo a la cooperación en la aplicación de sus normas de competencia"/>
    <w:docVar w:name="LW_TYPE.DOC.CP" w:val="DECISIÓN DEL CONSEJO"/>
    <w:docVar w:name="LwApiVersions" w:val="LW4CoDe 1.24.5.0; LW 9.0, Build 20240221"/>
  </w:docVars>
  <w:rsids>
    <w:rsidRoot w:val="00A063E2"/>
    <w:rsid w:val="00000096"/>
    <w:rsid w:val="00000E8F"/>
    <w:rsid w:val="0000344F"/>
    <w:rsid w:val="00017143"/>
    <w:rsid w:val="00017B63"/>
    <w:rsid w:val="00020E36"/>
    <w:rsid w:val="00026F1D"/>
    <w:rsid w:val="00040DD7"/>
    <w:rsid w:val="00047B3F"/>
    <w:rsid w:val="0005281E"/>
    <w:rsid w:val="00072C39"/>
    <w:rsid w:val="000807FA"/>
    <w:rsid w:val="00083689"/>
    <w:rsid w:val="000A2F0E"/>
    <w:rsid w:val="000A37C6"/>
    <w:rsid w:val="000A73C2"/>
    <w:rsid w:val="000D3D8E"/>
    <w:rsid w:val="000D5C7F"/>
    <w:rsid w:val="000D75E3"/>
    <w:rsid w:val="000E75E3"/>
    <w:rsid w:val="001065F5"/>
    <w:rsid w:val="00120FBA"/>
    <w:rsid w:val="001238EF"/>
    <w:rsid w:val="001427A8"/>
    <w:rsid w:val="001527A8"/>
    <w:rsid w:val="001558FA"/>
    <w:rsid w:val="00156A71"/>
    <w:rsid w:val="00166D5A"/>
    <w:rsid w:val="00171748"/>
    <w:rsid w:val="001718AA"/>
    <w:rsid w:val="001943BB"/>
    <w:rsid w:val="00197613"/>
    <w:rsid w:val="001A0FFC"/>
    <w:rsid w:val="001B6C86"/>
    <w:rsid w:val="001E69E1"/>
    <w:rsid w:val="00202E3D"/>
    <w:rsid w:val="002245AC"/>
    <w:rsid w:val="00233DC7"/>
    <w:rsid w:val="0023512A"/>
    <w:rsid w:val="00247779"/>
    <w:rsid w:val="00256618"/>
    <w:rsid w:val="002667C7"/>
    <w:rsid w:val="002752D6"/>
    <w:rsid w:val="0028573E"/>
    <w:rsid w:val="00285BEE"/>
    <w:rsid w:val="00286B7D"/>
    <w:rsid w:val="0029533F"/>
    <w:rsid w:val="00297544"/>
    <w:rsid w:val="002B30AF"/>
    <w:rsid w:val="002B33C4"/>
    <w:rsid w:val="002B4366"/>
    <w:rsid w:val="002B777D"/>
    <w:rsid w:val="002B78EC"/>
    <w:rsid w:val="002D0E14"/>
    <w:rsid w:val="002D31C5"/>
    <w:rsid w:val="002D3513"/>
    <w:rsid w:val="002D5D6C"/>
    <w:rsid w:val="002E7B2B"/>
    <w:rsid w:val="002F196B"/>
    <w:rsid w:val="0031026E"/>
    <w:rsid w:val="00331BA5"/>
    <w:rsid w:val="0033344A"/>
    <w:rsid w:val="00346842"/>
    <w:rsid w:val="00347EBC"/>
    <w:rsid w:val="00364719"/>
    <w:rsid w:val="00367EBC"/>
    <w:rsid w:val="003733BD"/>
    <w:rsid w:val="00382F45"/>
    <w:rsid w:val="003A579A"/>
    <w:rsid w:val="003B10EE"/>
    <w:rsid w:val="003B5D79"/>
    <w:rsid w:val="003C3909"/>
    <w:rsid w:val="003C5019"/>
    <w:rsid w:val="003E32AC"/>
    <w:rsid w:val="003F2BC1"/>
    <w:rsid w:val="004122E5"/>
    <w:rsid w:val="0042648E"/>
    <w:rsid w:val="00454B1B"/>
    <w:rsid w:val="004573F9"/>
    <w:rsid w:val="004672D7"/>
    <w:rsid w:val="00483678"/>
    <w:rsid w:val="0048426E"/>
    <w:rsid w:val="004936D2"/>
    <w:rsid w:val="00494945"/>
    <w:rsid w:val="0049786F"/>
    <w:rsid w:val="004A0CA9"/>
    <w:rsid w:val="004D4A8A"/>
    <w:rsid w:val="004E56AA"/>
    <w:rsid w:val="004F1451"/>
    <w:rsid w:val="004F3AD7"/>
    <w:rsid w:val="004F4F70"/>
    <w:rsid w:val="00502528"/>
    <w:rsid w:val="00504B13"/>
    <w:rsid w:val="00516E80"/>
    <w:rsid w:val="00517622"/>
    <w:rsid w:val="00524FCD"/>
    <w:rsid w:val="005276AA"/>
    <w:rsid w:val="00542A6F"/>
    <w:rsid w:val="00545651"/>
    <w:rsid w:val="005456BC"/>
    <w:rsid w:val="0054601A"/>
    <w:rsid w:val="005460DA"/>
    <w:rsid w:val="0055707A"/>
    <w:rsid w:val="005706AB"/>
    <w:rsid w:val="0057469E"/>
    <w:rsid w:val="0058044F"/>
    <w:rsid w:val="005859E9"/>
    <w:rsid w:val="005A00C5"/>
    <w:rsid w:val="005A38E2"/>
    <w:rsid w:val="005B1EB6"/>
    <w:rsid w:val="005B2098"/>
    <w:rsid w:val="005C0685"/>
    <w:rsid w:val="00602820"/>
    <w:rsid w:val="00612ECF"/>
    <w:rsid w:val="00625E34"/>
    <w:rsid w:val="00630B0B"/>
    <w:rsid w:val="006322DE"/>
    <w:rsid w:val="006326A4"/>
    <w:rsid w:val="006326CA"/>
    <w:rsid w:val="00641376"/>
    <w:rsid w:val="0069329D"/>
    <w:rsid w:val="00695A21"/>
    <w:rsid w:val="00697898"/>
    <w:rsid w:val="006D2CB8"/>
    <w:rsid w:val="006F1F73"/>
    <w:rsid w:val="006F53CD"/>
    <w:rsid w:val="007145EC"/>
    <w:rsid w:val="007308F1"/>
    <w:rsid w:val="00731368"/>
    <w:rsid w:val="00733473"/>
    <w:rsid w:val="007379DF"/>
    <w:rsid w:val="00737DC9"/>
    <w:rsid w:val="00737FAF"/>
    <w:rsid w:val="0074022F"/>
    <w:rsid w:val="007522DB"/>
    <w:rsid w:val="00773331"/>
    <w:rsid w:val="00775880"/>
    <w:rsid w:val="00780ECA"/>
    <w:rsid w:val="00791FB2"/>
    <w:rsid w:val="007932EF"/>
    <w:rsid w:val="007937EA"/>
    <w:rsid w:val="00795130"/>
    <w:rsid w:val="007A3506"/>
    <w:rsid w:val="007C5EC7"/>
    <w:rsid w:val="007D1F88"/>
    <w:rsid w:val="007E05B0"/>
    <w:rsid w:val="007F3595"/>
    <w:rsid w:val="007F79B6"/>
    <w:rsid w:val="00800026"/>
    <w:rsid w:val="008055C1"/>
    <w:rsid w:val="00811AD3"/>
    <w:rsid w:val="00812D62"/>
    <w:rsid w:val="00823E33"/>
    <w:rsid w:val="00830856"/>
    <w:rsid w:val="00833401"/>
    <w:rsid w:val="00840DBD"/>
    <w:rsid w:val="00846F40"/>
    <w:rsid w:val="00853B85"/>
    <w:rsid w:val="00854719"/>
    <w:rsid w:val="00864EFA"/>
    <w:rsid w:val="00874D22"/>
    <w:rsid w:val="0088589D"/>
    <w:rsid w:val="00892EF6"/>
    <w:rsid w:val="00895BF0"/>
    <w:rsid w:val="008A2914"/>
    <w:rsid w:val="008B79C3"/>
    <w:rsid w:val="008C4ACA"/>
    <w:rsid w:val="008C7C4E"/>
    <w:rsid w:val="008D2268"/>
    <w:rsid w:val="008E4D8E"/>
    <w:rsid w:val="008F5CD2"/>
    <w:rsid w:val="008F7ACF"/>
    <w:rsid w:val="00907E4A"/>
    <w:rsid w:val="00926100"/>
    <w:rsid w:val="0093798D"/>
    <w:rsid w:val="0094264C"/>
    <w:rsid w:val="00956CCC"/>
    <w:rsid w:val="00982635"/>
    <w:rsid w:val="00991A08"/>
    <w:rsid w:val="009D1406"/>
    <w:rsid w:val="009E0344"/>
    <w:rsid w:val="009E4243"/>
    <w:rsid w:val="00A0126A"/>
    <w:rsid w:val="00A063E2"/>
    <w:rsid w:val="00A10CAC"/>
    <w:rsid w:val="00A148E5"/>
    <w:rsid w:val="00A17010"/>
    <w:rsid w:val="00A17728"/>
    <w:rsid w:val="00A45B64"/>
    <w:rsid w:val="00A46113"/>
    <w:rsid w:val="00A61D89"/>
    <w:rsid w:val="00A667C5"/>
    <w:rsid w:val="00A77F61"/>
    <w:rsid w:val="00A8302B"/>
    <w:rsid w:val="00AA03E1"/>
    <w:rsid w:val="00AB62AA"/>
    <w:rsid w:val="00AC02AB"/>
    <w:rsid w:val="00AE0058"/>
    <w:rsid w:val="00AE1E64"/>
    <w:rsid w:val="00AE4F43"/>
    <w:rsid w:val="00AF1826"/>
    <w:rsid w:val="00AF3A39"/>
    <w:rsid w:val="00B04D24"/>
    <w:rsid w:val="00B1341D"/>
    <w:rsid w:val="00B14262"/>
    <w:rsid w:val="00B1511F"/>
    <w:rsid w:val="00B16E87"/>
    <w:rsid w:val="00B17809"/>
    <w:rsid w:val="00B17C79"/>
    <w:rsid w:val="00B25026"/>
    <w:rsid w:val="00B41D4F"/>
    <w:rsid w:val="00B82050"/>
    <w:rsid w:val="00B9341C"/>
    <w:rsid w:val="00B96239"/>
    <w:rsid w:val="00BA3EF2"/>
    <w:rsid w:val="00BC6154"/>
    <w:rsid w:val="00BE49E0"/>
    <w:rsid w:val="00BE4B51"/>
    <w:rsid w:val="00C12301"/>
    <w:rsid w:val="00C12A88"/>
    <w:rsid w:val="00C2003C"/>
    <w:rsid w:val="00C20EBB"/>
    <w:rsid w:val="00C26464"/>
    <w:rsid w:val="00C27EC6"/>
    <w:rsid w:val="00C4202B"/>
    <w:rsid w:val="00C471FA"/>
    <w:rsid w:val="00C53CA1"/>
    <w:rsid w:val="00C5432B"/>
    <w:rsid w:val="00C701F4"/>
    <w:rsid w:val="00C7566F"/>
    <w:rsid w:val="00C83E6A"/>
    <w:rsid w:val="00CA5899"/>
    <w:rsid w:val="00CE01FE"/>
    <w:rsid w:val="00CE04AB"/>
    <w:rsid w:val="00D035D0"/>
    <w:rsid w:val="00D07946"/>
    <w:rsid w:val="00D13342"/>
    <w:rsid w:val="00D20381"/>
    <w:rsid w:val="00D2213F"/>
    <w:rsid w:val="00D27DA1"/>
    <w:rsid w:val="00D35E4A"/>
    <w:rsid w:val="00D41CBF"/>
    <w:rsid w:val="00D43FA0"/>
    <w:rsid w:val="00D46132"/>
    <w:rsid w:val="00D55AC6"/>
    <w:rsid w:val="00D82231"/>
    <w:rsid w:val="00D90763"/>
    <w:rsid w:val="00DA075B"/>
    <w:rsid w:val="00DA2371"/>
    <w:rsid w:val="00DB5A3F"/>
    <w:rsid w:val="00DC0DFF"/>
    <w:rsid w:val="00DC1951"/>
    <w:rsid w:val="00DC3178"/>
    <w:rsid w:val="00DD0395"/>
    <w:rsid w:val="00DD3A4D"/>
    <w:rsid w:val="00DE07A5"/>
    <w:rsid w:val="00DF2153"/>
    <w:rsid w:val="00DF7F15"/>
    <w:rsid w:val="00E1138F"/>
    <w:rsid w:val="00E17CF4"/>
    <w:rsid w:val="00E349BB"/>
    <w:rsid w:val="00E371E6"/>
    <w:rsid w:val="00E42110"/>
    <w:rsid w:val="00E549E8"/>
    <w:rsid w:val="00E61A5E"/>
    <w:rsid w:val="00E702B5"/>
    <w:rsid w:val="00E70647"/>
    <w:rsid w:val="00E77558"/>
    <w:rsid w:val="00E82B22"/>
    <w:rsid w:val="00E913AC"/>
    <w:rsid w:val="00E91E33"/>
    <w:rsid w:val="00EA218C"/>
    <w:rsid w:val="00EA4ACA"/>
    <w:rsid w:val="00EB4CF1"/>
    <w:rsid w:val="00EC1036"/>
    <w:rsid w:val="00EC6E16"/>
    <w:rsid w:val="00ED1AD5"/>
    <w:rsid w:val="00ED70E3"/>
    <w:rsid w:val="00ED7699"/>
    <w:rsid w:val="00ED795C"/>
    <w:rsid w:val="00EF1023"/>
    <w:rsid w:val="00EF30DB"/>
    <w:rsid w:val="00EF5AAD"/>
    <w:rsid w:val="00EF6E69"/>
    <w:rsid w:val="00EF7980"/>
    <w:rsid w:val="00F04583"/>
    <w:rsid w:val="00F10FA3"/>
    <w:rsid w:val="00F33C48"/>
    <w:rsid w:val="00F51C8B"/>
    <w:rsid w:val="00F5364A"/>
    <w:rsid w:val="00F53E0C"/>
    <w:rsid w:val="00F56D8F"/>
    <w:rsid w:val="00F65050"/>
    <w:rsid w:val="00F80B20"/>
    <w:rsid w:val="00F80FA8"/>
    <w:rsid w:val="00F82D2A"/>
    <w:rsid w:val="00FA0743"/>
    <w:rsid w:val="00FC38F8"/>
    <w:rsid w:val="00FC4397"/>
    <w:rsid w:val="00FC75AE"/>
    <w:rsid w:val="00FE101F"/>
    <w:rsid w:val="00FF13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584D4BB3-8129-4224-A44C-16EAED456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s-ES_tradnl"/>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A063E2"/>
    <w:pPr>
      <w:numPr>
        <w:numId w:val="2"/>
      </w:numPr>
      <w:tabs>
        <w:tab w:val="num" w:pos="360"/>
      </w:tabs>
      <w:ind w:left="0" w:firstLine="0"/>
    </w:pPr>
    <w:rPr>
      <w:rFonts w:eastAsia="Times New Roman"/>
      <w:lang w:eastAsia="de-DE"/>
    </w:rPr>
  </w:style>
  <w:style w:type="paragraph" w:styleId="ListNumber">
    <w:name w:val="List Number"/>
    <w:basedOn w:val="Normal"/>
    <w:rsid w:val="00A063E2"/>
    <w:pPr>
      <w:numPr>
        <w:numId w:val="6"/>
      </w:numPr>
    </w:pPr>
    <w:rPr>
      <w:rFonts w:eastAsia="Times New Roman"/>
      <w:lang w:eastAsia="de-DE"/>
    </w:rPr>
  </w:style>
  <w:style w:type="paragraph" w:customStyle="1" w:styleId="ListBullet1">
    <w:name w:val="List Bullet 1"/>
    <w:basedOn w:val="Normal"/>
    <w:rsid w:val="00A063E2"/>
    <w:pPr>
      <w:numPr>
        <w:numId w:val="1"/>
      </w:numPr>
    </w:pPr>
    <w:rPr>
      <w:rFonts w:eastAsia="Times New Roman"/>
      <w:lang w:eastAsia="de-DE"/>
    </w:rPr>
  </w:style>
  <w:style w:type="paragraph" w:customStyle="1" w:styleId="ListDash">
    <w:name w:val="List Dash"/>
    <w:basedOn w:val="Normal"/>
    <w:rsid w:val="00A063E2"/>
    <w:pPr>
      <w:numPr>
        <w:numId w:val="3"/>
      </w:numPr>
    </w:pPr>
    <w:rPr>
      <w:rFonts w:eastAsia="Times New Roman"/>
      <w:lang w:eastAsia="de-DE"/>
    </w:rPr>
  </w:style>
  <w:style w:type="paragraph" w:customStyle="1" w:styleId="ListDash1">
    <w:name w:val="List Dash 1"/>
    <w:basedOn w:val="Normal"/>
    <w:rsid w:val="00A063E2"/>
    <w:pPr>
      <w:numPr>
        <w:numId w:val="4"/>
      </w:numPr>
    </w:pPr>
    <w:rPr>
      <w:rFonts w:eastAsia="Times New Roman"/>
      <w:lang w:eastAsia="de-DE"/>
    </w:rPr>
  </w:style>
  <w:style w:type="paragraph" w:customStyle="1" w:styleId="ListDash2">
    <w:name w:val="List Dash 2"/>
    <w:basedOn w:val="Normal"/>
    <w:rsid w:val="00A063E2"/>
    <w:pPr>
      <w:numPr>
        <w:numId w:val="5"/>
      </w:numPr>
    </w:pPr>
    <w:rPr>
      <w:rFonts w:eastAsia="Times New Roman"/>
      <w:lang w:eastAsia="de-DE"/>
    </w:rPr>
  </w:style>
  <w:style w:type="paragraph" w:customStyle="1" w:styleId="ListNumberLevel2">
    <w:name w:val="List Number (Level 2)"/>
    <w:basedOn w:val="Normal"/>
    <w:rsid w:val="00A063E2"/>
    <w:pPr>
      <w:numPr>
        <w:ilvl w:val="1"/>
        <w:numId w:val="6"/>
      </w:numPr>
    </w:pPr>
    <w:rPr>
      <w:rFonts w:eastAsia="Times New Roman"/>
      <w:lang w:eastAsia="de-DE"/>
    </w:rPr>
  </w:style>
  <w:style w:type="paragraph" w:customStyle="1" w:styleId="ListNumberLevel3">
    <w:name w:val="List Number (Level 3)"/>
    <w:basedOn w:val="Normal"/>
    <w:rsid w:val="00A063E2"/>
    <w:pPr>
      <w:numPr>
        <w:ilvl w:val="2"/>
        <w:numId w:val="6"/>
      </w:numPr>
    </w:pPr>
    <w:rPr>
      <w:rFonts w:eastAsia="Times New Roman"/>
      <w:lang w:eastAsia="de-DE"/>
    </w:rPr>
  </w:style>
  <w:style w:type="paragraph" w:customStyle="1" w:styleId="ListNumberLevel4">
    <w:name w:val="List Number (Level 4)"/>
    <w:basedOn w:val="Normal"/>
    <w:rsid w:val="00A063E2"/>
    <w:pPr>
      <w:numPr>
        <w:ilvl w:val="3"/>
        <w:numId w:val="6"/>
      </w:numPr>
    </w:pPr>
    <w:rPr>
      <w:rFonts w:eastAsia="Times New Roman"/>
      <w:lang w:eastAsia="de-DE"/>
    </w:rPr>
  </w:style>
  <w:style w:type="table" w:styleId="TableGrid">
    <w:name w:val="Table Grid"/>
    <w:basedOn w:val="TableNormal"/>
    <w:rsid w:val="00A063E2"/>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063E2"/>
    <w:rPr>
      <w:color w:val="0000FF"/>
      <w:u w:val="single"/>
    </w:rPr>
  </w:style>
  <w:style w:type="paragraph" w:styleId="ListBullet">
    <w:name w:val="List Bullet"/>
    <w:basedOn w:val="Normal"/>
    <w:rsid w:val="00A063E2"/>
    <w:pPr>
      <w:numPr>
        <w:numId w:val="7"/>
      </w:numPr>
    </w:pPr>
    <w:rPr>
      <w:rFonts w:eastAsia="Times New Roman"/>
      <w:lang w:val="es-ES" w:eastAsia="en-GB"/>
    </w:rPr>
  </w:style>
  <w:style w:type="paragraph" w:styleId="ListBullet2">
    <w:name w:val="List Bullet 2"/>
    <w:basedOn w:val="Normal"/>
    <w:rsid w:val="00A063E2"/>
    <w:pPr>
      <w:numPr>
        <w:numId w:val="8"/>
      </w:numPr>
    </w:pPr>
    <w:rPr>
      <w:rFonts w:eastAsia="Times New Roman"/>
      <w:lang w:val="es-ES" w:eastAsia="en-GB"/>
    </w:rPr>
  </w:style>
  <w:style w:type="paragraph" w:styleId="ListBullet3">
    <w:name w:val="List Bullet 3"/>
    <w:basedOn w:val="Normal"/>
    <w:rsid w:val="00A063E2"/>
    <w:pPr>
      <w:numPr>
        <w:numId w:val="9"/>
      </w:numPr>
    </w:pPr>
    <w:rPr>
      <w:rFonts w:eastAsia="Times New Roman"/>
      <w:lang w:val="es-ES" w:eastAsia="en-GB"/>
    </w:rPr>
  </w:style>
  <w:style w:type="paragraph" w:styleId="ListNumber2">
    <w:name w:val="List Number 2"/>
    <w:basedOn w:val="Normal"/>
    <w:rsid w:val="00A063E2"/>
    <w:pPr>
      <w:numPr>
        <w:numId w:val="13"/>
      </w:numPr>
    </w:pPr>
    <w:rPr>
      <w:rFonts w:eastAsia="Times New Roman"/>
      <w:lang w:val="es-ES" w:eastAsia="en-GB"/>
    </w:rPr>
  </w:style>
  <w:style w:type="paragraph" w:styleId="ListNumber3">
    <w:name w:val="List Number 3"/>
    <w:basedOn w:val="Normal"/>
    <w:rsid w:val="00A063E2"/>
    <w:pPr>
      <w:numPr>
        <w:numId w:val="14"/>
      </w:numPr>
    </w:pPr>
    <w:rPr>
      <w:rFonts w:eastAsia="Times New Roman"/>
      <w:lang w:val="es-ES" w:eastAsia="en-GB"/>
    </w:rPr>
  </w:style>
  <w:style w:type="paragraph" w:styleId="ListNumber4">
    <w:name w:val="List Number 4"/>
    <w:basedOn w:val="Normal"/>
    <w:rsid w:val="00A063E2"/>
    <w:pPr>
      <w:numPr>
        <w:numId w:val="15"/>
      </w:numPr>
    </w:pPr>
    <w:rPr>
      <w:rFonts w:eastAsia="Times New Roman"/>
      <w:lang w:val="es-ES" w:eastAsia="en-GB"/>
    </w:rPr>
  </w:style>
  <w:style w:type="paragraph" w:customStyle="1" w:styleId="ListDash3">
    <w:name w:val="List Dash 3"/>
    <w:basedOn w:val="Normal"/>
    <w:rsid w:val="00A063E2"/>
    <w:pPr>
      <w:numPr>
        <w:numId w:val="10"/>
      </w:numPr>
    </w:pPr>
    <w:rPr>
      <w:rFonts w:eastAsia="Times New Roman"/>
      <w:lang w:val="es-ES" w:eastAsia="en-GB"/>
    </w:rPr>
  </w:style>
  <w:style w:type="paragraph" w:customStyle="1" w:styleId="ListDash4">
    <w:name w:val="List Dash 4"/>
    <w:basedOn w:val="Normal"/>
    <w:rsid w:val="00A063E2"/>
    <w:pPr>
      <w:numPr>
        <w:numId w:val="11"/>
      </w:numPr>
    </w:pPr>
    <w:rPr>
      <w:rFonts w:eastAsia="Times New Roman"/>
      <w:lang w:val="es-ES" w:eastAsia="en-GB"/>
    </w:rPr>
  </w:style>
  <w:style w:type="paragraph" w:customStyle="1" w:styleId="ListNumber1">
    <w:name w:val="List Number 1"/>
    <w:basedOn w:val="Text1"/>
    <w:rsid w:val="00A063E2"/>
    <w:pPr>
      <w:numPr>
        <w:numId w:val="12"/>
      </w:numPr>
    </w:pPr>
    <w:rPr>
      <w:rFonts w:eastAsia="Times New Roman"/>
      <w:lang w:val="es-ES" w:eastAsia="en-GB"/>
    </w:rPr>
  </w:style>
  <w:style w:type="paragraph" w:customStyle="1" w:styleId="ListNumber1Level2">
    <w:name w:val="List Number 1 (Level 2)"/>
    <w:basedOn w:val="Text1"/>
    <w:rsid w:val="00A063E2"/>
    <w:pPr>
      <w:numPr>
        <w:ilvl w:val="1"/>
        <w:numId w:val="12"/>
      </w:numPr>
    </w:pPr>
    <w:rPr>
      <w:rFonts w:eastAsia="Times New Roman"/>
      <w:lang w:val="es-ES" w:eastAsia="en-GB"/>
    </w:rPr>
  </w:style>
  <w:style w:type="paragraph" w:customStyle="1" w:styleId="ListNumber2Level2">
    <w:name w:val="List Number 2 (Level 2)"/>
    <w:basedOn w:val="Text2"/>
    <w:rsid w:val="00A063E2"/>
    <w:pPr>
      <w:numPr>
        <w:ilvl w:val="1"/>
        <w:numId w:val="13"/>
      </w:numPr>
    </w:pPr>
    <w:rPr>
      <w:rFonts w:eastAsia="Times New Roman"/>
      <w:lang w:val="es-ES" w:eastAsia="en-GB"/>
    </w:rPr>
  </w:style>
  <w:style w:type="paragraph" w:customStyle="1" w:styleId="ListNumber3Level2">
    <w:name w:val="List Number 3 (Level 2)"/>
    <w:basedOn w:val="Text3"/>
    <w:rsid w:val="00A063E2"/>
    <w:pPr>
      <w:numPr>
        <w:ilvl w:val="1"/>
        <w:numId w:val="14"/>
      </w:numPr>
    </w:pPr>
    <w:rPr>
      <w:rFonts w:eastAsia="Times New Roman"/>
      <w:lang w:val="es-ES" w:eastAsia="en-GB"/>
    </w:rPr>
  </w:style>
  <w:style w:type="paragraph" w:customStyle="1" w:styleId="ListNumber4Level2">
    <w:name w:val="List Number 4 (Level 2)"/>
    <w:basedOn w:val="Text4"/>
    <w:rsid w:val="00A063E2"/>
    <w:pPr>
      <w:numPr>
        <w:ilvl w:val="1"/>
        <w:numId w:val="15"/>
      </w:numPr>
    </w:pPr>
    <w:rPr>
      <w:rFonts w:eastAsia="Times New Roman"/>
      <w:lang w:val="es-ES" w:eastAsia="en-GB"/>
    </w:rPr>
  </w:style>
  <w:style w:type="paragraph" w:customStyle="1" w:styleId="ListNumber1Level3">
    <w:name w:val="List Number 1 (Level 3)"/>
    <w:basedOn w:val="Text1"/>
    <w:rsid w:val="00A063E2"/>
    <w:pPr>
      <w:numPr>
        <w:ilvl w:val="2"/>
        <w:numId w:val="12"/>
      </w:numPr>
    </w:pPr>
    <w:rPr>
      <w:rFonts w:eastAsia="Times New Roman"/>
      <w:lang w:val="es-ES" w:eastAsia="en-GB"/>
    </w:rPr>
  </w:style>
  <w:style w:type="paragraph" w:customStyle="1" w:styleId="ListNumber2Level3">
    <w:name w:val="List Number 2 (Level 3)"/>
    <w:basedOn w:val="Text2"/>
    <w:rsid w:val="00A063E2"/>
    <w:pPr>
      <w:numPr>
        <w:ilvl w:val="2"/>
        <w:numId w:val="13"/>
      </w:numPr>
    </w:pPr>
    <w:rPr>
      <w:rFonts w:eastAsia="Times New Roman"/>
      <w:lang w:val="es-ES" w:eastAsia="en-GB"/>
    </w:rPr>
  </w:style>
  <w:style w:type="paragraph" w:customStyle="1" w:styleId="ListNumber3Level3">
    <w:name w:val="List Number 3 (Level 3)"/>
    <w:basedOn w:val="Text3"/>
    <w:rsid w:val="00A063E2"/>
    <w:pPr>
      <w:numPr>
        <w:ilvl w:val="2"/>
        <w:numId w:val="14"/>
      </w:numPr>
    </w:pPr>
    <w:rPr>
      <w:rFonts w:eastAsia="Times New Roman"/>
      <w:lang w:val="es-ES" w:eastAsia="en-GB"/>
    </w:rPr>
  </w:style>
  <w:style w:type="paragraph" w:customStyle="1" w:styleId="ListNumber4Level3">
    <w:name w:val="List Number 4 (Level 3)"/>
    <w:basedOn w:val="Text4"/>
    <w:rsid w:val="00A063E2"/>
    <w:pPr>
      <w:numPr>
        <w:ilvl w:val="2"/>
        <w:numId w:val="15"/>
      </w:numPr>
    </w:pPr>
    <w:rPr>
      <w:rFonts w:eastAsia="Times New Roman"/>
      <w:lang w:val="es-ES" w:eastAsia="en-GB"/>
    </w:rPr>
  </w:style>
  <w:style w:type="paragraph" w:customStyle="1" w:styleId="ListNumber1Level4">
    <w:name w:val="List Number 1 (Level 4)"/>
    <w:basedOn w:val="Text1"/>
    <w:rsid w:val="00A063E2"/>
    <w:pPr>
      <w:numPr>
        <w:ilvl w:val="3"/>
        <w:numId w:val="12"/>
      </w:numPr>
    </w:pPr>
    <w:rPr>
      <w:rFonts w:eastAsia="Times New Roman"/>
      <w:lang w:val="es-ES" w:eastAsia="en-GB"/>
    </w:rPr>
  </w:style>
  <w:style w:type="paragraph" w:customStyle="1" w:styleId="ListNumber2Level4">
    <w:name w:val="List Number 2 (Level 4)"/>
    <w:basedOn w:val="Text2"/>
    <w:rsid w:val="00A063E2"/>
    <w:pPr>
      <w:numPr>
        <w:ilvl w:val="3"/>
        <w:numId w:val="13"/>
      </w:numPr>
    </w:pPr>
    <w:rPr>
      <w:rFonts w:eastAsia="Times New Roman"/>
      <w:lang w:val="es-ES" w:eastAsia="en-GB"/>
    </w:rPr>
  </w:style>
  <w:style w:type="paragraph" w:customStyle="1" w:styleId="ListNumber3Level4">
    <w:name w:val="List Number 3 (Level 4)"/>
    <w:basedOn w:val="Text3"/>
    <w:rsid w:val="00A063E2"/>
    <w:pPr>
      <w:numPr>
        <w:ilvl w:val="3"/>
        <w:numId w:val="14"/>
      </w:numPr>
    </w:pPr>
    <w:rPr>
      <w:rFonts w:eastAsia="Times New Roman"/>
      <w:lang w:val="es-ES" w:eastAsia="en-GB"/>
    </w:rPr>
  </w:style>
  <w:style w:type="paragraph" w:customStyle="1" w:styleId="ListNumber4Level4">
    <w:name w:val="List Number 4 (Level 4)"/>
    <w:basedOn w:val="Text4"/>
    <w:rsid w:val="00A063E2"/>
    <w:pPr>
      <w:numPr>
        <w:ilvl w:val="3"/>
        <w:numId w:val="15"/>
      </w:numPr>
    </w:pPr>
    <w:rPr>
      <w:rFonts w:eastAsia="Times New Roman"/>
      <w:lang w:val="es-ES" w:eastAsia="en-GB"/>
    </w:rPr>
  </w:style>
  <w:style w:type="paragraph" w:customStyle="1" w:styleId="Annexetitreacte">
    <w:name w:val="Annexe titre (acte)"/>
    <w:basedOn w:val="Normal"/>
    <w:next w:val="Normal"/>
    <w:rsid w:val="00A063E2"/>
    <w:pPr>
      <w:jc w:val="center"/>
    </w:pPr>
    <w:rPr>
      <w:rFonts w:eastAsia="Times New Roman"/>
      <w:b/>
      <w:u w:val="single"/>
      <w:lang w:val="es-ES" w:eastAsia="en-GB"/>
    </w:rPr>
  </w:style>
  <w:style w:type="paragraph" w:customStyle="1" w:styleId="Annexetitreexposglobal">
    <w:name w:val="Annexe titre (exposé global)"/>
    <w:basedOn w:val="Normal"/>
    <w:next w:val="Normal"/>
    <w:rsid w:val="00A063E2"/>
    <w:pPr>
      <w:jc w:val="center"/>
    </w:pPr>
    <w:rPr>
      <w:rFonts w:eastAsia="Times New Roman"/>
      <w:b/>
      <w:u w:val="single"/>
      <w:lang w:val="es-ES" w:eastAsia="en-GB"/>
    </w:rPr>
  </w:style>
  <w:style w:type="paragraph" w:customStyle="1" w:styleId="Annexetitrefichefinacte">
    <w:name w:val="Annexe titre (fiche fin. acte)"/>
    <w:basedOn w:val="Normal"/>
    <w:next w:val="Normal"/>
    <w:rsid w:val="00A063E2"/>
    <w:pPr>
      <w:jc w:val="center"/>
    </w:pPr>
    <w:rPr>
      <w:rFonts w:eastAsia="Times New Roman"/>
      <w:b/>
      <w:u w:val="single"/>
      <w:lang w:val="es-ES" w:eastAsia="en-GB"/>
    </w:rPr>
  </w:style>
  <w:style w:type="paragraph" w:customStyle="1" w:styleId="Annexetitrefichefinglobale">
    <w:name w:val="Annexe titre (fiche fin. globale)"/>
    <w:basedOn w:val="Normal"/>
    <w:next w:val="Normal"/>
    <w:rsid w:val="00A063E2"/>
    <w:pPr>
      <w:jc w:val="center"/>
    </w:pPr>
    <w:rPr>
      <w:rFonts w:eastAsia="Times New Roman"/>
      <w:b/>
      <w:u w:val="single"/>
      <w:lang w:val="es-ES" w:eastAsia="en-GB"/>
    </w:rPr>
  </w:style>
  <w:style w:type="paragraph" w:customStyle="1" w:styleId="Annexetitreglobale">
    <w:name w:val="Annexe titre (globale)"/>
    <w:basedOn w:val="Normal"/>
    <w:next w:val="Normal"/>
    <w:rsid w:val="00A063E2"/>
    <w:pPr>
      <w:jc w:val="center"/>
    </w:pPr>
    <w:rPr>
      <w:rFonts w:eastAsia="Times New Roman"/>
      <w:b/>
      <w:u w:val="single"/>
      <w:lang w:val="es-ES" w:eastAsia="en-GB"/>
    </w:rPr>
  </w:style>
  <w:style w:type="paragraph" w:customStyle="1" w:styleId="Exposdesmotifstitreglobal">
    <w:name w:val="Exposé des motifs titre (global)"/>
    <w:basedOn w:val="Normal"/>
    <w:next w:val="Normal"/>
    <w:rsid w:val="00A063E2"/>
    <w:pPr>
      <w:jc w:val="center"/>
    </w:pPr>
    <w:rPr>
      <w:rFonts w:eastAsia="Times New Roman"/>
      <w:b/>
      <w:u w:val="single"/>
      <w:lang w:val="es-ES" w:eastAsia="en-GB"/>
    </w:rPr>
  </w:style>
  <w:style w:type="paragraph" w:customStyle="1" w:styleId="Langueoriginale">
    <w:name w:val="Langue originale"/>
    <w:basedOn w:val="Normal"/>
    <w:rsid w:val="00A063E2"/>
    <w:pPr>
      <w:spacing w:before="360"/>
      <w:jc w:val="center"/>
    </w:pPr>
    <w:rPr>
      <w:rFonts w:eastAsia="Times New Roman"/>
      <w:caps/>
      <w:lang w:val="es-ES" w:eastAsia="en-GB"/>
    </w:rPr>
  </w:style>
  <w:style w:type="paragraph" w:customStyle="1" w:styleId="Phrasefinale">
    <w:name w:val="Phrase finale"/>
    <w:basedOn w:val="Normal"/>
    <w:next w:val="Normal"/>
    <w:rsid w:val="00A063E2"/>
    <w:pPr>
      <w:spacing w:before="360" w:after="0"/>
      <w:jc w:val="center"/>
    </w:pPr>
    <w:rPr>
      <w:rFonts w:eastAsia="Times New Roman"/>
      <w:lang w:val="es-ES" w:eastAsia="en-GB"/>
    </w:rPr>
  </w:style>
  <w:style w:type="paragraph" w:customStyle="1" w:styleId="Prliminairetitre">
    <w:name w:val="Préliminaire titre"/>
    <w:basedOn w:val="Normal"/>
    <w:next w:val="Normal"/>
    <w:rsid w:val="00A063E2"/>
    <w:pPr>
      <w:spacing w:before="360" w:after="360"/>
      <w:jc w:val="center"/>
    </w:pPr>
    <w:rPr>
      <w:rFonts w:eastAsia="Times New Roman"/>
      <w:b/>
      <w:lang w:val="es-ES" w:eastAsia="en-GB"/>
    </w:rPr>
  </w:style>
  <w:style w:type="paragraph" w:customStyle="1" w:styleId="Prliminairetype">
    <w:name w:val="Préliminaire type"/>
    <w:basedOn w:val="Normal"/>
    <w:next w:val="Normal"/>
    <w:rsid w:val="00A063E2"/>
    <w:pPr>
      <w:spacing w:before="360" w:after="0"/>
      <w:jc w:val="center"/>
    </w:pPr>
    <w:rPr>
      <w:rFonts w:eastAsia="Times New Roman"/>
      <w:b/>
      <w:lang w:val="es-ES" w:eastAsia="en-GB"/>
    </w:rPr>
  </w:style>
  <w:style w:type="paragraph" w:customStyle="1" w:styleId="Rfrenceinstitutionelle">
    <w:name w:val="Référence institutionelle"/>
    <w:basedOn w:val="Normal"/>
    <w:next w:val="Statut"/>
    <w:rsid w:val="00A063E2"/>
    <w:pPr>
      <w:spacing w:before="0" w:after="240"/>
      <w:ind w:left="5103"/>
      <w:jc w:val="left"/>
    </w:pPr>
    <w:rPr>
      <w:rFonts w:eastAsia="Times New Roman"/>
      <w:lang w:val="es-ES" w:eastAsia="en-GB"/>
    </w:rPr>
  </w:style>
  <w:style w:type="paragraph" w:customStyle="1" w:styleId="Rfrenceinterinstitutionelle">
    <w:name w:val="Référence interinstitutionelle"/>
    <w:basedOn w:val="Normal"/>
    <w:next w:val="Statut"/>
    <w:rsid w:val="00A063E2"/>
    <w:pPr>
      <w:spacing w:before="0" w:after="0"/>
      <w:ind w:left="5103"/>
      <w:jc w:val="left"/>
    </w:pPr>
    <w:rPr>
      <w:rFonts w:eastAsia="Times New Roman"/>
      <w:lang w:val="es-ES" w:eastAsia="en-GB"/>
    </w:rPr>
  </w:style>
  <w:style w:type="paragraph" w:customStyle="1" w:styleId="Rfrenceinterinstitutionelleprliminaire">
    <w:name w:val="Référence interinstitutionelle (préliminaire)"/>
    <w:basedOn w:val="Normal"/>
    <w:next w:val="Normal"/>
    <w:rsid w:val="00A063E2"/>
    <w:pPr>
      <w:spacing w:before="0" w:after="0"/>
      <w:ind w:left="5103"/>
      <w:jc w:val="left"/>
    </w:pPr>
    <w:rPr>
      <w:rFonts w:eastAsia="Times New Roman"/>
      <w:lang w:val="es-ES" w:eastAsia="en-GB"/>
    </w:rPr>
  </w:style>
  <w:style w:type="paragraph" w:customStyle="1" w:styleId="Sous-titreobjetprliminaire">
    <w:name w:val="Sous-titre objet (préliminaire)"/>
    <w:basedOn w:val="Normal"/>
    <w:rsid w:val="00A063E2"/>
    <w:pPr>
      <w:spacing w:before="0" w:after="0"/>
      <w:jc w:val="center"/>
    </w:pPr>
    <w:rPr>
      <w:rFonts w:eastAsia="Times New Roman"/>
      <w:b/>
      <w:lang w:val="es-ES" w:eastAsia="en-GB"/>
    </w:rPr>
  </w:style>
  <w:style w:type="paragraph" w:customStyle="1" w:styleId="Statutprliminaire">
    <w:name w:val="Statut (préliminaire)"/>
    <w:basedOn w:val="Normal"/>
    <w:next w:val="Normal"/>
    <w:rsid w:val="00A063E2"/>
    <w:pPr>
      <w:spacing w:before="360" w:after="0"/>
      <w:jc w:val="center"/>
    </w:pPr>
    <w:rPr>
      <w:rFonts w:eastAsia="Times New Roman"/>
      <w:lang w:val="es-ES" w:eastAsia="en-GB"/>
    </w:rPr>
  </w:style>
  <w:style w:type="paragraph" w:customStyle="1" w:styleId="Titreobjetprliminaire">
    <w:name w:val="Titre objet (préliminaire)"/>
    <w:basedOn w:val="Normal"/>
    <w:next w:val="Normal"/>
    <w:rsid w:val="00A063E2"/>
    <w:pPr>
      <w:spacing w:before="360" w:after="360"/>
      <w:jc w:val="center"/>
    </w:pPr>
    <w:rPr>
      <w:rFonts w:eastAsia="Times New Roman"/>
      <w:b/>
      <w:lang w:val="es-ES" w:eastAsia="en-GB"/>
    </w:rPr>
  </w:style>
  <w:style w:type="paragraph" w:customStyle="1" w:styleId="Typedudocumentprliminaire">
    <w:name w:val="Type du document (préliminaire)"/>
    <w:basedOn w:val="Normal"/>
    <w:next w:val="Normal"/>
    <w:rsid w:val="00A063E2"/>
    <w:pPr>
      <w:spacing w:before="360" w:after="0"/>
      <w:jc w:val="center"/>
    </w:pPr>
    <w:rPr>
      <w:rFonts w:eastAsia="Times New Roman"/>
      <w:b/>
      <w:lang w:val="es-ES" w:eastAsia="en-GB"/>
    </w:rPr>
  </w:style>
  <w:style w:type="paragraph" w:customStyle="1" w:styleId="Fichefinancirestandardtitre">
    <w:name w:val="Fiche financière (standard) titre"/>
    <w:basedOn w:val="Normal"/>
    <w:next w:val="Normal"/>
    <w:rsid w:val="00A063E2"/>
    <w:pPr>
      <w:jc w:val="center"/>
    </w:pPr>
    <w:rPr>
      <w:rFonts w:eastAsia="Times New Roman"/>
      <w:b/>
      <w:u w:val="single"/>
      <w:lang w:val="es-ES" w:eastAsia="en-GB"/>
    </w:rPr>
  </w:style>
  <w:style w:type="paragraph" w:customStyle="1" w:styleId="Fichefinancirestandardtitreacte">
    <w:name w:val="Fiche financière (standard) titre (acte)"/>
    <w:basedOn w:val="Normal"/>
    <w:next w:val="Normal"/>
    <w:rsid w:val="00A063E2"/>
    <w:pPr>
      <w:jc w:val="center"/>
    </w:pPr>
    <w:rPr>
      <w:rFonts w:eastAsia="Times New Roman"/>
      <w:b/>
      <w:u w:val="single"/>
      <w:lang w:val="es-ES" w:eastAsia="en-GB"/>
    </w:rPr>
  </w:style>
  <w:style w:type="paragraph" w:customStyle="1" w:styleId="Fichefinanciretravailtitre">
    <w:name w:val="Fiche financière (travail) titre"/>
    <w:basedOn w:val="Normal"/>
    <w:next w:val="Normal"/>
    <w:rsid w:val="00A063E2"/>
    <w:pPr>
      <w:jc w:val="center"/>
    </w:pPr>
    <w:rPr>
      <w:rFonts w:eastAsia="Times New Roman"/>
      <w:b/>
      <w:u w:val="single"/>
      <w:lang w:val="es-ES" w:eastAsia="en-GB"/>
    </w:rPr>
  </w:style>
  <w:style w:type="paragraph" w:customStyle="1" w:styleId="Fichefinanciretravailtitreacte">
    <w:name w:val="Fiche financière (travail) titre (acte)"/>
    <w:basedOn w:val="Normal"/>
    <w:next w:val="Normal"/>
    <w:rsid w:val="00A063E2"/>
    <w:pPr>
      <w:jc w:val="center"/>
    </w:pPr>
    <w:rPr>
      <w:rFonts w:eastAsia="Times New Roman"/>
      <w:b/>
      <w:u w:val="single"/>
      <w:lang w:val="es-ES" w:eastAsia="en-GB"/>
    </w:rPr>
  </w:style>
  <w:style w:type="paragraph" w:customStyle="1" w:styleId="Fichefinancireattributiontitre">
    <w:name w:val="Fiche financière (attribution) titre"/>
    <w:basedOn w:val="Normal"/>
    <w:next w:val="Normal"/>
    <w:rsid w:val="00A063E2"/>
    <w:pPr>
      <w:jc w:val="center"/>
    </w:pPr>
    <w:rPr>
      <w:rFonts w:eastAsia="Times New Roman"/>
      <w:b/>
      <w:u w:val="single"/>
      <w:lang w:val="es-ES" w:eastAsia="en-GB"/>
    </w:rPr>
  </w:style>
  <w:style w:type="paragraph" w:customStyle="1" w:styleId="Fichefinancireattributiontitreacte">
    <w:name w:val="Fiche financière (attribution) titre (acte)"/>
    <w:basedOn w:val="Normal"/>
    <w:next w:val="Normal"/>
    <w:rsid w:val="00A063E2"/>
    <w:pPr>
      <w:jc w:val="center"/>
    </w:pPr>
    <w:rPr>
      <w:rFonts w:eastAsia="Times New Roman"/>
      <w:b/>
      <w:u w:val="single"/>
      <w:lang w:val="es-ES" w:eastAsia="en-GB"/>
    </w:rPr>
  </w:style>
  <w:style w:type="character" w:styleId="CommentReference">
    <w:name w:val="annotation reference"/>
    <w:uiPriority w:val="99"/>
    <w:rsid w:val="00A063E2"/>
    <w:rPr>
      <w:rFonts w:cs="Times New Roman"/>
      <w:sz w:val="16"/>
      <w:szCs w:val="16"/>
    </w:rPr>
  </w:style>
  <w:style w:type="paragraph" w:styleId="CommentText">
    <w:name w:val="annotation text"/>
    <w:basedOn w:val="Normal"/>
    <w:link w:val="CommentTextChar"/>
    <w:uiPriority w:val="99"/>
    <w:rsid w:val="00A063E2"/>
    <w:rPr>
      <w:rFonts w:eastAsia="Times New Roman"/>
      <w:sz w:val="20"/>
      <w:szCs w:val="20"/>
      <w:lang w:val="es-ES" w:eastAsia="en-GB"/>
    </w:rPr>
  </w:style>
  <w:style w:type="character" w:customStyle="1" w:styleId="CommentTextChar">
    <w:name w:val="Comment Text Char"/>
    <w:basedOn w:val="DefaultParagraphFont"/>
    <w:link w:val="CommentText"/>
    <w:uiPriority w:val="99"/>
    <w:rsid w:val="00A063E2"/>
    <w:rPr>
      <w:rFonts w:ascii="Times New Roman" w:eastAsia="Times New Roman" w:hAnsi="Times New Roman" w:cs="Times New Roman"/>
      <w:sz w:val="20"/>
      <w:szCs w:val="20"/>
      <w:lang w:val="es-ES" w:eastAsia="en-GB"/>
    </w:rPr>
  </w:style>
  <w:style w:type="paragraph" w:styleId="CommentSubject">
    <w:name w:val="annotation subject"/>
    <w:basedOn w:val="CommentText"/>
    <w:next w:val="CommentText"/>
    <w:link w:val="CommentSubjectChar"/>
    <w:rsid w:val="00A063E2"/>
    <w:rPr>
      <w:b/>
      <w:bCs/>
    </w:rPr>
  </w:style>
  <w:style w:type="character" w:customStyle="1" w:styleId="CommentSubjectChar">
    <w:name w:val="Comment Subject Char"/>
    <w:basedOn w:val="CommentTextChar"/>
    <w:link w:val="CommentSubject"/>
    <w:rsid w:val="00A063E2"/>
    <w:rPr>
      <w:rFonts w:ascii="Times New Roman" w:eastAsia="Times New Roman" w:hAnsi="Times New Roman" w:cs="Times New Roman"/>
      <w:b/>
      <w:bCs/>
      <w:sz w:val="20"/>
      <w:szCs w:val="20"/>
      <w:lang w:val="es-ES" w:eastAsia="en-GB"/>
    </w:rPr>
  </w:style>
  <w:style w:type="paragraph" w:styleId="BalloonText">
    <w:name w:val="Balloon Text"/>
    <w:basedOn w:val="Normal"/>
    <w:link w:val="BalloonTextChar"/>
    <w:rsid w:val="00A063E2"/>
    <w:rPr>
      <w:rFonts w:ascii="Tahoma" w:eastAsia="Times New Roman" w:hAnsi="Tahoma" w:cs="Tahoma"/>
      <w:sz w:val="16"/>
      <w:szCs w:val="16"/>
      <w:lang w:val="es-ES" w:eastAsia="en-GB"/>
    </w:rPr>
  </w:style>
  <w:style w:type="character" w:customStyle="1" w:styleId="BalloonTextChar">
    <w:name w:val="Balloon Text Char"/>
    <w:basedOn w:val="DefaultParagraphFont"/>
    <w:link w:val="BalloonText"/>
    <w:rsid w:val="00A063E2"/>
    <w:rPr>
      <w:rFonts w:ascii="Tahoma" w:eastAsia="Times New Roman" w:hAnsi="Tahoma" w:cs="Tahoma"/>
      <w:sz w:val="16"/>
      <w:szCs w:val="16"/>
      <w:lang w:val="es-ES" w:eastAsia="en-GB"/>
    </w:rPr>
  </w:style>
  <w:style w:type="paragraph" w:styleId="Caption">
    <w:name w:val="caption"/>
    <w:basedOn w:val="Normal"/>
    <w:next w:val="Normal"/>
    <w:qFormat/>
    <w:rsid w:val="00A063E2"/>
    <w:rPr>
      <w:rFonts w:eastAsia="Times New Roman"/>
      <w:b/>
      <w:bCs/>
      <w:sz w:val="20"/>
      <w:szCs w:val="20"/>
      <w:lang w:val="es-ES" w:eastAsia="en-GB"/>
    </w:rPr>
  </w:style>
  <w:style w:type="paragraph" w:styleId="TableofFigures">
    <w:name w:val="table of figures"/>
    <w:basedOn w:val="Normal"/>
    <w:next w:val="Normal"/>
    <w:rsid w:val="00A063E2"/>
    <w:rPr>
      <w:rFonts w:eastAsia="Times New Roman"/>
      <w:lang w:val="es-ES" w:eastAsia="en-GB"/>
    </w:rPr>
  </w:style>
  <w:style w:type="character" w:styleId="PageNumber">
    <w:name w:val="page number"/>
    <w:rsid w:val="00A063E2"/>
  </w:style>
  <w:style w:type="character" w:customStyle="1" w:styleId="tw4winMark">
    <w:name w:val="tw4winMark"/>
    <w:rsid w:val="00A063E2"/>
    <w:rPr>
      <w:vanish/>
      <w:color w:val="800080"/>
      <w:vertAlign w:val="subscript"/>
    </w:rPr>
  </w:style>
  <w:style w:type="character" w:styleId="FollowedHyperlink">
    <w:name w:val="FollowedHyperlink"/>
    <w:rsid w:val="00A063E2"/>
    <w:rPr>
      <w:color w:val="800080"/>
      <w:u w:val="single"/>
    </w:rPr>
  </w:style>
  <w:style w:type="paragraph" w:customStyle="1" w:styleId="Sous-titreobjet">
    <w:name w:val="Sous-titre objet"/>
    <w:basedOn w:val="Normal"/>
    <w:rsid w:val="00A063E2"/>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A063E2"/>
  </w:style>
  <w:style w:type="paragraph" w:styleId="Revision">
    <w:name w:val="Revision"/>
    <w:hidden/>
    <w:uiPriority w:val="99"/>
    <w:semiHidden/>
    <w:rsid w:val="00A063E2"/>
    <w:rPr>
      <w:rFonts w:ascii="Calibri" w:eastAsia="Calibri" w:hAnsi="Calibri" w:cs="Times New Roman"/>
      <w:sz w:val="24"/>
      <w:lang w:eastAsia="en-GB"/>
    </w:rPr>
  </w:style>
  <w:style w:type="paragraph" w:customStyle="1" w:styleId="FooterCoverPage">
    <w:name w:val="Footer Cover Page"/>
    <w:basedOn w:val="Normal"/>
    <w:link w:val="FooterCoverPageChar"/>
    <w:rsid w:val="00A063E2"/>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A063E2"/>
    <w:rPr>
      <w:rFonts w:ascii="Times New Roman" w:hAnsi="Times New Roman" w:cs="Times New Roman"/>
      <w:b/>
      <w:sz w:val="28"/>
      <w:lang w:val="es-ES"/>
    </w:rPr>
  </w:style>
  <w:style w:type="character" w:customStyle="1" w:styleId="FooterCoverPageChar">
    <w:name w:val="Footer Cover Page Char"/>
    <w:link w:val="FooterCoverPage"/>
    <w:rsid w:val="00A063E2"/>
    <w:rPr>
      <w:rFonts w:ascii="Times New Roman" w:eastAsia="Calibri" w:hAnsi="Times New Roman" w:cs="Times New Roman"/>
      <w:sz w:val="24"/>
      <w:lang w:val="es-ES" w:eastAsia="en-GB"/>
    </w:rPr>
  </w:style>
  <w:style w:type="paragraph" w:customStyle="1" w:styleId="HeaderCoverPage">
    <w:name w:val="Header Cover Page"/>
    <w:basedOn w:val="Normal"/>
    <w:link w:val="HeaderCoverPageChar"/>
    <w:rsid w:val="00A063E2"/>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A063E2"/>
    <w:rPr>
      <w:rFonts w:ascii="Times New Roman" w:eastAsia="Calibri" w:hAnsi="Times New Roman" w:cs="Times New Roman"/>
      <w:sz w:val="24"/>
      <w:lang w:val="es-ES" w:eastAsia="en-GB"/>
    </w:rPr>
  </w:style>
  <w:style w:type="character" w:customStyle="1" w:styleId="FooterSensitivityChar">
    <w:name w:val="Footer Sensitivity Char"/>
    <w:rsid w:val="00A063E2"/>
    <w:rPr>
      <w:rFonts w:ascii="Times New Roman" w:hAnsi="Times New Roman" w:cs="Times New Roman"/>
      <w:b/>
      <w:sz w:val="32"/>
      <w:lang w:val="es-ES"/>
    </w:rPr>
  </w:style>
  <w:style w:type="character" w:customStyle="1" w:styleId="HeaderSensitivityChar">
    <w:name w:val="Header Sensitivity Char"/>
    <w:rsid w:val="00A063E2"/>
    <w:rPr>
      <w:rFonts w:ascii="Times New Roman" w:hAnsi="Times New Roman" w:cs="Times New Roman"/>
      <w:b/>
      <w:sz w:val="32"/>
      <w:lang w:val="es-ES"/>
    </w:rPr>
  </w:style>
  <w:style w:type="character" w:customStyle="1" w:styleId="HeaderSensitivityRightChar">
    <w:name w:val="Header Sensitivity Right Char"/>
    <w:rsid w:val="00A063E2"/>
    <w:rPr>
      <w:rFonts w:ascii="Times New Roman" w:hAnsi="Times New Roman" w:cs="Times New Roman"/>
      <w:sz w:val="28"/>
      <w:lang w:val="es-ES"/>
    </w:rPr>
  </w:style>
  <w:style w:type="paragraph" w:customStyle="1" w:styleId="LegalNumPar">
    <w:name w:val="LegalNumPar"/>
    <w:basedOn w:val="Normal"/>
    <w:rsid w:val="00A063E2"/>
    <w:pPr>
      <w:numPr>
        <w:numId w:val="16"/>
      </w:numPr>
      <w:spacing w:line="360" w:lineRule="auto"/>
    </w:pPr>
    <w:rPr>
      <w:rFonts w:eastAsia="Times New Roman"/>
      <w:lang w:eastAsia="en-GB"/>
    </w:rPr>
  </w:style>
  <w:style w:type="paragraph" w:customStyle="1" w:styleId="LegalNumPar2">
    <w:name w:val="LegalNumPar2"/>
    <w:basedOn w:val="Normal"/>
    <w:rsid w:val="00A063E2"/>
    <w:pPr>
      <w:numPr>
        <w:ilvl w:val="1"/>
        <w:numId w:val="16"/>
      </w:numPr>
      <w:spacing w:line="360" w:lineRule="auto"/>
    </w:pPr>
    <w:rPr>
      <w:rFonts w:eastAsia="Times New Roman"/>
      <w:lang w:eastAsia="en-GB"/>
    </w:rPr>
  </w:style>
  <w:style w:type="paragraph" w:customStyle="1" w:styleId="LegalNumPar3">
    <w:name w:val="LegalNumPar3"/>
    <w:basedOn w:val="Normal"/>
    <w:rsid w:val="00A063E2"/>
    <w:pPr>
      <w:numPr>
        <w:ilvl w:val="2"/>
        <w:numId w:val="16"/>
      </w:numPr>
      <w:spacing w:line="360" w:lineRule="auto"/>
    </w:pPr>
    <w:rPr>
      <w:rFonts w:eastAsia="Times New Roman"/>
      <w:lang w:eastAsia="en-GB"/>
    </w:rPr>
  </w:style>
  <w:style w:type="paragraph" w:styleId="ListParagraph">
    <w:name w:val="List Paragraph"/>
    <w:aliases w:val="Lapis Bulleted List,List Paragraph (numbered (a)),List Paragraph12,CV text,Bullets,3,titulo 3,Párrafo de lista1,normal,Normal1,References,WB List Paragraph,Normal11,Bullet List,Dot pt,No Spacing1,List Paragraph Char Char Char,Bullet list"/>
    <w:basedOn w:val="Normal"/>
    <w:link w:val="ListParagraphChar"/>
    <w:uiPriority w:val="34"/>
    <w:qFormat/>
    <w:rsid w:val="00A063E2"/>
    <w:pPr>
      <w:ind w:left="720"/>
      <w:contextualSpacing/>
    </w:pPr>
    <w:rPr>
      <w:rFonts w:eastAsia="Times New Roman"/>
      <w:lang w:eastAsia="en-GB"/>
    </w:rPr>
  </w:style>
  <w:style w:type="character" w:customStyle="1" w:styleId="UnresolvedMention1">
    <w:name w:val="Unresolved Mention1"/>
    <w:basedOn w:val="DefaultParagraphFont"/>
    <w:uiPriority w:val="99"/>
    <w:semiHidden/>
    <w:unhideWhenUsed/>
    <w:rsid w:val="00A063E2"/>
    <w:rPr>
      <w:color w:val="605E5C"/>
      <w:shd w:val="clear" w:color="auto" w:fill="E1DFDD"/>
    </w:rPr>
  </w:style>
  <w:style w:type="character" w:styleId="Strong">
    <w:name w:val="Strong"/>
    <w:basedOn w:val="DefaultParagraphFont"/>
    <w:qFormat/>
    <w:rsid w:val="00A063E2"/>
    <w:rPr>
      <w:b/>
      <w:bCs/>
    </w:rPr>
  </w:style>
  <w:style w:type="character" w:styleId="Emphasis">
    <w:name w:val="Emphasis"/>
    <w:basedOn w:val="DefaultParagraphFont"/>
    <w:qFormat/>
    <w:rsid w:val="00A063E2"/>
    <w:rPr>
      <w:i/>
      <w:iCs/>
    </w:rPr>
  </w:style>
  <w:style w:type="character" w:customStyle="1" w:styleId="Mention1">
    <w:name w:val="Mention1"/>
    <w:basedOn w:val="DefaultParagraphFont"/>
    <w:uiPriority w:val="99"/>
    <w:unhideWhenUsed/>
    <w:rsid w:val="00A063E2"/>
    <w:rPr>
      <w:color w:val="2B579A"/>
      <w:shd w:val="clear" w:color="auto" w:fill="E1DFDD"/>
    </w:rPr>
  </w:style>
  <w:style w:type="character" w:customStyle="1" w:styleId="normaltextrun">
    <w:name w:val="normaltextrun"/>
    <w:basedOn w:val="DefaultParagraphFont"/>
    <w:rsid w:val="00A063E2"/>
  </w:style>
  <w:style w:type="character" w:customStyle="1" w:styleId="eop">
    <w:name w:val="eop"/>
    <w:basedOn w:val="DefaultParagraphFont"/>
    <w:rsid w:val="00A063E2"/>
  </w:style>
  <w:style w:type="character" w:customStyle="1" w:styleId="Corpsdutexte">
    <w:name w:val="Corps du texte_"/>
    <w:link w:val="Corpsdutexte0"/>
    <w:uiPriority w:val="99"/>
    <w:locked/>
    <w:rsid w:val="00FC75AE"/>
    <w:rPr>
      <w:shd w:val="clear" w:color="auto" w:fill="FFFFFF"/>
    </w:rPr>
  </w:style>
  <w:style w:type="paragraph" w:customStyle="1" w:styleId="Corpsdutexte0">
    <w:name w:val="Corps du texte"/>
    <w:basedOn w:val="Normal"/>
    <w:link w:val="Corpsdutexte"/>
    <w:uiPriority w:val="99"/>
    <w:rsid w:val="00FC75AE"/>
    <w:pPr>
      <w:widowControl w:val="0"/>
      <w:shd w:val="clear" w:color="auto" w:fill="FFFFFF"/>
      <w:spacing w:before="240" w:after="240" w:line="274" w:lineRule="exact"/>
    </w:pPr>
    <w:rPr>
      <w:rFonts w:asciiTheme="minorHAnsi" w:hAnsiTheme="minorHAnsi" w:cstheme="minorBidi"/>
      <w:sz w:val="22"/>
      <w:lang w:val="es-ES"/>
    </w:rPr>
  </w:style>
  <w:style w:type="paragraph" w:customStyle="1" w:styleId="Titlearticle">
    <w:name w:val="Title article"/>
    <w:basedOn w:val="Normal"/>
    <w:rsid w:val="001E69E1"/>
  </w:style>
  <w:style w:type="character" w:customStyle="1" w:styleId="ListParagraphChar">
    <w:name w:val="List Paragraph Char"/>
    <w:aliases w:val="Lapis Bulleted List Char,List Paragraph (numbered (a)) Char,List Paragraph12 Char,CV text Char,Bullets Char,3 Char,titulo 3 Char,Párrafo de lista1 Char,normal Char,Normal1 Char,References Char,WB List Paragraph Char,Normal11 Char"/>
    <w:link w:val="ListParagraph"/>
    <w:uiPriority w:val="34"/>
    <w:qFormat/>
    <w:locked/>
    <w:rsid w:val="00D46132"/>
    <w:rPr>
      <w:rFonts w:ascii="Times New Roman" w:eastAsia="Times New Roman" w:hAnsi="Times New Roman" w:cs="Times New Roman"/>
      <w:sz w:val="24"/>
      <w:lang w:val="es-ES" w:eastAsia="en-GB"/>
    </w:rPr>
  </w:style>
  <w:style w:type="character" w:customStyle="1" w:styleId="HeaderChar">
    <w:name w:val="Header Char"/>
    <w:basedOn w:val="DefaultParagraphFont"/>
    <w:link w:val="Header"/>
    <w:uiPriority w:val="99"/>
    <w:rsid w:val="000D5C7F"/>
    <w:rPr>
      <w:rFonts w:ascii="Times New Roman" w:hAnsi="Times New Roman" w:cs="Times New Roman"/>
      <w:sz w:val="24"/>
      <w:lang w:val="es-ES_tradnl"/>
    </w:rPr>
  </w:style>
  <w:style w:type="character" w:customStyle="1" w:styleId="FooterChar">
    <w:name w:val="Footer Char"/>
    <w:basedOn w:val="DefaultParagraphFont"/>
    <w:link w:val="Footer"/>
    <w:uiPriority w:val="99"/>
    <w:rsid w:val="000D5C7F"/>
    <w:rPr>
      <w:rFonts w:ascii="Times New Roman" w:hAnsi="Times New Roman" w:cs="Times New Roman"/>
      <w:sz w:val="24"/>
      <w:lang w:val="es-ES_trad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0D5C7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0D5C7F"/>
    <w:pPr>
      <w:spacing w:before="0"/>
      <w:jc w:val="right"/>
    </w:pPr>
    <w:rPr>
      <w:sz w:val="28"/>
    </w:rPr>
  </w:style>
  <w:style w:type="paragraph" w:customStyle="1" w:styleId="FooterSensitivity">
    <w:name w:val="Footer Sensitivity"/>
    <w:basedOn w:val="Normal"/>
    <w:rsid w:val="000D5C7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3"/>
      </w:numPr>
    </w:pPr>
  </w:style>
  <w:style w:type="paragraph" w:customStyle="1" w:styleId="Tiret1">
    <w:name w:val="Tiret 1"/>
    <w:basedOn w:val="Point1"/>
    <w:pPr>
      <w:numPr>
        <w:numId w:val="34"/>
      </w:numPr>
    </w:pPr>
  </w:style>
  <w:style w:type="paragraph" w:customStyle="1" w:styleId="Tiret2">
    <w:name w:val="Tiret 2"/>
    <w:basedOn w:val="Point2"/>
    <w:pPr>
      <w:numPr>
        <w:numId w:val="35"/>
      </w:numPr>
    </w:pPr>
  </w:style>
  <w:style w:type="paragraph" w:customStyle="1" w:styleId="Tiret3">
    <w:name w:val="Tiret 3"/>
    <w:basedOn w:val="Point3"/>
    <w:pPr>
      <w:numPr>
        <w:numId w:val="36"/>
      </w:numPr>
    </w:pPr>
  </w:style>
  <w:style w:type="paragraph" w:customStyle="1" w:styleId="Tiret4">
    <w:name w:val="Tiret 4"/>
    <w:basedOn w:val="Point4"/>
    <w:pPr>
      <w:numPr>
        <w:numId w:val="37"/>
      </w:numPr>
    </w:pPr>
  </w:style>
  <w:style w:type="paragraph" w:customStyle="1" w:styleId="Tiret5">
    <w:name w:val="Tiret 5"/>
    <w:basedOn w:val="Point5"/>
    <w:pPr>
      <w:numPr>
        <w:numId w:val="3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NumPar5">
    <w:name w:val="NumPar 5"/>
    <w:basedOn w:val="Normal"/>
    <w:next w:val="Text2"/>
    <w:pPr>
      <w:numPr>
        <w:ilvl w:val="4"/>
        <w:numId w:val="39"/>
      </w:numPr>
    </w:pPr>
  </w:style>
  <w:style w:type="paragraph" w:customStyle="1" w:styleId="NumPar6">
    <w:name w:val="NumPar 6"/>
    <w:basedOn w:val="Normal"/>
    <w:next w:val="Text2"/>
    <w:pPr>
      <w:numPr>
        <w:ilvl w:val="5"/>
        <w:numId w:val="39"/>
      </w:numPr>
    </w:pPr>
  </w:style>
  <w:style w:type="paragraph" w:customStyle="1" w:styleId="NumPar7">
    <w:name w:val="NumPar 7"/>
    <w:basedOn w:val="Normal"/>
    <w:next w:val="Text2"/>
    <w:pPr>
      <w:numPr>
        <w:ilvl w:val="6"/>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0D5C7F"/>
    <w:pPr>
      <w:tabs>
        <w:tab w:val="center" w:pos="4535"/>
        <w:tab w:val="right" w:pos="9071"/>
      </w:tabs>
      <w:spacing w:before="0"/>
    </w:pPr>
  </w:style>
  <w:style w:type="paragraph" w:customStyle="1" w:styleId="HeaderLandscape">
    <w:name w:val="HeaderLandscape"/>
    <w:basedOn w:val="Normal"/>
    <w:rsid w:val="000D5C7F"/>
    <w:pPr>
      <w:tabs>
        <w:tab w:val="center" w:pos="7285"/>
        <w:tab w:val="right" w:pos="14003"/>
      </w:tabs>
      <w:spacing w:before="0"/>
    </w:pPr>
  </w:style>
  <w:style w:type="paragraph" w:styleId="Footer">
    <w:name w:val="footer"/>
    <w:basedOn w:val="Normal"/>
    <w:link w:val="FooterChar"/>
    <w:uiPriority w:val="99"/>
    <w:unhideWhenUsed/>
    <w:rsid w:val="000D5C7F"/>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0D5C7F"/>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8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CBA7E-2EE4-4E28-9AF1-CBE9B5611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19</TotalTime>
  <Pages>7</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cp:lastPrinted>2025-01-19T12:16:00Z</cp:lastPrinted>
  <dcterms:created xsi:type="dcterms:W3CDTF">2025-05-06T11:53:00Z</dcterms:created>
  <dcterms:modified xsi:type="dcterms:W3CDTF">2025-05-13T12:56:00Z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MSIP_Label_6bd9ddd1-4d20-43f6-abfa-fc3c07406f94_Enabled">
    <vt:lpwstr>true</vt:lpwstr>
  </property>
  <property fmtid="{D5CDD505-2E9C-101B-9397-08002B2CF9AE}" pid="11" name="MSIP_Label_6bd9ddd1-4d20-43f6-abfa-fc3c07406f94_SetDate">
    <vt:lpwstr>2025-01-17T16:27:47Z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b3d972ea-f4a1-4b45-b6ea-8aafe323920b</vt:lpwstr>
  </property>
  <property fmtid="{D5CDD505-2E9C-101B-9397-08002B2CF9AE}" pid="16" name="MSIP_Label_6bd9ddd1-4d20-43f6-abfa-fc3c07406f94_ContentBits">
    <vt:lpwstr>0</vt:lpwstr>
  </property>
  <property fmtid="{D5CDD505-2E9C-101B-9397-08002B2CF9AE}" pid="17" name="DQCStatus">
    <vt:lpwstr>Green (DQC version 03)</vt:lpwstr>
  </property>
</Properties>
</file>