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bookmarkStart w:id="0" w:name="LW_BM_COVERPAGE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alt="10999A75-5493-442F-B33F-37A3215759DE" style="width:451.6pt;height:320.25pt">
            <v:imagedata r:id="rId13" o:title=""/>
          </v:shape>
        </w:pict>
      </w:r>
    </w:p>
    <w:bookmarkEnd w:id="0"/>
    <w:p>
      <w:pPr>
        <w:pStyle w:val="Pagedecouverture"/>
        <w:rPr>
          <w:noProof/>
        </w:rPr>
        <w:sectPr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tabs>
          <w:tab w:val="center" w:pos="4536"/>
        </w:tabs>
        <w:spacing w:before="480" w:after="240"/>
        <w:ind w:left="567" w:hanging="567"/>
        <w:rPr>
          <w:rFonts w:ascii="Times New Roman" w:hAnsi="Times New Roman" w:cs="Times New Roman"/>
          <w:b/>
          <w:noProof/>
          <w:sz w:val="24"/>
          <w:szCs w:val="24"/>
        </w:rPr>
      </w:pPr>
      <w:bookmarkStart w:id="1" w:name="_GoBack"/>
      <w:bookmarkEnd w:id="1"/>
      <w:r>
        <w:rPr>
          <w:rFonts w:ascii="Times New Roman" w:hAnsi="Times New Roman"/>
          <w:b/>
          <w:noProof/>
          <w:sz w:val="24"/>
        </w:rPr>
        <w:lastRenderedPageBreak/>
        <w:t xml:space="preserve">1. 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>INTRODUZZJONI — STRATEĠIJA EWROPEA GĦALL-IA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Hekk kif kien l-elettriku fil-passat, l-intelliġenza artifiċjali (AI) qiegħda tittrasforma d-dinja tagħna</w:t>
      </w:r>
      <w:r>
        <w:rPr>
          <w:noProof/>
        </w:rPr>
        <w:t>.</w:t>
      </w:r>
      <w:r>
        <w:rPr>
          <w:rFonts w:ascii="Times New Roman" w:hAnsi="Times New Roman"/>
          <w:noProof/>
          <w:sz w:val="24"/>
        </w:rPr>
        <w:t xml:space="preserve"> Tinsab fuq ponot subgħajna, meta nittraduċu testi online jew nużaw applikazzjoni mobbli biex insibu l-aħjar mod kif nimxu fid-destinazzjoni li jmiss tagħna. Id-dar, b’termostat intelliġenti tista’ tnaqqas il-kontijiet tal-enerġija b’25 % jew anqas billi tanalizza d-drawwiet tan-nies li jgħixu fid-dar u taġġusta t-temperatura kif ikun xieraq</w:t>
      </w:r>
      <w:r>
        <w:rPr>
          <w:rStyle w:val="FootnoteReference"/>
          <w:rFonts w:ascii="Times New Roman" w:hAnsi="Times New Roman"/>
          <w:noProof/>
          <w:sz w:val="24"/>
        </w:rPr>
        <w:footnoteReference w:id="2"/>
      </w:r>
      <w:r>
        <w:rPr>
          <w:rFonts w:ascii="Times New Roman" w:hAnsi="Times New Roman"/>
          <w:noProof/>
          <w:sz w:val="24"/>
        </w:rPr>
        <w:t>. Fil-kura tas-saħħa, l-algoritmi jistgħu jgħinu d-dermatologi jagħmlu dijanjożi aħjar u jindividwaw 95 % tal-kanċer tal-ġilda billi jitgħallmu minn settijiet kbar ta’ ritratti mediċi</w:t>
      </w:r>
      <w:r>
        <w:rPr>
          <w:rStyle w:val="FootnoteReference"/>
          <w:rFonts w:ascii="Times New Roman" w:hAnsi="Times New Roman"/>
          <w:noProof/>
          <w:sz w:val="24"/>
        </w:rPr>
        <w:footnoteReference w:id="3"/>
      </w:r>
      <w:r>
        <w:rPr>
          <w:rFonts w:ascii="Times New Roman" w:hAnsi="Times New Roman"/>
          <w:noProof/>
          <w:sz w:val="24"/>
        </w:rPr>
        <w:t xml:space="preserve">. 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Hekk kif l-ammonti vasti ta’ 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jiġu intepretati bis-sens biex joffru soluzzjonijiet effiċjenti, l-IA ttejjeb prodotti, proċessi u mudelli tan-negozju fis-setturi ekonomiċi kollha. Din tista’ tgħin lill-kumpaniji jidentifikaw liema magni ser ikunu jeħtieġu l-manutenzjoni qabel dawn jieqfu jaħdmu. L-IA tittrasforma wkoll is-servizzi pubbliċi.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 w:after="120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/>
          <w:i/>
          <w:noProof/>
          <w:sz w:val="24"/>
        </w:rPr>
        <w:t xml:space="preserve">L-Intelliġenza Artifiċjali tirreferi għal sistemi li juru mġiba intelliġenti billi janalizzaw l-ambjent tagħhom u jieħdu azzjoni – b’ċertu grad ta’ awtonomija – biex jiksbu għanijiet speċifiċi. Aħna qed nużaw l-IA fuq bażi ta’ kuljum, pereżempju biex nimblukkaw email spam jew nitkellmu ma’ assistenti diġitali. 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360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/>
          <w:i/>
          <w:noProof/>
          <w:sz w:val="24"/>
        </w:rPr>
        <w:t>It-tkabbir fil-qawwa komputazzjonali, id-disponibbiltà ta’ data u l-progress fl-algoritmi biddlu l-IA f’waħda mill-aktar teknoloġiji importanti tas-seklu 21.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Il-bidliet li ġabet magħha l-IA qed iqajmu wkoll tħassib Il-ħaddiema jibżgħu li se jitilfu l-impjieg tagħhom minħabba l-awtomazzjoni, il-konsumaturi jistaqsu min hu responsabbli f’każ li tittieħed deċiżjoni żbaljata permezz ta’ sistema bbażata fuq l-IA, il-kumpaniji żgħar ma jafux kif japplikaw l-IA għan-negozji tagħhom, in-negozji l-ġodda tal-IA ma jsibux ir-riżorsi u t-talenti li jeħtieġu fl-Ewropa, u l-kompetizzjoni internazzjonali hija aktar ħarxa minn qatt qabel b’investimenti kbar ħafna fl-Istati Uniti u fiċ-Ċina. 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Biex tindirizza dawn l-isfidi u jsir l-aħjar użu mill-opportunitajiet offruti mill-IA, il-Kummissjoni ppubblikat strateġija Ewropea</w:t>
      </w:r>
      <w:r>
        <w:rPr>
          <w:rStyle w:val="FootnoteReference"/>
          <w:rFonts w:ascii="Times New Roman" w:hAnsi="Times New Roman"/>
          <w:b/>
          <w:noProof/>
          <w:sz w:val="24"/>
        </w:rPr>
        <w:footnoteReference w:id="4"/>
      </w:r>
      <w:r>
        <w:rPr>
          <w:rFonts w:ascii="Times New Roman" w:hAnsi="Times New Roman"/>
          <w:b/>
          <w:noProof/>
          <w:sz w:val="24"/>
        </w:rPr>
        <w:t xml:space="preserve"> f’April 2018. Il-Kummissjoni pproponiet approċċ li jpoġġi n-nies fiċ-ċentru tal-iżvilupp tal-IA</w:t>
      </w:r>
      <w:r>
        <w:rPr>
          <w:noProof/>
        </w:rPr>
        <w:t xml:space="preserve"> </w:t>
      </w:r>
      <w:r>
        <w:rPr>
          <w:rFonts w:ascii="Times New Roman" w:hAnsi="Times New Roman"/>
          <w:noProof/>
          <w:sz w:val="24"/>
        </w:rPr>
        <w:t xml:space="preserve">(IA ċċentrata fuq il-bniedem) </w:t>
      </w:r>
      <w:r>
        <w:rPr>
          <w:rFonts w:ascii="Times New Roman" w:hAnsi="Times New Roman"/>
          <w:b/>
          <w:noProof/>
          <w:sz w:val="24"/>
        </w:rPr>
        <w:t>u tħeġġeġ l-użu ta’ din it-teknoloġija qawwija biex tgħin jissolvew l-isfidi l-kbar tad-dinja</w:t>
      </w:r>
      <w:r>
        <w:rPr>
          <w:rFonts w:ascii="Times New Roman" w:hAnsi="Times New Roman"/>
          <w:noProof/>
          <w:sz w:val="24"/>
        </w:rPr>
        <w:t>: mill-fejqan tal-mard għall-ġlieda kontra t-tibdil fil-klima u l-antiċipazzjoni ta’ diżastri naturali, għal trasport aktar sikur</w:t>
      </w:r>
      <w:r>
        <w:rPr>
          <w:rStyle w:val="FootnoteReference"/>
          <w:rFonts w:ascii="Times New Roman" w:hAnsi="Times New Roman"/>
          <w:noProof/>
          <w:sz w:val="24"/>
        </w:rPr>
        <w:footnoteReference w:id="5"/>
      </w:r>
      <w:r>
        <w:rPr>
          <w:rFonts w:ascii="Times New Roman" w:hAnsi="Times New Roman"/>
          <w:noProof/>
          <w:sz w:val="24"/>
        </w:rPr>
        <w:t xml:space="preserve"> u l-ġlieda kontra l-kriminlaità u t-titjieb fiċ-ċibersigurtà. 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Din l-istrateġija tappoġġa IA etika, sikura u avvanzata magħmula fl-Ewropa. Din tibni fuq is-saħħiet xjentifiċi u industrijali</w:t>
      </w:r>
      <w:r>
        <w:rPr>
          <w:rStyle w:val="FootnoteReference"/>
          <w:rFonts w:ascii="Times New Roman" w:hAnsi="Times New Roman"/>
          <w:noProof/>
          <w:sz w:val="24"/>
        </w:rPr>
        <w:footnoteReference w:id="6"/>
      </w:r>
      <w:r>
        <w:rPr>
          <w:rFonts w:ascii="Times New Roman" w:hAnsi="Times New Roman"/>
          <w:noProof/>
          <w:sz w:val="24"/>
        </w:rPr>
        <w:t xml:space="preserve"> tal-Ewropa u hija bbażata fuq tliet pilastri: żieda fl-investimenti pubbliċi u privati fl-IA, tħejjija għall-bidliet soċjoekonomiċi, u żgurar ta’ qafas etiku u legali xierqa. </w:t>
      </w:r>
      <w:r>
        <w:rPr>
          <w:rFonts w:ascii="Times New Roman" w:hAnsi="Times New Roman"/>
          <w:b/>
          <w:noProof/>
          <w:sz w:val="24"/>
        </w:rPr>
        <w:t>Biex jiġi żgurat is-suċċess tagħha, il-koordinazzjoni fil-livell Ewropew hija essenzjali</w:t>
      </w:r>
      <w:r>
        <w:rPr>
          <w:rFonts w:ascii="Times New Roman" w:hAnsi="Times New Roman"/>
          <w:noProof/>
          <w:sz w:val="24"/>
        </w:rPr>
        <w:t>.</w:t>
      </w:r>
    </w:p>
    <w:p>
      <w:pPr>
        <w:spacing w:before="480" w:after="240" w:line="240" w:lineRule="auto"/>
        <w:ind w:left="567" w:hanging="567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 xml:space="preserve">2. 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 xml:space="preserve">PJAN KOORDINAT DWAR L-IA – ĦARSA ĠENERALI 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Fl-istrateġija tagħha dwar l-IA għall-Ewropa, il-Kummissjoni pproponiet li taħdem mal-Istati Membri fuq pjan ikkoordinat dwar l-IA sal-aħħar tal-2018</w:t>
      </w:r>
      <w:r>
        <w:rPr>
          <w:noProof/>
        </w:rPr>
        <w:t xml:space="preserve">, </w:t>
      </w:r>
      <w:r>
        <w:rPr>
          <w:rFonts w:ascii="Times New Roman" w:hAnsi="Times New Roman"/>
          <w:noProof/>
          <w:sz w:val="24"/>
        </w:rPr>
        <w:t>bil-għan li jiġi mmassimizzat l-impatt tal-investimenti fuq il-livell tal-UE u fuq il-livell nazzjonali, jitħeġġu sinerġiji u kooperazzjoni fl-UE kollha, jiġu skambjati l-aħjar prattiki u kollettivament jiddefinixxu t-triq ’il quddiem biex jiġi żgurat li l-UE kollha kemm hi tista’ tikkompeti globalment. Il-proposta ta’ pjan ikkoordinat issejset fuq id-</w:t>
      </w:r>
      <w:r>
        <w:rPr>
          <w:rFonts w:ascii="Times New Roman" w:hAnsi="Times New Roman"/>
          <w:b/>
          <w:noProof/>
          <w:sz w:val="24"/>
        </w:rPr>
        <w:t>dikjarazzjoni ta’ kooperazzjoni dwar l-IA</w:t>
      </w:r>
      <w:r>
        <w:rPr>
          <w:rFonts w:ascii="Times New Roman" w:hAnsi="Times New Roman"/>
          <w:noProof/>
          <w:sz w:val="24"/>
        </w:rPr>
        <w:t xml:space="preserve"> varata f’April 2018 fil-Jum Diġitali u ffirmata mill-Istati Membri kollha u n-Norveġja</w:t>
      </w:r>
      <w:r>
        <w:rPr>
          <w:rStyle w:val="FootnoteReference"/>
          <w:rFonts w:ascii="Times New Roman" w:hAnsi="Times New Roman"/>
          <w:noProof/>
          <w:sz w:val="24"/>
        </w:rPr>
        <w:footnoteReference w:id="7"/>
      </w:r>
      <w:r>
        <w:rPr>
          <w:rFonts w:ascii="Times New Roman" w:hAnsi="Times New Roman"/>
          <w:noProof/>
          <w:sz w:val="24"/>
        </w:rPr>
        <w:t xml:space="preserve">. Din ġiet </w:t>
      </w:r>
      <w:r>
        <w:rPr>
          <w:rFonts w:ascii="Times New Roman" w:hAnsi="Times New Roman"/>
          <w:b/>
          <w:noProof/>
          <w:sz w:val="24"/>
        </w:rPr>
        <w:t>approvata mill-Kunsill Ewropew f’Ġunju 2018</w:t>
      </w:r>
      <w:r>
        <w:rPr>
          <w:rStyle w:val="FootnoteReference"/>
          <w:rFonts w:ascii="Times New Roman" w:hAnsi="Times New Roman"/>
          <w:noProof/>
          <w:sz w:val="24"/>
        </w:rPr>
        <w:footnoteReference w:id="8"/>
      </w:r>
      <w:r>
        <w:rPr>
          <w:rFonts w:ascii="Times New Roman" w:hAnsi="Times New Roman"/>
          <w:noProof/>
          <w:sz w:val="24"/>
        </w:rPr>
        <w:t>.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L-Istati Membri (bħala parti mill-grupp dwar id-diġitalizzazzjoni tal-industrija Ewropea u l-IA), in-Norveġja, l-Iżvizzera u l-Kummissjoni ħejjew il-pjan matul diversi laqgħat bejn Ġunju u Novembru 2018. Saru wkoll skambji fil-laqgħat tal-Kunsill dwar il-Kompetittività taħt it-tmexxija tal-Presidenza Awstrijaka tal-UE.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F’dawn il-laqgħat, l-Istati Membri u l-Kummissjoni identifikaw serje ta’ azzjonijiet komuni biex iżidu l-investimenti, jiġbru 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– il-materja prima għall-IA – , irawmu t-talent u jiżguraw il-fiduċja</w:t>
      </w:r>
      <w:r>
        <w:rPr>
          <w:rStyle w:val="FootnoteReference"/>
          <w:rFonts w:ascii="Times New Roman" w:hAnsi="Times New Roman"/>
          <w:noProof/>
          <w:sz w:val="24"/>
        </w:rPr>
        <w:footnoteReference w:id="9"/>
      </w:r>
      <w:r>
        <w:rPr>
          <w:rFonts w:ascii="Times New Roman" w:hAnsi="Times New Roman"/>
          <w:noProof/>
          <w:sz w:val="24"/>
        </w:rPr>
        <w:t xml:space="preserve"> filwaqt li jibnu fuq l-istrateġija Ewropea. Ipprrijorittizzaw l-oqsma prijoritarji ta’ interess pubbliku, bħal dak tal-kura tas-saħħa, tat-trasport u tal-mobbiltà, tas-sikurezza, tas-sigurtà u tal-enerġija, kif ukoll setturi ekonomiċi importanti bħalma huma tal-manifattura u tas-servizzi finanzjarji. 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 xml:space="preserve">Ir-riżultat ta’ din il-ħidma konġunta, il-pjan ikkoordinat, huwa l-anness ta’ din il-Komunikazzjoni. Hija tidentifika l-azzjonijiet li se jinbdew fl-2020-2019 u tħejji t-triq għall-attivitajiet fis-snin ta’ wara. Hija ser tiġi riveduta u aġġornata kull sena. 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Din il-Komunikazzjoni tenfasizza l-objettivi u l-inizjattivi prinċipali tal-pjan. </w:t>
      </w:r>
    </w:p>
    <w:p>
      <w:pPr>
        <w:keepNext/>
        <w:spacing w:before="360" w:after="24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 xml:space="preserve">2.1. Objettivi komuni u sforzi komplementari 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Il-pjan ikkoordinat jipprovdi qafas strateġiku għal strateġiji nazzjonali tal-IA. Sal-lum, ħames Stati Membri diġà adottaw strateġija nazzjonali għall-IA b’baġit dedikat</w:t>
      </w:r>
      <w:r>
        <w:rPr>
          <w:rStyle w:val="FootnoteReference"/>
          <w:rFonts w:ascii="Times New Roman" w:hAnsi="Times New Roman"/>
          <w:noProof/>
          <w:sz w:val="24"/>
        </w:rPr>
        <w:footnoteReference w:id="10"/>
      </w:r>
      <w:r>
        <w:rPr>
          <w:rFonts w:ascii="Times New Roman" w:hAnsi="Times New Roman"/>
          <w:noProof/>
          <w:sz w:val="24"/>
        </w:rPr>
        <w:t xml:space="preserve">. L-Istati Membri kollha l-oħra, </w:t>
      </w:r>
      <w:r>
        <w:rPr>
          <w:rFonts w:ascii="Times New Roman" w:hAnsi="Times New Roman"/>
          <w:b/>
          <w:noProof/>
          <w:sz w:val="24"/>
        </w:rPr>
        <w:t>huma mħeġġa jiżviluppaw l-istrateġija nazzjonali tagħhom għall-IA sa nofs l-2019 filwaqt li jsejsuha fuq il-ħidma mwettqa fil-livell Ewropew</w:t>
      </w:r>
      <w:r>
        <w:rPr>
          <w:rFonts w:ascii="Times New Roman" w:hAnsi="Times New Roman"/>
          <w:noProof/>
          <w:sz w:val="24"/>
        </w:rPr>
        <w:t>.</w:t>
      </w:r>
      <w:r>
        <w:rPr>
          <w:rFonts w:ascii="Times New Roman" w:hAnsi="Times New Roman"/>
          <w:b/>
          <w:noProof/>
          <w:sz w:val="24"/>
        </w:rPr>
        <w:t xml:space="preserve"> </w:t>
      </w:r>
      <w:r>
        <w:rPr>
          <w:rFonts w:ascii="Times New Roman" w:hAnsi="Times New Roman"/>
          <w:noProof/>
          <w:sz w:val="24"/>
        </w:rPr>
        <w:t xml:space="preserve">Dawn huma mistennija jindikaw il-livelli ta’ investiment u l-miżuri ta’ implimentazzjoni.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Matul is-sena d-dieħla, l-Istati Membri u l-Kummissjoni ser jaslu għal qbil ukoll fuq l-indikaturi komuni biex jimmonitorjaw l-użu tal-IA u l-iżvilupp fl-Unjoni u r-rata ta’ suċċess tal-istrateġiji fis-seħħ, bl-appoġġ tal-AI-Watch żviluppat miċ-Ċentru Konġunt tar-Riċerka tal-Kummissjoni</w:t>
      </w:r>
      <w:r>
        <w:rPr>
          <w:rStyle w:val="FootnoteReference"/>
          <w:rFonts w:ascii="Times New Roman" w:hAnsi="Times New Roman"/>
          <w:noProof/>
          <w:sz w:val="24"/>
        </w:rPr>
        <w:footnoteReference w:id="11"/>
      </w:r>
      <w:r>
        <w:rPr>
          <w:rFonts w:ascii="Times New Roman" w:hAnsi="Times New Roman"/>
          <w:noProof/>
          <w:sz w:val="24"/>
        </w:rPr>
        <w:t>.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Bħalissa l-Ewropa qiegħda lura fl-investimenti privati fl-IA</w:t>
      </w:r>
      <w:r>
        <w:rPr>
          <w:rStyle w:val="FootnoteReference"/>
          <w:rFonts w:ascii="Times New Roman" w:hAnsi="Times New Roman"/>
          <w:noProof/>
          <w:sz w:val="24"/>
        </w:rPr>
        <w:footnoteReference w:id="12"/>
      </w:r>
      <w:r>
        <w:rPr>
          <w:rFonts w:ascii="Times New Roman" w:hAnsi="Times New Roman"/>
          <w:noProof/>
          <w:sz w:val="24"/>
        </w:rPr>
        <w:t xml:space="preserve">. Mingħajr sforzi ewlenin, l-UE tirriskja li titlef l-opportunitajiet li ġġib magħha l-IA, taffaċċja eżodu ta’ mħuħ u tkun konsumatur ta’ soluzzjonijiet żviluppati xi mkien ieħor. Din hija r-raġuni għala l-Istrateġija Ewropea għall-IA stabbiliet miri ambizzjużi, iżda realistiċi:  </w:t>
      </w:r>
      <w:r>
        <w:rPr>
          <w:rFonts w:ascii="Times New Roman" w:hAnsi="Times New Roman"/>
          <w:b/>
          <w:noProof/>
          <w:sz w:val="24"/>
        </w:rPr>
        <w:t>fl-Unjoni, l-investimenti pubbliċi u privati fl-IA jridu jiżdiedu biex tintlaħaq il-mira ta’ EUR 20 biljun kull sena fl-għaxar snin li ġejjin</w:t>
      </w:r>
      <w:r>
        <w:rPr>
          <w:rFonts w:ascii="Times New Roman" w:hAnsi="Times New Roman"/>
          <w:noProof/>
          <w:sz w:val="24"/>
        </w:rPr>
        <w:t>.  Bħala l-ewwel pass, il-Kummissjoni qed iżżid l-investiment fl-IA taħt il-programm ta’ qafas għar-riċerka u l-innovazzjoni Orizzont 2020 għal EUR 1.5 biljun fil-perjodu 2018-2020. Dan l-ammont jikkorrispondi għal żieda ta’ 70 % meta mqabbel mal-perjodu 2014-2017.  Jekk l-Istati Membri u s-settur privat jagħmlu sforzi simili, l-investimenti totali fl-Unjoni se jikbru għal aktar minn EUR 20 biljun għall-perjodu 2018-2020</w:t>
      </w:r>
      <w:r>
        <w:rPr>
          <w:rStyle w:val="FootnoteReference"/>
          <w:rFonts w:ascii="Times New Roman" w:hAnsi="Times New Roman"/>
          <w:noProof/>
          <w:sz w:val="24"/>
        </w:rPr>
        <w:footnoteReference w:id="13"/>
      </w:r>
      <w:r>
        <w:rPr>
          <w:rFonts w:ascii="Times New Roman" w:hAnsi="Times New Roman"/>
          <w:noProof/>
          <w:sz w:val="24"/>
        </w:rPr>
        <w:t xml:space="preserve">, b’hekk l-Unjoni tkun f’pożizzjoni li tkompli żżid l-isforzi matul id-deċennju li jmiss, bl-investiment gradwalment jilħaq EUR 20 biljun fis-sena. Dan ikun jikkorrispondi għal investiment annwali ta’ EUR 7 biljun mis-settur pubbliku (l-Istati Membri u l-Kummissjoni), fuq l-istess livell ma’ kontinenti oħra. </w:t>
      </w:r>
      <w:r>
        <w:rPr>
          <w:rFonts w:ascii="Times New Roman" w:hAnsi="Times New Roman"/>
          <w:b/>
          <w:noProof/>
          <w:sz w:val="24"/>
        </w:rPr>
        <w:t>Il-Kummissjoni pproponiet li, fil-perjodu ta’ programmazzjoni 2021-2027, l-Unjoni tinvesti fl-IA mill-inqas EUR 1 biljun fis-sena minn Orizzont Ewropa u Ewropa Diġitali tal-programmi</w:t>
      </w:r>
      <w:r>
        <w:rPr>
          <w:rStyle w:val="FootnoteReference"/>
          <w:rFonts w:ascii="Times New Roman" w:hAnsi="Times New Roman"/>
          <w:noProof/>
          <w:sz w:val="24"/>
        </w:rPr>
        <w:footnoteReference w:id="14"/>
      </w:r>
      <w:r>
        <w:rPr>
          <w:rFonts w:ascii="Times New Roman" w:hAnsi="Times New Roman"/>
          <w:noProof/>
          <w:sz w:val="24"/>
        </w:rPr>
        <w:t xml:space="preserve">. 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Filwaqt li ħadu kont ta’ dawn il-miri, l-Istati Membri qablu li l-ambizzjoni hija meħtieġa u li l-isforzi nazzjonali jeħtieġ jiżdiedu. L-isforzi pubbliċi kkoordinati se jgħinu biex jinkisbu iktar investimenti privati.    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Filwaqt li l-investiment pubbliku għandu rwol importanti, dmir importanti għar-regolaturi huwa li jiġu eliminati l-ostakoli minħabba </w:t>
      </w:r>
      <w:r>
        <w:rPr>
          <w:rFonts w:ascii="Times New Roman" w:hAnsi="Times New Roman"/>
          <w:b/>
          <w:noProof/>
          <w:sz w:val="24"/>
        </w:rPr>
        <w:t>s-swieq frammentati</w:t>
      </w:r>
      <w:r>
        <w:rPr>
          <w:rFonts w:ascii="Times New Roman" w:hAnsi="Times New Roman"/>
          <w:noProof/>
          <w:sz w:val="24"/>
        </w:rPr>
        <w:t>. Il-prodotti u s-servizzi huma dejjem aktar interkonnessi u diġitalizzati. F’dan il-kuntest, huwa tal-akbar importanza li tiġi evitata l-frammentazzjoni tas-suq f’setturi strateġiċi bħall-intelliġenza artifiċjali, inkluż permezz tat-tisħiħ ta’ strumenti ewlenin (eż. standards komuni u netwerks ta’ komunikazzjoni veloċi). Suq Uniku reali b’dimensjoni diġitali integrali</w:t>
      </w:r>
      <w:r>
        <w:rPr>
          <w:rStyle w:val="FootnoteReference"/>
          <w:rFonts w:ascii="Times New Roman" w:hAnsi="Times New Roman"/>
          <w:noProof/>
          <w:sz w:val="24"/>
        </w:rPr>
        <w:footnoteReference w:id="15"/>
      </w:r>
      <w:r>
        <w:rPr>
          <w:rFonts w:ascii="Times New Roman" w:hAnsi="Times New Roman"/>
          <w:noProof/>
          <w:sz w:val="24"/>
        </w:rPr>
        <w:t xml:space="preserve"> </w:t>
      </w:r>
      <w:r>
        <w:rPr>
          <w:rFonts w:ascii="Times New Roman" w:hAnsi="Times New Roman"/>
          <w:b/>
          <w:noProof/>
          <w:sz w:val="24"/>
        </w:rPr>
        <w:t>se jagħmilha aktar faċli għan-negozji biex jespandu u jagħmlu kummerċ transfruntiera</w:t>
      </w:r>
      <w:r>
        <w:rPr>
          <w:rFonts w:ascii="Times New Roman" w:hAnsi="Times New Roman"/>
          <w:noProof/>
          <w:sz w:val="24"/>
        </w:rPr>
        <w:t xml:space="preserve"> u b’hekk tkompli tingħata spinta lill-investimenti.</w:t>
      </w:r>
    </w:p>
    <w:p>
      <w:pPr>
        <w:keepNext/>
        <w:spacing w:before="360" w:after="240" w:line="240" w:lineRule="auto"/>
        <w:ind w:left="567" w:hanging="567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2.2.</w:t>
      </w:r>
      <w:r>
        <w:rPr>
          <w:rFonts w:ascii="Times New Roman" w:hAnsi="Times New Roman"/>
          <w:noProof/>
          <w:sz w:val="24"/>
        </w:rPr>
        <w:t xml:space="preserve"> 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>Lejn sħubija pubblika-privata Ewropea tal-IA u aktar finanzjament għal negozji ġodda u intrapriżi żgħar u ta' daqs medju innovattivi</w:t>
      </w:r>
      <w:r>
        <w:rPr>
          <w:rStyle w:val="FootnoteReference"/>
          <w:rFonts w:ascii="Times New Roman" w:hAnsi="Times New Roman"/>
          <w:noProof/>
          <w:sz w:val="24"/>
        </w:rPr>
        <w:footnoteReference w:id="16"/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L-Istati Membri u l-Kummissjoni ser isaħħu wkoll il-kooperazzjoni mas-settur privat. Il-Kummissjoni ser tlaqqa’ l-kumpaniji u l-organizzazzjonijiet tar-riċerka flimkien biex jiżviluppaw aġenda strateġika komuni ta’ riċerka dwar l-IA, jiddefinixxi l-prijoritajiet bi qbil mal-ħtiġijiet tas-suq u jħeġġu skambji bejn is-setturi u bejn il-fruntieri.  </w:t>
      </w:r>
      <w:r>
        <w:rPr>
          <w:rFonts w:ascii="Times New Roman" w:hAnsi="Times New Roman"/>
          <w:b/>
          <w:noProof/>
          <w:sz w:val="24"/>
        </w:rPr>
        <w:t>Dan se jwitti t-triq għal riċerka ġdida u għal sħubija ta’ innovazzjoni dwar l-IA, filwaqt li titrawwem kollaborazzjoni bejn l-akkademiċi u l-industrija fl-Ewropa</w:t>
      </w:r>
      <w:r>
        <w:rPr>
          <w:rFonts w:ascii="Times New Roman" w:hAnsi="Times New Roman"/>
          <w:noProof/>
          <w:sz w:val="24"/>
        </w:rPr>
        <w:t>. Bħala parti minn din is-sħubija kuntrattwali, is-settur privat ser jimpenja ruħu għal investimenti speċifiċi u għoljin fl-IA. Din is-sħubija ser tibni fuq dawk is-sħubijiet eżistenti fir-robotika u l-big data</w:t>
      </w:r>
      <w:r>
        <w:rPr>
          <w:rStyle w:val="FootnoteReference"/>
          <w:rFonts w:ascii="Times New Roman" w:hAnsi="Times New Roman"/>
          <w:noProof/>
          <w:sz w:val="24"/>
        </w:rPr>
        <w:footnoteReference w:id="17"/>
      </w:r>
      <w:r>
        <w:rPr>
          <w:rFonts w:ascii="Times New Roman" w:hAnsi="Times New Roman"/>
          <w:noProof/>
          <w:sz w:val="24"/>
        </w:rPr>
        <w:t>, li jirrappreżentaw EUR 4.4 biljun ta’ investimenti, li l-maġġoranza tagħhom (EUR 3.2 biljun) ġejja mill-industrija. Il-partijiet ikkonċernati diġà kkonfermaw l-appoġġ tagħhom għat-twaqqif ta’ sħubija tal-IA</w:t>
      </w:r>
      <w:r>
        <w:rPr>
          <w:rStyle w:val="FootnoteReference"/>
          <w:rFonts w:ascii="Times New Roman" w:hAnsi="Times New Roman"/>
          <w:noProof/>
          <w:sz w:val="24"/>
        </w:rPr>
        <w:footnoteReference w:id="18"/>
      </w:r>
      <w:r>
        <w:rPr>
          <w:rFonts w:ascii="Times New Roman" w:hAnsi="Times New Roman"/>
          <w:noProof/>
          <w:sz w:val="24"/>
        </w:rPr>
        <w:t>.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Barra minn hekk, il-Kummissjoni qiegħda timmira li tagħmel ir-riżorsi disponibbli għal negozji ġodda u innovaturi fl-IA u blockchain biex tgħinhom jiżviluppaw in-negozju tagħhom. Inizjalment EUR100 miljun għandhom jiġu mmobilizzati fl-2020, li jistgħu jkunu kkomplimentati aktar permezz tal-parteċipazzjoni ta’ banek promozzjonali nazzjonali interessati u istituzzjonijiet oħra. Dan jista’ jgħin iħejji għat-tisħiħ tal-aċċess għall-finanzi għall-IA taħt il-programm InvestEU mill-2021’il quddiem.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Fl-istess ħin, il-Kummissjoni qed tagħmel progress fl-istabbiliment tal-</w:t>
      </w:r>
      <w:r>
        <w:rPr>
          <w:rFonts w:ascii="Times New Roman" w:hAnsi="Times New Roman"/>
          <w:b/>
          <w:noProof/>
          <w:sz w:val="24"/>
        </w:rPr>
        <w:t>Kunsill Ewropew tal-Innovazzjoni</w:t>
      </w:r>
      <w:r>
        <w:rPr>
          <w:rFonts w:ascii="Times New Roman" w:hAnsi="Times New Roman"/>
          <w:noProof/>
          <w:sz w:val="24"/>
        </w:rPr>
        <w:t xml:space="preserve"> biex jappoġġa teknoloġiji avvanzati u n-negozji l-ġodda l-aktar innovattivi. B’reazzjoni għas-sejħa tal-Kunsill Ewropew f’Ġunju 2018</w:t>
      </w:r>
      <w:r>
        <w:rPr>
          <w:rStyle w:val="FootnoteReference"/>
          <w:rFonts w:ascii="Times New Roman" w:hAnsi="Times New Roman"/>
          <w:noProof/>
          <w:sz w:val="24"/>
        </w:rPr>
        <w:footnoteReference w:id="19"/>
      </w:r>
      <w:r>
        <w:rPr>
          <w:rFonts w:ascii="Times New Roman" w:hAnsi="Times New Roman"/>
          <w:noProof/>
          <w:sz w:val="24"/>
        </w:rPr>
        <w:t>, l-inizjattiva pilota ġdida se titnieda fil-bidu tal-2019</w:t>
      </w:r>
      <w:r>
        <w:rPr>
          <w:rStyle w:val="FootnoteReference"/>
          <w:rFonts w:ascii="Times New Roman" w:hAnsi="Times New Roman"/>
          <w:noProof/>
          <w:sz w:val="24"/>
        </w:rPr>
        <w:footnoteReference w:id="20"/>
      </w:r>
      <w:r>
        <w:rPr>
          <w:rFonts w:ascii="Times New Roman" w:hAnsi="Times New Roman"/>
          <w:noProof/>
          <w:sz w:val="24"/>
        </w:rPr>
        <w:t xml:space="preserve"> u se tinkludi appoġġ għall-ġenerazzjoni li jmiss ta’ teknoloġiji tal-IA ċċentrati fuq il-bniedem. </w:t>
      </w:r>
    </w:p>
    <w:p>
      <w:pPr>
        <w:spacing w:before="360" w:after="240" w:line="240" w:lineRule="auto"/>
        <w:ind w:left="567" w:hanging="567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 xml:space="preserve">2.3. 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>It-tisħiħ tal-eċċellenza f’teknoloġiji affidabbli tal-IA u d-diffużjoni wiesgħa</w:t>
      </w:r>
      <w:r>
        <w:rPr>
          <w:rStyle w:val="FootnoteReference"/>
          <w:rFonts w:ascii="Times New Roman" w:hAnsi="Times New Roman"/>
          <w:b/>
          <w:noProof/>
          <w:sz w:val="24"/>
        </w:rPr>
        <w:footnoteReference w:id="21"/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L-Istati Membri u l-Kummissjoni qegħdin jimmiraw biex iżidu l-kapaċitajiet ta’ riċerka nazzjonali u jilħqu massa kritika permezz ta’ </w:t>
      </w:r>
      <w:r>
        <w:rPr>
          <w:rFonts w:ascii="Times New Roman" w:hAnsi="Times New Roman"/>
          <w:b/>
          <w:noProof/>
          <w:sz w:val="24"/>
        </w:rPr>
        <w:t>netwerks aktar stretti ta’ ċentri Ewropej ta’ eċċellenza fir-riċerka tal-IA</w:t>
      </w:r>
      <w:r>
        <w:rPr>
          <w:rFonts w:ascii="Times New Roman" w:hAnsi="Times New Roman"/>
          <w:noProof/>
          <w:sz w:val="24"/>
        </w:rPr>
        <w:t>. L-għan huwa li titrawwem il-kooperazzjoni fost l-aħjar timijiet ta’ riċerka fl-Ewropa, b’tali mod li meta jgħaqqdu l-forzi jkunu jistgħu jindirizzaw sfidi xjentifiċi u teknoloġiċi kbar fl-IA b’mod aktar effiċjenti.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Biex applikazzjonijiet eċċellenti tal-IA jinġiebu fis-suq ikun hemm bżonn li jiġu ttestjati u esperimentati f’ambjenti tad-dinja reali. Bħala parti mill-implimentazzjoni tal-istrateġija għad-Diġitalizzazzjoni tal-Industrija Ewropea</w:t>
      </w:r>
      <w:r>
        <w:rPr>
          <w:rStyle w:val="FootnoteReference"/>
          <w:rFonts w:ascii="Times New Roman" w:hAnsi="Times New Roman"/>
          <w:noProof/>
          <w:sz w:val="24"/>
        </w:rPr>
        <w:footnoteReference w:id="22"/>
      </w:r>
      <w:r>
        <w:rPr>
          <w:rFonts w:ascii="Times New Roman" w:hAnsi="Times New Roman"/>
          <w:noProof/>
          <w:sz w:val="24"/>
        </w:rPr>
        <w:t xml:space="preserve"> adottata fl-2016, il-Kummissjoni diġà qed tappoġġa proġetti pilota fuq skala kbira u esperimenti f’oqsma bħal biedja intelliġenti, bliet intelliġenti u vetturi konnessi u awtonomi.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Se jinsiltu t-tagħlimiet minn dawn il-proġetti pilota u l-esperimenti. Sabiex jiġi ottimizzat l-investiment u tiġi evitata d-duplikazzjoni tal-isforzi, il-Kummissjoni tipproponi li </w:t>
      </w:r>
      <w:r>
        <w:rPr>
          <w:rFonts w:ascii="Times New Roman" w:hAnsi="Times New Roman"/>
          <w:b/>
          <w:noProof/>
          <w:sz w:val="24"/>
        </w:rPr>
        <w:t>diversi siti tat-test ta’ referenza fuq skala kbira, miftuħa għall-atturi kollha fl-Ewropa kollha, jiġu żviluppati bl-użu ta’ mhux anqas minn EUR 1.5 biljun</w:t>
      </w:r>
      <w:r>
        <w:rPr>
          <w:rFonts w:ascii="Times New Roman" w:hAnsi="Times New Roman"/>
          <w:noProof/>
          <w:sz w:val="24"/>
        </w:rPr>
        <w:t xml:space="preserve"> mill-qasam tal-IA tal-programm propost tal-Ewropa Diġitali, li jibni fuq il-bażi qawwija taċ-ċentri ta’ eċċellenza eżistenti fl-Istati Membri.</w:t>
      </w:r>
      <w:r>
        <w:rPr>
          <w:noProof/>
        </w:rPr>
        <w:t xml:space="preserve"> </w:t>
      </w:r>
      <w:r>
        <w:rPr>
          <w:rFonts w:ascii="Times New Roman" w:hAnsi="Times New Roman"/>
          <w:noProof/>
          <w:sz w:val="24"/>
        </w:rPr>
        <w:t>Eżempji ta’ faċilitajiet tal-ittestjar li l-Istati Membri qed jistabbilixxu jinkludu ttestjar transfruntier ta’ sewqan konness awtonomu</w:t>
      </w:r>
      <w:r>
        <w:rPr>
          <w:rStyle w:val="FootnoteReference"/>
          <w:rFonts w:ascii="Times New Roman" w:hAnsi="Times New Roman"/>
          <w:noProof/>
          <w:sz w:val="24"/>
        </w:rPr>
        <w:footnoteReference w:id="23"/>
      </w:r>
      <w:r>
        <w:rPr>
          <w:rFonts w:ascii="Times New Roman" w:hAnsi="Times New Roman"/>
          <w:noProof/>
          <w:sz w:val="24"/>
        </w:rPr>
        <w:t xml:space="preserve"> u l-esperimentazzjoni fuq skala reali ta’ sptarijiet intelliġenti. Fil-każ ta’ mobilità konnessa u awtonoma, l-identifikazzjoni ta’ tali faċilitajiet tal-ittestjar u t-testijiet stess se tiġi kkoordinata, l-ewwel, mill-pjattaforma unika għall-UE kollha msemmija fl-istrateġija tal-UE dwar il-mobilità tal-futur</w:t>
      </w:r>
      <w:r>
        <w:rPr>
          <w:rStyle w:val="FootnoteReference"/>
          <w:rFonts w:ascii="Times New Roman" w:hAnsi="Times New Roman"/>
          <w:noProof/>
          <w:sz w:val="24"/>
        </w:rPr>
        <w:footnoteReference w:id="24"/>
      </w:r>
      <w:r>
        <w:rPr>
          <w:rFonts w:ascii="Times New Roman" w:hAnsi="Times New Roman"/>
          <w:noProof/>
          <w:sz w:val="24"/>
        </w:rPr>
        <w:t xml:space="preserve"> u, imbagħad, mill-isħubija korrispondenti li trid tiġi stabbilita taħt Orizzont tal-Ewropa.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Huwa daqstant importanti li titrawwem l-adozzjoni wiesgħa l-aktar possibbli tal-IA fl-ekonomija, b’mod partikolari minn-negozji l-ġodda u mill-intrapriżi żgħar u ta’ daqs medju. Bit-tħeġġiġ tal-kuxjenza pubblika u bil-kondiviżjoni tal-aħħar avvanzi xjentifiċi u teknoloġiji eċċellenti ppruvati u ttestjati żviluppati fl-Ewropa, nistgħu niżguraw li kull kumpannija, żgħira jew kbira, ta’ teknoloġija għolja jew le, kif ukoll is-settur pubbliku, jistgħu jaħtfu dawn l-opportunitajiet diġitali. Il-programm il-ġdid propost tal-Ewropa Diġitali jipprovdi għal kofinanzjament mill-Istati Membri u l-Kummissjoni f’</w:t>
      </w:r>
      <w:r>
        <w:rPr>
          <w:rFonts w:ascii="Times New Roman" w:hAnsi="Times New Roman"/>
          <w:b/>
          <w:noProof/>
          <w:sz w:val="24"/>
        </w:rPr>
        <w:t xml:space="preserve">ċentri ta’ innovazzjoni diġitali </w:t>
      </w:r>
      <w:r>
        <w:rPr>
          <w:rFonts w:ascii="Times New Roman" w:hAnsi="Times New Roman"/>
          <w:noProof/>
          <w:sz w:val="24"/>
        </w:rPr>
        <w:t>fl-Ewropa kollha, inkluż permezz tal-fondi ta’ Politika ta’ Koeżjoni. Il-programm se jkompli jiffaċilita d-diffużjoni tal-kapaċità tal-IA f’kull Stat Membru u se jorbot mal-pjattaforma AI-on-demand</w:t>
      </w:r>
      <w:r>
        <w:rPr>
          <w:rStyle w:val="FootnoteReference"/>
          <w:rFonts w:ascii="Times New Roman" w:hAnsi="Times New Roman"/>
          <w:noProof/>
          <w:sz w:val="24"/>
        </w:rPr>
        <w:footnoteReference w:id="25"/>
      </w:r>
      <w:r>
        <w:rPr>
          <w:rFonts w:ascii="Times New Roman" w:hAnsi="Times New Roman"/>
          <w:noProof/>
          <w:sz w:val="24"/>
        </w:rPr>
        <w:t>. Għal dan il-għan, fl-2019, l-Istati Membri se jidentifikaw iċ-ċentri tal-innovazzjoni diġitali tal-IA fit-territorju tagħhom.</w:t>
      </w:r>
    </w:p>
    <w:p>
      <w:pPr>
        <w:spacing w:before="360" w:after="240" w:line="240" w:lineRule="auto"/>
        <w:ind w:left="567" w:hanging="567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 xml:space="preserve">2.4. 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>L-adattament tal-programmi tagħna ta’ tagħlim u taħriġ u s-sistemi biex iħejju aħjar is-soċjetà tagħna għall-IA</w:t>
      </w:r>
      <w:r>
        <w:rPr>
          <w:rStyle w:val="FootnoteReference"/>
          <w:rFonts w:ascii="Times New Roman" w:hAnsi="Times New Roman"/>
          <w:noProof/>
          <w:sz w:val="24"/>
        </w:rPr>
        <w:footnoteReference w:id="26"/>
      </w:r>
      <w:r>
        <w:rPr>
          <w:rFonts w:ascii="Times New Roman" w:hAnsi="Times New Roman"/>
          <w:b/>
          <w:noProof/>
          <w:sz w:val="24"/>
        </w:rPr>
        <w:t>.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Il-progress teknoloġiku rapidu jfisser li d-dinja tax-xogħol se jiġu ttrasformati b’mod sinifikanti, u llum qabel għada. B’mod partikolari, il-bidliet teknoloġiċi se jimmodifika l-ħiliet meħtieġa tal-ħaddiema, fis-sens li potenzjalment għadd kbir ħafna ta’ ħaddiema ser jeħtieġ li jtejbu l-ħiliet. Għalhekk, jeħtieġ li tingħata aktar attenzjoni fuq it-tagħlim tul il-ħajja. Aspett speċifiku wieħed tal-bidla jikkonċerna dawk il-ħaddiema li effettivament ser ifasslu u jimplimentaw is-soluzzjonijiet tal-IA tal-futur. Kważi l-Istati Membri kollha qed jiffaċċjaw nuqqas ta’ professjonisti tat-teknoloġiji tal-informazzjoni u tal-komunikazzjoni, u attwalment hemm aktar minn 600 000 post vakant għal esperti diġitali</w:t>
      </w:r>
      <w:r>
        <w:rPr>
          <w:rStyle w:val="FootnoteReference"/>
          <w:rFonts w:ascii="Times New Roman" w:hAnsi="Times New Roman"/>
          <w:noProof/>
          <w:sz w:val="24"/>
        </w:rPr>
        <w:footnoteReference w:id="27"/>
      </w:r>
      <w:r>
        <w:rPr>
          <w:rFonts w:ascii="Times New Roman" w:hAnsi="Times New Roman"/>
          <w:noProof/>
          <w:sz w:val="24"/>
        </w:rPr>
        <w:t>. Barra minn hekk, riċerkaturi ta’ ħila u neogzji ġodda promettenti spiss jirċievu offerti interessanti minn barra l-pajjiż. Pereżempju, fl-2017 kien hemm 240 000 Ewropew f’Silicon Valley</w:t>
      </w:r>
      <w:r>
        <w:rPr>
          <w:rStyle w:val="FootnoteReference"/>
          <w:rFonts w:ascii="Times New Roman" w:hAnsi="Times New Roman"/>
          <w:noProof/>
          <w:sz w:val="24"/>
        </w:rPr>
        <w:footnoteReference w:id="28"/>
      </w:r>
      <w:r>
        <w:rPr>
          <w:rFonts w:ascii="Times New Roman" w:hAnsi="Times New Roman"/>
          <w:noProof/>
          <w:sz w:val="24"/>
        </w:rPr>
        <w:t xml:space="preserve">, li ħafna minnhom daħlu l-Istati Uniti biex jieħdu impjieg speċifiku fl-industrija tat-teknoloġija. L-Ewropa trid tkun kapaċi tħarreġ, tattira u żżomm it-talent ta’ dan it-tip, u tħeġġeġ l-intraprenditorija, id-diversità u l-bilanċ bejn is-sessi.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Għaldaqstant, l-Istati Membri ser jiskambjaw l-aħjar prattiki dwar kif tista’ tissaħħaħ l-eċċellenza u jinżammu ħaddiema ta’ ħila, kif ukoll dwar kif jiżdiedu u jitħaffu l-isforzi biex jintroduċu u jisfruttaw bis-sħiħ il-possibbiltajiet offruti mill-acquis attwali dwar il-migrazzjoni legali, inkluż il-karta blu</w:t>
      </w:r>
      <w:r>
        <w:rPr>
          <w:rStyle w:val="FootnoteReference"/>
          <w:rFonts w:ascii="Times New Roman" w:hAnsi="Times New Roman"/>
          <w:noProof/>
          <w:sz w:val="24"/>
        </w:rPr>
        <w:footnoteReference w:id="29"/>
      </w:r>
      <w:r>
        <w:rPr>
          <w:rFonts w:ascii="Times New Roman" w:hAnsi="Times New Roman"/>
          <w:noProof/>
          <w:sz w:val="24"/>
        </w:rPr>
        <w:t xml:space="preserve"> biex tattira ħaddiema ta’ ħila. Il-karta blu hija permess tax-xogħol li jippermetti ċittadini mhux tal-UE b’livell għoli ta’ ħiliet jiġu jaħdmu u jgħixu fl-UE. Il-ħiliet jenħtieġ li jkunu koperti wkoll fi strateġiji nazzjonali tal-IA li jridu jiġu ppubblikati sa nofs l-2019. L-istrateġiji jenħtieġ li jindirizzaw ħiliet rilevanti għall-IA fi ħdan iċ-ċiklu tal-edukazzjoni formali, inkluż fit-taħriġ vokazzjonali u l-edukazzjoni għolja, kif ukoll modi biex jittejbu l-opportunitajiet għal Masters u PhDs fl-IA.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Il-Kummissjoni se tappoġġa Masters u PhDs fl-IA</w:t>
      </w:r>
      <w:r>
        <w:rPr>
          <w:noProof/>
        </w:rPr>
        <w:t xml:space="preserve"> </w:t>
      </w:r>
      <w:r>
        <w:rPr>
          <w:rFonts w:ascii="Times New Roman" w:hAnsi="Times New Roman"/>
          <w:noProof/>
          <w:sz w:val="24"/>
        </w:rPr>
        <w:t>permezz ta’ kooperazzjoni aktar mill-qrib proposta bejn ċentri ta’ eċċellenza fir-riċerka tal-IA u, b’mod aktar wiesa’, il-programmi ta’ riċerka innovazzjoni tal-UE</w:t>
      </w:r>
      <w:r>
        <w:rPr>
          <w:noProof/>
        </w:rPr>
        <w:t>.</w:t>
      </w:r>
      <w:r>
        <w:rPr>
          <w:rFonts w:ascii="Times New Roman" w:hAnsi="Times New Roman"/>
          <w:noProof/>
          <w:sz w:val="24"/>
        </w:rPr>
        <w:t xml:space="preserve"> L-interdixxiplinarità</w:t>
      </w:r>
      <w:r>
        <w:rPr>
          <w:rFonts w:ascii="Times New Roman" w:hAnsi="Times New Roman"/>
          <w:b/>
          <w:noProof/>
          <w:sz w:val="24"/>
        </w:rPr>
        <w:t xml:space="preserve"> </w:t>
      </w:r>
      <w:r>
        <w:rPr>
          <w:rFonts w:ascii="Times New Roman" w:hAnsi="Times New Roman"/>
          <w:noProof/>
          <w:sz w:val="24"/>
        </w:rPr>
        <w:t>se tiġi appoġġata billi jitħeġġu l-lawrji konġunti, pereżempju fil-liġi jew il-psikoloġija u l-IA. Barra minn hekk, il-ħiliet diġitali li jiffaċilitaw l-iżvilupp u l-użu tal-IA, jenħtieġ li jiġu inklużi fil-kurrikula tal-kwalifiki kollha tal-edukazzjoni u t-taħriġ.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Minħabba n-natura ta’ tfixkil ta’ ħafna avvanzi teknoloġiċi, dawk li jfasslu l-politika se jiżviluppaw strateġiji biex jindirizzaw bidliet fl-impjieg sabiex jiżguraw l-inklużività, hekk kif ir-ritmu li bih xi impjiegi se jisparixxu u oħrajn jinħolqu probabbilment se jaċċellera, filwaqt il-mudelli kummerċjali u l-mod kif jitwettqu l-kompiti jew l-impjiegi se jinbidel. Għandu mnejn li dan jirrikjedi modifika fis-suq attwali tax-xogħol u fl-arranġamenti ta’ protezzjoni soċjali biex isostnu t-tranżizzjonijiet fis-suq tax-xogħol. Il-Kummissjoni waqqfet grupp ta’ esperti ta’ livell għoli dwar l-impatt tat-trasformazzjoni diġitali fuq is-swieq tax-xogħol tal-UE li se jipprovdi rapport li jindirizza dawn il-kwistjonijiet fir-rebbiegħa 2019</w:t>
      </w:r>
      <w:r>
        <w:rPr>
          <w:rStyle w:val="FootnoteReference"/>
          <w:rFonts w:ascii="Times New Roman" w:hAnsi="Times New Roman"/>
          <w:noProof/>
          <w:sz w:val="24"/>
        </w:rPr>
        <w:footnoteReference w:id="30"/>
      </w:r>
      <w:r>
        <w:rPr>
          <w:rFonts w:ascii="Times New Roman" w:hAnsi="Times New Roman"/>
          <w:noProof/>
          <w:sz w:val="24"/>
        </w:rPr>
        <w:t xml:space="preserve">. </w:t>
      </w:r>
    </w:p>
    <w:p>
      <w:pPr>
        <w:spacing w:before="360" w:after="240" w:line="240" w:lineRule="auto"/>
        <w:ind w:left="567" w:hanging="567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 xml:space="preserve">2.5. 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>Il-bini ta’ spazju Ewropew tad-</w:t>
      </w:r>
      <w:r>
        <w:rPr>
          <w:rFonts w:ascii="Times New Roman" w:hAnsi="Times New Roman"/>
          <w:b/>
          <w:i/>
          <w:noProof/>
          <w:sz w:val="24"/>
        </w:rPr>
        <w:t>data</w:t>
      </w:r>
      <w:r>
        <w:rPr>
          <w:rFonts w:ascii="Times New Roman" w:hAnsi="Times New Roman"/>
          <w:b/>
          <w:noProof/>
          <w:sz w:val="24"/>
        </w:rPr>
        <w:t xml:space="preserve"> essenzjali għall-IA fl-Ewropa, inkluż għas-settur pubbliku</w:t>
      </w:r>
      <w:r>
        <w:rPr>
          <w:rStyle w:val="FootnoteReference"/>
          <w:rFonts w:ascii="Times New Roman" w:hAnsi="Times New Roman"/>
          <w:noProof/>
          <w:sz w:val="24"/>
        </w:rPr>
        <w:footnoteReference w:id="31"/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Aktar żviluppi fl-IA jeħtieġu ekosistema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li tiffunzjona tajjeb mibnija fuq il-fiduċja, id-disponibbiltà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u l-infrastruttura</w:t>
      </w:r>
      <w:r>
        <w:rPr>
          <w:rStyle w:val="FootnoteReference"/>
          <w:rFonts w:ascii="Times New Roman" w:hAnsi="Times New Roman"/>
          <w:noProof/>
          <w:sz w:val="24"/>
        </w:rPr>
        <w:footnoteReference w:id="32"/>
      </w:r>
      <w:r>
        <w:rPr>
          <w:rFonts w:ascii="Times New Roman" w:hAnsi="Times New Roman"/>
          <w:noProof/>
          <w:sz w:val="24"/>
        </w:rPr>
        <w:t>. Ir-Regolament Ġenerali dwar il-Protezzjoni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(GDPR)</w:t>
      </w:r>
      <w:r>
        <w:rPr>
          <w:rStyle w:val="FootnoteReference"/>
          <w:rFonts w:ascii="Times New Roman" w:hAnsi="Times New Roman"/>
          <w:noProof/>
          <w:sz w:val="24"/>
        </w:rPr>
        <w:footnoteReference w:id="33"/>
      </w:r>
      <w:r>
        <w:rPr>
          <w:rFonts w:ascii="Times New Roman" w:hAnsi="Times New Roman"/>
          <w:noProof/>
          <w:sz w:val="24"/>
        </w:rPr>
        <w:t xml:space="preserve"> huwa ankra ta’ fiduċja fis-suq uniku għad-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>. Dan stabbilixxa standard globali ġdid b’enfasi qawwi fuq id-drittijiet tal-individwi, li jirrifletti l-valuri Ewropej, u hu element importanti biex tiġi żgurata l-fiduċja fl-IA. Din il-fiduċja hija partikolarment importanti meta niġu għall-ipproċessar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tal-kura tas-saħħa għall-applikazzjonijiet xprunati tal-IA.  Il-Kummissjoni tixtieq tħeġġeġ lill-Bord Ewropew għall-Protezzjoni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biex jiżviluppaw linji gwida dwar il-kwistjoni tal-ipproċessar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personali fil-kuntest tar-riċerka. Dan se jiffaċilita l-iżvilupp ta’ riċerka ta’ settijiet ta’ dejta kbar bejn il-pajjiżi li jistgħu jintużaw għall-IA.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L-IA teħtieġ l-iżvilupp ta’ ammonti kbar ta’ 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>. It-tagħlim awtomatiku, tip ta’ IA, jaħdem bl-identifikazzjoni ta’ xejriet fid-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disponibbli u mbagħad japplika l-għarfien fuq id-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l-ġdida. Akbar mhu s-sett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>, aktar l-IA tkun tista’ titgħallem u tiskopri saħansitra relazzjonijiet sottili fid-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.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Ladarba jitħarrġu, l-algoritmi jkunu jistgħu jikklassifikaw kif suppost oġġetti li qatt ma jkunu raw, f’aktar u aktar każijiet bi preċiżjonijiet li jisbqu dawk tal-bniedem. L-aċċess għad-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huwa ingredjent essenzjali għal xenarju kompetittiv tal-IA, li l-UE jenħtieġ li tiffaċilita b’rispett sħiħ tar-regoli dwar il-protezzjoni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personali. </w:t>
      </w:r>
    </w:p>
    <w:p>
      <w:pPr>
        <w:spacing w:line="240" w:lineRule="auto"/>
        <w:jc w:val="both"/>
        <w:rPr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Id-dħul fis-seħħ tar-Regolament</w:t>
      </w:r>
      <w:r>
        <w:rPr>
          <w:rStyle w:val="FootnoteReference"/>
          <w:rFonts w:ascii="Times New Roman" w:hAnsi="Times New Roman"/>
          <w:noProof/>
          <w:sz w:val="24"/>
        </w:rPr>
        <w:footnoteReference w:id="34"/>
      </w:r>
      <w:r>
        <w:rPr>
          <w:rFonts w:ascii="Times New Roman" w:hAnsi="Times New Roman"/>
          <w:noProof/>
          <w:sz w:val="24"/>
        </w:rPr>
        <w:t xml:space="preserve"> dwar il-fluss liberu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mhux personali matul l-2019 se jgħin biex id-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tinfetaħ, b’mod partikolari data ġġenerata mill-makna, u se jiffaċilita ħafna l-operazzjoni transfruntiera tan-negozji fl-Unjoni. Il-ftuħ għal flussi ta’ 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internazzjonali ser ikompli tiġi żgurata r-rispett sħiħ tar-regoli tal-UE għall-protezzjoni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personali u skont l-istrumenti legali applikabbli, inklużi l-ftehimiet ta’ kummerċ ħieles.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Il-Ftehim dwar ir-reviżjoni tad-Direttiva dwar l-Informazzjoni tas-Settur Pubbliku</w:t>
      </w:r>
      <w:r>
        <w:rPr>
          <w:rStyle w:val="FootnoteReference"/>
          <w:rFonts w:ascii="Times New Roman" w:hAnsi="Times New Roman"/>
          <w:noProof/>
          <w:sz w:val="24"/>
        </w:rPr>
        <w:footnoteReference w:id="35"/>
      </w:r>
      <w:r>
        <w:rPr>
          <w:rFonts w:ascii="Times New Roman" w:hAnsi="Times New Roman"/>
          <w:noProof/>
          <w:sz w:val="24"/>
        </w:rPr>
        <w:t xml:space="preserve"> se jżid ukoll l-ammont ta’ 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disponibbli għall-innovazzjoni.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Il-ħolqien ta’ spazji komuni Ewropej tad-</w:t>
      </w:r>
      <w:r>
        <w:rPr>
          <w:rFonts w:ascii="Times New Roman" w:hAnsi="Times New Roman"/>
          <w:b/>
          <w:i/>
          <w:noProof/>
          <w:sz w:val="24"/>
        </w:rPr>
        <w:t>data</w:t>
      </w:r>
      <w:r>
        <w:rPr>
          <w:noProof/>
        </w:rPr>
        <w:t xml:space="preserve"> </w:t>
      </w:r>
      <w:r>
        <w:rPr>
          <w:rFonts w:ascii="Times New Roman" w:hAnsi="Times New Roman"/>
          <w:noProof/>
          <w:sz w:val="24"/>
        </w:rPr>
        <w:t>f’għadd ta’ oqsma bħall-manifattura jew l-enerġija ser jikkostitwixxu assi ewlenin għall-innovaturi u n-negozji Ewropej. Dawn l-spazji komuni Ewropej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se jaggregaw 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>, kemm għas-settur pubbliku kif ukoll bejn in-negozji, fl-Ewropa kollha u jagħmluhom disponibbli biex titħarreġ l-IA</w:t>
      </w:r>
      <w:r>
        <w:rPr>
          <w:rStyle w:val="FootnoteReference"/>
          <w:rFonts w:ascii="Times New Roman" w:hAnsi="Times New Roman"/>
          <w:noProof/>
          <w:sz w:val="24"/>
        </w:rPr>
        <w:footnoteReference w:id="36"/>
      </w:r>
      <w:r>
        <w:rPr>
          <w:rFonts w:ascii="Times New Roman" w:hAnsi="Times New Roman"/>
          <w:noProof/>
          <w:sz w:val="24"/>
        </w:rPr>
        <w:t xml:space="preserve"> fuq skala li tippermetti l-iżvilupp ta’ prodotti u servizzi ġodda. L-iżvilupp mgħaġġel u l-adozzjoni tar-regoli Ewropej bħar-rekwiżiti tal-interoperabbiltà u l-istandards huwa essenzjali. L-Unjoni għandha tipprovdi wkoll appoġġ biex jiġi żgurat aċċess bla xkiel għal tali settijiet ta’ 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u l-iskambju u l-użu mill-ġdid tagħhom. L-identifikazzjoni mill-Istati Membri ta’ settijiet ta’ 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b’valur għoli se tgħin biex isiru jistgħu jintużaw mill-ġdid b’mod bil-miftuħ. Il-Kummissjoni tikkontribwixxi wkoll bi kwantitajiet kbar ta’ 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u informazzjoni ta’ osservazzjoni tad-dinja mill-programm ewlieni tagħha Copernicus.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L-applikazzjonijiet tal-IA fil-kura tas-saħħa huma partikolarment promettenti. </w:t>
      </w:r>
      <w:r>
        <w:rPr>
          <w:rFonts w:ascii="Times New Roman" w:hAnsi="Times New Roman"/>
          <w:b/>
          <w:noProof/>
          <w:sz w:val="24"/>
        </w:rPr>
        <w:t>Fl-2020 il-Kummissjoni se tappoġġa permezz ta’ Orizzont 2020 — f’koordinazzjoni mal-Istati Membri — l-iżvilupp ta’ bażi tad-</w:t>
      </w:r>
      <w:r>
        <w:rPr>
          <w:rFonts w:ascii="Times New Roman" w:hAnsi="Times New Roman"/>
          <w:b/>
          <w:i/>
          <w:noProof/>
          <w:sz w:val="24"/>
        </w:rPr>
        <w:t>data</w:t>
      </w:r>
      <w:r>
        <w:rPr>
          <w:rFonts w:ascii="Times New Roman" w:hAnsi="Times New Roman"/>
          <w:b/>
          <w:noProof/>
          <w:sz w:val="24"/>
        </w:rPr>
        <w:t xml:space="preserve"> komuni għall-immaġni tas-saħħa</w:t>
      </w:r>
      <w:r>
        <w:rPr>
          <w:rFonts w:ascii="Times New Roman" w:hAnsi="Times New Roman"/>
          <w:noProof/>
          <w:sz w:val="24"/>
        </w:rPr>
        <w:t xml:space="preserve"> (anonimizzata, u bbażata fuq li l-pazjenti b’mod volontarju jagħtu 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tagħhom). Din il-bażi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għall-immaġni tas-saħħa inizjalment ser tiġi ddedikata lill-aktar forom komuni ta’ kanser, </w:t>
      </w:r>
      <w:r>
        <w:rPr>
          <w:rFonts w:ascii="Times New Roman" w:hAnsi="Times New Roman"/>
          <w:b/>
          <w:noProof/>
          <w:sz w:val="24"/>
        </w:rPr>
        <w:t>bl-użu tal-IA biex jittejbu d-dijanjosi u t-trattament</w:t>
      </w:r>
      <w:r>
        <w:rPr>
          <w:rFonts w:ascii="Times New Roman" w:hAnsi="Times New Roman"/>
          <w:noProof/>
          <w:sz w:val="24"/>
        </w:rPr>
        <w:t xml:space="preserve">. Ix-xogħol se jissodisfa r-rekwiżiti kollha neċessarji regolatorji, ta’ sigurtà u etiċi. 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Għodod tal-IA huma kruċjali għall-ħidma futura tal-amministrazzjonijiet pubbliċi. L-Istati Membri u l-Kummissjoni se jieħdu sehem fit-tagħlim bejn il-pari u jiddiskutu l-oqsma għall-</w:t>
      </w:r>
      <w:r>
        <w:rPr>
          <w:rFonts w:ascii="Times New Roman" w:hAnsi="Times New Roman"/>
          <w:b/>
          <w:noProof/>
          <w:sz w:val="24"/>
        </w:rPr>
        <w:t>akkwist konġunt ta’ soluzzjonijiet tal-IA, inkluża ċ-ċibersigurtà</w:t>
      </w:r>
      <w:r>
        <w:rPr>
          <w:rFonts w:ascii="Times New Roman" w:hAnsi="Times New Roman"/>
          <w:noProof/>
          <w:sz w:val="24"/>
        </w:rPr>
        <w:t xml:space="preserve">, kif ukoll sfidi speċifiċi għas-settur pubbliku. Meta l-IA tiġi implimentata, pereżempju, għas-sigurtà u l-infurzar tal-liġi, iqumu kwistjonijiet legali u etiċi partikolari, meta wieħed iqis li l-amministrazzjonijiet pubbliċi huma marbutin li jaġixxu kif preskritt bil-liġi, li jeħtieġu sabiex jimmotivaw id-deċiżjonijiet tagħhom u li l-atti tagħhom huma suġġetti għal stħarriġ ġudizzjarju minn qrati amministrattivi.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Fl-aħħar nett, il-kapaċità tal-computing hija essenzjali biex tiġi pproċessata 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>. L-Inizjattiva Ewropea għal Computing bi Prestazzjoni Għolja</w:t>
      </w:r>
      <w:r>
        <w:rPr>
          <w:rStyle w:val="FootnoteReference"/>
          <w:rFonts w:ascii="Times New Roman" w:hAnsi="Times New Roman"/>
          <w:noProof/>
          <w:sz w:val="24"/>
        </w:rPr>
        <w:footnoteReference w:id="37"/>
      </w:r>
      <w:r>
        <w:rPr>
          <w:rFonts w:ascii="Times New Roman" w:hAnsi="Times New Roman"/>
          <w:noProof/>
          <w:sz w:val="24"/>
        </w:rPr>
        <w:t xml:space="preserve"> (EuroHPC) huwa l-ġbir tar-riżorsi għall-iżvilupp tal-ġenerazzjoni li jmiss ta’ superkompjuters biex tiġi pproċessata l-big data u titħarreġ l-IA. F’dan il-kuntest, l-isħubija li hemm bħalissa mal-Istati Membri u l-industrija dwar il-komponenti u s-sistemi mikroelettroniċi (ECSEL</w:t>
      </w:r>
      <w:r>
        <w:rPr>
          <w:rStyle w:val="FootnoteReference"/>
          <w:rFonts w:ascii="Times New Roman" w:hAnsi="Times New Roman"/>
          <w:noProof/>
          <w:sz w:val="24"/>
        </w:rPr>
        <w:footnoteReference w:id="38"/>
      </w:r>
      <w:r>
        <w:rPr>
          <w:rFonts w:ascii="Times New Roman" w:hAnsi="Times New Roman"/>
          <w:noProof/>
          <w:sz w:val="24"/>
        </w:rPr>
        <w:t>) kif ukoll l-Inizjattiva tal-Proċessur Ewropew</w:t>
      </w:r>
      <w:r>
        <w:rPr>
          <w:rStyle w:val="FootnoteReference"/>
          <w:rFonts w:ascii="Times New Roman" w:hAnsi="Times New Roman"/>
          <w:noProof/>
          <w:sz w:val="24"/>
        </w:rPr>
        <w:footnoteReference w:id="39"/>
      </w:r>
      <w:r>
        <w:rPr>
          <w:rFonts w:ascii="Times New Roman" w:hAnsi="Times New Roman"/>
          <w:noProof/>
          <w:sz w:val="24"/>
        </w:rPr>
        <w:t>, li għandu l-għan li joħloq teknoloġija tal-proċessur ta’ enerġija baxxa għal computing bi prestazzjoni għolja, u ċentri tad-</w:t>
      </w:r>
      <w:r>
        <w:rPr>
          <w:rFonts w:ascii="Times New Roman" w:hAnsi="Times New Roman"/>
          <w:i/>
          <w:noProof/>
          <w:sz w:val="24"/>
        </w:rPr>
        <w:t>data</w:t>
      </w:r>
      <w:r>
        <w:rPr>
          <w:rFonts w:ascii="Times New Roman" w:hAnsi="Times New Roman"/>
          <w:noProof/>
          <w:sz w:val="24"/>
        </w:rPr>
        <w:t xml:space="preserve"> u vetturi awtonomi, huma kruċjali sabiex tiġi żviluppata ekosistema Ewropea indipendenti u innovattiva għall-aqwa d-disinn ta’ chip. </w:t>
      </w:r>
    </w:p>
    <w:p>
      <w:pPr>
        <w:spacing w:before="360" w:after="240" w:line="240" w:lineRule="auto"/>
        <w:ind w:left="567" w:hanging="567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 xml:space="preserve">2.6. 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>L-iżvilupp ta’ linji gwida ta’ etika b’perspettiva globali u l-iżgurar ta’ qafas legali li jiffavorixxi l-innovazzjoni</w:t>
      </w:r>
      <w:r>
        <w:rPr>
          <w:rStyle w:val="FootnoteReference"/>
          <w:rFonts w:ascii="Times New Roman" w:hAnsi="Times New Roman"/>
          <w:b/>
          <w:noProof/>
          <w:sz w:val="24"/>
        </w:rPr>
        <w:footnoteReference w:id="40"/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Sabiex tinkiseb il-fiduċja, li hija meħtieġa għal soċjetajiet li jaċċettaw u jużaw l-IA, it-teknoloġija għandha tkun prevedibbli, responsabbli, verifikabbli, tirrispetta d-drittijiet fundamentali u ssegwu regoli etiċi. Inkella, l-użu tal-IA jista’ jwassal għal riżultati mhux mixtieqa, bħall-ħolqien ta’ kamra tal-eku fejn in-nies jirċievu biss informazzjoni li tikkorrispondi mal-opinjonijiet tagħhom, jew it-tisħiħ tad-diskriminazzjoni, bħal fil-każ fejn algoritmu jsri razzista fi żmien 24 siegħa minħabba esponiment għal materjal razzist</w:t>
      </w:r>
      <w:r>
        <w:rPr>
          <w:rStyle w:val="FootnoteReference"/>
          <w:rFonts w:ascii="Times New Roman" w:hAnsi="Times New Roman"/>
          <w:noProof/>
          <w:sz w:val="24"/>
        </w:rPr>
        <w:footnoteReference w:id="41"/>
      </w:r>
      <w:r>
        <w:rPr>
          <w:rFonts w:ascii="Times New Roman" w:hAnsi="Times New Roman"/>
          <w:noProof/>
          <w:sz w:val="24"/>
        </w:rPr>
        <w:t xml:space="preserve">. 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B’mod kruċjali, il-bnedmin għandhom jifhmu kif l-IA tieħu d-deċiżjonijiet. L-Ewropa tista’ tkun fuq quddiem nett fid-dinja fl-iżvilupp u fl-użu tal-IA għal dejjem u tippromwovi approċċ iċċentrat fuq il-bniedem u prinċipji ta’ etika mfassla. 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Biex tali prinċipji jiġu ankrati aktar fis-sod fl-iżvilupp u fl-użu tal-IA, il-Kummissjoni ħatret grupp indipendenti ta’ esperti ta’ livell għoli tal-IA bil-kompitu li jiżviluppaw abbozz ta’ linji gwida dwar l-etika tal-IA. </w:t>
      </w:r>
      <w:r>
        <w:rPr>
          <w:rFonts w:ascii="Times New Roman" w:hAnsi="Times New Roman"/>
          <w:b/>
          <w:noProof/>
          <w:sz w:val="24"/>
        </w:rPr>
        <w:t>L-ewwel verżjoni se tkun ippubblikata sal-aħħar tal-2018 u l-esperti ser jippreżentaw il-verżjoni finali tal-linji gwida tagħhom lill-Kummissjoni f’Marzu 2019 wara konsultazzjoni wiesgħa permezz tal-Alleanza Ewropea tal-IA</w:t>
      </w:r>
      <w:r>
        <w:rPr>
          <w:rStyle w:val="FootnoteReference"/>
          <w:rFonts w:ascii="Times New Roman" w:hAnsi="Times New Roman"/>
          <w:noProof/>
          <w:sz w:val="24"/>
        </w:rPr>
        <w:footnoteReference w:id="42"/>
      </w:r>
      <w:r>
        <w:rPr>
          <w:rFonts w:ascii="Times New Roman" w:hAnsi="Times New Roman"/>
          <w:noProof/>
          <w:sz w:val="24"/>
        </w:rPr>
        <w:t>. Imbagħad, l-ambizzjoni hija li jitressaq l-approċċ etiku tal-Ewropa fix-xena globali.  Il-Kummissjoni qiegħda tiftaħ il-kooperazzjoni lill-pajjiżi kollha li mhumiex fl-UE li huma lesti li jikkondividu l-istess valuri.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Aktar żviluppi fl-IA jeħtieġu wkoll qafas regolatorju li huwa flessibbli biżżejjed biex jippromwovi l-innovazzjoni filwaqt li jiżgura livelli għoljin ta’ protezzjoni u sikurezza. Il-Kummissjoni qiegħda fil-proċess li tivvaluta jekk l-oqfsa nazzjonali u tal-UE dwar is-sikurezza u r-responsabbiltà humiex adatti għall-iskop tagħhom fid-dawl ta’ dawn l-isfidi l-ġodda jew jekk jenħtieġx li jiġu indirizzati xi diskrepanzi.  Għal dan il-għan il-Kummissjoni ser tippubblika sa nofs l-2019 rapport dwar lakuni potenzjali fl-oqfsa ta’ sikurezza u responsabbiltà għall-IA u orjentazzjonijiet għalihom. </w:t>
      </w:r>
    </w:p>
    <w:p>
      <w:pPr>
        <w:keepNext/>
        <w:spacing w:before="360" w:after="240" w:line="240" w:lineRule="auto"/>
        <w:ind w:left="567" w:hanging="567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 xml:space="preserve">2.7. 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>L-aspetti relatati mas-sigurtà tal-applikazzjonijiet tal-IA u l-infrastruttura, u l-aġenda tas-sigurtà internazzjonali</w:t>
      </w:r>
    </w:p>
    <w:p>
      <w:pPr>
        <w:spacing w:after="24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 xml:space="preserve">Hemm bżonn li nifhmu aħjar kif l-IA jista’ jkollha impatt fuq is-sigurtà fi tliet dimensjonijiet: kif l-IA tista’ ssaħħaħ l-għanijiet tas-settur tas-sigurtà;  kif it-teknoloġiji tal-IA jistgħu jiġu protetti minn attakki; u kif jiġi indirizzat kwalunkwe abbuż potenzjali tal-IA għal skopijiet malizzjużi. </w:t>
      </w:r>
    </w:p>
    <w:p>
      <w:pPr>
        <w:spacing w:after="24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Il-potenzjal dejjem jikber u s-sensittività tal-applikazzjonijiet tal-IA f’ħafna oqsma tal-ekonomija diġitali u tas-soċjetà, bħal mobilità awtonoma jew l-evitar tal-qtugħ tad-dawl, tfisser li huwa rilevanti ħafna li jiġu stabbiliti rekwiżiti taċ-ċibersigurtà għall-AI</w:t>
      </w:r>
      <w:r>
        <w:rPr>
          <w:rStyle w:val="FootnoteReference"/>
          <w:rFonts w:ascii="Times New Roman" w:hAnsi="Times New Roman"/>
          <w:noProof/>
          <w:color w:val="000000" w:themeColor="text1"/>
          <w:sz w:val="24"/>
        </w:rPr>
        <w:footnoteReference w:id="43"/>
      </w:r>
      <w:r>
        <w:rPr>
          <w:rFonts w:ascii="Times New Roman" w:hAnsi="Times New Roman"/>
          <w:noProof/>
          <w:sz w:val="24"/>
        </w:rPr>
        <w:t>.</w:t>
      </w:r>
    </w:p>
    <w:p>
      <w:pPr>
        <w:spacing w:after="24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L-applikazzjoni tal-IA f’sistemi tal-armi għandha l-potenzjal li tbiddel fundamentalment il-kunflitti armati u għalhekk tqajjem preokkupazzjonijiet u mistoqsijiet serji. L-Unjoni ser tkompli tenfasizza li l-liġi internazzjonali, inklużi d-Dritt Umanitarju Internazzjonali u d-Dritt Internazzjonali dwar id-Drittijiet tal-Bniedem, japplikaw b’mod sħiħ għas-sistemi kollha tal-armi, inklużi sistemi tal-armi awtonomi, u li l-Istati jibqgħu responsabbli għall-iżvilupp u l-użu tagħhom f’konflitt armat. Il-pożizzjoni tal-UE tibqa’ li l-kontroll tal-bniedem irid jinżamm fid-deċiżjonijiet dwar l-użu ta’ forza letali u integrat fiċ-ċiklu kollu tal-ħajja ta’ kwalunkwe sistemi ta’ armi</w:t>
      </w:r>
      <w:r>
        <w:rPr>
          <w:rStyle w:val="FootnoteReference"/>
          <w:rFonts w:ascii="Times New Roman" w:hAnsi="Times New Roman"/>
          <w:noProof/>
          <w:sz w:val="24"/>
        </w:rPr>
        <w:footnoteReference w:id="44"/>
      </w:r>
      <w:r>
        <w:rPr>
          <w:rFonts w:ascii="Times New Roman" w:hAnsi="Times New Roman"/>
          <w:noProof/>
          <w:sz w:val="24"/>
        </w:rPr>
        <w:t>.</w:t>
      </w:r>
    </w:p>
    <w:p>
      <w:pPr>
        <w:spacing w:before="480" w:after="240" w:line="240" w:lineRule="auto"/>
        <w:ind w:left="567" w:hanging="567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 xml:space="preserve">3. 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>KONKLUŻJONIJIET</w:t>
      </w:r>
    </w:p>
    <w:p>
      <w:p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L-IA hija diġà parti mill-ħajja tagħna ta’ kuljum, imma l-potenzjal tagħha huwa ħafna akbar milli rajna s’issa. Biex l-Ewropa ssir attur ewlieni fl-IA, għandha bżonn li tibni fuq il-qawwiet tagħha u tappoġġa l-iżvilupp ta’ IA etika, sigura u avvanzata magħmula fl-Ewropa.</w:t>
      </w:r>
    </w:p>
    <w:p>
      <w:pPr>
        <w:keepNext/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Għalhekk il-Kummissjoni tistieden:</w:t>
      </w:r>
    </w:p>
    <w:p>
      <w:pPr>
        <w:pStyle w:val="ListParagraph"/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il-Kunsill Ewropew biex japprova l-pjan ikkoordinat;</w:t>
      </w:r>
    </w:p>
    <w:p>
      <w:pPr>
        <w:pStyle w:val="ListParagraph"/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l-Istati Membri biex jimplimentaw pjan ikkoordinat, inkluż l-iżvilupp ta’ strateġiji nazzjonali tal-IA sa nofs l-2019, li jiddeskrivu l-livelli ta’ investiment u l-miżuri ta’ implimentazzjoni;</w:t>
      </w:r>
    </w:p>
    <w:p>
      <w:pPr>
        <w:pStyle w:val="ListParagraph"/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il-koleġiżlaturi biex jadottaw malajr l-inizjattivi leġiżlattivi li fadal li huma essenzjali għas-suċċess tal-istrateġija Ewropea tal-IA, inklużi l-proposti mressqa fil-kuntest tal-qafas finanzjarju pluriennali li jmiss.</w:t>
      </w:r>
    </w:p>
    <w:sectPr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276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  <w:endnote w:type="continuationNotice" w:id="1">
    <w:p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MT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MT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89319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>
        <w:pPr>
          <w:pStyle w:val="Footer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1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type="continuationNotice" w:id="1">
    <w:p>
      <w:pPr>
        <w:spacing w:after="0" w:line="240" w:lineRule="auto"/>
      </w:pPr>
    </w:p>
  </w:footnote>
  <w:footnote w:id="2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1">
        <w:r>
          <w:rPr>
            <w:rStyle w:val="Hyperlink"/>
            <w:rFonts w:ascii="Times New Roman" w:hAnsi="Times New Roman"/>
          </w:rPr>
          <w:t>https://www.latribune.fr/entreprises-finance/la-tribune-de-l-energie-avec-erdf/cinq-objets-connectes-pour-economiser-l-energie-545571.html</w:t>
        </w:r>
      </w:hyperlink>
      <w:r>
        <w:rPr>
          <w:rFonts w:ascii="Times New Roman" w:hAnsi="Times New Roman"/>
        </w:rPr>
        <w:t xml:space="preserve"> </w:t>
      </w:r>
    </w:p>
  </w:footnote>
  <w:footnote w:id="3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2">
        <w:r>
          <w:rPr>
            <w:rStyle w:val="Hyperlink"/>
            <w:rFonts w:ascii="Times New Roman" w:hAnsi="Times New Roman"/>
          </w:rPr>
          <w:t>https://www.theguardian.com/society/2018/may/29/skin-cancer-computer-learns-to-detect-skin-cancer-more-accurately-than-a-doctor</w:t>
        </w:r>
      </w:hyperlink>
      <w:r>
        <w:rPr>
          <w:rFonts w:ascii="Times New Roman" w:hAnsi="Times New Roman"/>
        </w:rPr>
        <w:t xml:space="preserve"> </w:t>
      </w:r>
    </w:p>
  </w:footnote>
  <w:footnote w:id="4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COM(2018) 237</w:t>
      </w:r>
    </w:p>
  </w:footnote>
  <w:footnote w:id="5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Hu stmat li madwar 90 % tal-inċidenti tat-triq huma kkawżati minn żbalji tal-bniedem, ara COM(2016) 787.</w:t>
      </w:r>
    </w:p>
  </w:footnote>
  <w:footnote w:id="6">
    <w:p>
      <w:pPr>
        <w:pStyle w:val="FootnoteText"/>
        <w:ind w:left="284" w:hanging="284"/>
        <w:jc w:val="both"/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 xml:space="preserve">L-Ewropa għandha riċerkaturi u negozji ġodda ta’ klassi dinjija tal-IA, hija fuq quddiem nett fil-qasam tar-robotika u fil-softwer/pjattaformi bejn in-negozji. Is-setturi b’saħħtihom tagħha tat-trasport, tal-kura tas-saħħa u tal-manifattura jenħtieġ li jkunu fuq quddiem tal-AI. </w:t>
      </w:r>
    </w:p>
  </w:footnote>
  <w:footnote w:id="7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3">
        <w:r>
          <w:rPr>
            <w:rStyle w:val="Hyperlink"/>
            <w:rFonts w:ascii="Times New Roman" w:hAnsi="Times New Roman"/>
          </w:rPr>
          <w:t>https://ec.europa.eu/digital-single-market/en/news/eu-member-states-sign-cooperate-artificial-intelligence</w:t>
        </w:r>
      </w:hyperlink>
      <w:r>
        <w:rPr>
          <w:rFonts w:ascii="Times New Roman" w:hAnsi="Times New Roman"/>
        </w:rPr>
        <w:t xml:space="preserve"> </w:t>
      </w:r>
    </w:p>
  </w:footnote>
  <w:footnote w:id="8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4">
        <w:r>
          <w:rPr>
            <w:rStyle w:val="Hyperlink"/>
            <w:rFonts w:ascii="Times New Roman" w:hAnsi="Times New Roman"/>
          </w:rPr>
          <w:t>https://www.consilium.europa.eu/mt/press/press-releases/2018/06/29/20180628-euco-conclusions-final/</w:t>
        </w:r>
      </w:hyperlink>
      <w:r>
        <w:rPr>
          <w:rFonts w:ascii="Times New Roman" w:hAnsi="Times New Roman"/>
        </w:rPr>
        <w:t xml:space="preserve"> </w:t>
      </w:r>
    </w:p>
  </w:footnote>
  <w:footnote w:id="9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Dawn l-azzjonijiet kollha jridu jikkonformaw mar-regoli tal-UE dwar il-liġi tal-kompetizzjoni u l-għajnuna mill-istat.</w:t>
      </w:r>
    </w:p>
  </w:footnote>
  <w:footnote w:id="10">
    <w:p>
      <w:pPr>
        <w:pStyle w:val="FootnoteText"/>
        <w:ind w:left="284" w:hanging="284"/>
        <w:jc w:val="both"/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Franza, il-Finlandja, l-Iżvezja, ir-Renju Unit u l-Ġermanja għandhom fis-seħħ istrateġiji mmirati għall-IA. Xi pajjiżi, bħad-Danimarka, il-Lussemburgu, in-Netherlands, l-Irlanda u n-Norveġja jinkludu azzjonijiet relatati mal-IA fl-istrateġiji usa’ tagħhom ta’ diġitizzazzjoni. L-Awstrija, il-Belġju, ir-Repubblika Ċeka, id-Danimarka, l-Estonja, il-Ġermanja, l-Italja, il-Latvja, il-Polonja, il-Portugall, is-Slovenja, is-Slovakkja u Spanja jinsabu fil-proċess li jiżviluppaw l-istrateġiji.</w:t>
      </w:r>
    </w:p>
  </w:footnote>
  <w:footnote w:id="11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5">
        <w:r>
          <w:rPr>
            <w:rStyle w:val="Hyperlink"/>
            <w:rFonts w:ascii="Times New Roman" w:hAnsi="Times New Roman"/>
          </w:rPr>
          <w:t>https://ec.europa.eu/knowledge4policy/node/32205_mt</w:t>
        </w:r>
      </w:hyperlink>
    </w:p>
  </w:footnote>
  <w:footnote w:id="12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L-investiment tal-Ewropa ammonta għal madwar EUR 2.4-3.2 biljun fl-2016, meta mqabbel ma’ EUR 6.5-9.7 biljun fl-Asja u EUR 12.1-18.6 biljun fl-Amerika ta’ Fuq.  Sors:  10 imperatives for Europe in the age of AI and automation, McKinsey, 2017.</w:t>
      </w:r>
    </w:p>
  </w:footnote>
  <w:footnote w:id="13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 xml:space="preserve">Dan jista’ jinkludi investimenti mill-Fondi Strutturali u ta’ Investiment Ewropej.  Ħames reġjuni għandhom il-prijoritajiet relatati mal-IA fl-istrateġiji ta’ speċjalizzazzjoni intelliġenti tagħhom: L-Istat federali tas-Sassonja t’Isfel [DE], Pohjois-Savo [FI], </w:t>
      </w:r>
      <w:r>
        <w:rPr>
          <w:rStyle w:val="Emphasis"/>
          <w:rFonts w:ascii="Times New Roman" w:hAnsi="Times New Roman"/>
          <w:b w:val="0"/>
          <w:color w:val="545454"/>
        </w:rPr>
        <w:t>Ł</w:t>
      </w:r>
      <w:r>
        <w:rPr>
          <w:rFonts w:ascii="Times New Roman" w:hAnsi="Times New Roman"/>
        </w:rPr>
        <w:t xml:space="preserve">ódzkie [PL], il-Majjistral [RO]u l-Grigal [RO].  Ara: </w:t>
      </w:r>
      <w:hyperlink r:id="rId6">
        <w:r>
          <w:rPr>
            <w:rStyle w:val="Hyperlink"/>
            <w:rFonts w:ascii="Times New Roman" w:hAnsi="Times New Roman"/>
          </w:rPr>
          <w:t>http://s3platform.jrc.ec.europa.eu/map</w:t>
        </w:r>
      </w:hyperlink>
      <w:r>
        <w:rPr>
          <w:rFonts w:ascii="Times New Roman" w:hAnsi="Times New Roman"/>
        </w:rPr>
        <w:t xml:space="preserve"> </w:t>
      </w:r>
    </w:p>
  </w:footnote>
  <w:footnote w:id="14">
    <w:p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Style w:val="FootnoteReference"/>
          <w:rFonts w:ascii="Times New Roman" w:hAnsi="Times New Roman"/>
          <w:sz w:val="20"/>
        </w:rPr>
        <w:footnoteRef/>
      </w:r>
      <w:r>
        <w:rPr>
          <w:rFonts w:ascii="Times New Roman" w:hAnsi="Times New Roman"/>
          <w:sz w:val="20"/>
        </w:rPr>
        <w:t xml:space="preserve"> </w:t>
      </w:r>
      <w:r>
        <w:tab/>
      </w:r>
      <w:r>
        <w:rPr>
          <w:rFonts w:ascii="Times New Roman" w:hAnsi="Times New Roman"/>
          <w:sz w:val="20"/>
        </w:rPr>
        <w:t xml:space="preserve">Il-proposti għall-qafas finanzjarju pluriennali li jmiss, b’mod partikolari l-Programm il-ġdid għall-Ewropa Diġitali u Orizzont Ewropa, il-programm qafas ta’ riċerka u innovazzjoni tal-UE l-aktar ambizzjuż li qatt kien hemm, jappoġġaw l-istrateġija Ewropea tal-IA. </w:t>
      </w:r>
    </w:p>
  </w:footnote>
  <w:footnote w:id="15">
    <w:p>
      <w:pPr>
        <w:pStyle w:val="FootnoteText"/>
      </w:pPr>
      <w:r>
        <w:rPr>
          <w:rStyle w:val="FootnoteReference"/>
        </w:rPr>
        <w:footnoteRef/>
      </w:r>
      <w:r>
        <w:t xml:space="preserve">   </w:t>
      </w:r>
      <w:r>
        <w:rPr>
          <w:rFonts w:ascii="Times New Roman" w:hAnsi="Times New Roman"/>
        </w:rPr>
        <w:t>Ara l-komunikazzjoni reċenti tal-Kummissjoni “Is-Suq Uniku f’dinja li qed tinbidel” (COM (2018) 772).</w:t>
      </w:r>
    </w:p>
  </w:footnote>
  <w:footnote w:id="16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Ara t-taqsima B tal-pjan ikkoordinat għad-dettalji dwar l-azzjonijiet proposti.</w:t>
      </w:r>
    </w:p>
  </w:footnote>
  <w:footnote w:id="17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Sħubijiet pubbliċi-privati dwar ir-robotika (“SPARC”) u big data (“Big Data Value”) jirrappreżentaw EUR 1.2 biljun f’investiment pubbliku flimkien ma’ EUR 3.2 biljun f’investiment privat għall-2014-2020, li jagħtu total ta’ EUR 4.4 biljun.</w:t>
      </w:r>
    </w:p>
  </w:footnote>
  <w:footnote w:id="18">
    <w:p>
      <w:pPr>
        <w:pStyle w:val="FootnoteText"/>
        <w:ind w:left="284" w:hanging="284"/>
        <w:jc w:val="both"/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 xml:space="preserve">Il-Big Data Value Association, is-sieħeb privat tal-big data fis-sħubija pubblika-privata, adottat dokument ta’ pożizzjoni dwar l-IA li jinkludi rakkomandazzjoni li twassal għal sħubija fuq l-IA (Novembru 2018). </w:t>
      </w:r>
      <w:hyperlink r:id="rId7">
        <w:r>
          <w:rPr>
            <w:rStyle w:val="Hyperlink"/>
            <w:rFonts w:ascii="Times New Roman" w:hAnsi="Times New Roman"/>
          </w:rPr>
          <w:t>http://bdva.eu/sites/default/files/AI-Position-Statement-BDVA-Final-12112018.pdf</w:t>
        </w:r>
      </w:hyperlink>
    </w:p>
  </w:footnote>
  <w:footnote w:id="19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8">
        <w:r>
          <w:rPr>
            <w:rStyle w:val="Hyperlink"/>
            <w:rFonts w:ascii="Times New Roman" w:hAnsi="Times New Roman"/>
          </w:rPr>
          <w:t>https://www.consilium.europa.eu/mt/press/press-releases/2018/06/29/20180628-euco-conclusions-final/</w:t>
        </w:r>
      </w:hyperlink>
      <w:r>
        <w:rPr>
          <w:rFonts w:ascii="Times New Roman" w:hAnsi="Times New Roman"/>
        </w:rPr>
        <w:t xml:space="preserve"> </w:t>
      </w:r>
    </w:p>
  </w:footnote>
  <w:footnote w:id="20">
    <w:p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  <w:rFonts w:ascii="Times New Roman" w:hAnsi="Times New Roman"/>
          <w:sz w:val="20"/>
        </w:rPr>
        <w:footnoteRef/>
      </w:r>
      <w:r>
        <w:rPr>
          <w:rFonts w:ascii="Times New Roman" w:hAnsi="Times New Roman"/>
          <w:sz w:val="20"/>
        </w:rPr>
        <w:t xml:space="preserve"> </w:t>
      </w:r>
      <w:r>
        <w:tab/>
      </w:r>
      <w:r>
        <w:rPr>
          <w:rFonts w:ascii="Times New Roman" w:hAnsi="Times New Roman"/>
          <w:sz w:val="20"/>
        </w:rPr>
        <w:t>Fl-2018 biss, ġew iffinanzjati 74 proġett innovattiv tal-SME u tan-negozji l-ġodda biex jiżviluppaw innovazzjonijiet relatati mal-IA fil-fażi pilota tal-Kunsill Ewropew tal-Innovazzjoni.</w:t>
      </w:r>
    </w:p>
  </w:footnote>
  <w:footnote w:id="21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Ara t-taqsima C tal-pjan ikkoordinat għad-dettalji dwar l-azzjonijiet proposti.</w:t>
      </w:r>
    </w:p>
  </w:footnote>
  <w:footnote w:id="22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COM(2016) 180</w:t>
      </w:r>
    </w:p>
  </w:footnote>
  <w:footnote w:id="23">
    <w:p>
      <w:pPr>
        <w:pStyle w:val="FootnoteText"/>
        <w:ind w:left="284" w:hanging="284"/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9">
        <w:r>
          <w:rPr>
            <w:rStyle w:val="Hyperlink"/>
            <w:rFonts w:ascii="Times New Roman" w:hAnsi="Times New Roman"/>
          </w:rPr>
          <w:t>https://ec.europa.eu/digital-single-market/en/cross-border-corridors-connected-and-automated-mobility-cam</w:t>
        </w:r>
      </w:hyperlink>
    </w:p>
  </w:footnote>
  <w:footnote w:id="24">
    <w:p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 COM(2018) 283</w:t>
      </w:r>
    </w:p>
  </w:footnote>
  <w:footnote w:id="25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10">
        <w:r>
          <w:rPr>
            <w:rStyle w:val="Hyperlink"/>
            <w:rFonts w:ascii="Times New Roman" w:hAnsi="Times New Roman"/>
          </w:rPr>
          <w:t>http://ai4eu.org/</w:t>
        </w:r>
      </w:hyperlink>
    </w:p>
  </w:footnote>
  <w:footnote w:id="26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Ara t-taqsima D tal-pjan ikkoordinat għad-dettalji dwar l-azzjonijiet proposti.</w:t>
      </w:r>
    </w:p>
  </w:footnote>
  <w:footnote w:id="27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11">
        <w:r>
          <w:rPr>
            <w:rStyle w:val="Hyperlink"/>
            <w:rFonts w:ascii="Times New Roman" w:hAnsi="Times New Roman"/>
          </w:rPr>
          <w:t>https://www.pocbigdata.eu/monitorICTonlinevacancies/general_info/</w:t>
        </w:r>
      </w:hyperlink>
    </w:p>
  </w:footnote>
  <w:footnote w:id="28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12">
        <w:r>
          <w:rPr>
            <w:rStyle w:val="Hyperlink"/>
            <w:rFonts w:ascii="Times New Roman" w:hAnsi="Times New Roman"/>
          </w:rPr>
          <w:t>https://jointventure.org/images/stories/pdf/index2018.pdf</w:t>
        </w:r>
      </w:hyperlink>
    </w:p>
  </w:footnote>
  <w:footnote w:id="29">
    <w:p>
      <w:pPr>
        <w:pStyle w:val="FootnoteText"/>
        <w:ind w:left="284" w:hanging="284"/>
        <w:jc w:val="both"/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Id-Direttiva tal-Kunsill 2009/50/KE tal-25 ta’ Mejju 2009 dwar il-kondizzjonijiet ta’ dħul u residenza ta’ ċittadini ta’ pajjiżi terzi għall-finijietta’ impjieg bi kwalifiki għoljin Il-Kummissjoni għamlet proposta biex tirrevedi dan l-att - COM(2016) 378.</w:t>
      </w:r>
    </w:p>
  </w:footnote>
  <w:footnote w:id="30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 xml:space="preserve">   </w:t>
      </w:r>
      <w:r>
        <w:rPr>
          <w:rFonts w:ascii="Times New Roman" w:hAnsi="Times New Roman"/>
        </w:rPr>
        <w:t>https://ec.europa.eu/digital-single-market/en/news/appointment-members-high-level-expert-group-impact-digital-transformation-eu-labour-markets</w:t>
      </w:r>
    </w:p>
  </w:footnote>
  <w:footnote w:id="31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Ara t-taqsimiet E u G tal-pjan ikkoordinat għad-dettalji dwar l-azzjonijiet proposti.</w:t>
      </w:r>
    </w:p>
  </w:footnote>
  <w:footnote w:id="32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 xml:space="preserve">“Data is the lifeline of AI" ara l-kapitolu 12 tar-Rapport taċ-Ċentru Konġunt għar-Riċerka dwar "Artificial Intelligence: a European Perspective" </w:t>
      </w:r>
      <w:hyperlink r:id="rId13">
        <w:r>
          <w:rPr>
            <w:rStyle w:val="Hyperlink"/>
            <w:rFonts w:ascii="Times New Roman" w:hAnsi="Times New Roman"/>
          </w:rPr>
          <w:t>https://ec.europa.eu/jrc/en/publication/eur-scientific-and-technical-research-reports/artificial-intelligence-european-perspective</w:t>
        </w:r>
      </w:hyperlink>
      <w:r>
        <w:rPr>
          <w:rFonts w:ascii="Times New Roman" w:hAnsi="Times New Roman"/>
          <w:highlight w:val="lightGray"/>
        </w:rPr>
        <w:t xml:space="preserve">      </w:t>
      </w:r>
    </w:p>
  </w:footnote>
  <w:footnote w:id="33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 xml:space="preserve">Ir-Regolament (UE) 2016/679 tal-Parlament Ewropew u tal-Kunsill tas-27 ta’ April 2016 dwar il-protezzjoni tal-persuni fiżiċi fir-rigward tal-ipproċessar ta’ data personali u dwar il- moviment liberu ta’ tali </w:t>
      </w:r>
      <w:r>
        <w:rPr>
          <w:rFonts w:ascii="Times New Roman" w:hAnsi="Times New Roman"/>
          <w:i/>
        </w:rPr>
        <w:t>data</w:t>
      </w:r>
      <w:r>
        <w:rPr>
          <w:rFonts w:ascii="Times New Roman" w:hAnsi="Times New Roman"/>
        </w:rPr>
        <w:t>.</w:t>
      </w:r>
    </w:p>
  </w:footnote>
  <w:footnote w:id="34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 xml:space="preserve">Ir-Regolament (UE) 2018/1807 tal-Parlament Ewropew u tal-Kunsill tal-14 ta’ Novembru 2018 dwar qafas għall-moviment liberu ta' </w:t>
      </w:r>
      <w:r>
        <w:rPr>
          <w:rFonts w:ascii="Times New Roman" w:hAnsi="Times New Roman"/>
          <w:i/>
        </w:rPr>
        <w:t>data</w:t>
      </w:r>
      <w:r>
        <w:rPr>
          <w:rFonts w:ascii="Times New Roman" w:hAnsi="Times New Roman"/>
        </w:rPr>
        <w:t xml:space="preserve"> mhux personali fl-Unjoni Ewropa</w:t>
      </w:r>
    </w:p>
  </w:footnote>
  <w:footnote w:id="35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Proposta għal Direttiva tal-Parlament Ewropew u tal-Kunsill dwar l-użu mill-ġdid tal-informazzjoni tas-settur pubbliku (riformulazzjoni) COM(2018) 234.</w:t>
      </w:r>
    </w:p>
  </w:footnote>
  <w:footnote w:id="36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Se jkunu disponibbli links għar-repożitorji tad-</w:t>
      </w:r>
      <w:r>
        <w:rPr>
          <w:rFonts w:ascii="Times New Roman" w:hAnsi="Times New Roman"/>
          <w:i/>
        </w:rPr>
        <w:t>data</w:t>
      </w:r>
      <w:r>
        <w:rPr>
          <w:rFonts w:ascii="Times New Roman" w:hAnsi="Times New Roman"/>
        </w:rPr>
        <w:t xml:space="preserve"> permezz tal-pjattaforma AI-on-demand li jipprovdi servizzi lill-komunità tal-IA.</w:t>
      </w:r>
    </w:p>
  </w:footnote>
  <w:footnote w:id="37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14">
        <w:r>
          <w:rPr>
            <w:rStyle w:val="Hyperlink"/>
            <w:rFonts w:ascii="Times New Roman" w:hAnsi="Times New Roman"/>
          </w:rPr>
          <w:t>https://ec.europa.eu/digital-single-market/en/eurohpc-joint-undertaking</w:t>
        </w:r>
      </w:hyperlink>
    </w:p>
  </w:footnote>
  <w:footnote w:id="38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15">
        <w:r>
          <w:rPr>
            <w:rStyle w:val="Hyperlink"/>
            <w:rFonts w:ascii="Times New Roman" w:hAnsi="Times New Roman"/>
          </w:rPr>
          <w:t>https://www.ecsel.eu/</w:t>
        </w:r>
      </w:hyperlink>
      <w:r>
        <w:rPr>
          <w:rFonts w:ascii="Times New Roman" w:hAnsi="Times New Roman"/>
        </w:rPr>
        <w:t xml:space="preserve"> </w:t>
      </w:r>
    </w:p>
  </w:footnote>
  <w:footnote w:id="39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16">
        <w:r>
          <w:rPr>
            <w:rStyle w:val="Hyperlink"/>
            <w:rFonts w:ascii="Times New Roman" w:hAnsi="Times New Roman"/>
          </w:rPr>
          <w:t>https://ec.europa.eu/digital-single-market/en/news/european-processor-initiative-consortium-develop-europes-microprocessors-future-supercomputers</w:t>
        </w:r>
      </w:hyperlink>
    </w:p>
  </w:footnote>
  <w:footnote w:id="40">
    <w:p>
      <w:pPr>
        <w:pStyle w:val="FootnoteText"/>
        <w:ind w:left="284" w:hanging="284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Ara t-taqsimiet F u H tal-pjan ikkoordinat għad-dettalji dwar l-azzjonijiet proposti.</w:t>
      </w:r>
    </w:p>
  </w:footnote>
  <w:footnote w:id="41">
    <w:p>
      <w:pPr>
        <w:pStyle w:val="FootnoteText"/>
        <w:ind w:left="284" w:hanging="284"/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17">
        <w:r>
          <w:rPr>
            <w:rStyle w:val="Hyperlink"/>
            <w:rFonts w:ascii="Times New Roman" w:hAnsi="Times New Roman"/>
          </w:rPr>
          <w:t>https://www.theguardian.com/technology/2016/mar/24/tay-microsofts-ai-chatbot-gets-a-crash-course-in-racism-from-twitter</w:t>
        </w:r>
      </w:hyperlink>
    </w:p>
  </w:footnote>
  <w:footnote w:id="42">
    <w:p>
      <w:pPr>
        <w:pStyle w:val="FootnoteText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hyperlink r:id="rId18">
        <w:r>
          <w:rPr>
            <w:rStyle w:val="Hyperlink"/>
            <w:rFonts w:ascii="Times New Roman" w:hAnsi="Times New Roman"/>
          </w:rPr>
          <w:t>https://ec.europa.eu/digital-single-market/en/european-ai-alliance</w:t>
        </w:r>
      </w:hyperlink>
    </w:p>
  </w:footnote>
  <w:footnote w:id="43">
    <w:p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Dan il-prinċipju huwa stabbilit fil-Komunikazzjoni Konġunta dwar iċ-Ċibersigurtà ta’ Settembru 2017 (JOIN(2017) 450).</w:t>
      </w:r>
    </w:p>
  </w:footnote>
  <w:footnote w:id="44">
    <w:p>
      <w:pPr>
        <w:pStyle w:val="FootnoteText"/>
        <w:ind w:left="284" w:hanging="284"/>
        <w:jc w:val="both"/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tab/>
      </w:r>
      <w:r>
        <w:rPr>
          <w:rFonts w:ascii="Times New Roman" w:hAnsi="Times New Roman"/>
        </w:rPr>
        <w:t>Ir-Rappreżentant Għoli tal-Unjoni għall-Affarijiet Barranin u l-Politika ta’ Sigurtà, bl-appoġġ tal-Kummissjoni, se jibni fuq il-konsultazzjonijiet fin-Nazzjonijiet Uniti, il-Global Tech Panel, u fora multilaterali oħra, u tipproponi azzjoni fuq kif jridu jiġu indirizzati dawn l-isfidi kumplessi tas-sigurtà.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740D1"/>
    <w:multiLevelType w:val="hybridMultilevel"/>
    <w:tmpl w:val="E5906B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5392985"/>
    <w:multiLevelType w:val="hybridMultilevel"/>
    <w:tmpl w:val="9828BE9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717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143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</w:abstractNum>
  <w:abstractNum w:abstractNumId="2">
    <w:nsid w:val="2922377E"/>
    <w:multiLevelType w:val="hybridMultilevel"/>
    <w:tmpl w:val="1292D6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293CE3"/>
    <w:multiLevelType w:val="multilevel"/>
    <w:tmpl w:val="8D7C4D2A"/>
    <w:lvl w:ilvl="0">
      <w:start w:val="1"/>
      <w:numFmt w:val="decimal"/>
      <w:pStyle w:val="LegalNumPar"/>
      <w:lvlText w:val="%1."/>
      <w:lvlJc w:val="left"/>
      <w:pPr>
        <w:ind w:left="476" w:hanging="476"/>
      </w:pPr>
      <w:rPr>
        <w:rFonts w:hint="default"/>
      </w:rPr>
    </w:lvl>
    <w:lvl w:ilvl="1">
      <w:start w:val="1"/>
      <w:numFmt w:val="lowerLetter"/>
      <w:pStyle w:val="LegalNumPar2"/>
      <w:lvlText w:val="%2."/>
      <w:lvlJc w:val="left"/>
      <w:pPr>
        <w:ind w:left="953" w:hanging="477"/>
      </w:pPr>
      <w:rPr>
        <w:rFonts w:hint="default"/>
      </w:rPr>
    </w:lvl>
    <w:lvl w:ilvl="2">
      <w:start w:val="1"/>
      <w:numFmt w:val="lowerRoman"/>
      <w:pStyle w:val="LegalNumPar3"/>
      <w:lvlText w:val="%3."/>
      <w:lvlJc w:val="left"/>
      <w:pPr>
        <w:ind w:left="1429" w:hanging="47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9656E92"/>
    <w:multiLevelType w:val="hybridMultilevel"/>
    <w:tmpl w:val="3398C6CE"/>
    <w:lvl w:ilvl="0" w:tplc="303A9DE8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4A432656"/>
    <w:multiLevelType w:val="multilevel"/>
    <w:tmpl w:val="AC885D7A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1080" w:hanging="60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84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2880"/>
        </w:tabs>
        <w:ind w:left="2880" w:hanging="9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4DA44A2A"/>
    <w:multiLevelType w:val="hybridMultilevel"/>
    <w:tmpl w:val="C35C3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447FAF"/>
    <w:multiLevelType w:val="hybridMultilevel"/>
    <w:tmpl w:val="67C42D24"/>
    <w:lvl w:ilvl="0" w:tplc="040C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>
    <w:nsid w:val="7D94599C"/>
    <w:multiLevelType w:val="hybridMultilevel"/>
    <w:tmpl w:val="1DD6258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7"/>
  </w:num>
  <w:num w:numId="9">
    <w:abstractNumId w:val="6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G.E1">
    <w15:presenceInfo w15:providerId="None" w15:userId="SG.E1"/>
  </w15:person>
  <w15:person w15:author="ULBRICH Martin (CNECT)">
    <w15:presenceInfo w15:providerId="None" w15:userId="ULBRICH Martin (CNECT)"/>
  </w15:person>
  <w15:person w15:author="BUHR Carl-Christian (CAB-GABRIEL)">
    <w15:presenceInfo w15:providerId="None" w15:userId="BUHR Carl-Christian (CAB-GABRIEL)"/>
  </w15:person>
  <w15:person w15:author="ORSSICH Irina (CNECT)">
    <w15:presenceInfo w15:providerId="None" w15:userId="ORSSICH Irina (CNECT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activeWritingStyle w:appName="MSWord" w:lang="pt-PT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BE" w:vendorID="64" w:dllVersion="131078" w:nlCheck="1" w:checkStyle="0"/>
  <w:activeWritingStyle w:appName="MSWord" w:lang="en-IE" w:vendorID="64" w:dllVersion="131078" w:nlCheck="1" w:checkStyle="1"/>
  <w:activeWritingStyle w:appName="MSWord" w:lang="de-DE" w:vendorID="64" w:dllVersion="131078" w:nlCheck="1" w:checkStyle="1"/>
  <w:activeWritingStyle w:appName="MSWord" w:lang="es-ES" w:vendorID="64" w:dllVersion="131078" w:nlCheck="1" w:checkStyle="1"/>
  <w:revisionView w:markup="0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cStatus" w:val="Green"/>
    <w:docVar w:name="LW_CORRIGENDUM" w:val="&lt;UNUSED&gt;"/>
    <w:docVar w:name="LW_COVERPAGE_EXISTS" w:val="True"/>
    <w:docVar w:name="LW_COVERPAGE_GUID" w:val="10999A75-5493-442F-B33F-37A3215759DE"/>
    <w:docVar w:name="LW_COVERPAGE_TYPE" w:val="1"/>
    <w:docVar w:name="LW_CROSSREFERENCE" w:val="&lt;UNUSED&gt;"/>
    <w:docVar w:name="LW_DocType" w:val="NORMAL"/>
    <w:docVar w:name="LW_EMISSION" w:val="7.12.2018"/>
    <w:docVar w:name="LW_EMISSION_ISODATE" w:val="2018-12-07"/>
    <w:docVar w:name="LW_EMISSION_LOCATION" w:val="BRX"/>
    <w:docVar w:name="LW_EMISSION_PREFIX" w:val="Brussell, "/>
    <w:docVar w:name="LW_EMISSION_SUFFIX" w:val="&lt;EMPTY&gt;"/>
    <w:docVar w:name="LW_ID_DOCTYPE_NONLW" w:val="CP-035"/>
    <w:docVar w:name="LW_LANGUE" w:val="MT"/>
    <w:docVar w:name="LW_LEVEL_OF_SENSITIVITY" w:val="Standard treatment"/>
    <w:docVar w:name="LW_NOM.INST" w:val="IL-KUMMISSJONI EWROPEA"/>
    <w:docVar w:name="LW_NOM.INST_JOINTDOC" w:val="&lt;EMPTY&gt;"/>
    <w:docVar w:name="LW_PART_NBR" w:val="1"/>
    <w:docVar w:name="LW_PART_NBR_TOTAL" w:val="1"/>
    <w:docVar w:name="LW_REF.II.NEW.CP" w:val="&lt;UNUSED&gt;"/>
    <w:docVar w:name="LW_REF.II.NEW.CP_NUMBER" w:val="&lt;UNUSED&gt;"/>
    <w:docVar w:name="LW_REF.II.NEW.CP_YEAR" w:val="2018"/>
    <w:docVar w:name="LW_REF.INST.NEW" w:val="COM"/>
    <w:docVar w:name="LW_REF.INST.NEW_ADOPTED" w:val="final"/>
    <w:docVar w:name="LW_REF.INST.NEW_TEXT" w:val="(2018) 795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UPERTITRE" w:val="&lt;UNUSED&gt;"/>
    <w:docVar w:name="LW_TITRE.OBJ.CP" w:val="&lt;FMT:Bold&gt;Pjan Ikkoordinat dwar l-Intelli\u289?enza Artifi\u267?jali&lt;/FMT&gt;"/>
    <w:docVar w:name="LW_TYPE.DOC.CP" w:val="KOMUNIKAZZJONI MILL-KUMMISSJONI LILL-PARLAMENT EWROPEW, LILL-KUNSILL EWROPEW, LILL-KUMITAT EKONOMIKU U SO\u266?JALI EWROPEW U LILL-KUMITAT TAR-RE\u288?JUNI"/>
    <w:docVar w:name="Stamp" w:val="\\dossiers.dgt.cec.eu.int\dossiers\CNECT\CNECT-2018-00029\CNECT-2018-00029-00-00-EN-EDT-00.201811191219034216906.DOCX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t-MT" w:eastAsia="mt-MT" w:bidi="mt-MT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Text1"/>
    <w:link w:val="Heading1Char"/>
    <w:qFormat/>
    <w:pPr>
      <w:keepNext/>
      <w:numPr>
        <w:numId w:val="1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pPr>
      <w:keepNext/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pPr>
      <w:keepNext/>
      <w:numPr>
        <w:ilvl w:val="3"/>
        <w:numId w:val="1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rmal bullet 2,Bullet list,List Paragraph1,Numbered List,1st level - Bullet List Paragraph,Lettre d'introduction,Paragrafo elenco,List Paragraph11,Normal bullet 21,List Paragraph111,Bullet list1,List Paragraph (numbered (a)),Dot pt,L,N,3"/>
    <w:basedOn w:val="Normal"/>
    <w:link w:val="ListParagraphChar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">
    <w:name w:val="Body text (2)"/>
    <w:basedOn w:val="Normal"/>
    <w:qFormat/>
    <w:pPr>
      <w:widowControl w:val="0"/>
      <w:shd w:val="clear" w:color="auto" w:fill="FFFFFF"/>
      <w:spacing w:before="900" w:after="720" w:line="302" w:lineRule="exact"/>
      <w:ind w:hanging="720"/>
    </w:pPr>
    <w:rPr>
      <w:rFonts w:ascii="Times New Roman" w:eastAsia="Times New Roman" w:hAnsi="Times New Roman" w:cs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alibri" w:hAnsi="Calibri" w:cs="Consolas"/>
      <w:szCs w:val="21"/>
    </w:rPr>
  </w:style>
  <w:style w:type="character" w:customStyle="1" w:styleId="Heading1Char">
    <w:name w:val="Heading 1 Char"/>
    <w:basedOn w:val="DefaultParagraphFont"/>
    <w:link w:val="Heading1"/>
    <w:rPr>
      <w:rFonts w:ascii="Times New Roman" w:eastAsia="Times New Roman" w:hAnsi="Times New Roman" w:cs="Times New Roman"/>
      <w:b/>
      <w:smallCaps/>
      <w:sz w:val="24"/>
      <w:szCs w:val="20"/>
    </w:rPr>
  </w:style>
  <w:style w:type="character" w:customStyle="1" w:styleId="Heading2Char">
    <w:name w:val="Heading 2 Char"/>
    <w:basedOn w:val="DefaultParagraphFont"/>
    <w:link w:val="Heading2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4Char">
    <w:name w:val="Heading 4 Char"/>
    <w:basedOn w:val="DefaultParagraphFont"/>
    <w:link w:val="Heading4"/>
    <w:rPr>
      <w:rFonts w:ascii="Times New Roman" w:eastAsia="Times New Roman" w:hAnsi="Times New Roman" w:cs="Times New Roman"/>
      <w:sz w:val="24"/>
      <w:szCs w:val="20"/>
    </w:rPr>
  </w:style>
  <w:style w:type="paragraph" w:customStyle="1" w:styleId="Text1">
    <w:name w:val="Text 1"/>
    <w:basedOn w:val="Normal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egalNumPar">
    <w:name w:val="LegalNumPar"/>
    <w:basedOn w:val="Normal"/>
    <w:pPr>
      <w:numPr>
        <w:numId w:val="2"/>
      </w:numPr>
      <w:spacing w:after="240" w:line="360" w:lineRule="auto"/>
    </w:pPr>
    <w:rPr>
      <w:rFonts w:ascii="Times New Roman" w:hAnsi="Times New Roman" w:cs="Times New Roman"/>
      <w:sz w:val="24"/>
    </w:rPr>
  </w:style>
  <w:style w:type="paragraph" w:customStyle="1" w:styleId="LegalNumPar2">
    <w:name w:val="LegalNumPar2"/>
    <w:basedOn w:val="Normal"/>
    <w:pPr>
      <w:numPr>
        <w:ilvl w:val="1"/>
        <w:numId w:val="2"/>
      </w:numPr>
      <w:spacing w:after="240" w:line="360" w:lineRule="auto"/>
    </w:pPr>
    <w:rPr>
      <w:rFonts w:ascii="Times New Roman" w:hAnsi="Times New Roman" w:cs="Times New Roman"/>
      <w:sz w:val="24"/>
    </w:rPr>
  </w:style>
  <w:style w:type="paragraph" w:customStyle="1" w:styleId="LegalNumPar3">
    <w:name w:val="LegalNumPar3"/>
    <w:basedOn w:val="Normal"/>
    <w:pPr>
      <w:numPr>
        <w:ilvl w:val="2"/>
        <w:numId w:val="2"/>
      </w:numPr>
      <w:spacing w:after="240" w:line="360" w:lineRule="auto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pPr>
      <w:spacing w:after="0" w:line="240" w:lineRule="auto"/>
    </w:pPr>
    <w:rPr>
      <w:rFonts w:ascii="Helvetica" w:hAnsi="Helvetica" w:cs="Times New Roman"/>
      <w:sz w:val="17"/>
      <w:szCs w:val="17"/>
    </w:rPr>
  </w:style>
  <w:style w:type="character" w:customStyle="1" w:styleId="ListParagraphChar">
    <w:name w:val="List Paragraph Char"/>
    <w:aliases w:val="Normal bullet 2 Char,Bullet list Char,List Paragraph1 Char,Numbered List Char,1st level - Bullet List Paragraph Char,Lettre d'introduction Char,Paragrafo elenco Char,List Paragraph11 Char,Normal bullet 21 Char,List Paragraph111 Char"/>
    <w:link w:val="ListParagraph"/>
    <w:uiPriority w:val="34"/>
    <w:qFormat/>
    <w:locked/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FooterCoverPageChar">
    <w:name w:val="Footer Cover Page Char"/>
    <w:basedOn w:val="DefaultParagraphFont"/>
    <w:link w:val="FooterCoverPage"/>
    <w:rPr>
      <w:rFonts w:ascii="Times New Roman" w:hAnsi="Times New Roman" w:cs="Times New Roman"/>
      <w:sz w:val="24"/>
    </w:rPr>
  </w:style>
  <w:style w:type="paragraph" w:customStyle="1" w:styleId="FooterSensitivity">
    <w:name w:val="Footer Sensitivity"/>
    <w:basedOn w:val="Normal"/>
    <w:link w:val="Foot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FooterSensitivityChar">
    <w:name w:val="Footer Sensitivity Char"/>
    <w:basedOn w:val="DefaultParagraphFont"/>
    <w:link w:val="FooterSensitivity"/>
    <w:rPr>
      <w:rFonts w:ascii="Times New Roman" w:hAnsi="Times New Roman" w:cs="Times New Roman"/>
      <w:b/>
      <w:sz w:val="32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overPageChar">
    <w:name w:val="Header Cover Page Char"/>
    <w:basedOn w:val="DefaultParagraphFont"/>
    <w:link w:val="HeaderCoverPage"/>
    <w:rPr>
      <w:rFonts w:ascii="Times New Roman" w:hAnsi="Times New Roman" w:cs="Times New Roman"/>
      <w:sz w:val="24"/>
    </w:rPr>
  </w:style>
  <w:style w:type="paragraph" w:customStyle="1" w:styleId="HeaderSensitivity">
    <w:name w:val="Header Sensitivity"/>
    <w:basedOn w:val="Normal"/>
    <w:link w:val="Head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HeaderSensitivityChar">
    <w:name w:val="Header Sensitivity Char"/>
    <w:basedOn w:val="DefaultParagraphFont"/>
    <w:link w:val="HeaderSensitivity"/>
    <w:rPr>
      <w:rFonts w:ascii="Times New Roman" w:hAnsi="Times New Roman" w:cs="Times New Roman"/>
      <w:b/>
      <w:sz w:val="32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Pr>
      <w:b/>
      <w:bCs/>
      <w:i w:val="0"/>
      <w:iCs w:val="0"/>
    </w:rPr>
  </w:style>
  <w:style w:type="character" w:customStyle="1" w:styleId="st1">
    <w:name w:val="st1"/>
    <w:basedOn w:val="DefaultParagraph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t-MT" w:eastAsia="mt-MT" w:bidi="mt-MT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Text1"/>
    <w:link w:val="Heading1Char"/>
    <w:qFormat/>
    <w:pPr>
      <w:keepNext/>
      <w:numPr>
        <w:numId w:val="1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pPr>
      <w:keepNext/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pPr>
      <w:keepNext/>
      <w:numPr>
        <w:ilvl w:val="3"/>
        <w:numId w:val="1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rmal bullet 2,Bullet list,List Paragraph1,Numbered List,1st level - Bullet List Paragraph,Lettre d'introduction,Paragrafo elenco,List Paragraph11,Normal bullet 21,List Paragraph111,Bullet list1,List Paragraph (numbered (a)),Dot pt,L,N,3"/>
    <w:basedOn w:val="Normal"/>
    <w:link w:val="ListParagraphChar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">
    <w:name w:val="Body text (2)"/>
    <w:basedOn w:val="Normal"/>
    <w:qFormat/>
    <w:pPr>
      <w:widowControl w:val="0"/>
      <w:shd w:val="clear" w:color="auto" w:fill="FFFFFF"/>
      <w:spacing w:before="900" w:after="720" w:line="302" w:lineRule="exact"/>
      <w:ind w:hanging="720"/>
    </w:pPr>
    <w:rPr>
      <w:rFonts w:ascii="Times New Roman" w:eastAsia="Times New Roman" w:hAnsi="Times New Roman" w:cs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alibri" w:hAnsi="Calibri" w:cs="Consolas"/>
      <w:szCs w:val="21"/>
    </w:rPr>
  </w:style>
  <w:style w:type="character" w:customStyle="1" w:styleId="Heading1Char">
    <w:name w:val="Heading 1 Char"/>
    <w:basedOn w:val="DefaultParagraphFont"/>
    <w:link w:val="Heading1"/>
    <w:rPr>
      <w:rFonts w:ascii="Times New Roman" w:eastAsia="Times New Roman" w:hAnsi="Times New Roman" w:cs="Times New Roman"/>
      <w:b/>
      <w:smallCaps/>
      <w:sz w:val="24"/>
      <w:szCs w:val="20"/>
    </w:rPr>
  </w:style>
  <w:style w:type="character" w:customStyle="1" w:styleId="Heading2Char">
    <w:name w:val="Heading 2 Char"/>
    <w:basedOn w:val="DefaultParagraphFont"/>
    <w:link w:val="Heading2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4Char">
    <w:name w:val="Heading 4 Char"/>
    <w:basedOn w:val="DefaultParagraphFont"/>
    <w:link w:val="Heading4"/>
    <w:rPr>
      <w:rFonts w:ascii="Times New Roman" w:eastAsia="Times New Roman" w:hAnsi="Times New Roman" w:cs="Times New Roman"/>
      <w:sz w:val="24"/>
      <w:szCs w:val="20"/>
    </w:rPr>
  </w:style>
  <w:style w:type="paragraph" w:customStyle="1" w:styleId="Text1">
    <w:name w:val="Text 1"/>
    <w:basedOn w:val="Normal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LegalNumPar">
    <w:name w:val="LegalNumPar"/>
    <w:basedOn w:val="Normal"/>
    <w:pPr>
      <w:numPr>
        <w:numId w:val="2"/>
      </w:numPr>
      <w:spacing w:after="240" w:line="360" w:lineRule="auto"/>
    </w:pPr>
    <w:rPr>
      <w:rFonts w:ascii="Times New Roman" w:hAnsi="Times New Roman" w:cs="Times New Roman"/>
      <w:sz w:val="24"/>
    </w:rPr>
  </w:style>
  <w:style w:type="paragraph" w:customStyle="1" w:styleId="LegalNumPar2">
    <w:name w:val="LegalNumPar2"/>
    <w:basedOn w:val="Normal"/>
    <w:pPr>
      <w:numPr>
        <w:ilvl w:val="1"/>
        <w:numId w:val="2"/>
      </w:numPr>
      <w:spacing w:after="240" w:line="360" w:lineRule="auto"/>
    </w:pPr>
    <w:rPr>
      <w:rFonts w:ascii="Times New Roman" w:hAnsi="Times New Roman" w:cs="Times New Roman"/>
      <w:sz w:val="24"/>
    </w:rPr>
  </w:style>
  <w:style w:type="paragraph" w:customStyle="1" w:styleId="LegalNumPar3">
    <w:name w:val="LegalNumPar3"/>
    <w:basedOn w:val="Normal"/>
    <w:pPr>
      <w:numPr>
        <w:ilvl w:val="2"/>
        <w:numId w:val="2"/>
      </w:numPr>
      <w:spacing w:after="240" w:line="360" w:lineRule="auto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pPr>
      <w:spacing w:after="0" w:line="240" w:lineRule="auto"/>
    </w:pPr>
    <w:rPr>
      <w:rFonts w:ascii="Helvetica" w:hAnsi="Helvetica" w:cs="Times New Roman"/>
      <w:sz w:val="17"/>
      <w:szCs w:val="17"/>
    </w:rPr>
  </w:style>
  <w:style w:type="character" w:customStyle="1" w:styleId="ListParagraphChar">
    <w:name w:val="List Paragraph Char"/>
    <w:aliases w:val="Normal bullet 2 Char,Bullet list Char,List Paragraph1 Char,Numbered List Char,1st level - Bullet List Paragraph Char,Lettre d'introduction Char,Paragrafo elenco Char,List Paragraph11 Char,Normal bullet 21 Char,List Paragraph111 Char"/>
    <w:link w:val="ListParagraph"/>
    <w:uiPriority w:val="34"/>
    <w:qFormat/>
    <w:locked/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FooterCoverPageChar">
    <w:name w:val="Footer Cover Page Char"/>
    <w:basedOn w:val="DefaultParagraphFont"/>
    <w:link w:val="FooterCoverPage"/>
    <w:rPr>
      <w:rFonts w:ascii="Times New Roman" w:hAnsi="Times New Roman" w:cs="Times New Roman"/>
      <w:sz w:val="24"/>
    </w:rPr>
  </w:style>
  <w:style w:type="paragraph" w:customStyle="1" w:styleId="FooterSensitivity">
    <w:name w:val="Footer Sensitivity"/>
    <w:basedOn w:val="Normal"/>
    <w:link w:val="Foot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FooterSensitivityChar">
    <w:name w:val="Footer Sensitivity Char"/>
    <w:basedOn w:val="DefaultParagraphFont"/>
    <w:link w:val="FooterSensitivity"/>
    <w:rPr>
      <w:rFonts w:ascii="Times New Roman" w:hAnsi="Times New Roman" w:cs="Times New Roman"/>
      <w:b/>
      <w:sz w:val="32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overPageChar">
    <w:name w:val="Header Cover Page Char"/>
    <w:basedOn w:val="DefaultParagraphFont"/>
    <w:link w:val="HeaderCoverPage"/>
    <w:rPr>
      <w:rFonts w:ascii="Times New Roman" w:hAnsi="Times New Roman" w:cs="Times New Roman"/>
      <w:sz w:val="24"/>
    </w:rPr>
  </w:style>
  <w:style w:type="paragraph" w:customStyle="1" w:styleId="HeaderSensitivity">
    <w:name w:val="Header Sensitivity"/>
    <w:basedOn w:val="Normal"/>
    <w:link w:val="HeaderSensitivity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HeaderSensitivityChar">
    <w:name w:val="Header Sensitivity Char"/>
    <w:basedOn w:val="DefaultParagraphFont"/>
    <w:link w:val="HeaderSensitivity"/>
    <w:rPr>
      <w:rFonts w:ascii="Times New Roman" w:hAnsi="Times New Roman" w:cs="Times New Roman"/>
      <w:b/>
      <w:sz w:val="32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Pr>
      <w:b/>
      <w:bCs/>
      <w:i w:val="0"/>
      <w:iCs w:val="0"/>
    </w:rPr>
  </w:style>
  <w:style w:type="character" w:customStyle="1" w:styleId="st1">
    <w:name w:val="st1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3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5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33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6712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41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31941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350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119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58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984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038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7768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3790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2692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683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811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05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97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2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0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576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7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4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69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34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382235">
                                  <w:marLeft w:val="0"/>
                                  <w:marRight w:val="-360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79079">
                                      <w:marLeft w:val="0"/>
                                      <w:marRight w:val="36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23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867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376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130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230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1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3950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6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1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47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40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3996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583500">
                                  <w:marLeft w:val="0"/>
                                  <w:marRight w:val="0"/>
                                  <w:marTop w:val="0"/>
                                  <w:marBottom w:val="13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938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6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emf"/><Relationship Id="rId18" Type="http://schemas.openxmlformats.org/officeDocument/2006/relationships/header" Target="header3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5" Type="http://schemas.openxmlformats.org/officeDocument/2006/relationships/footer" Target="footer6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header" Target="header6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footer" Target="footer5.xml"/><Relationship Id="rId28" Type="http://schemas.microsoft.com/office/2011/relationships/people" Target="people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_rels/footnotes.xml.rels><?xml version='1.0' encoding='UTF-8' standalone='yes'?>
<Relationships xmlns="http://schemas.openxmlformats.org/package/2006/relationships"><Relationship Id="rId8" Type="http://schemas.openxmlformats.org/officeDocument/2006/relationships/hyperlink" Target="https://www.consilium.europa.eu/mt/press/press-releases/2018/06/29/20180628-euco-conclusions-final/" TargetMode="External"/><Relationship Id="rId13" Type="http://schemas.openxmlformats.org/officeDocument/2006/relationships/hyperlink" Target="https://ec.europa.eu/jrc/en/publication/eur-scientific-and-technical-research-reports/artificial-intelligence-european-perspective" TargetMode="External"/><Relationship Id="rId18" Type="http://schemas.openxmlformats.org/officeDocument/2006/relationships/hyperlink" Target="https://ec.europa.eu/digital-single-market/en/european-ai-alliance" TargetMode="External"/><Relationship Id="rId3" Type="http://schemas.openxmlformats.org/officeDocument/2006/relationships/hyperlink" Target="https://ec.europa.eu/digital-single-market/en/news/eu-member-states-sign-cooperate-artificial-intelligence" TargetMode="External"/><Relationship Id="rId7" Type="http://schemas.openxmlformats.org/officeDocument/2006/relationships/hyperlink" Target="http://bdva.eu/sites/default/files/AI-Position-Statement-BDVA-Final-12112018.pdf" TargetMode="External"/><Relationship Id="rId12" Type="http://schemas.openxmlformats.org/officeDocument/2006/relationships/hyperlink" Target="https://jointventure.org/images/stories/pdf/index2018.pdf" TargetMode="External"/><Relationship Id="rId17" Type="http://schemas.openxmlformats.org/officeDocument/2006/relationships/hyperlink" Target="https://www.theguardian.com/technology/2016/mar/24/tay-microsofts-ai-chatbot-gets-a-crash-course-in-racism-from-twitter" TargetMode="External"/><Relationship Id="rId2" Type="http://schemas.openxmlformats.org/officeDocument/2006/relationships/hyperlink" Target="https://www.theguardian.com/society/2018/may/29/skin-cancer-computer-learns-to-detect-skin-cancer-more-accurately-than-a-doctor" TargetMode="External"/><Relationship Id="rId16" Type="http://schemas.openxmlformats.org/officeDocument/2006/relationships/hyperlink" Target="https://ec.europa.eu/digital-single-market/en/news/european-processor-initiative-consortium-develop-europes-microprocessors-future-supercomputers" TargetMode="External"/><Relationship Id="rId1" Type="http://schemas.openxmlformats.org/officeDocument/2006/relationships/hyperlink" Target="https://www.latribune.fr/entreprises-finance/la-tribune-de-l-energie-avec-erdf/cinq-objets-connectes-pour-economiser-l-energie-545571.html" TargetMode="External"/><Relationship Id="rId6" Type="http://schemas.openxmlformats.org/officeDocument/2006/relationships/hyperlink" Target="http://s3platform.jrc.ec.europa.eu/map" TargetMode="External"/><Relationship Id="rId11" Type="http://schemas.openxmlformats.org/officeDocument/2006/relationships/hyperlink" Target="https://www.pocbigdata.eu/monitorICTonlinevacancies/general_info/" TargetMode="External"/><Relationship Id="rId5" Type="http://schemas.openxmlformats.org/officeDocument/2006/relationships/hyperlink" Target="https://ec.europa.eu/knowledge4policy/node/32205_mt" TargetMode="External"/><Relationship Id="rId15" Type="http://schemas.openxmlformats.org/officeDocument/2006/relationships/hyperlink" Target="https://www.ecsel.eu/" TargetMode="External"/><Relationship Id="rId10" Type="http://schemas.openxmlformats.org/officeDocument/2006/relationships/hyperlink" Target="http://ai4eu.org/" TargetMode="External"/><Relationship Id="rId4" Type="http://schemas.openxmlformats.org/officeDocument/2006/relationships/hyperlink" Target="https://www.consilium.europa.eu/mt/press/press-releases/2018/06/29/20180628-euco-conclusions-final/" TargetMode="External"/><Relationship Id="rId9" Type="http://schemas.openxmlformats.org/officeDocument/2006/relationships/hyperlink" Target="https://ec.europa.eu/digital-single-market/en/cross-border-corridors-connected-and-automated-mobility-cam" TargetMode="External"/><Relationship Id="rId14" Type="http://schemas.openxmlformats.org/officeDocument/2006/relationships/hyperlink" Target="https://ec.europa.eu/digital-single-market/en/eurohpc-joint-underta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B3629005A782754CB4409FD9A1DD9F6F" ma:contentTypeVersion="11" ma:contentTypeDescription="Create a new document." ma:contentTypeScope="" ma:versionID="45e7f1f19d9373fb2945ee7f2ce6deda">
  <xsd:schema xmlns:xsd="http://www.w3.org/2001/XMLSchema" xmlns:xs="http://www.w3.org/2001/XMLSchema" xmlns:p="http://schemas.microsoft.com/office/2006/metadata/properties" xmlns:ns3="d70ba862-ef36-4620-a650-3754802da26b" xmlns:ns4="866aabb8-7ec2-447a-a7ff-f911015037e7" targetNamespace="http://schemas.microsoft.com/office/2006/metadata/properties" ma:root="true" ma:fieldsID="8d412c3a430c09c544f354ffa79fdd14" ns3:_="" ns4:_="">
    <xsd:import namespace="d70ba862-ef36-4620-a650-3754802da26b"/>
    <xsd:import namespace="866aabb8-7ec2-447a-a7ff-f911015037e7"/>
    <xsd:element name="properties">
      <xsd:complexType>
        <xsd:sequence>
          <xsd:element name="documentManagement">
            <xsd:complexType>
              <xsd:all>
                <xsd:element ref="ns3:EC_Collab_Reference" minOccurs="0"/>
                <xsd:element ref="ns3:EC_Collab_DocumentLanguage" minOccurs="0"/>
                <xsd:element ref="ns3:Document_x0020_Owner" minOccurs="0"/>
                <xsd:element ref="ns3:Finalized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ba862-ef36-4620-a650-3754802da26b" elementFormDefault="qualified">
    <xsd:import namespace="http://schemas.microsoft.com/office/2006/documentManagement/types"/>
    <xsd:import namespace="http://schemas.microsoft.com/office/infopath/2007/PartnerControls"/>
    <xsd:element name="EC_Collab_Reference" ma:index="12" nillable="true" ma:displayName="Reference" ma:internalName="EC_Collab_Reference">
      <xsd:simpleType>
        <xsd:restriction base="dms:Text"/>
      </xsd:simpleType>
    </xsd:element>
    <xsd:element name="EC_Collab_DocumentLanguage" ma:index="13" nillable="true" ma:displayName="Language" ma:default="EN" ma:internalName="EC_Collab_DocumentLanguage" ma:readOnly="false">
      <xsd:simpleType>
        <xsd:restriction base="dms:Choice">
          <xsd:enumeration value="BG"/>
          <xsd:enumeration value="ES"/>
          <xsd:enumeration value="CS"/>
          <xsd:enumeration value="DA"/>
          <xsd:enumeration value="DE"/>
          <xsd:enumeration value="ET"/>
          <xsd:enumeration value="EL"/>
          <xsd:enumeration value="EN"/>
          <xsd:enumeration value="FR"/>
          <xsd:enumeration value="GA"/>
          <xsd:enumeration value="IT"/>
          <xsd:enumeration value="LT"/>
          <xsd:enumeration value="LV"/>
          <xsd:enumeration value="HU"/>
          <xsd:enumeration value="MT"/>
          <xsd:enumeration value="NL"/>
          <xsd:enumeration value="PL"/>
          <xsd:enumeration value="PT"/>
          <xsd:enumeration value="RO"/>
          <xsd:enumeration value="SK"/>
          <xsd:enumeration value="SL"/>
          <xsd:enumeration value="FI"/>
          <xsd:enumeration value="SV"/>
          <xsd:enumeration value="HR"/>
          <xsd:enumeration value="MK"/>
          <xsd:enumeration value="TR"/>
          <xsd:enumeration value="EU"/>
          <xsd:enumeration value="CA"/>
          <xsd:enumeration value="GL"/>
          <xsd:enumeration value="AB"/>
          <xsd:enumeration value="AA"/>
          <xsd:enumeration value="AF"/>
          <xsd:enumeration value="AK"/>
          <xsd:enumeration value="SQ"/>
          <xsd:enumeration value="AM"/>
          <xsd:enumeration value="AR"/>
          <xsd:enumeration value="AN"/>
          <xsd:enumeration value="HY"/>
          <xsd:enumeration value="AS"/>
          <xsd:enumeration value="AV"/>
          <xsd:enumeration value="AE"/>
          <xsd:enumeration value="AY"/>
          <xsd:enumeration value="AZ"/>
          <xsd:enumeration value="BM"/>
          <xsd:enumeration value="BA"/>
          <xsd:enumeration value="BE"/>
          <xsd:enumeration value="BN"/>
          <xsd:enumeration value="BH"/>
          <xsd:enumeration value="BI"/>
          <xsd:enumeration value="NB"/>
          <xsd:enumeration value="BS"/>
          <xsd:enumeration value="BR"/>
          <xsd:enumeration value="MY"/>
          <xsd:enumeration value="KM"/>
          <xsd:enumeration value="CH"/>
          <xsd:enumeration value="CE"/>
          <xsd:enumeration value="NY"/>
          <xsd:enumeration value="ZH"/>
          <xsd:enumeration value="CU"/>
          <xsd:enumeration value="CV"/>
          <xsd:enumeration value="KW"/>
          <xsd:enumeration value="CO"/>
          <xsd:enumeration value="CR"/>
          <xsd:enumeration value="DV"/>
          <xsd:enumeration value="DZ"/>
          <xsd:enumeration value="EO"/>
          <xsd:enumeration value="EE"/>
          <xsd:enumeration value="FO"/>
          <xsd:enumeration value="FJ"/>
          <xsd:enumeration value="FF"/>
          <xsd:enumeration value="GD"/>
          <xsd:enumeration value="LG"/>
          <xsd:enumeration value="KA"/>
          <xsd:enumeration value="GN"/>
          <xsd:enumeration value="GU"/>
          <xsd:enumeration value="HT"/>
          <xsd:enumeration value="HA"/>
          <xsd:enumeration value="HE"/>
          <xsd:enumeration value="HZ"/>
          <xsd:enumeration value="HI"/>
          <xsd:enumeration value="HO"/>
          <xsd:enumeration value="IS"/>
          <xsd:enumeration value="IO"/>
          <xsd:enumeration value="IG"/>
          <xsd:enumeration value="ID"/>
          <xsd:enumeration value="IA"/>
          <xsd:enumeration value="IE"/>
          <xsd:enumeration value="IU"/>
          <xsd:enumeration value="IK"/>
          <xsd:enumeration value="JA"/>
          <xsd:enumeration value="JV"/>
          <xsd:enumeration value="KL"/>
          <xsd:enumeration value="KN"/>
          <xsd:enumeration value="KR"/>
          <xsd:enumeration value="KS"/>
          <xsd:enumeration value="KK"/>
          <xsd:enumeration value="KI"/>
          <xsd:enumeration value="RW"/>
          <xsd:enumeration value="KY"/>
          <xsd:enumeration value="KV"/>
          <xsd:enumeration value="KG"/>
          <xsd:enumeration value="KO"/>
          <xsd:enumeration value="KJ"/>
          <xsd:enumeration value="KU"/>
          <xsd:enumeration value="LO"/>
          <xsd:enumeration value="LA"/>
          <xsd:enumeration value="LI"/>
          <xsd:enumeration value="LN"/>
          <xsd:enumeration value="LU"/>
          <xsd:enumeration value="LB"/>
          <xsd:enumeration value="MG"/>
          <xsd:enumeration value="MS"/>
          <xsd:enumeration value="ML"/>
          <xsd:enumeration value="GV"/>
          <xsd:enumeration value="MI"/>
          <xsd:enumeration value="MR"/>
          <xsd:enumeration value="MH"/>
          <xsd:enumeration value="MN"/>
          <xsd:enumeration value="NA"/>
          <xsd:enumeration value="NV"/>
          <xsd:enumeration value="ND"/>
          <xsd:enumeration value="NR"/>
          <xsd:enumeration value="NG"/>
          <xsd:enumeration value="NE"/>
          <xsd:enumeration value="SE"/>
          <xsd:enumeration value="NO"/>
          <xsd:enumeration value="NN"/>
          <xsd:enumeration value="OC"/>
          <xsd:enumeration value="OJ"/>
          <xsd:enumeration value="OR"/>
          <xsd:enumeration value="OM"/>
          <xsd:enumeration value="OS"/>
          <xsd:enumeration value="PI"/>
          <xsd:enumeration value="PA"/>
          <xsd:enumeration value="FA"/>
          <xsd:enumeration value="PS"/>
          <xsd:enumeration value="QU"/>
          <xsd:enumeration value="RM"/>
          <xsd:enumeration value="RN"/>
          <xsd:enumeration value="RU"/>
          <xsd:enumeration value="SM"/>
          <xsd:enumeration value="SG"/>
          <xsd:enumeration value="SA"/>
          <xsd:enumeration value="SC"/>
          <xsd:enumeration value="SR"/>
          <xsd:enumeration value="SN"/>
          <xsd:enumeration value="II"/>
          <xsd:enumeration value="SD"/>
          <xsd:enumeration value="SI"/>
          <xsd:enumeration value="SO"/>
          <xsd:enumeration value="ST"/>
          <xsd:enumeration value="SU"/>
          <xsd:enumeration value="SW"/>
          <xsd:enumeration value="SS"/>
          <xsd:enumeration value="TL"/>
          <xsd:enumeration value="TY"/>
          <xsd:enumeration value="TG"/>
          <xsd:enumeration value="TA"/>
          <xsd:enumeration value="TT"/>
          <xsd:enumeration value="TE"/>
          <xsd:enumeration value="TH"/>
          <xsd:enumeration value="BO"/>
          <xsd:enumeration value="TI"/>
          <xsd:enumeration value="TO"/>
          <xsd:enumeration value="TS"/>
          <xsd:enumeration value="TN"/>
          <xsd:enumeration value="TK"/>
          <xsd:enumeration value="TW"/>
          <xsd:enumeration value="UG"/>
          <xsd:enumeration value="UK"/>
          <xsd:enumeration value="UR"/>
          <xsd:enumeration value="UZ"/>
          <xsd:enumeration value="VE"/>
          <xsd:enumeration value="VI"/>
          <xsd:enumeration value="VO"/>
          <xsd:enumeration value="WA"/>
          <xsd:enumeration value="CY"/>
          <xsd:enumeration value="FY"/>
          <xsd:enumeration value="WO"/>
          <xsd:enumeration value="XH"/>
          <xsd:enumeration value="YI"/>
          <xsd:enumeration value="YO"/>
          <xsd:enumeration value="ZA"/>
          <xsd:enumeration value="ZU"/>
        </xsd:restriction>
      </xsd:simpleType>
    </xsd:element>
    <xsd:element name="Document_x0020_Owner" ma:index="14" nillable="true" ma:displayName="Document Owner" ma:internalName="Document_x0020_Owner">
      <xsd:simpleType>
        <xsd:restriction base="dms:Text">
          <xsd:maxLength value="255"/>
        </xsd:restriction>
      </xsd:simpleType>
    </xsd:element>
    <xsd:element name="Finalized" ma:index="15" nillable="true" ma:displayName="Finalized" ma:default="Yes" ma:format="Dropdown" ma:internalName="Finalized">
      <xsd:simpleType>
        <xsd:restriction base="dms:Choice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aabb8-7ec2-447a-a7ff-f911015037e7" elementFormDefault="qualified">
    <xsd:import namespace="http://schemas.microsoft.com/office/2006/documentManagement/types"/>
    <xsd:import namespace="http://schemas.microsoft.com/office/infopath/2007/PartnerControls"/>
    <xsd:element name="_dlc_DocId" ma:index="1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9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 ma:index="8" ma:displayName="Subject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866aabb8-7ec2-447a-a7ff-f911015037e7">UVNUSV5RWJH5-855293799-1227</_dlc_DocId>
    <_dlc_DocIdUrl xmlns="866aabb8-7ec2-447a-a7ff-f911015037e7">
      <Url>https://myintracomm-collab.ec.europa.eu/dg/CONNECT/_layouts/15/DocIdRedir.aspx?ID=UVNUSV5RWJH5-855293799-1227</Url>
      <Description>UVNUSV5RWJH5-855293799-1227</Description>
    </_dlc_DocIdUrl>
    <EC_Collab_Reference xmlns="d70ba862-ef36-4620-a650-3754802da26b" xsi:nil="true"/>
    <EC_Collab_DocumentLanguage xmlns="d70ba862-ef36-4620-a650-3754802da26b">EN</EC_Collab_DocumentLanguage>
    <Finalized xmlns="d70ba862-ef36-4620-a650-3754802da26b">Yes</Finalized>
    <Document_x0020_Owner xmlns="d70ba862-ef36-4620-a650-3754802da26b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BB239C5C-B6DB-45C4-86B1-999F778A40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0ba862-ef36-4620-a650-3754802da26b"/>
    <ds:schemaRef ds:uri="866aabb8-7ec2-447a-a7ff-f911015037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C24691-96B2-43EC-BB37-F2AFFB7402A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8EC0E01-4612-4803-84D1-094489FBFA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57B389-7524-47B6-ABD2-CAEFFF92855C}">
  <ds:schemaRefs>
    <ds:schemaRef ds:uri="d70ba862-ef36-4620-a650-3754802da26b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866aabb8-7ec2-447a-a7ff-f911015037e7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F49D2C61-F32F-418E-AAF6-0E257EF3B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3219</Words>
  <Characters>22508</Characters>
  <Application>Microsoft Office Word</Application>
  <DocSecurity>0</DocSecurity>
  <Lines>312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18</cp:revision>
  <cp:lastPrinted>2018-11-26T08:53:00Z</cp:lastPrinted>
  <dcterms:created xsi:type="dcterms:W3CDTF">2018-11-30T16:12:00Z</dcterms:created>
  <dcterms:modified xsi:type="dcterms:W3CDTF">2018-12-12T08:50:00Z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0x010100258AA79CEB83498886A3A0868112325000B3629005A782754CB4409FD9A1DD9F6F</vt:lpwstr>
  </property>
  <property fmtid="{D5CDD505-2E9C-101B-9397-08002B2CF9AE}" pid="3" name="_dlc_DocIdItemGuid">
    <vt:lpwstr>e75faeb7-fe02-491f-8312-14b44d57bf99</vt:lpwstr>
  </property>
  <property fmtid="{D5CDD505-2E9C-101B-9397-08002B2CF9AE}" pid="4" name="Level of sensitivity">
    <vt:lpwstr>Standard treatment</vt:lpwstr>
  </property>
  <property fmtid="{D5CDD505-2E9C-101B-9397-08002B2CF9AE}" pid="5" name="Part">
    <vt:lpwstr>1</vt:lpwstr>
  </property>
  <property fmtid="{D5CDD505-2E9C-101B-9397-08002B2CF9AE}" pid="6" name="Total parts">
    <vt:lpwstr>1</vt:lpwstr>
  </property>
  <property fmtid="{D5CDD505-2E9C-101B-9397-08002B2CF9AE}" pid="7" name="DocStatus">
    <vt:lpwstr>Green</vt:lpwstr>
  </property>
  <property fmtid="{D5CDD505-2E9C-101B-9397-08002B2CF9AE}" pid="8" name="Created using">
    <vt:lpwstr>LW 6.0.1, Build 20180503</vt:lpwstr>
  </property>
  <property fmtid="{D5CDD505-2E9C-101B-9397-08002B2CF9AE}" pid="9" name="Last edited using">
    <vt:lpwstr>LW 6.0.1, Build 20180503</vt:lpwstr>
  </property>
  <property name="OP_sanitized" fmtid="{D5CDD505-2E9C-101B-9397-08002B2CF9AE}" pid="10">
    <vt:lpwstr>True</vt:lpwstr>
  </property>
</Properties>
</file>