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D15" w:rsidRDefault="00A6155D" w:rsidP="00A6155D">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9EE576E7-BAC4-414E-98B2-E5492551744C" style="width:450.5pt;height:438pt">
            <v:imagedata r:id="rId11" o:title=""/>
          </v:shape>
        </w:pict>
      </w:r>
    </w:p>
    <w:p w:rsidR="003F7D15" w:rsidRDefault="003F7D15">
      <w:pPr>
        <w:rPr>
          <w:noProof/>
        </w:rPr>
        <w:sectPr w:rsidR="003F7D15" w:rsidSect="00A6155D">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rsidR="003F7D15" w:rsidRDefault="003F7D15">
      <w:pPr>
        <w:pStyle w:val="CRSeparator"/>
        <w:rPr>
          <w:noProof/>
          <w:lang w:val="en-GB"/>
        </w:rPr>
      </w:pPr>
      <w:bookmarkStart w:id="0" w:name="_GoBack"/>
      <w:bookmarkEnd w:id="0"/>
    </w:p>
    <w:p w:rsidR="003F7D15" w:rsidRDefault="00A6155D">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2003/96/EC</w:t>
      </w:r>
    </w:p>
    <w:p w:rsidR="003F7D15" w:rsidRDefault="00A6155D">
      <w:pPr>
        <w:pStyle w:val="Annexetitreacte"/>
        <w:rPr>
          <w:rStyle w:val="CRRefonteDeleted"/>
          <w:noProof/>
          <w:highlight w:val="lightGray"/>
        </w:rPr>
      </w:pPr>
      <w:r>
        <w:rPr>
          <w:rStyle w:val="CRRefonteDeleted"/>
          <w:noProof/>
          <w:highlight w:val="lightGray"/>
        </w:rPr>
        <w:t>ANNEX I</w:t>
      </w:r>
    </w:p>
    <w:tbl>
      <w:tblPr>
        <w:tblW w:w="0" w:type="auto"/>
        <w:tblLayout w:type="fixed"/>
        <w:tblLook w:val="0000" w:firstRow="0" w:lastRow="0" w:firstColumn="0" w:lastColumn="0" w:noHBand="0" w:noVBand="0"/>
      </w:tblPr>
      <w:tblGrid>
        <w:gridCol w:w="6036"/>
        <w:gridCol w:w="1579"/>
        <w:gridCol w:w="1671"/>
      </w:tblGrid>
      <w:tr w:rsidR="003F7D15">
        <w:tc>
          <w:tcPr>
            <w:tcW w:w="9286" w:type="dxa"/>
            <w:gridSpan w:val="3"/>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Table A. —</w:t>
            </w:r>
            <w:r>
              <w:rPr>
                <w:rStyle w:val="CRRefonteDeleted"/>
                <w:noProof/>
                <w:highlight w:val="lightGray"/>
              </w:rPr>
              <w:tab/>
              <w:t>Minimum levels of taxation applicable to motor fuels</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3F7D15">
            <w:pPr>
              <w:adjustRightInd w:val="0"/>
              <w:spacing w:before="0" w:after="0"/>
              <w:jc w:val="left"/>
              <w:rPr>
                <w:rStyle w:val="CRRefonteDeleted"/>
                <w:noProof/>
                <w:highlight w:val="lightGray"/>
                <w:lang w:val="en-US"/>
              </w:rPr>
            </w:pP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1 January 2004</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1 January 2010</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en-IE"/>
              </w:rPr>
            </w:pPr>
            <w:r>
              <w:rPr>
                <w:rStyle w:val="CRRefonteDeleted"/>
                <w:noProof/>
                <w:highlight w:val="lightGray"/>
                <w:lang w:val="en-IE"/>
              </w:rPr>
              <w:t>Leaded petrol</w:t>
            </w:r>
          </w:p>
          <w:p w:rsidR="003F7D15" w:rsidRDefault="00A6155D">
            <w:pPr>
              <w:pStyle w:val="NormalLeft"/>
              <w:rPr>
                <w:rStyle w:val="CRRefonteDeleted"/>
                <w:noProof/>
                <w:highlight w:val="lightGray"/>
                <w:lang w:val="en-IE"/>
              </w:rPr>
            </w:pPr>
            <w:r>
              <w:rPr>
                <w:rStyle w:val="CRRefonteDeleted"/>
                <w:noProof/>
                <w:highlight w:val="lightGray"/>
                <w:lang w:val="en-IE"/>
              </w:rPr>
              <w:t>(in euro per 1000 l)</w:t>
            </w:r>
          </w:p>
          <w:p w:rsidR="003F7D15" w:rsidRDefault="00A6155D">
            <w:pPr>
              <w:pStyle w:val="NormalLeft"/>
              <w:rPr>
                <w:rStyle w:val="CRRefonteDeleted"/>
                <w:noProof/>
                <w:highlight w:val="lightGray"/>
                <w:lang w:val="en-IE"/>
              </w:rPr>
            </w:pPr>
            <w:r>
              <w:rPr>
                <w:rStyle w:val="CRRefonteDeleted"/>
                <w:noProof/>
                <w:highlight w:val="lightGray"/>
                <w:lang w:val="en-IE"/>
              </w:rPr>
              <w:t xml:space="preserve">CN codes 27101231, 27101251 and 27101259 </w:t>
            </w: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421</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421</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en-IE"/>
              </w:rPr>
            </w:pPr>
            <w:r>
              <w:rPr>
                <w:rStyle w:val="CRRefonteDeleted"/>
                <w:noProof/>
                <w:highlight w:val="lightGray"/>
                <w:lang w:val="en-IE"/>
              </w:rPr>
              <w:t>Unleaded petrol</w:t>
            </w:r>
          </w:p>
          <w:p w:rsidR="003F7D15" w:rsidRDefault="00A6155D">
            <w:pPr>
              <w:pStyle w:val="NormalLeft"/>
              <w:rPr>
                <w:rStyle w:val="CRRefonteDeleted"/>
                <w:noProof/>
                <w:highlight w:val="lightGray"/>
                <w:lang w:val="en-IE"/>
              </w:rPr>
            </w:pPr>
            <w:r>
              <w:rPr>
                <w:rStyle w:val="CRRefonteDeleted"/>
                <w:noProof/>
                <w:highlight w:val="lightGray"/>
                <w:lang w:val="en-IE"/>
              </w:rPr>
              <w:t>(in euro per 1000 l)</w:t>
            </w:r>
          </w:p>
          <w:p w:rsidR="003F7D15" w:rsidRDefault="00A6155D">
            <w:pPr>
              <w:pStyle w:val="NormalLeft"/>
              <w:rPr>
                <w:rStyle w:val="CRRefonteDeleted"/>
                <w:noProof/>
                <w:highlight w:val="lightGray"/>
                <w:lang w:val="en-IE"/>
              </w:rPr>
            </w:pPr>
            <w:r>
              <w:rPr>
                <w:rStyle w:val="CRRefonteDeleted"/>
                <w:noProof/>
                <w:highlight w:val="lightGray"/>
                <w:lang w:val="en-IE"/>
              </w:rPr>
              <w:t xml:space="preserve">CN codes 27101231, 27101241, 27101245 and 27101249 </w:t>
            </w: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359</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359</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Gas oil</w:t>
            </w:r>
          </w:p>
          <w:p w:rsidR="003F7D15" w:rsidRDefault="00A6155D">
            <w:pPr>
              <w:pStyle w:val="NormalLeft"/>
              <w:rPr>
                <w:rStyle w:val="CRRefonteDeleted"/>
                <w:noProof/>
                <w:highlight w:val="lightGray"/>
              </w:rPr>
            </w:pPr>
            <w:r>
              <w:rPr>
                <w:rStyle w:val="CRRefonteDeleted"/>
                <w:noProof/>
                <w:highlight w:val="lightGray"/>
              </w:rPr>
              <w:t>(in euro per 1000 l)</w:t>
            </w:r>
          </w:p>
          <w:p w:rsidR="003F7D15" w:rsidRDefault="00A6155D">
            <w:pPr>
              <w:pStyle w:val="NormalLeft"/>
              <w:rPr>
                <w:rStyle w:val="CRRefonteDeleted"/>
                <w:noProof/>
                <w:highlight w:val="lightGray"/>
              </w:rPr>
            </w:pPr>
            <w:r>
              <w:rPr>
                <w:rStyle w:val="CRRefonteDeleted"/>
                <w:noProof/>
                <w:highlight w:val="lightGray"/>
              </w:rPr>
              <w:t xml:space="preserve">CN codes 27101943 to 27101948 and 27102011 to 27102019 </w:t>
            </w: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302</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330</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Kerosene</w:t>
            </w:r>
          </w:p>
          <w:p w:rsidR="003F7D15" w:rsidRDefault="00A6155D">
            <w:pPr>
              <w:pStyle w:val="NormalLeft"/>
              <w:rPr>
                <w:rStyle w:val="CRRefonteDeleted"/>
                <w:noProof/>
                <w:highlight w:val="lightGray"/>
                <w:lang w:val="it-IT"/>
              </w:rPr>
            </w:pPr>
            <w:r>
              <w:rPr>
                <w:rStyle w:val="CRRefonteDeleted"/>
                <w:noProof/>
                <w:highlight w:val="lightGray"/>
                <w:lang w:val="it-IT"/>
              </w:rPr>
              <w:t>(in euro per 1000 l)</w:t>
            </w:r>
          </w:p>
          <w:p w:rsidR="003F7D15" w:rsidRDefault="00A6155D">
            <w:pPr>
              <w:pStyle w:val="NormalLeft"/>
              <w:rPr>
                <w:rStyle w:val="CRRefonteDeleted"/>
                <w:noProof/>
                <w:highlight w:val="lightGray"/>
              </w:rPr>
            </w:pPr>
            <w:r>
              <w:rPr>
                <w:rStyle w:val="CRRefonteDeleted"/>
                <w:noProof/>
                <w:highlight w:val="lightGray"/>
              </w:rPr>
              <w:t>CN codes 27101921 and 27101925</w:t>
            </w: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302</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330</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LPG</w:t>
            </w:r>
          </w:p>
          <w:p w:rsidR="003F7D15" w:rsidRDefault="00A6155D">
            <w:pPr>
              <w:pStyle w:val="NormalLeft"/>
              <w:rPr>
                <w:rStyle w:val="CRRefonteDeleted"/>
                <w:noProof/>
                <w:highlight w:val="lightGray"/>
                <w:lang w:val="it-IT"/>
              </w:rPr>
            </w:pPr>
            <w:r>
              <w:rPr>
                <w:rStyle w:val="CRRefonteDeleted"/>
                <w:noProof/>
                <w:highlight w:val="lightGray"/>
                <w:lang w:val="it-IT"/>
              </w:rPr>
              <w:t>(in euro per 1000 kg)</w:t>
            </w:r>
          </w:p>
          <w:p w:rsidR="003F7D15" w:rsidRDefault="00A6155D">
            <w:pPr>
              <w:pStyle w:val="NormalLeft"/>
              <w:rPr>
                <w:rStyle w:val="CRRefonteDeleted"/>
                <w:noProof/>
                <w:highlight w:val="lightGray"/>
              </w:rPr>
            </w:pPr>
            <w:r>
              <w:rPr>
                <w:rStyle w:val="CRRefonteDeleted"/>
                <w:noProof/>
                <w:highlight w:val="lightGray"/>
              </w:rPr>
              <w:t>CN codes 27111211 to 27111900</w:t>
            </w: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125</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125</w:t>
            </w:r>
          </w:p>
        </w:tc>
      </w:tr>
      <w:tr w:rsidR="003F7D15">
        <w:tc>
          <w:tcPr>
            <w:tcW w:w="60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Natural gas</w:t>
            </w:r>
          </w:p>
          <w:p w:rsidR="003F7D15" w:rsidRDefault="00A6155D">
            <w:pPr>
              <w:pStyle w:val="NormalLeft"/>
              <w:rPr>
                <w:rStyle w:val="CRRefonteDeleted"/>
                <w:noProof/>
                <w:highlight w:val="lightGray"/>
              </w:rPr>
            </w:pPr>
            <w:r>
              <w:rPr>
                <w:rStyle w:val="CRRefonteDeleted"/>
                <w:noProof/>
                <w:highlight w:val="lightGray"/>
              </w:rPr>
              <w:t>(in euro per gigajoule gross calorific value)</w:t>
            </w:r>
          </w:p>
          <w:p w:rsidR="003F7D15" w:rsidRDefault="00A6155D">
            <w:pPr>
              <w:pStyle w:val="NormalLeft"/>
              <w:rPr>
                <w:rStyle w:val="CRRefonteDeleted"/>
                <w:noProof/>
                <w:highlight w:val="lightGray"/>
              </w:rPr>
            </w:pPr>
            <w:r>
              <w:rPr>
                <w:rStyle w:val="CRRefonteDeleted"/>
                <w:noProof/>
                <w:highlight w:val="lightGray"/>
              </w:rPr>
              <w:t>CN codes 27111100 and 27112100</w:t>
            </w:r>
          </w:p>
        </w:tc>
        <w:tc>
          <w:tcPr>
            <w:tcW w:w="1579"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2,6</w:t>
            </w:r>
          </w:p>
        </w:tc>
        <w:tc>
          <w:tcPr>
            <w:tcW w:w="1671"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rPr>
            </w:pPr>
            <w:r>
              <w:rPr>
                <w:rStyle w:val="CRRefonteDeleted"/>
                <w:noProof/>
                <w:highlight w:val="lightGray"/>
              </w:rPr>
              <w:t>2,6</w:t>
            </w:r>
          </w:p>
        </w:tc>
      </w:tr>
    </w:tbl>
    <w:p w:rsidR="003F7D15" w:rsidRDefault="003F7D15">
      <w:pPr>
        <w:rPr>
          <w:noProof/>
        </w:rPr>
      </w:pPr>
    </w:p>
    <w:tbl>
      <w:tblPr>
        <w:tblW w:w="0" w:type="auto"/>
        <w:tblLayout w:type="fixed"/>
        <w:tblLook w:val="0000" w:firstRow="0" w:lastRow="0" w:firstColumn="0" w:lastColumn="0" w:noHBand="0" w:noVBand="0"/>
      </w:tblPr>
      <w:tblGrid>
        <w:gridCol w:w="5757"/>
        <w:gridCol w:w="3529"/>
      </w:tblGrid>
      <w:tr w:rsidR="003F7D15">
        <w:tc>
          <w:tcPr>
            <w:tcW w:w="9286" w:type="dxa"/>
            <w:gridSpan w:val="2"/>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Table B. —</w:t>
            </w:r>
            <w:r>
              <w:rPr>
                <w:rStyle w:val="CRRefonteDeleted"/>
                <w:noProof/>
                <w:highlight w:val="lightGray"/>
              </w:rPr>
              <w:tab/>
            </w:r>
            <w:r>
              <w:rPr>
                <w:rStyle w:val="CRRefonteDeleted"/>
                <w:noProof/>
                <w:highlight w:val="lightGray"/>
              </w:rPr>
              <w:t>Minimum levels of taxation applicable to motor fuels used for the purpose set out in Article 8(2)</w:t>
            </w:r>
          </w:p>
        </w:tc>
      </w:tr>
      <w:tr w:rsidR="003F7D15">
        <w:tc>
          <w:tcPr>
            <w:tcW w:w="5757"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Gas oil</w:t>
            </w:r>
          </w:p>
          <w:p w:rsidR="003F7D15" w:rsidRDefault="00A6155D">
            <w:pPr>
              <w:pStyle w:val="NormalCentered"/>
              <w:rPr>
                <w:rStyle w:val="CRRefonteDeleted"/>
                <w:noProof/>
                <w:highlight w:val="lightGray"/>
              </w:rPr>
            </w:pPr>
            <w:r>
              <w:rPr>
                <w:rStyle w:val="CRRefonteDeleted"/>
                <w:noProof/>
                <w:highlight w:val="lightGray"/>
              </w:rPr>
              <w:t>(in euro per 1000 l)</w:t>
            </w:r>
          </w:p>
          <w:p w:rsidR="003F7D15" w:rsidRDefault="00A6155D">
            <w:pPr>
              <w:pStyle w:val="NormalCentered"/>
              <w:rPr>
                <w:rStyle w:val="CRRefonteDeleted"/>
                <w:noProof/>
                <w:highlight w:val="lightGray"/>
              </w:rPr>
            </w:pPr>
            <w:r>
              <w:rPr>
                <w:rStyle w:val="CRRefonteDeleted"/>
                <w:noProof/>
                <w:highlight w:val="lightGray"/>
              </w:rPr>
              <w:t xml:space="preserve">CN codes 27101943 to 27101948 and 27102011 to 27102019 </w:t>
            </w:r>
          </w:p>
        </w:tc>
        <w:tc>
          <w:tcPr>
            <w:tcW w:w="3529"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21</w:t>
            </w:r>
          </w:p>
        </w:tc>
      </w:tr>
      <w:tr w:rsidR="003F7D15">
        <w:tc>
          <w:tcPr>
            <w:tcW w:w="5757"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lang w:val="it-IT"/>
              </w:rPr>
            </w:pPr>
            <w:r>
              <w:rPr>
                <w:rStyle w:val="CRRefonteDeleted"/>
                <w:noProof/>
                <w:highlight w:val="lightGray"/>
                <w:lang w:val="it-IT"/>
              </w:rPr>
              <w:t>Kerosene</w:t>
            </w:r>
          </w:p>
          <w:p w:rsidR="003F7D15" w:rsidRDefault="00A6155D">
            <w:pPr>
              <w:pStyle w:val="NormalCentered"/>
              <w:rPr>
                <w:rStyle w:val="CRRefonteDeleted"/>
                <w:noProof/>
                <w:highlight w:val="lightGray"/>
                <w:lang w:val="it-IT"/>
              </w:rPr>
            </w:pPr>
            <w:r>
              <w:rPr>
                <w:rStyle w:val="CRRefonteDeleted"/>
                <w:noProof/>
                <w:highlight w:val="lightGray"/>
                <w:lang w:val="it-IT"/>
              </w:rPr>
              <w:t>(in euro per 1000 l)</w:t>
            </w:r>
          </w:p>
          <w:p w:rsidR="003F7D15" w:rsidRDefault="00A6155D">
            <w:pPr>
              <w:pStyle w:val="NormalCentered"/>
              <w:rPr>
                <w:rStyle w:val="CRRefonteDeleted"/>
                <w:noProof/>
                <w:highlight w:val="lightGray"/>
              </w:rPr>
            </w:pPr>
            <w:r>
              <w:rPr>
                <w:rStyle w:val="CRRefonteDeleted"/>
                <w:noProof/>
                <w:highlight w:val="lightGray"/>
              </w:rPr>
              <w:t>CN codes 27101921 and 27101925</w:t>
            </w:r>
          </w:p>
        </w:tc>
        <w:tc>
          <w:tcPr>
            <w:tcW w:w="3529"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21</w:t>
            </w:r>
          </w:p>
        </w:tc>
      </w:tr>
      <w:tr w:rsidR="003F7D15">
        <w:tc>
          <w:tcPr>
            <w:tcW w:w="5757"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lang w:val="sv-FI"/>
              </w:rPr>
            </w:pPr>
            <w:r>
              <w:rPr>
                <w:rStyle w:val="CRRefonteDeleted"/>
                <w:noProof/>
                <w:highlight w:val="lightGray"/>
                <w:lang w:val="sv-FI"/>
              </w:rPr>
              <w:t>LPG</w:t>
            </w:r>
          </w:p>
          <w:p w:rsidR="003F7D15" w:rsidRDefault="00A6155D">
            <w:pPr>
              <w:pStyle w:val="NormalCentered"/>
              <w:rPr>
                <w:rStyle w:val="CRRefonteDeleted"/>
                <w:noProof/>
                <w:highlight w:val="lightGray"/>
                <w:lang w:val="sv-FI"/>
              </w:rPr>
            </w:pPr>
            <w:r>
              <w:rPr>
                <w:rStyle w:val="CRRefonteDeleted"/>
                <w:noProof/>
                <w:highlight w:val="lightGray"/>
                <w:lang w:val="sv-FI"/>
              </w:rPr>
              <w:t>(in euro per 1000 kg)</w:t>
            </w:r>
          </w:p>
          <w:p w:rsidR="003F7D15" w:rsidRDefault="00A6155D">
            <w:pPr>
              <w:pStyle w:val="NormalCentered"/>
              <w:rPr>
                <w:rStyle w:val="CRRefonteDeleted"/>
                <w:noProof/>
                <w:highlight w:val="lightGray"/>
              </w:rPr>
            </w:pPr>
            <w:r>
              <w:rPr>
                <w:rStyle w:val="CRRefonteDeleted"/>
                <w:noProof/>
                <w:highlight w:val="lightGray"/>
              </w:rPr>
              <w:t>CN codes 27111211 to 27111900</w:t>
            </w:r>
          </w:p>
        </w:tc>
        <w:tc>
          <w:tcPr>
            <w:tcW w:w="3529"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41</w:t>
            </w:r>
          </w:p>
        </w:tc>
      </w:tr>
      <w:tr w:rsidR="003F7D15">
        <w:tc>
          <w:tcPr>
            <w:tcW w:w="5757"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Natural gas</w:t>
            </w:r>
          </w:p>
          <w:p w:rsidR="003F7D15" w:rsidRDefault="00A6155D">
            <w:pPr>
              <w:pStyle w:val="NormalCentered"/>
              <w:rPr>
                <w:rStyle w:val="CRRefonteDeleted"/>
                <w:noProof/>
                <w:highlight w:val="lightGray"/>
              </w:rPr>
            </w:pPr>
            <w:r>
              <w:rPr>
                <w:rStyle w:val="CRRefonteDeleted"/>
                <w:noProof/>
                <w:highlight w:val="lightGray"/>
              </w:rPr>
              <w:t>(in euro per gigajoule gross calorific value)</w:t>
            </w:r>
          </w:p>
          <w:p w:rsidR="003F7D15" w:rsidRDefault="00A6155D">
            <w:pPr>
              <w:pStyle w:val="NormalCentered"/>
              <w:rPr>
                <w:rStyle w:val="CRRefonteDeleted"/>
                <w:noProof/>
                <w:highlight w:val="lightGray"/>
              </w:rPr>
            </w:pPr>
            <w:r>
              <w:rPr>
                <w:rStyle w:val="CRRefonteDeleted"/>
                <w:noProof/>
                <w:highlight w:val="lightGray"/>
              </w:rPr>
              <w:t>CN codes 27111100 and 27112100</w:t>
            </w:r>
          </w:p>
        </w:tc>
        <w:tc>
          <w:tcPr>
            <w:tcW w:w="3529" w:type="dxa"/>
            <w:tcBorders>
              <w:top w:val="single" w:sz="2" w:space="0" w:color="auto"/>
              <w:left w:val="single" w:sz="2" w:space="0" w:color="auto"/>
              <w:bottom w:val="single" w:sz="2" w:space="0" w:color="auto"/>
              <w:right w:val="single" w:sz="2" w:space="0" w:color="auto"/>
            </w:tcBorders>
          </w:tcPr>
          <w:p w:rsidR="003F7D15" w:rsidRDefault="00A6155D">
            <w:pPr>
              <w:pStyle w:val="NormalCentered"/>
              <w:rPr>
                <w:rStyle w:val="CRRefonteDeleted"/>
                <w:noProof/>
                <w:highlight w:val="lightGray"/>
              </w:rPr>
            </w:pPr>
            <w:r>
              <w:rPr>
                <w:rStyle w:val="CRRefonteDeleted"/>
                <w:noProof/>
                <w:highlight w:val="lightGray"/>
              </w:rPr>
              <w:t>0,3</w:t>
            </w:r>
          </w:p>
        </w:tc>
      </w:tr>
    </w:tbl>
    <w:p w:rsidR="003F7D15" w:rsidRDefault="003F7D15">
      <w:pPr>
        <w:rPr>
          <w:noProof/>
        </w:rPr>
      </w:pPr>
    </w:p>
    <w:tbl>
      <w:tblPr>
        <w:tblW w:w="0" w:type="auto"/>
        <w:tblLayout w:type="fixed"/>
        <w:tblLook w:val="0000" w:firstRow="0" w:lastRow="0" w:firstColumn="0" w:lastColumn="0" w:noHBand="0" w:noVBand="0"/>
      </w:tblPr>
      <w:tblGrid>
        <w:gridCol w:w="5293"/>
        <w:gridCol w:w="1857"/>
        <w:gridCol w:w="2136"/>
      </w:tblGrid>
      <w:tr w:rsidR="003F7D15">
        <w:tc>
          <w:tcPr>
            <w:tcW w:w="9286" w:type="dxa"/>
            <w:gridSpan w:val="3"/>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en-IE"/>
              </w:rPr>
            </w:pPr>
            <w:r>
              <w:rPr>
                <w:rStyle w:val="CRRefonteDeleted"/>
                <w:noProof/>
                <w:highlight w:val="lightGray"/>
                <w:lang w:val="en-IE"/>
              </w:rPr>
              <w:t>Table C. —</w:t>
            </w:r>
            <w:r>
              <w:rPr>
                <w:rStyle w:val="CRRefonteDeleted"/>
                <w:noProof/>
                <w:highlight w:val="lightGray"/>
                <w:lang w:val="en-IE"/>
              </w:rPr>
              <w:tab/>
              <w:t>Minimum levels of taxation applicable to heating fuels and electricity</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3F7D15">
            <w:pPr>
              <w:pStyle w:val="NormalLeft"/>
              <w:rPr>
                <w:rStyle w:val="CRRefonteDeleted"/>
                <w:noProof/>
                <w:highlight w:val="lightGray"/>
                <w:lang w:val="en-IE"/>
              </w:rPr>
            </w:pP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Business use</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Non-business use</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en-IE"/>
              </w:rPr>
            </w:pPr>
            <w:r>
              <w:rPr>
                <w:rStyle w:val="CRRefonteDeleted"/>
                <w:noProof/>
                <w:highlight w:val="lightGray"/>
                <w:lang w:val="en-IE"/>
              </w:rPr>
              <w:t>Gas oil</w:t>
            </w:r>
          </w:p>
          <w:p w:rsidR="003F7D15" w:rsidRDefault="00A6155D">
            <w:pPr>
              <w:pStyle w:val="NormalLeft"/>
              <w:rPr>
                <w:rStyle w:val="CRRefonteDeleted"/>
                <w:noProof/>
                <w:highlight w:val="lightGray"/>
                <w:lang w:val="en-IE"/>
              </w:rPr>
            </w:pPr>
            <w:r>
              <w:rPr>
                <w:rStyle w:val="CRRefonteDeleted"/>
                <w:noProof/>
                <w:highlight w:val="lightGray"/>
                <w:lang w:val="en-IE"/>
              </w:rPr>
              <w:t>(in euro per 1000 l)</w:t>
            </w:r>
          </w:p>
          <w:p w:rsidR="003F7D15" w:rsidRDefault="00A6155D">
            <w:pPr>
              <w:pStyle w:val="NormalLeft"/>
              <w:rPr>
                <w:rStyle w:val="CRRefonteDeleted"/>
                <w:noProof/>
                <w:highlight w:val="lightGray"/>
                <w:lang w:val="en-IE"/>
              </w:rPr>
            </w:pPr>
            <w:r>
              <w:rPr>
                <w:rStyle w:val="CRRefonteDeleted"/>
                <w:noProof/>
                <w:highlight w:val="lightGray"/>
                <w:lang w:val="en-IE"/>
              </w:rPr>
              <w:t xml:space="preserve">CN codes 3 27101943 to 27101948 and 27102011 to 27102019 </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21</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21</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en-IE"/>
              </w:rPr>
            </w:pPr>
            <w:r>
              <w:rPr>
                <w:rStyle w:val="CRRefonteDeleted"/>
                <w:noProof/>
                <w:highlight w:val="lightGray"/>
                <w:lang w:val="en-IE"/>
              </w:rPr>
              <w:t>Heavy fuel oil</w:t>
            </w:r>
          </w:p>
          <w:p w:rsidR="003F7D15" w:rsidRDefault="00A6155D">
            <w:pPr>
              <w:pStyle w:val="NormalLeft"/>
              <w:rPr>
                <w:rStyle w:val="CRRefonteDeleted"/>
                <w:noProof/>
                <w:highlight w:val="lightGray"/>
                <w:lang w:val="en-IE"/>
              </w:rPr>
            </w:pPr>
            <w:r>
              <w:rPr>
                <w:rStyle w:val="CRRefonteDeleted"/>
                <w:noProof/>
                <w:highlight w:val="lightGray"/>
                <w:lang w:val="en-IE"/>
              </w:rPr>
              <w:t>(in euro per 1000 kg)</w:t>
            </w:r>
          </w:p>
          <w:p w:rsidR="003F7D15" w:rsidRDefault="00A6155D">
            <w:pPr>
              <w:pStyle w:val="NormalLeft"/>
              <w:rPr>
                <w:rStyle w:val="CRRefonteDeleted"/>
                <w:noProof/>
                <w:highlight w:val="lightGray"/>
                <w:lang w:val="en-IE"/>
              </w:rPr>
            </w:pPr>
            <w:r>
              <w:rPr>
                <w:rStyle w:val="CRRefonteDeleted"/>
                <w:noProof/>
                <w:highlight w:val="lightGray"/>
                <w:lang w:val="en-IE"/>
              </w:rPr>
              <w:t xml:space="preserve">CN codes 3 27101962 to 27101968 and 27102031 to 27102039 </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15</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15</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Kerosene</w:t>
            </w:r>
          </w:p>
          <w:p w:rsidR="003F7D15" w:rsidRDefault="00A6155D">
            <w:pPr>
              <w:pStyle w:val="NormalLeft"/>
              <w:rPr>
                <w:rStyle w:val="CRRefonteDeleted"/>
                <w:noProof/>
                <w:highlight w:val="lightGray"/>
                <w:lang w:val="it-IT"/>
              </w:rPr>
            </w:pPr>
            <w:r>
              <w:rPr>
                <w:rStyle w:val="CRRefonteDeleted"/>
                <w:noProof/>
                <w:highlight w:val="lightGray"/>
                <w:lang w:val="it-IT"/>
              </w:rPr>
              <w:t>(in euro per 1000 l)</w:t>
            </w:r>
          </w:p>
          <w:p w:rsidR="003F7D15" w:rsidRDefault="00A6155D">
            <w:pPr>
              <w:pStyle w:val="NormalLeft"/>
              <w:rPr>
                <w:rStyle w:val="CRRefonteDeleted"/>
                <w:noProof/>
                <w:highlight w:val="lightGray"/>
                <w:lang w:val="it-IT"/>
              </w:rPr>
            </w:pPr>
            <w:r>
              <w:rPr>
                <w:rStyle w:val="CRRefonteDeleted"/>
                <w:noProof/>
                <w:highlight w:val="lightGray"/>
                <w:lang w:val="it-IT"/>
              </w:rPr>
              <w:t xml:space="preserve">CN codes </w:t>
            </w:r>
            <w:r>
              <w:rPr>
                <w:rStyle w:val="CRRefonteDeleted"/>
                <w:noProof/>
                <w:highlight w:val="lightGray"/>
                <w:lang w:val="it-IT"/>
              </w:rPr>
              <w:t>27101921 and 27101925</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sv-FI"/>
              </w:rPr>
            </w:pPr>
            <w:r>
              <w:rPr>
                <w:rStyle w:val="CRRefonteDeleted"/>
                <w:noProof/>
                <w:highlight w:val="lightGray"/>
                <w:lang w:val="sv-FI"/>
              </w:rPr>
              <w:t>LPG</w:t>
            </w:r>
          </w:p>
          <w:p w:rsidR="003F7D15" w:rsidRDefault="00A6155D">
            <w:pPr>
              <w:pStyle w:val="NormalLeft"/>
              <w:rPr>
                <w:rStyle w:val="CRRefonteDeleted"/>
                <w:noProof/>
                <w:highlight w:val="lightGray"/>
                <w:lang w:val="sv-FI"/>
              </w:rPr>
            </w:pPr>
            <w:r>
              <w:rPr>
                <w:rStyle w:val="CRRefonteDeleted"/>
                <w:noProof/>
                <w:highlight w:val="lightGray"/>
                <w:lang w:val="sv-FI"/>
              </w:rPr>
              <w:t>(in euro per 1000 kg)</w:t>
            </w:r>
          </w:p>
          <w:p w:rsidR="003F7D15" w:rsidRDefault="00A6155D">
            <w:pPr>
              <w:pStyle w:val="NormalLeft"/>
              <w:rPr>
                <w:rStyle w:val="CRRefonteDeleted"/>
                <w:noProof/>
                <w:highlight w:val="lightGray"/>
                <w:lang w:val="it-IT"/>
              </w:rPr>
            </w:pPr>
            <w:r>
              <w:rPr>
                <w:rStyle w:val="CRRefonteDeleted"/>
                <w:noProof/>
                <w:highlight w:val="lightGray"/>
                <w:lang w:val="it-IT"/>
              </w:rPr>
              <w:t>CN codes 27111211 to 27111900</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Natural gas</w:t>
            </w:r>
          </w:p>
          <w:p w:rsidR="003F7D15" w:rsidRDefault="00A6155D">
            <w:pPr>
              <w:pStyle w:val="NormalLeft"/>
              <w:rPr>
                <w:rStyle w:val="CRRefonteDeleted"/>
                <w:noProof/>
                <w:highlight w:val="lightGray"/>
                <w:lang w:val="it-IT"/>
              </w:rPr>
            </w:pPr>
            <w:r>
              <w:rPr>
                <w:rStyle w:val="CRRefonteDeleted"/>
                <w:noProof/>
                <w:highlight w:val="lightGray"/>
                <w:lang w:val="it-IT"/>
              </w:rPr>
              <w:t>(in euro per gigajoule gross calorific value)</w:t>
            </w:r>
          </w:p>
          <w:p w:rsidR="003F7D15" w:rsidRDefault="00A6155D">
            <w:pPr>
              <w:pStyle w:val="NormalLeft"/>
              <w:rPr>
                <w:rStyle w:val="CRRefonteDeleted"/>
                <w:noProof/>
                <w:highlight w:val="lightGray"/>
                <w:lang w:val="it-IT"/>
              </w:rPr>
            </w:pPr>
            <w:r>
              <w:rPr>
                <w:rStyle w:val="CRRefonteDeleted"/>
                <w:noProof/>
                <w:highlight w:val="lightGray"/>
                <w:lang w:val="it-IT"/>
              </w:rPr>
              <w:t>CN codes 27111100 and 27112100</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0,15</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0,3</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en-IE"/>
              </w:rPr>
            </w:pPr>
            <w:r>
              <w:rPr>
                <w:rStyle w:val="CRRefonteDeleted"/>
                <w:noProof/>
                <w:highlight w:val="lightGray"/>
                <w:lang w:val="en-IE"/>
              </w:rPr>
              <w:t>Coal and coke</w:t>
            </w:r>
          </w:p>
          <w:p w:rsidR="003F7D15" w:rsidRDefault="00A6155D">
            <w:pPr>
              <w:pStyle w:val="NormalLeft"/>
              <w:rPr>
                <w:rStyle w:val="CRRefonteDeleted"/>
                <w:noProof/>
                <w:highlight w:val="lightGray"/>
                <w:lang w:val="en-IE"/>
              </w:rPr>
            </w:pPr>
            <w:r>
              <w:rPr>
                <w:rStyle w:val="CRRefonteDeleted"/>
                <w:noProof/>
                <w:highlight w:val="lightGray"/>
                <w:lang w:val="en-IE"/>
              </w:rPr>
              <w:t>(in euro per gigajoule gross calorific value)</w:t>
            </w:r>
          </w:p>
          <w:p w:rsidR="003F7D15" w:rsidRDefault="00A6155D">
            <w:pPr>
              <w:pStyle w:val="NormalLeft"/>
              <w:rPr>
                <w:rStyle w:val="CRRefonteDeleted"/>
                <w:noProof/>
                <w:highlight w:val="lightGray"/>
                <w:lang w:val="it-IT"/>
              </w:rPr>
            </w:pPr>
            <w:r>
              <w:rPr>
                <w:rStyle w:val="CRRefonteDeleted"/>
                <w:noProof/>
                <w:highlight w:val="lightGray"/>
                <w:lang w:val="it-IT"/>
              </w:rPr>
              <w:t xml:space="preserve">CN codes </w:t>
            </w:r>
            <w:r>
              <w:rPr>
                <w:rStyle w:val="CRRefonteDeleted"/>
                <w:noProof/>
                <w:highlight w:val="lightGray"/>
                <w:lang w:val="it-IT"/>
              </w:rPr>
              <w:t>2701, 2702 and 2704</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0,15</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0,3</w:t>
            </w:r>
          </w:p>
        </w:tc>
      </w:tr>
      <w:tr w:rsidR="003F7D15">
        <w:tc>
          <w:tcPr>
            <w:tcW w:w="5293"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Electricity</w:t>
            </w:r>
          </w:p>
          <w:p w:rsidR="003F7D15" w:rsidRDefault="00A6155D">
            <w:pPr>
              <w:pStyle w:val="NormalLeft"/>
              <w:rPr>
                <w:rStyle w:val="CRRefonteDeleted"/>
                <w:noProof/>
                <w:highlight w:val="lightGray"/>
                <w:lang w:val="it-IT"/>
              </w:rPr>
            </w:pPr>
            <w:r>
              <w:rPr>
                <w:rStyle w:val="CRRefonteDeleted"/>
                <w:noProof/>
                <w:highlight w:val="lightGray"/>
                <w:lang w:val="it-IT"/>
              </w:rPr>
              <w:t>(in euro per MWh)</w:t>
            </w:r>
          </w:p>
          <w:p w:rsidR="003F7D15" w:rsidRDefault="00A6155D">
            <w:pPr>
              <w:pStyle w:val="NormalLeft"/>
              <w:rPr>
                <w:rStyle w:val="CRRefonteDeleted"/>
                <w:noProof/>
                <w:highlight w:val="lightGray"/>
                <w:lang w:val="it-IT"/>
              </w:rPr>
            </w:pPr>
            <w:r>
              <w:rPr>
                <w:rStyle w:val="CRRefonteDeleted"/>
                <w:noProof/>
                <w:highlight w:val="lightGray"/>
                <w:lang w:val="it-IT"/>
              </w:rPr>
              <w:t>CN code 2716</w:t>
            </w:r>
          </w:p>
        </w:tc>
        <w:tc>
          <w:tcPr>
            <w:tcW w:w="1857"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0,5</w:t>
            </w:r>
          </w:p>
        </w:tc>
        <w:tc>
          <w:tcPr>
            <w:tcW w:w="2136" w:type="dxa"/>
            <w:tcBorders>
              <w:top w:val="single" w:sz="2" w:space="0" w:color="auto"/>
              <w:left w:val="single" w:sz="2" w:space="0" w:color="auto"/>
              <w:bottom w:val="single" w:sz="2" w:space="0" w:color="auto"/>
              <w:right w:val="single" w:sz="2" w:space="0" w:color="auto"/>
            </w:tcBorders>
          </w:tcPr>
          <w:p w:rsidR="003F7D15" w:rsidRDefault="00A6155D">
            <w:pPr>
              <w:pStyle w:val="NormalLeft"/>
              <w:rPr>
                <w:rStyle w:val="CRRefonteDeleted"/>
                <w:noProof/>
                <w:highlight w:val="lightGray"/>
                <w:lang w:val="it-IT"/>
              </w:rPr>
            </w:pPr>
            <w:r>
              <w:rPr>
                <w:rStyle w:val="CRRefonteDeleted"/>
                <w:noProof/>
                <w:highlight w:val="lightGray"/>
                <w:lang w:val="it-IT"/>
              </w:rPr>
              <w:t>1,0</w:t>
            </w:r>
          </w:p>
        </w:tc>
      </w:tr>
    </w:tbl>
    <w:p w:rsidR="003F7D15" w:rsidRDefault="003F7D15">
      <w:pPr>
        <w:adjustRightInd w:val="0"/>
        <w:spacing w:before="0" w:after="0"/>
        <w:jc w:val="left"/>
        <w:rPr>
          <w:noProof/>
          <w:lang w:val="en-US"/>
        </w:rPr>
        <w:sectPr w:rsidR="003F7D15" w:rsidSect="00A6155D">
          <w:footerReference w:type="default" r:id="rId18"/>
          <w:footerReference w:type="first" r:id="rId19"/>
          <w:pgSz w:w="11906" w:h="16838"/>
          <w:pgMar w:top="1134" w:right="1418" w:bottom="1134" w:left="1418" w:header="709" w:footer="709" w:gutter="0"/>
          <w:cols w:space="709"/>
          <w:docGrid w:linePitch="326"/>
        </w:sectPr>
      </w:pPr>
    </w:p>
    <w:p w:rsidR="003F7D15" w:rsidRDefault="00A6155D">
      <w:pPr>
        <w:pStyle w:val="Annexetitreacte"/>
        <w:rPr>
          <w:rStyle w:val="CRRefonteDeleted"/>
          <w:noProof/>
          <w:highlight w:val="lightGray"/>
          <w:lang w:val="en-US"/>
        </w:rPr>
      </w:pPr>
      <w:r>
        <w:rPr>
          <w:rStyle w:val="CRRefonteDeleted"/>
          <w:noProof/>
          <w:highlight w:val="lightGray"/>
          <w:lang w:val="en-US"/>
        </w:rPr>
        <w:t>ANNEX II</w:t>
      </w:r>
    </w:p>
    <w:p w:rsidR="003F7D15" w:rsidRDefault="00A6155D">
      <w:pPr>
        <w:pStyle w:val="NormalCentered"/>
        <w:rPr>
          <w:rStyle w:val="CRRefonteDeleted"/>
          <w:b/>
          <w:noProof/>
          <w:highlight w:val="lightGray"/>
        </w:rPr>
      </w:pPr>
      <w:r>
        <w:rPr>
          <w:rStyle w:val="CRRefonteDeleted"/>
          <w:b/>
          <w:noProof/>
          <w:highlight w:val="lightGray"/>
        </w:rPr>
        <w:t>Reduced rates of taxation and exemptions from such taxation referred to in Article 18(1)</w:t>
      </w:r>
    </w:p>
    <w:p w:rsidR="003F7D15" w:rsidRDefault="00A6155D">
      <w:pPr>
        <w:pStyle w:val="ManualHeading1"/>
        <w:ind w:left="851" w:hanging="851"/>
        <w:rPr>
          <w:rStyle w:val="CRRefonteDeleted"/>
          <w:noProof/>
          <w:highlight w:val="lightGray"/>
        </w:rPr>
      </w:pPr>
      <w:r>
        <w:rPr>
          <w:rStyle w:val="CRRefonteDeleted"/>
          <w:noProof/>
          <w:highlight w:val="lightGray"/>
        </w:rPr>
        <w:t>1.</w:t>
      </w:r>
      <w:r>
        <w:rPr>
          <w:rStyle w:val="CRRefonteDeleted"/>
          <w:noProof/>
          <w:highlight w:val="lightGray"/>
        </w:rPr>
        <w:tab/>
        <w:t>BELGIUM:</w:t>
      </w:r>
    </w:p>
    <w:p w:rsidR="003F7D15" w:rsidRDefault="00A6155D">
      <w:pPr>
        <w:pStyle w:val="Tiret0"/>
        <w:numPr>
          <w:ilvl w:val="0"/>
          <w:numId w:val="9"/>
        </w:numPr>
        <w:ind w:left="851"/>
        <w:rPr>
          <w:rStyle w:val="CRRefonteDeleted"/>
          <w:noProof/>
          <w:highlight w:val="lightGray"/>
        </w:rPr>
      </w:pPr>
      <w:r>
        <w:rPr>
          <w:rStyle w:val="CRRefonteDeleted"/>
          <w:noProof/>
          <w:highlight w:val="lightGray"/>
        </w:rPr>
        <w:t xml:space="preserve">for </w:t>
      </w:r>
      <w:r>
        <w:rPr>
          <w:rStyle w:val="CRRefonteDeleted"/>
          <w:noProof/>
          <w:highlight w:val="lightGray"/>
        </w:rPr>
        <w:t>liquid petroleum gas (LPG), natural gas and methane;</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w:t>
      </w:r>
    </w:p>
    <w:p w:rsidR="003F7D15" w:rsidRDefault="00A6155D">
      <w:pPr>
        <w:pStyle w:val="Tiret0"/>
        <w:ind w:left="851"/>
        <w:rPr>
          <w:rStyle w:val="CRRefonteDeleted"/>
          <w:noProof/>
          <w:highlight w:val="lightGray"/>
        </w:rPr>
      </w:pPr>
      <w:r>
        <w:rPr>
          <w:rStyle w:val="CRRefonteDeleted"/>
          <w:noProof/>
          <w:highlight w:val="lightGray"/>
        </w:rPr>
        <w:t>for air navigation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navigation in private pleasure craft;</w:t>
      </w:r>
    </w:p>
    <w:p w:rsidR="003F7D15" w:rsidRDefault="00A6155D">
      <w:pPr>
        <w:pStyle w:val="Tiret0"/>
        <w:ind w:left="851"/>
        <w:rPr>
          <w:rStyle w:val="CRRefonteDeleted"/>
          <w:noProof/>
          <w:highlight w:val="lightGray"/>
        </w:rPr>
      </w:pPr>
      <w:r>
        <w:rPr>
          <w:rStyle w:val="CRRefonteDeleted"/>
          <w:noProof/>
          <w:highlight w:val="lightGray"/>
        </w:rPr>
        <w:t>for a reduction in the rate of e</w:t>
      </w:r>
      <w:r>
        <w:rPr>
          <w:rStyle w:val="CRRefonteDeleted"/>
          <w:noProof/>
          <w:highlight w:val="lightGray"/>
        </w:rPr>
        <w:t>xcise duty on heavy fuel oil to encourage the use of more environmentally friendly fuels. Such reduction shall be specifically linked to sulphur content and in no case can the reduced rate fall below EUR 6,5 per tonne;</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w:t>
      </w:r>
      <w:r>
        <w:rPr>
          <w:rStyle w:val="CRRefonteDeleted"/>
          <w:noProof/>
          <w:highlight w:val="lightGray"/>
        </w:rPr>
        <w:t>el, either directly after recovery or following a recycling process for waste oils, and where the reuse is subject to duty;</w:t>
      </w:r>
    </w:p>
    <w:p w:rsidR="003F7D15" w:rsidRDefault="00A6155D">
      <w:pPr>
        <w:pStyle w:val="Tiret0"/>
        <w:ind w:left="851"/>
        <w:rPr>
          <w:rStyle w:val="CRRefonteDeleted"/>
          <w:noProof/>
          <w:highlight w:val="lightGray"/>
        </w:rPr>
      </w:pPr>
      <w:r>
        <w:rPr>
          <w:rStyle w:val="CRRefonteDeleted"/>
          <w:noProof/>
          <w:highlight w:val="lightGray"/>
        </w:rPr>
        <w:t>for a differentiated rate of excise duty on low-sulphur (50 ppm) and low-aromatic (35 %) unleaded petrol;</w:t>
      </w:r>
    </w:p>
    <w:p w:rsidR="003F7D15" w:rsidRDefault="00A6155D">
      <w:pPr>
        <w:pStyle w:val="Tiret0"/>
        <w:ind w:left="851"/>
        <w:rPr>
          <w:rStyle w:val="CRRefonteDeleted"/>
          <w:noProof/>
          <w:highlight w:val="lightGray"/>
        </w:rPr>
      </w:pPr>
      <w:r>
        <w:rPr>
          <w:rStyle w:val="CRRefonteDeleted"/>
          <w:noProof/>
          <w:highlight w:val="lightGray"/>
        </w:rPr>
        <w:t xml:space="preserve">for a differentiated rate </w:t>
      </w:r>
      <w:r>
        <w:rPr>
          <w:rStyle w:val="CRRefonteDeleted"/>
          <w:noProof/>
          <w:highlight w:val="lightGray"/>
        </w:rPr>
        <w:t>of excise duty on low-sulphur (50 ppm) diesel.</w:t>
      </w:r>
    </w:p>
    <w:p w:rsidR="003F7D15" w:rsidRDefault="00A6155D">
      <w:pPr>
        <w:pStyle w:val="ManualHeading1"/>
        <w:ind w:left="851" w:hanging="851"/>
        <w:rPr>
          <w:rStyle w:val="CRRefonteDeleted"/>
          <w:noProof/>
          <w:highlight w:val="lightGray"/>
        </w:rPr>
      </w:pPr>
      <w:r>
        <w:rPr>
          <w:rStyle w:val="CRRefonteDeleted"/>
          <w:noProof/>
          <w:highlight w:val="lightGray"/>
        </w:rPr>
        <w:t>2.</w:t>
      </w:r>
      <w:r>
        <w:rPr>
          <w:rStyle w:val="CRRefonteDeleted"/>
          <w:noProof/>
          <w:highlight w:val="lightGray"/>
        </w:rPr>
        <w:tab/>
        <w:t>DENMARK:</w:t>
      </w:r>
    </w:p>
    <w:p w:rsidR="003F7D15" w:rsidRDefault="00A6155D">
      <w:pPr>
        <w:pStyle w:val="Tiret0"/>
        <w:ind w:left="851"/>
        <w:rPr>
          <w:rStyle w:val="CRRefonteDeleted"/>
          <w:noProof/>
          <w:highlight w:val="lightGray"/>
        </w:rPr>
      </w:pPr>
      <w:r>
        <w:rPr>
          <w:rStyle w:val="CRRefonteDeleted"/>
          <w:noProof/>
          <w:highlight w:val="lightGray"/>
        </w:rPr>
        <w:t>for a differentiated rate of excise duty, from 1 February 2002 to 31 January 2008, to heavy fuel oil and heating oil used by energy-intensive firms to produce heating and hot water. The maximum amo</w:t>
      </w:r>
      <w:r>
        <w:rPr>
          <w:rStyle w:val="CRRefonteDeleted"/>
          <w:noProof/>
          <w:highlight w:val="lightGray"/>
        </w:rPr>
        <w:t>unt of the authorised differentiation in the excise duty is EUR 0,0095 per kg on heavy fuel oil and EUR 0,008 per litre on heating oil. The reductions in excise duty must comply with the terms of this Directive, and in particular the minimum rates;</w:t>
      </w:r>
    </w:p>
    <w:p w:rsidR="003F7D15" w:rsidRDefault="00A6155D">
      <w:pPr>
        <w:pStyle w:val="Tiret0"/>
        <w:ind w:left="851"/>
        <w:rPr>
          <w:rStyle w:val="CRRefonteDeleted"/>
          <w:noProof/>
          <w:highlight w:val="lightGray"/>
        </w:rPr>
      </w:pPr>
      <w:r>
        <w:rPr>
          <w:rStyle w:val="CRRefonteDeleted"/>
          <w:noProof/>
          <w:highlight w:val="lightGray"/>
        </w:rPr>
        <w:t>for a r</w:t>
      </w:r>
      <w:r>
        <w:rPr>
          <w:rStyle w:val="CRRefonteDeleted"/>
          <w:noProof/>
          <w:highlight w:val="lightGray"/>
        </w:rPr>
        <w:t>eduction in the rate of duty on diesel to encourage the use of more environmentally friendly fuels, provided that such incentives are linked to established technical characteristics including specific gravity, sulphur content, distillation point, cetane nu</w:t>
      </w:r>
      <w:r>
        <w:rPr>
          <w:rStyle w:val="CRRefonteDeleted"/>
          <w:noProof/>
          <w:highlight w:val="lightGray"/>
        </w:rPr>
        <w:t>mber and index and provided that such rates are in accordance with the obligations laid down in this Directive;</w:t>
      </w:r>
    </w:p>
    <w:p w:rsidR="003F7D15" w:rsidRDefault="00A6155D">
      <w:pPr>
        <w:pStyle w:val="Tiret0"/>
        <w:ind w:left="851"/>
        <w:rPr>
          <w:rStyle w:val="CRRefonteDeleted"/>
          <w:noProof/>
          <w:highlight w:val="lightGray"/>
        </w:rPr>
      </w:pPr>
      <w:r>
        <w:rPr>
          <w:rStyle w:val="CRRefonteDeleted"/>
          <w:noProof/>
          <w:highlight w:val="lightGray"/>
        </w:rPr>
        <w:t>for the application of differentiated rates of excise duty between petrol distributed from petrol stations equipped with a return system for pet</w:t>
      </w:r>
      <w:r>
        <w:rPr>
          <w:rStyle w:val="CRRefonteDeleted"/>
          <w:noProof/>
          <w:highlight w:val="lightGray"/>
        </w:rPr>
        <w:t>rol fumes and petrol distributed from other petrol stations, provided that the differentiated rates are in accordance with the obligations laid down in this Directive, and in particular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differentiated rates of excise d</w:t>
      </w:r>
      <w:r>
        <w:rPr>
          <w:rStyle w:val="CRRefonteDeleted"/>
          <w:noProof/>
          <w:highlight w:val="lightGray"/>
        </w:rPr>
        <w:t>uties on petrol, provided that the differentiated rates are in accordance with the obligations laid down in this Directive, and in particular the minimum levels of 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w:t>
      </w:r>
    </w:p>
    <w:p w:rsidR="003F7D15" w:rsidRDefault="00A6155D">
      <w:pPr>
        <w:pStyle w:val="Tiret0"/>
        <w:ind w:left="851"/>
        <w:rPr>
          <w:rStyle w:val="CRRefonteDeleted"/>
          <w:noProof/>
          <w:highlight w:val="lightGray"/>
        </w:rPr>
      </w:pPr>
      <w:r>
        <w:rPr>
          <w:rStyle w:val="CRRefonteDeleted"/>
          <w:noProof/>
          <w:highlight w:val="lightGray"/>
        </w:rPr>
        <w:t>f</w:t>
      </w:r>
      <w:r>
        <w:rPr>
          <w:rStyle w:val="CRRefonteDeleted"/>
          <w:noProof/>
          <w:highlight w:val="lightGray"/>
        </w:rPr>
        <w:t>or differentiated rates of excise duties on gas oil, provided that the differentiated rates are in accordance with the obligations laid down in this Directive, and in particular the minimum levels of 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 xml:space="preserve">for partial </w:t>
      </w:r>
      <w:r>
        <w:rPr>
          <w:rStyle w:val="CRRefonteDeleted"/>
          <w:noProof/>
          <w:highlight w:val="lightGray"/>
        </w:rPr>
        <w:t>reimbursement to the commercial sector, provided that the taxes concerned are in conformity with Community law and provided that the amount of the tax paid and not reimbursed at all times respects the minimum rates of duty or monitoring charge on mineral o</w:t>
      </w:r>
      <w:r>
        <w:rPr>
          <w:rStyle w:val="CRRefonteDeleted"/>
          <w:noProof/>
          <w:highlight w:val="lightGray"/>
        </w:rPr>
        <w:t>ils as provided for in Community law;</w:t>
      </w:r>
    </w:p>
    <w:p w:rsidR="003F7D15" w:rsidRDefault="00A6155D">
      <w:pPr>
        <w:pStyle w:val="Tiret0"/>
        <w:ind w:left="851"/>
        <w:rPr>
          <w:rStyle w:val="CRRefonteDeleted"/>
          <w:noProof/>
          <w:highlight w:val="lightGray"/>
        </w:rPr>
      </w:pPr>
      <w:r>
        <w:rPr>
          <w:rStyle w:val="CRRefonteDeleted"/>
          <w:noProof/>
          <w:highlight w:val="lightGray"/>
        </w:rPr>
        <w:t>for air navigation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the application of a reduced rate of excise duty of a maximum of DKK 0,03 per litre on petrol distributed from petrol stations meeti</w:t>
      </w:r>
      <w:r>
        <w:rPr>
          <w:rStyle w:val="CRRefonteDeleted"/>
          <w:noProof/>
          <w:highlight w:val="lightGray"/>
        </w:rPr>
        <w:t>ng more stringent standards of equipment and operation designed to reduce leakage of methyl tertiary butyl ether into ground water, provided that the differentiated rates are in accordance with the obligations laid down in this Directive, and in particular</w:t>
      </w:r>
      <w:r>
        <w:rPr>
          <w:rStyle w:val="CRRefonteDeleted"/>
          <w:noProof/>
          <w:highlight w:val="lightGray"/>
        </w:rPr>
        <w:t xml:space="preserve"> the minimum rates of excise duty.</w:t>
      </w:r>
    </w:p>
    <w:p w:rsidR="003F7D15" w:rsidRDefault="00A6155D">
      <w:pPr>
        <w:pStyle w:val="ManualHeading1"/>
        <w:ind w:left="851" w:hanging="851"/>
        <w:rPr>
          <w:rStyle w:val="CRRefonteDeleted"/>
          <w:noProof/>
          <w:highlight w:val="lightGray"/>
        </w:rPr>
      </w:pPr>
      <w:r>
        <w:rPr>
          <w:rStyle w:val="CRRefonteDeleted"/>
          <w:noProof/>
          <w:highlight w:val="lightGray"/>
        </w:rPr>
        <w:t>3.</w:t>
      </w:r>
      <w:r>
        <w:rPr>
          <w:rStyle w:val="CRRefonteDeleted"/>
          <w:noProof/>
          <w:highlight w:val="lightGray"/>
        </w:rPr>
        <w:tab/>
        <w:t>GERMANY:</w:t>
      </w:r>
    </w:p>
    <w:p w:rsidR="003F7D15" w:rsidRDefault="00A6155D">
      <w:pPr>
        <w:pStyle w:val="Tiret0"/>
        <w:ind w:left="851"/>
        <w:rPr>
          <w:rStyle w:val="CRRefonteDeleted"/>
          <w:noProof/>
          <w:highlight w:val="lightGray"/>
        </w:rPr>
      </w:pPr>
      <w:r>
        <w:rPr>
          <w:rStyle w:val="CRRefonteDeleted"/>
          <w:noProof/>
          <w:highlight w:val="lightGray"/>
        </w:rPr>
        <w:t>for a differentiated rate on excise duty on fuels with a maximum sulphur content of 10 ppm from 1 January 2003 until 31 December 2005;</w:t>
      </w:r>
    </w:p>
    <w:p w:rsidR="003F7D15" w:rsidRDefault="00A6155D">
      <w:pPr>
        <w:pStyle w:val="Tiret0"/>
        <w:ind w:left="851"/>
        <w:rPr>
          <w:rStyle w:val="CRRefonteDeleted"/>
          <w:noProof/>
          <w:highlight w:val="lightGray"/>
        </w:rPr>
      </w:pPr>
      <w:r>
        <w:rPr>
          <w:rStyle w:val="CRRefonteDeleted"/>
          <w:noProof/>
          <w:highlight w:val="lightGray"/>
        </w:rPr>
        <w:t>for the use of waste hydrocarbon gases as heating fuel;</w:t>
      </w:r>
    </w:p>
    <w:p w:rsidR="003F7D15" w:rsidRDefault="00A6155D">
      <w:pPr>
        <w:pStyle w:val="Tiret0"/>
        <w:ind w:left="851"/>
        <w:rPr>
          <w:rStyle w:val="CRRefonteDeleted"/>
          <w:noProof/>
          <w:highlight w:val="lightGray"/>
        </w:rPr>
      </w:pPr>
      <w:r>
        <w:rPr>
          <w:rStyle w:val="CRRefonteDeleted"/>
          <w:noProof/>
          <w:highlight w:val="lightGray"/>
        </w:rPr>
        <w:t>for a differentiat</w:t>
      </w:r>
      <w:r>
        <w:rPr>
          <w:rStyle w:val="CRRefonteDeleted"/>
          <w:noProof/>
          <w:highlight w:val="lightGray"/>
        </w:rPr>
        <w:t>ed rate of excise duty on mineral oils used as fuel in local public passenger transport vehicles, subject to compliance with the obligations laid down in Directive 92/82/EEC;</w:t>
      </w:r>
    </w:p>
    <w:p w:rsidR="003F7D15" w:rsidRDefault="00A6155D">
      <w:pPr>
        <w:pStyle w:val="Tiret0"/>
        <w:ind w:left="851"/>
        <w:rPr>
          <w:rStyle w:val="CRRefonteDeleted"/>
          <w:noProof/>
          <w:highlight w:val="lightGray"/>
        </w:rPr>
      </w:pPr>
      <w:r>
        <w:rPr>
          <w:rStyle w:val="CRRefonteDeleted"/>
          <w:noProof/>
          <w:highlight w:val="lightGray"/>
        </w:rPr>
        <w:t>for samples of mineral oils intended for analysis, tests on production or for oth</w:t>
      </w:r>
      <w:r>
        <w:rPr>
          <w:rStyle w:val="CRRefonteDeleted"/>
          <w:noProof/>
          <w:highlight w:val="lightGray"/>
        </w:rPr>
        <w:t>er scientific purposes;</w:t>
      </w:r>
    </w:p>
    <w:p w:rsidR="003F7D15" w:rsidRDefault="00A6155D">
      <w:pPr>
        <w:pStyle w:val="Tiret0"/>
        <w:ind w:left="851"/>
        <w:rPr>
          <w:rStyle w:val="CRRefonteDeleted"/>
          <w:noProof/>
          <w:highlight w:val="lightGray"/>
        </w:rPr>
      </w:pPr>
      <w:r>
        <w:rPr>
          <w:rStyle w:val="CRRefonteDeleted"/>
          <w:noProof/>
          <w:highlight w:val="lightGray"/>
        </w:rPr>
        <w:t>for a differentiated rate of excise duty on heating oils used by manufacturing industries, provided that the differentiated rates are in accordance with the obligations laid down in this Directive;</w:t>
      </w:r>
    </w:p>
    <w:p w:rsidR="003F7D15" w:rsidRDefault="00A6155D">
      <w:pPr>
        <w:pStyle w:val="Tiret0"/>
        <w:ind w:left="851"/>
        <w:rPr>
          <w:rStyle w:val="CRRefonteDeleted"/>
          <w:noProof/>
          <w:highlight w:val="lightGray"/>
        </w:rPr>
      </w:pPr>
      <w:r>
        <w:rPr>
          <w:rStyle w:val="CRRefonteDeleted"/>
          <w:noProof/>
          <w:highlight w:val="lightGray"/>
        </w:rPr>
        <w:t>for waste oils which are reused as</w:t>
      </w:r>
      <w:r>
        <w:rPr>
          <w:rStyle w:val="CRRefonteDeleted"/>
          <w:noProof/>
          <w:highlight w:val="lightGray"/>
        </w:rPr>
        <w:t xml:space="preserve"> fuel, either directly after recovery or following a recycling process for waste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4.</w:t>
      </w:r>
      <w:r>
        <w:rPr>
          <w:rStyle w:val="CRRefonteDeleted"/>
          <w:noProof/>
          <w:highlight w:val="lightGray"/>
        </w:rPr>
        <w:tab/>
        <w:t>GREECE:</w:t>
      </w:r>
    </w:p>
    <w:p w:rsidR="003F7D15" w:rsidRDefault="00A6155D">
      <w:pPr>
        <w:pStyle w:val="Tiret0"/>
        <w:ind w:left="851"/>
        <w:rPr>
          <w:rStyle w:val="CRRefonteDeleted"/>
          <w:noProof/>
          <w:highlight w:val="lightGray"/>
        </w:rPr>
      </w:pPr>
      <w:r>
        <w:rPr>
          <w:rStyle w:val="CRRefonteDeleted"/>
          <w:noProof/>
          <w:highlight w:val="lightGray"/>
        </w:rPr>
        <w:t>for use by national armed forces;</w:t>
      </w:r>
    </w:p>
    <w:p w:rsidR="003F7D15" w:rsidRDefault="00A6155D">
      <w:pPr>
        <w:pStyle w:val="Tiret0"/>
        <w:ind w:left="851"/>
        <w:rPr>
          <w:rStyle w:val="CRRefonteDeleted"/>
          <w:noProof/>
          <w:highlight w:val="lightGray"/>
        </w:rPr>
      </w:pPr>
      <w:r>
        <w:rPr>
          <w:rStyle w:val="CRRefonteDeleted"/>
          <w:noProof/>
          <w:highlight w:val="lightGray"/>
        </w:rPr>
        <w:t>to grant relief from the excise duties on mineral oils for fuels intended to be used</w:t>
      </w:r>
      <w:r>
        <w:rPr>
          <w:rStyle w:val="CRRefonteDeleted"/>
          <w:noProof/>
          <w:highlight w:val="lightGray"/>
        </w:rPr>
        <w:t xml:space="preserve"> to power the official vehicles of the Ministry of the Presidency and the national police force;</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w:t>
      </w:r>
    </w:p>
    <w:p w:rsidR="003F7D15" w:rsidRDefault="00A6155D">
      <w:pPr>
        <w:pStyle w:val="Tiret0"/>
        <w:ind w:left="851"/>
        <w:rPr>
          <w:rStyle w:val="CRRefonteDeleted"/>
          <w:noProof/>
          <w:highlight w:val="lightGray"/>
        </w:rPr>
      </w:pPr>
      <w:r>
        <w:rPr>
          <w:rStyle w:val="CRRefonteDeleted"/>
          <w:noProof/>
          <w:highlight w:val="lightGray"/>
        </w:rPr>
        <w:t xml:space="preserve">for differentiated rates of tax on unleaded petrol to reflect different environmental categories, provided that </w:t>
      </w:r>
      <w:r>
        <w:rPr>
          <w:rStyle w:val="CRRefonteDeleted"/>
          <w:noProof/>
          <w:highlight w:val="lightGray"/>
        </w:rPr>
        <w:t>the differentiated rates are in accordance with the obligations laid down in this Directive, and in particular the minimum levels of 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for LPG and methane used for industrial purposes.</w:t>
      </w:r>
    </w:p>
    <w:p w:rsidR="003F7D15" w:rsidRDefault="00A6155D">
      <w:pPr>
        <w:pStyle w:val="ManualHeading1"/>
        <w:ind w:left="851" w:hanging="851"/>
        <w:rPr>
          <w:rStyle w:val="CRRefonteDeleted"/>
          <w:noProof/>
          <w:highlight w:val="lightGray"/>
        </w:rPr>
      </w:pPr>
      <w:r>
        <w:rPr>
          <w:rStyle w:val="CRRefonteDeleted"/>
          <w:noProof/>
          <w:highlight w:val="lightGray"/>
        </w:rPr>
        <w:t>5.</w:t>
      </w:r>
      <w:r>
        <w:rPr>
          <w:rStyle w:val="CRRefonteDeleted"/>
          <w:noProof/>
          <w:highlight w:val="lightGray"/>
        </w:rPr>
        <w:tab/>
        <w:t>SPAIN:</w:t>
      </w:r>
    </w:p>
    <w:p w:rsidR="003F7D15" w:rsidRDefault="00A6155D">
      <w:pPr>
        <w:pStyle w:val="Tiret0"/>
        <w:ind w:left="851"/>
        <w:rPr>
          <w:rStyle w:val="CRRefonteDeleted"/>
          <w:noProof/>
          <w:highlight w:val="lightGray"/>
        </w:rPr>
      </w:pPr>
      <w:r>
        <w:rPr>
          <w:rStyle w:val="CRRefonteDeleted"/>
          <w:noProof/>
          <w:highlight w:val="lightGray"/>
        </w:rPr>
        <w:t xml:space="preserve">for LPG used as </w:t>
      </w:r>
      <w:r>
        <w:rPr>
          <w:rStyle w:val="CRRefonteDeleted"/>
          <w:noProof/>
          <w:highlight w:val="lightGray"/>
        </w:rPr>
        <w:t>fuel in local public transport vehicles;</w:t>
      </w:r>
    </w:p>
    <w:p w:rsidR="003F7D15" w:rsidRDefault="00A6155D">
      <w:pPr>
        <w:pStyle w:val="Tiret0"/>
        <w:ind w:left="851"/>
        <w:rPr>
          <w:rStyle w:val="CRRefonteDeleted"/>
          <w:noProof/>
          <w:highlight w:val="lightGray"/>
        </w:rPr>
      </w:pPr>
      <w:r>
        <w:rPr>
          <w:rStyle w:val="CRRefonteDeleted"/>
          <w:noProof/>
          <w:highlight w:val="lightGray"/>
        </w:rPr>
        <w:t>for LPG used as fuel in taxis;</w:t>
      </w:r>
    </w:p>
    <w:p w:rsidR="003F7D15" w:rsidRDefault="00A6155D">
      <w:pPr>
        <w:pStyle w:val="Tiret0"/>
        <w:ind w:left="851"/>
        <w:rPr>
          <w:rStyle w:val="CRRefonteDeleted"/>
          <w:noProof/>
          <w:highlight w:val="lightGray"/>
        </w:rPr>
      </w:pPr>
      <w:r>
        <w:rPr>
          <w:rStyle w:val="CRRefonteDeleted"/>
          <w:noProof/>
          <w:highlight w:val="lightGray"/>
        </w:rPr>
        <w:t>for differentiated rates of tax on unleaded petrol to reflect different environmental categories, provided that the differentiated rates are in accordance with the obligations laid dow</w:t>
      </w:r>
      <w:r>
        <w:rPr>
          <w:rStyle w:val="CRRefonteDeleted"/>
          <w:noProof/>
          <w:highlight w:val="lightGray"/>
        </w:rPr>
        <w:t>n in this Directive, and in particular the minimum levels of 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recovery or following a recycling process for waste oils, and where the reuse is subject</w:t>
      </w:r>
      <w:r>
        <w:rPr>
          <w:rStyle w:val="CRRefonteDeleted"/>
          <w:noProof/>
          <w:highlight w:val="lightGray"/>
        </w:rPr>
        <w:t xml:space="preserve"> to duty.</w:t>
      </w:r>
    </w:p>
    <w:p w:rsidR="003F7D15" w:rsidRDefault="00A6155D">
      <w:pPr>
        <w:pStyle w:val="ManualHeading1"/>
        <w:ind w:left="851" w:hanging="851"/>
        <w:rPr>
          <w:rStyle w:val="CRRefonteDeleted"/>
          <w:noProof/>
          <w:highlight w:val="lightGray"/>
        </w:rPr>
      </w:pPr>
      <w:r>
        <w:rPr>
          <w:rStyle w:val="CRRefonteDeleted"/>
          <w:noProof/>
          <w:highlight w:val="lightGray"/>
        </w:rPr>
        <w:t>6.</w:t>
      </w:r>
      <w:r>
        <w:rPr>
          <w:rStyle w:val="CRRefonteDeleted"/>
          <w:noProof/>
          <w:highlight w:val="lightGray"/>
        </w:rPr>
        <w:tab/>
        <w:t>FRANCE:</w:t>
      </w:r>
    </w:p>
    <w:p w:rsidR="003F7D15" w:rsidRDefault="00A6155D">
      <w:pPr>
        <w:pStyle w:val="Tiret0"/>
        <w:ind w:left="851"/>
        <w:rPr>
          <w:rStyle w:val="CRRefonteDeleted"/>
          <w:noProof/>
          <w:highlight w:val="lightGray"/>
        </w:rPr>
      </w:pPr>
      <w:r>
        <w:rPr>
          <w:rStyle w:val="CRRefonteDeleted"/>
          <w:noProof/>
          <w:highlight w:val="lightGray"/>
        </w:rPr>
        <w:t>for differential rates of tax on diesel used in commercial vehicles, until 1 January 2005, which cannot be less than EUR 380 per 1000 l as from 1 March 2003;</w:t>
      </w:r>
    </w:p>
    <w:p w:rsidR="003F7D15" w:rsidRDefault="00A6155D">
      <w:pPr>
        <w:pStyle w:val="Tiret0"/>
        <w:ind w:left="851"/>
        <w:rPr>
          <w:rStyle w:val="CRRefonteDeleted"/>
          <w:noProof/>
          <w:highlight w:val="lightGray"/>
        </w:rPr>
      </w:pPr>
      <w:r>
        <w:rPr>
          <w:rStyle w:val="CRRefonteDeleted"/>
          <w:noProof/>
          <w:highlight w:val="lightGray"/>
        </w:rPr>
        <w:t xml:space="preserve">in the framework of certain policies aimed at assisting areas suffering from </w:t>
      </w:r>
      <w:r>
        <w:rPr>
          <w:rStyle w:val="CRRefonteDeleted"/>
          <w:noProof/>
          <w:highlight w:val="lightGray"/>
        </w:rPr>
        <w:t>depopulation;</w:t>
      </w:r>
    </w:p>
    <w:p w:rsidR="003F7D15" w:rsidRDefault="00A6155D">
      <w:pPr>
        <w:pStyle w:val="Tiret0"/>
        <w:ind w:left="851"/>
        <w:rPr>
          <w:rStyle w:val="CRRefonteDeleted"/>
          <w:noProof/>
          <w:highlight w:val="lightGray"/>
        </w:rPr>
      </w:pPr>
      <w:r>
        <w:rPr>
          <w:rStyle w:val="CRRefonteDeleted"/>
          <w:noProof/>
          <w:highlight w:val="lightGray"/>
        </w:rPr>
        <w:t>for consumption on the island of Corsica, provided that the reduced rates at all times respect the minimum rates of duty on mineral oils as provided for under Community law;</w:t>
      </w:r>
    </w:p>
    <w:p w:rsidR="003F7D15" w:rsidRDefault="00A6155D">
      <w:pPr>
        <w:pStyle w:val="Tiret0"/>
        <w:ind w:left="851"/>
        <w:rPr>
          <w:rStyle w:val="CRRefonteDeleted"/>
          <w:noProof/>
          <w:highlight w:val="lightGray"/>
        </w:rPr>
      </w:pPr>
      <w:r>
        <w:rPr>
          <w:rStyle w:val="CRRefonteDeleted"/>
          <w:noProof/>
          <w:highlight w:val="lightGray"/>
        </w:rPr>
        <w:t>for a differentiated rate of excise duty on a new fuel composed of a</w:t>
      </w:r>
      <w:r>
        <w:rPr>
          <w:rStyle w:val="CRRefonteDeleted"/>
          <w:noProof/>
          <w:highlight w:val="lightGray"/>
        </w:rPr>
        <w:t xml:space="preserve"> water-and-antifreeze/diesel emulsion stabilised by surfactants, provided that the differentiated rates are in accordance with the obligations laid down in this Directive, and in particular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a differentiated rate of exc</w:t>
      </w:r>
      <w:r>
        <w:rPr>
          <w:rStyle w:val="CRRefonteDeleted"/>
          <w:noProof/>
          <w:highlight w:val="lightGray"/>
        </w:rPr>
        <w:t>ise duty for premium-grade unleaded petrol containing a potassium-based additive to improve resistance to valve burn-out (or any other additive of equivalent effect);</w:t>
      </w:r>
    </w:p>
    <w:p w:rsidR="003F7D15" w:rsidRDefault="00A6155D">
      <w:pPr>
        <w:pStyle w:val="Tiret0"/>
        <w:ind w:left="851"/>
        <w:rPr>
          <w:rStyle w:val="CRRefonteDeleted"/>
          <w:noProof/>
          <w:highlight w:val="lightGray"/>
        </w:rPr>
      </w:pPr>
      <w:r>
        <w:rPr>
          <w:rStyle w:val="CRRefonteDeleted"/>
          <w:noProof/>
          <w:highlight w:val="lightGray"/>
        </w:rPr>
        <w:t>for fuel used in taxis, within the limits of an annual quota;</w:t>
      </w:r>
    </w:p>
    <w:p w:rsidR="003F7D15" w:rsidRDefault="00A6155D">
      <w:pPr>
        <w:pStyle w:val="Tiret0"/>
        <w:ind w:left="851"/>
        <w:rPr>
          <w:rStyle w:val="CRRefonteDeleted"/>
          <w:noProof/>
          <w:highlight w:val="lightGray"/>
        </w:rPr>
      </w:pPr>
      <w:r>
        <w:rPr>
          <w:rStyle w:val="CRRefonteDeleted"/>
          <w:noProof/>
          <w:highlight w:val="lightGray"/>
        </w:rPr>
        <w:t>for exemption from excise d</w:t>
      </w:r>
      <w:r>
        <w:rPr>
          <w:rStyle w:val="CRRefonteDeleted"/>
          <w:noProof/>
          <w:highlight w:val="lightGray"/>
        </w:rPr>
        <w:t>uty on gases used as fuel for public transport subject to an annual quota;</w:t>
      </w:r>
    </w:p>
    <w:p w:rsidR="003F7D15" w:rsidRDefault="00A6155D">
      <w:pPr>
        <w:pStyle w:val="Tiret0"/>
        <w:ind w:left="851"/>
        <w:rPr>
          <w:rStyle w:val="CRRefonteDeleted"/>
          <w:noProof/>
          <w:highlight w:val="lightGray"/>
        </w:rPr>
      </w:pPr>
      <w:r>
        <w:rPr>
          <w:rStyle w:val="CRRefonteDeleted"/>
          <w:noProof/>
          <w:highlight w:val="lightGray"/>
        </w:rPr>
        <w:t>for an exemption from excise duties for gases used as engine fuels in gas-powered refuse collection vehicles;</w:t>
      </w:r>
    </w:p>
    <w:p w:rsidR="003F7D15" w:rsidRDefault="00A6155D">
      <w:pPr>
        <w:pStyle w:val="Tiret0"/>
        <w:ind w:left="851"/>
        <w:rPr>
          <w:rStyle w:val="CRRefonteDeleted"/>
          <w:noProof/>
          <w:highlight w:val="lightGray"/>
        </w:rPr>
      </w:pPr>
      <w:r>
        <w:rPr>
          <w:rStyle w:val="CRRefonteDeleted"/>
          <w:noProof/>
          <w:highlight w:val="lightGray"/>
        </w:rPr>
        <w:t xml:space="preserve">for a reduction in the rate of taxation on heavy fuel oil to encourage </w:t>
      </w:r>
      <w:r>
        <w:rPr>
          <w:rStyle w:val="CRRefonteDeleted"/>
          <w:noProof/>
          <w:highlight w:val="lightGray"/>
        </w:rPr>
        <w:t>the use of more environmentally friendly fuels; this reduction shall be specifically linked to sulphur content and the rate of duty charged on heavy fuel oil must correspond to the minimum rate of taxation on heavy fuel oil as provided for in Community law</w:t>
      </w:r>
      <w:r>
        <w:rPr>
          <w:rStyle w:val="CRRefonteDeleted"/>
          <w:noProof/>
          <w:highlight w:val="lightGray"/>
        </w:rPr>
        <w:t>;</w:t>
      </w:r>
    </w:p>
    <w:p w:rsidR="003F7D15" w:rsidRDefault="00A6155D">
      <w:pPr>
        <w:pStyle w:val="Tiret0"/>
        <w:ind w:left="851"/>
        <w:rPr>
          <w:rStyle w:val="CRRefonteDeleted"/>
          <w:noProof/>
          <w:highlight w:val="lightGray"/>
        </w:rPr>
      </w:pPr>
      <w:r>
        <w:rPr>
          <w:rStyle w:val="CRRefonteDeleted"/>
          <w:noProof/>
          <w:highlight w:val="lightGray"/>
        </w:rPr>
        <w:t>for an exemption for heavy fuel oil used as fuel for the production of alumina in the region of Gardanne;</w:t>
      </w:r>
    </w:p>
    <w:p w:rsidR="003F7D15" w:rsidRDefault="00A6155D">
      <w:pPr>
        <w:pStyle w:val="Tiret0"/>
        <w:ind w:left="851"/>
        <w:rPr>
          <w:rStyle w:val="CRRefonteDeleted"/>
          <w:noProof/>
          <w:highlight w:val="lightGray"/>
        </w:rPr>
      </w:pPr>
      <w:r>
        <w:rPr>
          <w:rStyle w:val="CRRefonteDeleted"/>
          <w:noProof/>
          <w:highlight w:val="lightGray"/>
        </w:rPr>
        <w:t>for air navigation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gasoline delivered from the harbours of Corsica to private ple</w:t>
      </w:r>
      <w:r>
        <w:rPr>
          <w:rStyle w:val="CRRefonteDeleted"/>
          <w:noProof/>
          <w:highlight w:val="lightGray"/>
        </w:rPr>
        <w:t>asure craft;</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recovery or following a recycling process for waste oils, and where the reuse is subject to duty;</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 until 31 December 2005;</w:t>
      </w:r>
    </w:p>
    <w:p w:rsidR="003F7D15" w:rsidRDefault="00A6155D">
      <w:pPr>
        <w:pStyle w:val="Tiret0"/>
        <w:ind w:left="851"/>
        <w:rPr>
          <w:rStyle w:val="CRRefonteDeleted"/>
          <w:noProof/>
          <w:highlight w:val="lightGray"/>
        </w:rPr>
      </w:pPr>
      <w:r>
        <w:rPr>
          <w:rStyle w:val="CRRefonteDeleted"/>
          <w:noProof/>
          <w:highlight w:val="lightGray"/>
        </w:rPr>
        <w:t xml:space="preserve">for the </w:t>
      </w:r>
      <w:r>
        <w:rPr>
          <w:rStyle w:val="CRRefonteDeleted"/>
          <w:noProof/>
          <w:highlight w:val="lightGray"/>
        </w:rPr>
        <w:t xml:space="preserve">granting of permits for the application of a differentiated rate of excise duty to the fuel mixture ‘petrol/ethyl alcohol derivatives whose alcohol component is of agricultural origin’ and for the application of a differentiated rate of excise duty to the </w:t>
      </w:r>
      <w:r>
        <w:rPr>
          <w:rStyle w:val="CRRefonteDeleted"/>
          <w:noProof/>
          <w:highlight w:val="lightGray"/>
        </w:rPr>
        <w:t>fuel mixture ‘diesel/vegetable oil esters’. To allow a reduction in excise duty on blends incorporating vegetable oil esters and ethyl alcohol derivatives which are used as fuel within the meaning of this Directive, the French authorities must issue the ne</w:t>
      </w:r>
      <w:r>
        <w:rPr>
          <w:rStyle w:val="CRRefonteDeleted"/>
          <w:noProof/>
          <w:highlight w:val="lightGray"/>
        </w:rPr>
        <w:t>cessary permits to the biofuel production units concerned by 31 December 2003 at the latest. The authorisations will be valid for a maximum of six years from the date of issue. The reduction specified in the authorisation may be applied after 31 December 2</w:t>
      </w:r>
      <w:r>
        <w:rPr>
          <w:rStyle w:val="CRRefonteDeleted"/>
          <w:noProof/>
          <w:highlight w:val="lightGray"/>
        </w:rPr>
        <w:t>003 until the expiry of the authorisation. The reductions in excise duties shall not exceed EUR 35,06/hl or EUR 396,64/t for vegetable oil esters and EUR 50,23/hl or EUR 297,35/t for ethyl alcohol derivatives used in the mixtures referred to. The reduction</w:t>
      </w:r>
      <w:r>
        <w:rPr>
          <w:rStyle w:val="CRRefonteDeleted"/>
          <w:noProof/>
          <w:highlight w:val="lightGray"/>
        </w:rPr>
        <w:t>s in excise duties shall be adjusted to take account of changes in the price of raw materials to avoid overcompensating for the extra costs involved in the manufacture of biofuels. This Decision shall apply with effect from 1 November 1997. It shall expire</w:t>
      </w:r>
      <w:r>
        <w:rPr>
          <w:rStyle w:val="CRRefonteDeleted"/>
          <w:noProof/>
          <w:highlight w:val="lightGray"/>
        </w:rPr>
        <w:t xml:space="preserve"> on 31 December 2003;</w:t>
      </w:r>
    </w:p>
    <w:p w:rsidR="003F7D15" w:rsidRDefault="00A6155D">
      <w:pPr>
        <w:pStyle w:val="Tiret0"/>
        <w:ind w:left="851"/>
        <w:rPr>
          <w:rStyle w:val="CRRefonteDeleted"/>
          <w:noProof/>
          <w:highlight w:val="lightGray"/>
        </w:rPr>
      </w:pPr>
      <w:r>
        <w:rPr>
          <w:rStyle w:val="CRRefonteDeleted"/>
          <w:noProof/>
          <w:highlight w:val="lightGray"/>
        </w:rPr>
        <w:t>for the granting of permits for the application of a differentiated rate of excise duty to the mixture ‘domestic heating fuel/vegetable oil esters’. To allow a reduction in excise duty on mixtures incorporating vegetable oil esters an</w:t>
      </w:r>
      <w:r>
        <w:rPr>
          <w:rStyle w:val="CRRefonteDeleted"/>
          <w:noProof/>
          <w:highlight w:val="lightGray"/>
        </w:rPr>
        <w:t>d used as fuel within the meaning of this Directive, the French authorities must issue the necessary permits to the biofuel production units concerned by 31 December 2003 at the latest. The authorisations will be valid for a maximum of six years from the d</w:t>
      </w:r>
      <w:r>
        <w:rPr>
          <w:rStyle w:val="CRRefonteDeleted"/>
          <w:noProof/>
          <w:highlight w:val="lightGray"/>
        </w:rPr>
        <w:t>ate of issue. The reduction specified in the authorisation may be applied after 31 December 2003 until the expiry of the authorisation, but may not be extended. The reductions in excise duties shall not exceed EUR 35,06/hl or EUR 396,64/t for the vegetable</w:t>
      </w:r>
      <w:r>
        <w:rPr>
          <w:rStyle w:val="CRRefonteDeleted"/>
          <w:noProof/>
          <w:highlight w:val="lightGray"/>
        </w:rPr>
        <w:t xml:space="preserve"> oil esters used in the mixtures referred to. The reductions in excise duty shall be adjusted to take account of changes in the price of raw materials to avoid overcompensating for the extra costs involved in the manufacture of biofuels. This Decision shal</w:t>
      </w:r>
      <w:r>
        <w:rPr>
          <w:rStyle w:val="CRRefonteDeleted"/>
          <w:noProof/>
          <w:highlight w:val="lightGray"/>
        </w:rPr>
        <w:t>l apply with effect from 1 November 1997. It shall expire on 31 December 2003.</w:t>
      </w:r>
    </w:p>
    <w:p w:rsidR="003F7D15" w:rsidRDefault="00A6155D">
      <w:pPr>
        <w:pStyle w:val="ManualHeading1"/>
        <w:ind w:left="851" w:hanging="851"/>
        <w:rPr>
          <w:rStyle w:val="CRRefonteDeleted"/>
          <w:noProof/>
          <w:highlight w:val="lightGray"/>
        </w:rPr>
      </w:pPr>
      <w:r>
        <w:rPr>
          <w:rStyle w:val="CRRefonteDeleted"/>
          <w:noProof/>
          <w:highlight w:val="lightGray"/>
        </w:rPr>
        <w:t>7.</w:t>
      </w:r>
      <w:r>
        <w:rPr>
          <w:rStyle w:val="CRRefonteDeleted"/>
          <w:noProof/>
          <w:highlight w:val="lightGray"/>
        </w:rPr>
        <w:tab/>
        <w:t>IRELAND:</w:t>
      </w:r>
    </w:p>
    <w:p w:rsidR="003F7D15" w:rsidRDefault="00A6155D">
      <w:pPr>
        <w:pStyle w:val="Tiret0"/>
        <w:ind w:left="851"/>
        <w:rPr>
          <w:rStyle w:val="CRRefonteDeleted"/>
          <w:noProof/>
          <w:highlight w:val="lightGray"/>
        </w:rPr>
      </w:pPr>
      <w:r>
        <w:rPr>
          <w:rStyle w:val="CRRefonteDeleted"/>
          <w:noProof/>
          <w:highlight w:val="lightGray"/>
        </w:rPr>
        <w:t>for LPG, natural gas and methane used as motor fuel;</w:t>
      </w:r>
    </w:p>
    <w:p w:rsidR="003F7D15" w:rsidRDefault="00A6155D">
      <w:pPr>
        <w:pStyle w:val="Tiret0"/>
        <w:ind w:left="851"/>
        <w:rPr>
          <w:rStyle w:val="CRRefonteDeleted"/>
          <w:noProof/>
          <w:highlight w:val="lightGray"/>
        </w:rPr>
      </w:pPr>
      <w:r>
        <w:rPr>
          <w:rStyle w:val="CRRefonteDeleted"/>
          <w:noProof/>
          <w:highlight w:val="lightGray"/>
        </w:rPr>
        <w:t>in motor vehicles used by the disabled;</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w:t>
      </w:r>
    </w:p>
    <w:p w:rsidR="003F7D15" w:rsidRDefault="00A6155D">
      <w:pPr>
        <w:pStyle w:val="Tiret0"/>
        <w:ind w:left="851"/>
        <w:rPr>
          <w:rStyle w:val="CRRefonteDeleted"/>
          <w:noProof/>
          <w:highlight w:val="lightGray"/>
        </w:rPr>
      </w:pPr>
      <w:r>
        <w:rPr>
          <w:rStyle w:val="CRRefonteDeleted"/>
          <w:noProof/>
          <w:highlight w:val="lightGray"/>
        </w:rPr>
        <w:t xml:space="preserve">for differentiated rates </w:t>
      </w:r>
      <w:r>
        <w:rPr>
          <w:rStyle w:val="CRRefonteDeleted"/>
          <w:noProof/>
          <w:highlight w:val="lightGray"/>
        </w:rPr>
        <w:t>of tax on unleaded petrol to reflect different environmental categories, provided that the differentiated rates are in accordance with the obligations laid down in this Directive, and in particular the minimum levels of taxation provided for in Article 7 t</w:t>
      </w:r>
      <w:r>
        <w:rPr>
          <w:rStyle w:val="CRRefonteDeleted"/>
          <w:noProof/>
          <w:highlight w:val="lightGray"/>
        </w:rPr>
        <w:t>hereof;</w:t>
      </w:r>
    </w:p>
    <w:p w:rsidR="003F7D15" w:rsidRDefault="00A6155D">
      <w:pPr>
        <w:pStyle w:val="Tiret0"/>
        <w:ind w:left="851"/>
        <w:rPr>
          <w:rStyle w:val="CRRefonteDeleted"/>
          <w:noProof/>
          <w:highlight w:val="lightGray"/>
        </w:rPr>
      </w:pPr>
      <w:r>
        <w:rPr>
          <w:rStyle w:val="CRRefonteDeleted"/>
          <w:noProof/>
          <w:highlight w:val="lightGray"/>
        </w:rPr>
        <w:t>for a differentiated rate of excise on low-sulphur diesel;</w:t>
      </w:r>
    </w:p>
    <w:p w:rsidR="003F7D15" w:rsidRDefault="00A6155D">
      <w:pPr>
        <w:pStyle w:val="Tiret0"/>
        <w:ind w:left="851"/>
        <w:rPr>
          <w:rStyle w:val="CRRefonteDeleted"/>
          <w:noProof/>
          <w:highlight w:val="lightGray"/>
        </w:rPr>
      </w:pPr>
      <w:r>
        <w:rPr>
          <w:rStyle w:val="CRRefonteDeleted"/>
          <w:noProof/>
          <w:highlight w:val="lightGray"/>
        </w:rPr>
        <w:t>for the production of alumina in the Shannon region;</w:t>
      </w:r>
    </w:p>
    <w:p w:rsidR="003F7D15" w:rsidRDefault="00A6155D">
      <w:pPr>
        <w:pStyle w:val="Tiret0"/>
        <w:ind w:left="851"/>
        <w:rPr>
          <w:rStyle w:val="CRRefonteDeleted"/>
          <w:noProof/>
          <w:highlight w:val="lightGray"/>
        </w:rPr>
      </w:pPr>
      <w:r>
        <w:rPr>
          <w:rStyle w:val="CRRefonteDeleted"/>
          <w:noProof/>
          <w:highlight w:val="lightGray"/>
        </w:rPr>
        <w:t>for air navigation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navigation in private pleasure craft;</w:t>
      </w:r>
    </w:p>
    <w:p w:rsidR="003F7D15" w:rsidRDefault="00A6155D">
      <w:pPr>
        <w:pStyle w:val="Tiret0"/>
        <w:ind w:left="851"/>
        <w:rPr>
          <w:rStyle w:val="CRRefonteDeleted"/>
          <w:noProof/>
          <w:highlight w:val="lightGray"/>
        </w:rPr>
      </w:pPr>
      <w:r>
        <w:rPr>
          <w:rStyle w:val="CRRefonteDeleted"/>
          <w:noProof/>
          <w:highlight w:val="lightGray"/>
        </w:rPr>
        <w:t>for waste oi</w:t>
      </w:r>
      <w:r>
        <w:rPr>
          <w:rStyle w:val="CRRefonteDeleted"/>
          <w:noProof/>
          <w:highlight w:val="lightGray"/>
        </w:rPr>
        <w:t>ls which are reused as fuel, either directly after recovery or following a recycling process for waste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8.</w:t>
      </w:r>
      <w:r>
        <w:rPr>
          <w:rStyle w:val="CRRefonteDeleted"/>
          <w:noProof/>
          <w:highlight w:val="lightGray"/>
        </w:rPr>
        <w:tab/>
        <w:t>ITALY:</w:t>
      </w:r>
    </w:p>
    <w:p w:rsidR="003F7D15" w:rsidRDefault="00A6155D">
      <w:pPr>
        <w:pStyle w:val="Tiret0"/>
        <w:ind w:left="851"/>
        <w:rPr>
          <w:rStyle w:val="CRRefonteDeleted"/>
          <w:noProof/>
          <w:highlight w:val="lightGray"/>
        </w:rPr>
      </w:pPr>
      <w:r>
        <w:rPr>
          <w:rStyle w:val="CRRefonteDeleted"/>
          <w:noProof/>
          <w:highlight w:val="lightGray"/>
        </w:rPr>
        <w:t>for differentiated rates of excise duty on mixtures used as motor fuels containing 5 % or 25 % of</w:t>
      </w:r>
      <w:r>
        <w:rPr>
          <w:rStyle w:val="CRRefonteDeleted"/>
          <w:noProof/>
          <w:highlight w:val="lightGray"/>
        </w:rPr>
        <w:t xml:space="preserve"> biodiesel until 30 June 2004. The reduction in excise duty may not be greater than the amount of excise duty payable on the volume of biofuels present in the products eligible for the reduction. The reduction in excise duty shall be adjusted to take accou</w:t>
      </w:r>
      <w:r>
        <w:rPr>
          <w:rStyle w:val="CRRefonteDeleted"/>
          <w:noProof/>
          <w:highlight w:val="lightGray"/>
        </w:rPr>
        <w:t>nt of changes in the price of raw materials to avoid overcompensating for the extra costs involved in the manufacture of biofuels;</w:t>
      </w:r>
    </w:p>
    <w:p w:rsidR="003F7D15" w:rsidRDefault="00A6155D">
      <w:pPr>
        <w:pStyle w:val="Tiret0"/>
        <w:ind w:left="851"/>
        <w:rPr>
          <w:rStyle w:val="CRRefonteDeleted"/>
          <w:noProof/>
          <w:highlight w:val="lightGray"/>
        </w:rPr>
      </w:pPr>
      <w:r>
        <w:rPr>
          <w:rStyle w:val="CRRefonteDeleted"/>
          <w:noProof/>
          <w:highlight w:val="lightGray"/>
        </w:rPr>
        <w:t>for a reduction in the rate of excise duty used as fuel by road transport operators, until 1 January 2005, which cannot be le</w:t>
      </w:r>
      <w:r>
        <w:rPr>
          <w:rStyle w:val="CRRefonteDeleted"/>
          <w:noProof/>
          <w:highlight w:val="lightGray"/>
        </w:rPr>
        <w:t>ss than EUR 370 per 1000 l as from 1 January 2004;</w:t>
      </w:r>
    </w:p>
    <w:p w:rsidR="003F7D15" w:rsidRDefault="00A6155D">
      <w:pPr>
        <w:pStyle w:val="Tiret0"/>
        <w:ind w:left="851"/>
        <w:rPr>
          <w:rStyle w:val="CRRefonteDeleted"/>
          <w:noProof/>
          <w:highlight w:val="lightGray"/>
        </w:rPr>
      </w:pPr>
      <w:r>
        <w:rPr>
          <w:rStyle w:val="CRRefonteDeleted"/>
          <w:noProof/>
          <w:highlight w:val="lightGray"/>
        </w:rPr>
        <w:t>for waste hydrocarbon gases used as fuel;</w:t>
      </w:r>
    </w:p>
    <w:p w:rsidR="003F7D15" w:rsidRDefault="00A6155D">
      <w:pPr>
        <w:pStyle w:val="Tiret0"/>
        <w:ind w:left="851"/>
        <w:rPr>
          <w:rStyle w:val="CRRefonteDeleted"/>
          <w:noProof/>
          <w:highlight w:val="lightGray"/>
        </w:rPr>
      </w:pPr>
      <w:r>
        <w:rPr>
          <w:rStyle w:val="CRRefonteDeleted"/>
          <w:noProof/>
          <w:highlight w:val="lightGray"/>
        </w:rPr>
        <w:t>for a reduced rate of excise duty to water/diesel emulsions and water/heavy fuel oil emulsions from 1 October 2000 until 31 December 2005 provided that the reduced</w:t>
      </w:r>
      <w:r>
        <w:rPr>
          <w:rStyle w:val="CRRefonteDeleted"/>
          <w:noProof/>
          <w:highlight w:val="lightGray"/>
        </w:rPr>
        <w:t xml:space="preserve"> rate is in accordance with the obligations laid down in this Directive, and in particular with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methane used as fuel in motor vehicles;</w:t>
      </w:r>
    </w:p>
    <w:p w:rsidR="003F7D15" w:rsidRDefault="00A6155D">
      <w:pPr>
        <w:pStyle w:val="Tiret0"/>
        <w:ind w:left="851"/>
        <w:rPr>
          <w:rStyle w:val="CRRefonteDeleted"/>
          <w:noProof/>
          <w:highlight w:val="lightGray"/>
        </w:rPr>
      </w:pPr>
      <w:r>
        <w:rPr>
          <w:rStyle w:val="CRRefonteDeleted"/>
          <w:noProof/>
          <w:highlight w:val="lightGray"/>
        </w:rPr>
        <w:t>for the national armed forces;</w:t>
      </w:r>
    </w:p>
    <w:p w:rsidR="003F7D15" w:rsidRDefault="00A6155D">
      <w:pPr>
        <w:pStyle w:val="Tiret0"/>
        <w:ind w:left="851"/>
        <w:rPr>
          <w:rStyle w:val="CRRefonteDeleted"/>
          <w:noProof/>
          <w:highlight w:val="lightGray"/>
        </w:rPr>
      </w:pPr>
      <w:r>
        <w:rPr>
          <w:rStyle w:val="CRRefonteDeleted"/>
          <w:noProof/>
          <w:highlight w:val="lightGray"/>
        </w:rPr>
        <w:t>for ambulances;</w:t>
      </w:r>
    </w:p>
    <w:p w:rsidR="003F7D15" w:rsidRDefault="00A6155D">
      <w:pPr>
        <w:pStyle w:val="Tiret0"/>
        <w:ind w:left="851"/>
        <w:rPr>
          <w:rStyle w:val="CRRefonteDeleted"/>
          <w:noProof/>
          <w:highlight w:val="lightGray"/>
        </w:rPr>
      </w:pPr>
      <w:r>
        <w:rPr>
          <w:rStyle w:val="CRRefonteDeleted"/>
          <w:noProof/>
          <w:highlight w:val="lightGray"/>
        </w:rPr>
        <w:t>for local public passenger transpor</w:t>
      </w:r>
      <w:r>
        <w:rPr>
          <w:rStyle w:val="CRRefonteDeleted"/>
          <w:noProof/>
          <w:highlight w:val="lightGray"/>
        </w:rPr>
        <w:t>t vehicles;</w:t>
      </w:r>
    </w:p>
    <w:p w:rsidR="003F7D15" w:rsidRDefault="00A6155D">
      <w:pPr>
        <w:pStyle w:val="Tiret0"/>
        <w:ind w:left="851"/>
        <w:rPr>
          <w:rStyle w:val="CRRefonteDeleted"/>
          <w:noProof/>
          <w:highlight w:val="lightGray"/>
        </w:rPr>
      </w:pPr>
      <w:r>
        <w:rPr>
          <w:rStyle w:val="CRRefonteDeleted"/>
          <w:noProof/>
          <w:highlight w:val="lightGray"/>
        </w:rPr>
        <w:t>for fuel used in taxis;</w:t>
      </w:r>
    </w:p>
    <w:p w:rsidR="003F7D15" w:rsidRDefault="00A6155D">
      <w:pPr>
        <w:pStyle w:val="Tiret0"/>
        <w:ind w:left="851"/>
        <w:rPr>
          <w:rStyle w:val="CRRefonteDeleted"/>
          <w:noProof/>
          <w:highlight w:val="lightGray"/>
        </w:rPr>
      </w:pPr>
      <w:r>
        <w:rPr>
          <w:rStyle w:val="CRRefonteDeleted"/>
          <w:noProof/>
          <w:highlight w:val="lightGray"/>
        </w:rPr>
        <w:t>in certain particularly disadvantaged geographical areas, for reduced rates of excise duty on domestic fuel and LPG used for heating and distributed through the networks of such areas, provided that the rates are in acco</w:t>
      </w:r>
      <w:r>
        <w:rPr>
          <w:rStyle w:val="CRRefonteDeleted"/>
          <w:noProof/>
          <w:highlight w:val="lightGray"/>
        </w:rPr>
        <w:t>rdance with the obligations laid down in this Directive, and in particular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consumption in the regions of Val d'Aosta and Gorizia;</w:t>
      </w:r>
    </w:p>
    <w:p w:rsidR="003F7D15" w:rsidRDefault="00A6155D">
      <w:pPr>
        <w:pStyle w:val="Tiret0"/>
        <w:ind w:left="851"/>
        <w:rPr>
          <w:rStyle w:val="CRRefonteDeleted"/>
          <w:noProof/>
          <w:highlight w:val="lightGray"/>
        </w:rPr>
      </w:pPr>
      <w:r>
        <w:rPr>
          <w:rStyle w:val="CRRefonteDeleted"/>
          <w:noProof/>
          <w:highlight w:val="lightGray"/>
        </w:rPr>
        <w:t>for a reduction in the rate of excise duty on petrol consumed on the territory of Friuli</w:t>
      </w:r>
      <w:r>
        <w:rPr>
          <w:rStyle w:val="CRRefonteDeleted"/>
          <w:noProof/>
          <w:highlight w:val="lightGray"/>
        </w:rPr>
        <w:t>-Venezia Giulia, provided that the rates are in accordance with the obligations laid down in this Directive, and in particular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a reduction in the rate of excise duty on mineral oils consumed in the regions of Udine and</w:t>
      </w:r>
      <w:r>
        <w:rPr>
          <w:rStyle w:val="CRRefonteDeleted"/>
          <w:noProof/>
          <w:highlight w:val="lightGray"/>
        </w:rPr>
        <w:t xml:space="preserve"> Trieste, provided that the rates are in accordance with the obligations laid down in this Directive;</w:t>
      </w:r>
    </w:p>
    <w:p w:rsidR="003F7D15" w:rsidRDefault="00A6155D">
      <w:pPr>
        <w:pStyle w:val="Tiret0"/>
        <w:ind w:left="851"/>
        <w:rPr>
          <w:rStyle w:val="CRRefonteDeleted"/>
          <w:noProof/>
          <w:highlight w:val="lightGray"/>
        </w:rPr>
      </w:pPr>
      <w:r>
        <w:rPr>
          <w:rStyle w:val="CRRefonteDeleted"/>
          <w:noProof/>
          <w:highlight w:val="lightGray"/>
        </w:rPr>
        <w:t>for an exemption from excise duty on mineral oils used as fuel for alumina production in Sardinia;</w:t>
      </w:r>
    </w:p>
    <w:p w:rsidR="003F7D15" w:rsidRDefault="00A6155D">
      <w:pPr>
        <w:pStyle w:val="Tiret0"/>
        <w:ind w:left="851"/>
        <w:rPr>
          <w:rStyle w:val="CRRefonteDeleted"/>
          <w:noProof/>
          <w:highlight w:val="lightGray"/>
        </w:rPr>
      </w:pPr>
      <w:r>
        <w:rPr>
          <w:rStyle w:val="CRRefonteDeleted"/>
          <w:noProof/>
          <w:highlight w:val="lightGray"/>
        </w:rPr>
        <w:t>for a reduction in the rate of excise duty on fuel oil,</w:t>
      </w:r>
      <w:r>
        <w:rPr>
          <w:rStyle w:val="CRRefonteDeleted"/>
          <w:noProof/>
          <w:highlight w:val="lightGray"/>
        </w:rPr>
        <w:t xml:space="preserve"> for the production of steam, and for gas oil, used in ovens for drying and ‘activating’ molecular sieves in Reggio Calabria, provided that the rates are in accordance with the obligations laid down in this Directive;</w:t>
      </w:r>
    </w:p>
    <w:p w:rsidR="003F7D15" w:rsidRDefault="00A6155D">
      <w:pPr>
        <w:pStyle w:val="Tiret0"/>
        <w:ind w:left="851"/>
        <w:rPr>
          <w:rStyle w:val="CRRefonteDeleted"/>
          <w:noProof/>
          <w:highlight w:val="lightGray"/>
        </w:rPr>
      </w:pPr>
      <w:r>
        <w:rPr>
          <w:rStyle w:val="CRRefonteDeleted"/>
          <w:noProof/>
          <w:highlight w:val="lightGray"/>
        </w:rPr>
        <w:t xml:space="preserve">for air navigation other than that </w:t>
      </w:r>
      <w:r>
        <w:rPr>
          <w:rStyle w:val="CRRefonteDeleted"/>
          <w:noProof/>
          <w:highlight w:val="lightGray"/>
        </w:rPr>
        <w:t>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recovery or following a recycling process for waste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9.</w:t>
      </w:r>
      <w:r>
        <w:rPr>
          <w:rStyle w:val="CRRefonteDeleted"/>
          <w:noProof/>
          <w:highlight w:val="lightGray"/>
        </w:rPr>
        <w:tab/>
        <w:t>LUXEMBOURG:</w:t>
      </w:r>
    </w:p>
    <w:p w:rsidR="003F7D15" w:rsidRDefault="00A6155D">
      <w:pPr>
        <w:pStyle w:val="Tiret0"/>
        <w:ind w:left="851"/>
        <w:rPr>
          <w:rStyle w:val="CRRefonteDeleted"/>
          <w:noProof/>
          <w:highlight w:val="lightGray"/>
        </w:rPr>
      </w:pPr>
      <w:r>
        <w:rPr>
          <w:rStyle w:val="CRRefonteDeleted"/>
          <w:noProof/>
          <w:highlight w:val="lightGray"/>
        </w:rPr>
        <w:t>for LPG, natural gas and methane;</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w:t>
      </w:r>
    </w:p>
    <w:p w:rsidR="003F7D15" w:rsidRDefault="00A6155D">
      <w:pPr>
        <w:pStyle w:val="Tiret0"/>
        <w:ind w:left="851"/>
        <w:rPr>
          <w:rStyle w:val="CRRefonteDeleted"/>
          <w:noProof/>
          <w:highlight w:val="lightGray"/>
        </w:rPr>
      </w:pPr>
      <w:r>
        <w:rPr>
          <w:rStyle w:val="CRRefonteDeleted"/>
          <w:noProof/>
          <w:highlight w:val="lightGray"/>
        </w:rPr>
        <w:t xml:space="preserve">for a reduction in the rate of excise duty on heavy fuel oil to encourage the use of more environmentally friendly fuels. Such reduction shall be specifically linked to sulphur content and in no case can the </w:t>
      </w:r>
      <w:r>
        <w:rPr>
          <w:rStyle w:val="CRRefonteDeleted"/>
          <w:noProof/>
          <w:highlight w:val="lightGray"/>
        </w:rPr>
        <w:t>reduced rate fall below EUR 6,5 per tonne;</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recovery or following a recycling process for waste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10.</w:t>
      </w:r>
      <w:r>
        <w:rPr>
          <w:rStyle w:val="CRRefonteDeleted"/>
          <w:noProof/>
          <w:highlight w:val="lightGray"/>
        </w:rPr>
        <w:tab/>
        <w:t>NETHERLANDS:</w:t>
      </w:r>
    </w:p>
    <w:p w:rsidR="003F7D15" w:rsidRDefault="00A6155D">
      <w:pPr>
        <w:pStyle w:val="Tiret0"/>
        <w:ind w:left="851"/>
        <w:rPr>
          <w:rStyle w:val="CRRefonteDeleted"/>
          <w:noProof/>
          <w:highlight w:val="lightGray"/>
        </w:rPr>
      </w:pPr>
      <w:r>
        <w:rPr>
          <w:rStyle w:val="CRRefonteDeleted"/>
          <w:noProof/>
          <w:highlight w:val="lightGray"/>
        </w:rPr>
        <w:t>for LPG, natural gas and methane;</w:t>
      </w:r>
    </w:p>
    <w:p w:rsidR="003F7D15" w:rsidRDefault="00A6155D">
      <w:pPr>
        <w:pStyle w:val="Tiret0"/>
        <w:ind w:left="851"/>
        <w:rPr>
          <w:rStyle w:val="CRRefonteDeleted"/>
          <w:noProof/>
          <w:highlight w:val="lightGray"/>
        </w:rPr>
      </w:pPr>
      <w:r>
        <w:rPr>
          <w:rStyle w:val="CRRefonteDeleted"/>
          <w:noProof/>
          <w:highlight w:val="lightGray"/>
        </w:rPr>
        <w:t>f</w:t>
      </w:r>
      <w:r>
        <w:rPr>
          <w:rStyle w:val="CRRefonteDeleted"/>
          <w:noProof/>
          <w:highlight w:val="lightGray"/>
        </w:rPr>
        <w:t>or samples of mineral oils intended for analysis, tests on production or for other scientific purposes;</w:t>
      </w:r>
    </w:p>
    <w:p w:rsidR="003F7D15" w:rsidRDefault="00A6155D">
      <w:pPr>
        <w:pStyle w:val="Tiret0"/>
        <w:ind w:left="851"/>
        <w:rPr>
          <w:rStyle w:val="CRRefonteDeleted"/>
          <w:noProof/>
          <w:highlight w:val="lightGray"/>
        </w:rPr>
      </w:pPr>
      <w:r>
        <w:rPr>
          <w:rStyle w:val="CRRefonteDeleted"/>
          <w:noProof/>
          <w:highlight w:val="lightGray"/>
        </w:rPr>
        <w:t>for use by the national armed forces;</w:t>
      </w:r>
    </w:p>
    <w:p w:rsidR="003F7D15" w:rsidRDefault="00A6155D">
      <w:pPr>
        <w:pStyle w:val="Tiret0"/>
        <w:ind w:left="851"/>
        <w:rPr>
          <w:rStyle w:val="CRRefonteDeleted"/>
          <w:noProof/>
          <w:highlight w:val="lightGray"/>
        </w:rPr>
      </w:pPr>
      <w:r>
        <w:rPr>
          <w:rStyle w:val="CRRefonteDeleted"/>
          <w:noProof/>
          <w:highlight w:val="lightGray"/>
        </w:rPr>
        <w:t>for the application of differentiated rates of excise duty on LPG used as fuel in public transport;</w:t>
      </w:r>
    </w:p>
    <w:p w:rsidR="003F7D15" w:rsidRDefault="00A6155D">
      <w:pPr>
        <w:pStyle w:val="Tiret0"/>
        <w:ind w:left="851"/>
        <w:rPr>
          <w:rStyle w:val="CRRefonteDeleted"/>
          <w:noProof/>
          <w:highlight w:val="lightGray"/>
        </w:rPr>
      </w:pPr>
      <w:r>
        <w:rPr>
          <w:rStyle w:val="CRRefonteDeleted"/>
          <w:noProof/>
          <w:highlight w:val="lightGray"/>
        </w:rPr>
        <w:t>for a differen</w:t>
      </w:r>
      <w:r>
        <w:rPr>
          <w:rStyle w:val="CRRefonteDeleted"/>
          <w:noProof/>
          <w:highlight w:val="lightGray"/>
        </w:rPr>
        <w:t>tiated rate of excise duty on LPG used as fuel for waste-collection, drain suction and by street-cleaning vehicles;</w:t>
      </w:r>
    </w:p>
    <w:p w:rsidR="003F7D15" w:rsidRDefault="00A6155D">
      <w:pPr>
        <w:pStyle w:val="Tiret0"/>
        <w:ind w:left="851"/>
        <w:rPr>
          <w:rStyle w:val="CRRefonteDeleted"/>
          <w:noProof/>
          <w:highlight w:val="lightGray"/>
        </w:rPr>
      </w:pPr>
      <w:r>
        <w:rPr>
          <w:rStyle w:val="CRRefonteDeleted"/>
          <w:noProof/>
          <w:highlight w:val="lightGray"/>
        </w:rPr>
        <w:t>for a differentiated rate of excise duty on low sulphur (50 ppm) diesel to 31 December 2004;</w:t>
      </w:r>
    </w:p>
    <w:p w:rsidR="003F7D15" w:rsidRDefault="00A6155D">
      <w:pPr>
        <w:pStyle w:val="Tiret0"/>
        <w:ind w:left="851"/>
        <w:rPr>
          <w:rStyle w:val="CRRefonteDeleted"/>
          <w:noProof/>
          <w:highlight w:val="lightGray"/>
        </w:rPr>
      </w:pPr>
      <w:r>
        <w:rPr>
          <w:rStyle w:val="CRRefonteDeleted"/>
          <w:noProof/>
          <w:highlight w:val="lightGray"/>
        </w:rPr>
        <w:t>for a differentiated rate of excise duty on low</w:t>
      </w:r>
      <w:r>
        <w:rPr>
          <w:rStyle w:val="CRRefonteDeleted"/>
          <w:noProof/>
          <w:highlight w:val="lightGray"/>
        </w:rPr>
        <w:t xml:space="preserve"> sulphur (50 ppm) petrol to 31 December 2004.</w:t>
      </w:r>
    </w:p>
    <w:p w:rsidR="003F7D15" w:rsidRDefault="00A6155D">
      <w:pPr>
        <w:pStyle w:val="ManualHeading1"/>
        <w:ind w:left="851" w:hanging="851"/>
        <w:rPr>
          <w:rStyle w:val="CRRefonteDeleted"/>
          <w:noProof/>
          <w:highlight w:val="lightGray"/>
        </w:rPr>
      </w:pPr>
      <w:r>
        <w:rPr>
          <w:rStyle w:val="CRRefonteDeleted"/>
          <w:noProof/>
          <w:highlight w:val="lightGray"/>
        </w:rPr>
        <w:t>11.</w:t>
      </w:r>
      <w:r>
        <w:rPr>
          <w:rStyle w:val="CRRefonteDeleted"/>
          <w:noProof/>
          <w:highlight w:val="lightGray"/>
        </w:rPr>
        <w:tab/>
        <w:t>AUSTRIA:</w:t>
      </w:r>
    </w:p>
    <w:p w:rsidR="003F7D15" w:rsidRDefault="00A6155D">
      <w:pPr>
        <w:pStyle w:val="Tiret0"/>
        <w:ind w:left="851"/>
        <w:rPr>
          <w:rStyle w:val="CRRefonteDeleted"/>
          <w:noProof/>
          <w:highlight w:val="lightGray"/>
        </w:rPr>
      </w:pPr>
      <w:r>
        <w:rPr>
          <w:rStyle w:val="CRRefonteDeleted"/>
          <w:noProof/>
          <w:highlight w:val="lightGray"/>
        </w:rPr>
        <w:t>for natural gas and methane;</w:t>
      </w:r>
    </w:p>
    <w:p w:rsidR="003F7D15" w:rsidRDefault="00A6155D">
      <w:pPr>
        <w:pStyle w:val="Tiret0"/>
        <w:ind w:left="851"/>
        <w:rPr>
          <w:rStyle w:val="CRRefonteDeleted"/>
          <w:noProof/>
          <w:highlight w:val="lightGray"/>
        </w:rPr>
      </w:pPr>
      <w:r>
        <w:rPr>
          <w:rStyle w:val="CRRefonteDeleted"/>
          <w:noProof/>
          <w:highlight w:val="lightGray"/>
        </w:rPr>
        <w:t>for LPG used as fuel by local public transport vehicles;</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recovery or following a recycling process for wa</w:t>
      </w:r>
      <w:r>
        <w:rPr>
          <w:rStyle w:val="CRRefonteDeleted"/>
          <w:noProof/>
          <w:highlight w:val="lightGray"/>
        </w:rPr>
        <w:t>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12.</w:t>
      </w:r>
      <w:r>
        <w:rPr>
          <w:rStyle w:val="CRRefonteDeleted"/>
          <w:noProof/>
          <w:highlight w:val="lightGray"/>
        </w:rPr>
        <w:tab/>
        <w:t>PORTUGAL:</w:t>
      </w:r>
    </w:p>
    <w:p w:rsidR="003F7D15" w:rsidRDefault="00A6155D">
      <w:pPr>
        <w:pStyle w:val="Tiret0"/>
        <w:ind w:left="851"/>
        <w:rPr>
          <w:rStyle w:val="CRRefonteDeleted"/>
          <w:noProof/>
          <w:highlight w:val="lightGray"/>
        </w:rPr>
      </w:pPr>
      <w:r>
        <w:rPr>
          <w:rStyle w:val="CRRefonteDeleted"/>
          <w:noProof/>
          <w:highlight w:val="lightGray"/>
        </w:rPr>
        <w:t>for differentiated rates of tax on unleaded petrol to reflect different environmental categories, provided that the differentiated rates are in accordance with the obligations laid down in thi</w:t>
      </w:r>
      <w:r>
        <w:rPr>
          <w:rStyle w:val="CRRefonteDeleted"/>
          <w:noProof/>
          <w:highlight w:val="lightGray"/>
        </w:rPr>
        <w:t>s Directive, and in particular the minimum levels of 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for exemption from excise duty on LPG, natural gas and methane used as fuel in local public passenger transport;</w:t>
      </w:r>
    </w:p>
    <w:p w:rsidR="003F7D15" w:rsidRDefault="00A6155D">
      <w:pPr>
        <w:pStyle w:val="Tiret0"/>
        <w:ind w:left="851"/>
        <w:rPr>
          <w:rStyle w:val="CRRefonteDeleted"/>
          <w:noProof/>
          <w:highlight w:val="lightGray"/>
        </w:rPr>
      </w:pPr>
      <w:r>
        <w:rPr>
          <w:rStyle w:val="CRRefonteDeleted"/>
          <w:noProof/>
          <w:highlight w:val="lightGray"/>
        </w:rPr>
        <w:t xml:space="preserve">for a reduction in the rate of excise duty on </w:t>
      </w:r>
      <w:r>
        <w:rPr>
          <w:rStyle w:val="CRRefonteDeleted"/>
          <w:noProof/>
          <w:highlight w:val="lightGray"/>
        </w:rPr>
        <w:t>fuel oil consumed in the autonomous region of Madeira; this reduction may not be greater than the additional costs incurred in transporting the fuel oil to that region;</w:t>
      </w:r>
    </w:p>
    <w:p w:rsidR="003F7D15" w:rsidRDefault="00A6155D">
      <w:pPr>
        <w:pStyle w:val="Tiret0"/>
        <w:ind w:left="851"/>
        <w:rPr>
          <w:rStyle w:val="CRRefonteDeleted"/>
          <w:noProof/>
          <w:highlight w:val="lightGray"/>
        </w:rPr>
      </w:pPr>
      <w:r>
        <w:rPr>
          <w:rStyle w:val="CRRefonteDeleted"/>
          <w:noProof/>
          <w:highlight w:val="lightGray"/>
        </w:rPr>
        <w:t>for a reduction in the rate of excise duty on heavy fuel oil to encourage the use of mo</w:t>
      </w:r>
      <w:r>
        <w:rPr>
          <w:rStyle w:val="CRRefonteDeleted"/>
          <w:noProof/>
          <w:highlight w:val="lightGray"/>
        </w:rPr>
        <w:t>re environmentally friendly fuels; this reduction shall be specifically linked to sulphur content and the rate of duty charged on heavy fuel oil must correspond to the minimum rate of duty on heavy fuel oil as provided for in Community law;</w:t>
      </w:r>
    </w:p>
    <w:p w:rsidR="003F7D15" w:rsidRDefault="00A6155D">
      <w:pPr>
        <w:pStyle w:val="Tiret0"/>
        <w:ind w:left="851"/>
        <w:rPr>
          <w:rStyle w:val="CRRefonteDeleted"/>
          <w:noProof/>
          <w:highlight w:val="lightGray"/>
        </w:rPr>
      </w:pPr>
      <w:r>
        <w:rPr>
          <w:rStyle w:val="CRRefonteDeleted"/>
          <w:noProof/>
          <w:highlight w:val="lightGray"/>
        </w:rPr>
        <w:t>for air navigat</w:t>
      </w:r>
      <w:r>
        <w:rPr>
          <w:rStyle w:val="CRRefonteDeleted"/>
          <w:noProof/>
          <w:highlight w:val="lightGray"/>
        </w:rPr>
        <w: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recovery or following a recycling process for waste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13.</w:t>
      </w:r>
      <w:r>
        <w:rPr>
          <w:rStyle w:val="CRRefonteDeleted"/>
          <w:noProof/>
          <w:highlight w:val="lightGray"/>
        </w:rPr>
        <w:tab/>
        <w:t>FINLAND:</w:t>
      </w:r>
    </w:p>
    <w:p w:rsidR="003F7D15" w:rsidRDefault="00A6155D">
      <w:pPr>
        <w:pStyle w:val="Tiret0"/>
        <w:ind w:left="851"/>
        <w:rPr>
          <w:rStyle w:val="CRRefonteDeleted"/>
          <w:noProof/>
          <w:highlight w:val="lightGray"/>
        </w:rPr>
      </w:pPr>
      <w:r>
        <w:rPr>
          <w:rStyle w:val="CRRefonteDeleted"/>
          <w:noProof/>
          <w:highlight w:val="lightGray"/>
        </w:rPr>
        <w:t>for natural gas</w:t>
      </w:r>
      <w:r>
        <w:rPr>
          <w:rStyle w:val="CRRefonteDeleted"/>
          <w:noProof/>
          <w:highlight w:val="lightGray"/>
        </w:rPr>
        <w:t xml:space="preserve"> used as fuel;</w:t>
      </w:r>
    </w:p>
    <w:p w:rsidR="003F7D15" w:rsidRDefault="00A6155D">
      <w:pPr>
        <w:pStyle w:val="Tiret0"/>
        <w:ind w:left="851"/>
        <w:rPr>
          <w:rStyle w:val="CRRefonteDeleted"/>
          <w:noProof/>
          <w:highlight w:val="lightGray"/>
        </w:rPr>
      </w:pPr>
      <w:r>
        <w:rPr>
          <w:rStyle w:val="CRRefonteDeleted"/>
          <w:noProof/>
          <w:highlight w:val="lightGray"/>
        </w:rPr>
        <w:t>for an exemption from excise duty for methane and LPG for all purposes;</w:t>
      </w:r>
    </w:p>
    <w:p w:rsidR="003F7D15" w:rsidRDefault="00A6155D">
      <w:pPr>
        <w:pStyle w:val="Tiret0"/>
        <w:ind w:left="851"/>
        <w:rPr>
          <w:rStyle w:val="CRRefonteDeleted"/>
          <w:noProof/>
          <w:highlight w:val="lightGray"/>
        </w:rPr>
      </w:pPr>
      <w:r>
        <w:rPr>
          <w:rStyle w:val="CRRefonteDeleted"/>
          <w:noProof/>
          <w:highlight w:val="lightGray"/>
        </w:rPr>
        <w:t>for reduced excise duty rates on diesel fuel and heating gas oil, provided that the rates are in accordance with the obligations laid down in this Directive, and in part</w:t>
      </w:r>
      <w:r>
        <w:rPr>
          <w:rStyle w:val="CRRefonteDeleted"/>
          <w:noProof/>
          <w:highlight w:val="lightGray"/>
        </w:rPr>
        <w:t>icular the minimum levels of taxation provided for in Articles 7 to 9;</w:t>
      </w:r>
    </w:p>
    <w:p w:rsidR="003F7D15" w:rsidRDefault="00A6155D">
      <w:pPr>
        <w:pStyle w:val="Tiret0"/>
        <w:ind w:left="851"/>
        <w:rPr>
          <w:rStyle w:val="CRRefonteDeleted"/>
          <w:noProof/>
          <w:highlight w:val="lightGray"/>
        </w:rPr>
      </w:pPr>
      <w:r>
        <w:rPr>
          <w:rStyle w:val="CRRefonteDeleted"/>
          <w:noProof/>
          <w:highlight w:val="lightGray"/>
        </w:rPr>
        <w:t>for reduced excise duty rates on reformulated unleaded and leaded petrol, provided that the rates are in accordance with the obligations laid down in this Directive, and in particular t</w:t>
      </w:r>
      <w:r>
        <w:rPr>
          <w:rStyle w:val="CRRefonteDeleted"/>
          <w:noProof/>
          <w:highlight w:val="lightGray"/>
        </w:rPr>
        <w:t>he minimum levels of 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for air navigation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navigation in private pleasure craft;</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w:t>
      </w:r>
      <w:r>
        <w:rPr>
          <w:rStyle w:val="CRRefonteDeleted"/>
          <w:noProof/>
          <w:highlight w:val="lightGray"/>
        </w:rPr>
        <w:t>very or following a recycling process for waste oils, and where the reuse is subject to duty.</w:t>
      </w:r>
    </w:p>
    <w:p w:rsidR="003F7D15" w:rsidRDefault="00A6155D">
      <w:pPr>
        <w:pStyle w:val="ManualHeading1"/>
        <w:ind w:left="851" w:hanging="851"/>
        <w:rPr>
          <w:rStyle w:val="CRRefonteDeleted"/>
          <w:noProof/>
          <w:highlight w:val="lightGray"/>
        </w:rPr>
      </w:pPr>
      <w:r>
        <w:rPr>
          <w:rStyle w:val="CRRefonteDeleted"/>
          <w:noProof/>
          <w:highlight w:val="lightGray"/>
        </w:rPr>
        <w:t>14.</w:t>
      </w:r>
      <w:r>
        <w:rPr>
          <w:rStyle w:val="CRRefonteDeleted"/>
          <w:noProof/>
          <w:highlight w:val="lightGray"/>
        </w:rPr>
        <w:tab/>
        <w:t>SWEDEN:</w:t>
      </w:r>
    </w:p>
    <w:p w:rsidR="003F7D15" w:rsidRDefault="00A6155D">
      <w:pPr>
        <w:pStyle w:val="Tiret0"/>
        <w:ind w:left="851"/>
        <w:rPr>
          <w:rStyle w:val="CRRefonteDeleted"/>
          <w:noProof/>
          <w:highlight w:val="lightGray"/>
        </w:rPr>
      </w:pPr>
      <w:r>
        <w:rPr>
          <w:rStyle w:val="CRRefonteDeleted"/>
          <w:noProof/>
          <w:highlight w:val="lightGray"/>
        </w:rPr>
        <w:t>for reduced tax rates for diesel in accordance with environmental classifications;</w:t>
      </w:r>
    </w:p>
    <w:p w:rsidR="003F7D15" w:rsidRDefault="00A6155D">
      <w:pPr>
        <w:pStyle w:val="Tiret0"/>
        <w:ind w:left="851"/>
        <w:rPr>
          <w:rStyle w:val="CRRefonteDeleted"/>
          <w:noProof/>
          <w:highlight w:val="lightGray"/>
        </w:rPr>
      </w:pPr>
      <w:r>
        <w:rPr>
          <w:rStyle w:val="CRRefonteDeleted"/>
          <w:noProof/>
          <w:highlight w:val="lightGray"/>
        </w:rPr>
        <w:t>for differentiated rates of tax on unleaded petrol to reflect diffe</w:t>
      </w:r>
      <w:r>
        <w:rPr>
          <w:rStyle w:val="CRRefonteDeleted"/>
          <w:noProof/>
          <w:highlight w:val="lightGray"/>
        </w:rPr>
        <w:t>rent environmental categories, provided that the differentiated rates are in accordance with the obligations laid down in this Directive, and in particular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a differentiated rate of energy tax to alkylate-based petrol f</w:t>
      </w:r>
      <w:r>
        <w:rPr>
          <w:rStyle w:val="CRRefonteDeleted"/>
          <w:noProof/>
          <w:highlight w:val="lightGray"/>
        </w:rPr>
        <w:t>or two-stroke engines, until 30 June 2008, provided that the total excise duty applicable comply with the terms of this Directive;</w:t>
      </w:r>
    </w:p>
    <w:p w:rsidR="003F7D15" w:rsidRDefault="00A6155D">
      <w:pPr>
        <w:pStyle w:val="Tiret0"/>
        <w:ind w:left="851"/>
        <w:rPr>
          <w:rStyle w:val="CRRefonteDeleted"/>
          <w:noProof/>
          <w:highlight w:val="lightGray"/>
        </w:rPr>
      </w:pPr>
      <w:r>
        <w:rPr>
          <w:rStyle w:val="CRRefonteDeleted"/>
          <w:noProof/>
          <w:highlight w:val="lightGray"/>
        </w:rPr>
        <w:t>for an exemption from excise duty for biologically produced methane and other waste gases;</w:t>
      </w:r>
    </w:p>
    <w:p w:rsidR="003F7D15" w:rsidRDefault="00A6155D">
      <w:pPr>
        <w:pStyle w:val="Tiret0"/>
        <w:ind w:left="851"/>
        <w:rPr>
          <w:rStyle w:val="CRRefonteDeleted"/>
          <w:noProof/>
          <w:highlight w:val="lightGray"/>
        </w:rPr>
      </w:pPr>
      <w:r>
        <w:rPr>
          <w:rStyle w:val="CRRefonteDeleted"/>
          <w:noProof/>
          <w:highlight w:val="lightGray"/>
        </w:rPr>
        <w:t xml:space="preserve">for a reduced rate of excise duty </w:t>
      </w:r>
      <w:r>
        <w:rPr>
          <w:rStyle w:val="CRRefonteDeleted"/>
          <w:noProof/>
          <w:highlight w:val="lightGray"/>
        </w:rPr>
        <w:t>on mineral oils used for industrial purposes, provided that the rates are in accordance with the obligations laid down in this Directive;</w:t>
      </w:r>
    </w:p>
    <w:p w:rsidR="003F7D15" w:rsidRDefault="00A6155D">
      <w:pPr>
        <w:pStyle w:val="Tiret0"/>
        <w:ind w:left="851"/>
        <w:rPr>
          <w:rStyle w:val="CRRefonteDeleted"/>
          <w:noProof/>
          <w:highlight w:val="lightGray"/>
        </w:rPr>
      </w:pPr>
      <w:r>
        <w:rPr>
          <w:rStyle w:val="CRRefonteDeleted"/>
          <w:noProof/>
          <w:highlight w:val="lightGray"/>
        </w:rPr>
        <w:t>for a reduced rate of excise duty on mineral oils used for industrial purposes by introducing both a rate which is low</w:t>
      </w:r>
      <w:r>
        <w:rPr>
          <w:rStyle w:val="CRRefonteDeleted"/>
          <w:noProof/>
          <w:highlight w:val="lightGray"/>
        </w:rPr>
        <w:t>er than the standard rate and a reduced rate for energy-intensive enterprises, provided that the rates are in accordance with the obligations laid down in this Directive, and do not give rise to distortions of competition;</w:t>
      </w:r>
    </w:p>
    <w:p w:rsidR="003F7D15" w:rsidRDefault="00A6155D">
      <w:pPr>
        <w:pStyle w:val="Tiret0"/>
        <w:ind w:left="851"/>
        <w:rPr>
          <w:rStyle w:val="CRRefonteDeleted"/>
          <w:noProof/>
          <w:highlight w:val="lightGray"/>
        </w:rPr>
      </w:pPr>
      <w:r>
        <w:rPr>
          <w:rStyle w:val="CRRefonteDeleted"/>
          <w:noProof/>
          <w:highlight w:val="lightGray"/>
        </w:rPr>
        <w:t>for air navigation other than tha</w:t>
      </w:r>
      <w:r>
        <w:rPr>
          <w:rStyle w:val="CRRefonteDeleted"/>
          <w:noProof/>
          <w:highlight w:val="lightGray"/>
        </w:rPr>
        <w:t>t covered by Article 14(1)(b) of the present Directive.</w:t>
      </w:r>
    </w:p>
    <w:p w:rsidR="003F7D15" w:rsidRDefault="00A6155D">
      <w:pPr>
        <w:pStyle w:val="ManualHeading1"/>
        <w:ind w:left="851" w:hanging="851"/>
        <w:rPr>
          <w:rStyle w:val="CRRefonteDeleted"/>
          <w:noProof/>
          <w:highlight w:val="lightGray"/>
        </w:rPr>
      </w:pPr>
      <w:r>
        <w:rPr>
          <w:rStyle w:val="CRRefonteDeleted"/>
          <w:noProof/>
          <w:highlight w:val="lightGray"/>
        </w:rPr>
        <w:t>15.</w:t>
      </w:r>
      <w:r>
        <w:rPr>
          <w:rStyle w:val="CRRefonteDeleted"/>
          <w:noProof/>
          <w:highlight w:val="lightGray"/>
        </w:rPr>
        <w:tab/>
        <w:t>UNITED KINGDOM:</w:t>
      </w:r>
    </w:p>
    <w:p w:rsidR="003F7D15" w:rsidRDefault="00A6155D">
      <w:pPr>
        <w:pStyle w:val="Tiret0"/>
        <w:ind w:left="851"/>
        <w:rPr>
          <w:rStyle w:val="CRRefonteDeleted"/>
          <w:noProof/>
          <w:highlight w:val="lightGray"/>
        </w:rPr>
      </w:pPr>
      <w:r>
        <w:rPr>
          <w:rStyle w:val="CRRefonteDeleted"/>
          <w:noProof/>
          <w:highlight w:val="lightGray"/>
        </w:rPr>
        <w:t>for differentiated rates of excise duty for road fuel containing biodiesel and biodiesel used as pure road fuel, until 31 March 2007. Community minimum rates have to be respected a</w:t>
      </w:r>
      <w:r>
        <w:rPr>
          <w:rStyle w:val="CRRefonteDeleted"/>
          <w:noProof/>
          <w:highlight w:val="lightGray"/>
        </w:rPr>
        <w:t>nd no overcompensation for the extra costs involved in the manufacture of biofuels can take place;</w:t>
      </w:r>
    </w:p>
    <w:p w:rsidR="003F7D15" w:rsidRDefault="00A6155D">
      <w:pPr>
        <w:pStyle w:val="Tiret0"/>
        <w:ind w:left="851"/>
        <w:rPr>
          <w:rStyle w:val="CRRefonteDeleted"/>
          <w:noProof/>
          <w:highlight w:val="lightGray"/>
        </w:rPr>
      </w:pPr>
      <w:r>
        <w:rPr>
          <w:rStyle w:val="CRRefonteDeleted"/>
          <w:noProof/>
          <w:highlight w:val="lightGray"/>
        </w:rPr>
        <w:t>for LPG, natural gas and methane used as motor fuel;</w:t>
      </w:r>
    </w:p>
    <w:p w:rsidR="003F7D15" w:rsidRDefault="00A6155D">
      <w:pPr>
        <w:pStyle w:val="Tiret0"/>
        <w:ind w:left="851"/>
        <w:rPr>
          <w:rStyle w:val="CRRefonteDeleted"/>
          <w:noProof/>
          <w:highlight w:val="lightGray"/>
        </w:rPr>
      </w:pPr>
      <w:r>
        <w:rPr>
          <w:rStyle w:val="CRRefonteDeleted"/>
          <w:noProof/>
          <w:highlight w:val="lightGray"/>
        </w:rPr>
        <w:t>for a reduction in the rate of excise duty on diesel to encourage the use of more environmentally friend</w:t>
      </w:r>
      <w:r>
        <w:rPr>
          <w:rStyle w:val="CRRefonteDeleted"/>
          <w:noProof/>
          <w:highlight w:val="lightGray"/>
        </w:rPr>
        <w:t>ly fuels;</w:t>
      </w:r>
    </w:p>
    <w:p w:rsidR="003F7D15" w:rsidRDefault="00A6155D">
      <w:pPr>
        <w:pStyle w:val="Tiret0"/>
        <w:ind w:left="851"/>
        <w:rPr>
          <w:rStyle w:val="CRRefonteDeleted"/>
          <w:noProof/>
          <w:highlight w:val="lightGray"/>
        </w:rPr>
      </w:pPr>
      <w:r>
        <w:rPr>
          <w:rStyle w:val="CRRefonteDeleted"/>
          <w:noProof/>
          <w:highlight w:val="lightGray"/>
        </w:rPr>
        <w:t>for differentiated rates of tax on unleaded petrol to reflect different environmental categories, provided that the differentiated rates are in accordance with the obligations laid down in this Directive, and in particular the minimum levels of t</w:t>
      </w:r>
      <w:r>
        <w:rPr>
          <w:rStyle w:val="CRRefonteDeleted"/>
          <w:noProof/>
          <w:highlight w:val="lightGray"/>
        </w:rPr>
        <w:t>axation provided for in Article 7 thereof;</w:t>
      </w:r>
    </w:p>
    <w:p w:rsidR="003F7D15" w:rsidRDefault="00A6155D">
      <w:pPr>
        <w:pStyle w:val="Tiret0"/>
        <w:ind w:left="851"/>
        <w:rPr>
          <w:rStyle w:val="CRRefonteDeleted"/>
          <w:noProof/>
          <w:highlight w:val="lightGray"/>
        </w:rPr>
      </w:pPr>
      <w:r>
        <w:rPr>
          <w:rStyle w:val="CRRefonteDeleted"/>
          <w:noProof/>
          <w:highlight w:val="lightGray"/>
        </w:rPr>
        <w:t>for local public passenger transport vehicles;</w:t>
      </w:r>
    </w:p>
    <w:p w:rsidR="003F7D15" w:rsidRDefault="00A6155D">
      <w:pPr>
        <w:pStyle w:val="Tiret0"/>
        <w:ind w:left="851"/>
        <w:rPr>
          <w:rStyle w:val="CRRefonteDeleted"/>
          <w:noProof/>
          <w:highlight w:val="lightGray"/>
        </w:rPr>
      </w:pPr>
      <w:r>
        <w:rPr>
          <w:rStyle w:val="CRRefonteDeleted"/>
          <w:noProof/>
          <w:highlight w:val="lightGray"/>
        </w:rPr>
        <w:t xml:space="preserve">for a differentiated rate of excise duty on water/diesel emulsion provided that the differentiated rates are in accordance with the obligations laid down in this </w:t>
      </w:r>
      <w:r>
        <w:rPr>
          <w:rStyle w:val="CRRefonteDeleted"/>
          <w:noProof/>
          <w:highlight w:val="lightGray"/>
        </w:rPr>
        <w:t>Directive, and in particular the minimum rates of excise duty;</w:t>
      </w:r>
    </w:p>
    <w:p w:rsidR="003F7D15" w:rsidRDefault="00A6155D">
      <w:pPr>
        <w:pStyle w:val="Tiret0"/>
        <w:ind w:left="851"/>
        <w:rPr>
          <w:rStyle w:val="CRRefonteDeleted"/>
          <w:noProof/>
          <w:highlight w:val="lightGray"/>
        </w:rPr>
      </w:pPr>
      <w:r>
        <w:rPr>
          <w:rStyle w:val="CRRefonteDeleted"/>
          <w:noProof/>
          <w:highlight w:val="lightGray"/>
        </w:rPr>
        <w:t>for air navigation other than that covered by Article 14(1)(b) of this Directive;</w:t>
      </w:r>
    </w:p>
    <w:p w:rsidR="003F7D15" w:rsidRDefault="00A6155D">
      <w:pPr>
        <w:pStyle w:val="Tiret0"/>
        <w:ind w:left="851"/>
        <w:rPr>
          <w:rStyle w:val="CRRefonteDeleted"/>
          <w:noProof/>
          <w:highlight w:val="lightGray"/>
        </w:rPr>
      </w:pPr>
      <w:r>
        <w:rPr>
          <w:rStyle w:val="CRRefonteDeleted"/>
          <w:noProof/>
          <w:highlight w:val="lightGray"/>
        </w:rPr>
        <w:t>for navigation in private pleasure craft;</w:t>
      </w:r>
    </w:p>
    <w:p w:rsidR="003F7D15" w:rsidRDefault="00A6155D">
      <w:pPr>
        <w:pStyle w:val="Tiret0"/>
        <w:ind w:left="851"/>
        <w:rPr>
          <w:rStyle w:val="CRRefonteDeleted"/>
          <w:noProof/>
          <w:highlight w:val="lightGray"/>
        </w:rPr>
      </w:pPr>
      <w:r>
        <w:rPr>
          <w:rStyle w:val="CRRefonteDeleted"/>
          <w:noProof/>
          <w:highlight w:val="lightGray"/>
        </w:rPr>
        <w:t>for waste oils which are reused as fuel, either directly after recove</w:t>
      </w:r>
      <w:r>
        <w:rPr>
          <w:rStyle w:val="CRRefonteDeleted"/>
          <w:noProof/>
          <w:highlight w:val="lightGray"/>
        </w:rPr>
        <w:t>ry or following a recycling process for waste oils, and where the reuse is subject to duty.</w:t>
      </w:r>
    </w:p>
    <w:p w:rsidR="003F7D15" w:rsidRDefault="003F7D15">
      <w:pPr>
        <w:adjustRightInd w:val="0"/>
        <w:spacing w:before="0" w:after="0"/>
        <w:jc w:val="left"/>
        <w:rPr>
          <w:noProof/>
          <w:lang w:val="en-US"/>
        </w:rPr>
        <w:sectPr w:rsidR="003F7D15" w:rsidSect="00A6155D">
          <w:pgSz w:w="11906" w:h="16838"/>
          <w:pgMar w:top="1134" w:right="1418" w:bottom="1134" w:left="1418" w:header="709" w:footer="709" w:gutter="0"/>
          <w:cols w:space="709"/>
          <w:docGrid w:linePitch="326"/>
        </w:sectPr>
      </w:pPr>
    </w:p>
    <w:p w:rsidR="003F7D15" w:rsidRDefault="003F7D15">
      <w:pPr>
        <w:pStyle w:val="CRSeparator"/>
        <w:rPr>
          <w:noProof/>
          <w:lang w:val="en-GB"/>
        </w:rPr>
      </w:pPr>
    </w:p>
    <w:p w:rsidR="003F7D15" w:rsidRDefault="00A6155D">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2004/74/EC Art. 1.3 and Annex amended by Corrigendum, OJ L 195, 2.6.2004, p. 26</w:t>
      </w:r>
    </w:p>
    <w:p w:rsidR="003F7D15" w:rsidRDefault="00A6155D">
      <w:pPr>
        <w:pStyle w:val="Annexetitreacte"/>
        <w:rPr>
          <w:rStyle w:val="CRRefonteDeleted"/>
          <w:noProof/>
          <w:highlight w:val="lightGray"/>
          <w:lang w:val="en-GB"/>
        </w:rPr>
      </w:pPr>
      <w:r>
        <w:rPr>
          <w:rStyle w:val="CRRefonteDeleted"/>
          <w:noProof/>
          <w:highlight w:val="lightGray"/>
          <w:lang w:val="en-GB"/>
        </w:rPr>
        <w:t>ANNEX III</w:t>
      </w:r>
    </w:p>
    <w:p w:rsidR="003F7D15" w:rsidRDefault="00A6155D">
      <w:pPr>
        <w:rPr>
          <w:rStyle w:val="CRRefonteDeleted"/>
          <w:noProof/>
          <w:highlight w:val="lightGray"/>
        </w:rPr>
      </w:pPr>
      <w:r>
        <w:rPr>
          <w:rStyle w:val="CRRefonteDeleted"/>
          <w:noProof/>
          <w:highlight w:val="lightGray"/>
        </w:rPr>
        <w:t xml:space="preserve">Reduced rates of taxation and </w:t>
      </w:r>
      <w:r>
        <w:rPr>
          <w:rStyle w:val="CRRefonteDeleted"/>
          <w:noProof/>
          <w:highlight w:val="lightGray"/>
        </w:rPr>
        <w:t>exemptions from such taxation referred to in Article 18a(1):</w:t>
      </w:r>
    </w:p>
    <w:p w:rsidR="003F7D15" w:rsidRDefault="00A6155D">
      <w:pPr>
        <w:pStyle w:val="Point0"/>
        <w:rPr>
          <w:rStyle w:val="CRRefonteDeleted"/>
          <w:i/>
          <w:noProof/>
          <w:highlight w:val="lightGray"/>
        </w:rPr>
      </w:pPr>
      <w:r>
        <w:rPr>
          <w:rStyle w:val="CRRefonteDeleted"/>
          <w:noProof/>
          <w:highlight w:val="lightGray"/>
        </w:rPr>
        <w:tab/>
        <w:t>1.</w:t>
      </w:r>
      <w:r>
        <w:rPr>
          <w:rStyle w:val="CRRefonteDeleted"/>
          <w:i/>
          <w:noProof/>
          <w:highlight w:val="lightGray"/>
        </w:rPr>
        <w:tab/>
        <w:t>Latvia</w:t>
      </w:r>
    </w:p>
    <w:p w:rsidR="003F7D15" w:rsidRDefault="00A6155D">
      <w:pPr>
        <w:pStyle w:val="Tiret1"/>
        <w:numPr>
          <w:ilvl w:val="0"/>
          <w:numId w:val="10"/>
        </w:numPr>
        <w:ind w:left="1418"/>
        <w:rPr>
          <w:rStyle w:val="CRRefonteDeleted"/>
          <w:noProof/>
          <w:highlight w:val="lightGray"/>
        </w:rPr>
      </w:pPr>
      <w:r>
        <w:rPr>
          <w:rStyle w:val="CRRefonteDeleted"/>
          <w:noProof/>
          <w:highlight w:val="lightGray"/>
        </w:rPr>
        <w:t>for energy products and electricity used in local public passenger transport vehicles;</w:t>
      </w:r>
    </w:p>
    <w:p w:rsidR="003F7D15" w:rsidRDefault="00A6155D">
      <w:pPr>
        <w:pStyle w:val="Point0"/>
        <w:rPr>
          <w:rStyle w:val="CRRefonteDeleted"/>
          <w:i/>
          <w:noProof/>
          <w:highlight w:val="lightGray"/>
        </w:rPr>
      </w:pPr>
      <w:r>
        <w:rPr>
          <w:rStyle w:val="CRRefonteDeleted"/>
          <w:noProof/>
          <w:highlight w:val="lightGray"/>
        </w:rPr>
        <w:tab/>
        <w:t>2.</w:t>
      </w:r>
      <w:r>
        <w:rPr>
          <w:rStyle w:val="CRRefonteDeleted"/>
          <w:i/>
          <w:noProof/>
          <w:highlight w:val="lightGray"/>
        </w:rPr>
        <w:tab/>
        <w:t>Lithuania</w:t>
      </w:r>
    </w:p>
    <w:p w:rsidR="003F7D15" w:rsidRDefault="00A6155D">
      <w:pPr>
        <w:pStyle w:val="Tiret1"/>
        <w:ind w:left="1418"/>
        <w:rPr>
          <w:rStyle w:val="CRRefonteDeleted"/>
          <w:noProof/>
          <w:highlight w:val="lightGray"/>
        </w:rPr>
      </w:pPr>
      <w:r>
        <w:rPr>
          <w:rStyle w:val="CRRefonteDeleted"/>
          <w:noProof/>
          <w:highlight w:val="lightGray"/>
        </w:rPr>
        <w:t>for coal, coke and lignite, until 1 January 2007,</w:t>
      </w:r>
    </w:p>
    <w:p w:rsidR="003F7D15" w:rsidRDefault="00A6155D">
      <w:pPr>
        <w:pStyle w:val="Tiret1"/>
        <w:ind w:left="1418"/>
        <w:rPr>
          <w:rStyle w:val="CRRefonteDeleted"/>
          <w:noProof/>
          <w:highlight w:val="lightGray"/>
        </w:rPr>
      </w:pPr>
      <w:r>
        <w:rPr>
          <w:rStyle w:val="CRRefonteDeleted"/>
          <w:noProof/>
          <w:highlight w:val="lightGray"/>
        </w:rPr>
        <w:t xml:space="preserve">for natural gas and electricity, </w:t>
      </w:r>
      <w:r>
        <w:rPr>
          <w:rStyle w:val="CRRefonteDeleted"/>
          <w:noProof/>
          <w:highlight w:val="lightGray"/>
        </w:rPr>
        <w:t>until 1 January 2010,</w:t>
      </w:r>
    </w:p>
    <w:p w:rsidR="003F7D15" w:rsidRDefault="00A6155D">
      <w:pPr>
        <w:pStyle w:val="Tiret1"/>
        <w:ind w:left="1418"/>
        <w:rPr>
          <w:rStyle w:val="CRRefonteDeleted"/>
          <w:noProof/>
          <w:highlight w:val="lightGray"/>
        </w:rPr>
      </w:pPr>
      <w:r>
        <w:rPr>
          <w:rStyle w:val="CRRefonteDeleted"/>
          <w:noProof/>
          <w:highlight w:val="lightGray"/>
        </w:rPr>
        <w:t>for orimulsion used for purposes other than to produce electricity or heat until 1 January 2010;</w:t>
      </w:r>
    </w:p>
    <w:p w:rsidR="003F7D15" w:rsidRDefault="00A6155D">
      <w:pPr>
        <w:pStyle w:val="Point0"/>
        <w:rPr>
          <w:rStyle w:val="CRRefonteDeleted"/>
          <w:i/>
          <w:noProof/>
          <w:highlight w:val="lightGray"/>
        </w:rPr>
      </w:pPr>
      <w:r>
        <w:rPr>
          <w:rStyle w:val="CRRefonteDeleted"/>
          <w:noProof/>
          <w:highlight w:val="lightGray"/>
        </w:rPr>
        <w:tab/>
        <w:t>3.</w:t>
      </w:r>
      <w:r>
        <w:rPr>
          <w:rStyle w:val="CRRefonteDeleted"/>
          <w:i/>
          <w:noProof/>
          <w:highlight w:val="lightGray"/>
        </w:rPr>
        <w:tab/>
        <w:t>Hungary</w:t>
      </w:r>
    </w:p>
    <w:p w:rsidR="003F7D15" w:rsidRDefault="00A6155D">
      <w:pPr>
        <w:pStyle w:val="Tiret1"/>
        <w:ind w:left="1418"/>
        <w:rPr>
          <w:rStyle w:val="CRRefonteDeleted"/>
          <w:noProof/>
          <w:highlight w:val="lightGray"/>
        </w:rPr>
      </w:pPr>
      <w:r>
        <w:rPr>
          <w:rStyle w:val="CRRefonteDeleted"/>
          <w:noProof/>
          <w:highlight w:val="lightGray"/>
        </w:rPr>
        <w:t>for coal and coke, until 1 January 2009;</w:t>
      </w:r>
    </w:p>
    <w:p w:rsidR="003F7D15" w:rsidRDefault="00A6155D">
      <w:pPr>
        <w:pStyle w:val="Point0"/>
        <w:rPr>
          <w:rStyle w:val="CRRefonteDeleted"/>
          <w:i/>
          <w:noProof/>
          <w:highlight w:val="lightGray"/>
        </w:rPr>
      </w:pPr>
      <w:r>
        <w:rPr>
          <w:rStyle w:val="CRRefonteDeleted"/>
          <w:noProof/>
          <w:highlight w:val="lightGray"/>
        </w:rPr>
        <w:tab/>
        <w:t>4.</w:t>
      </w:r>
      <w:r>
        <w:rPr>
          <w:rStyle w:val="CRRefonteDeleted"/>
          <w:noProof/>
          <w:highlight w:val="lightGray"/>
        </w:rPr>
        <w:tab/>
      </w:r>
      <w:r>
        <w:rPr>
          <w:rStyle w:val="CRRefonteDeleted"/>
          <w:i/>
          <w:noProof/>
          <w:highlight w:val="lightGray"/>
        </w:rPr>
        <w:t>Malta</w:t>
      </w:r>
    </w:p>
    <w:p w:rsidR="003F7D15" w:rsidRDefault="00A6155D">
      <w:pPr>
        <w:pStyle w:val="Tiret1"/>
        <w:ind w:left="1418"/>
        <w:rPr>
          <w:rStyle w:val="CRRefonteDeleted"/>
          <w:noProof/>
          <w:highlight w:val="lightGray"/>
        </w:rPr>
      </w:pPr>
      <w:r>
        <w:rPr>
          <w:rStyle w:val="CRRefonteDeleted"/>
          <w:noProof/>
          <w:highlight w:val="lightGray"/>
        </w:rPr>
        <w:t>for navigation in private pleasure craft,</w:t>
      </w:r>
    </w:p>
    <w:p w:rsidR="003F7D15" w:rsidRDefault="00A6155D">
      <w:pPr>
        <w:pStyle w:val="Tiret1"/>
        <w:ind w:left="1418"/>
        <w:rPr>
          <w:rStyle w:val="CRRefonteDeleted"/>
          <w:noProof/>
          <w:highlight w:val="lightGray"/>
        </w:rPr>
      </w:pPr>
      <w:r>
        <w:rPr>
          <w:rStyle w:val="CRRefonteDeleted"/>
          <w:noProof/>
          <w:highlight w:val="lightGray"/>
        </w:rPr>
        <w:t>for air navigation other than th</w:t>
      </w:r>
      <w:r>
        <w:rPr>
          <w:rStyle w:val="CRRefonteDeleted"/>
          <w:noProof/>
          <w:highlight w:val="lightGray"/>
        </w:rPr>
        <w:t>at covered by Article 14(1)(b) of Directive 2003/96/EC;</w:t>
      </w:r>
    </w:p>
    <w:p w:rsidR="003F7D15" w:rsidRDefault="00A6155D">
      <w:pPr>
        <w:pStyle w:val="Point0"/>
        <w:rPr>
          <w:rStyle w:val="CRRefonteDeleted"/>
          <w:i/>
          <w:noProof/>
          <w:highlight w:val="lightGray"/>
        </w:rPr>
      </w:pPr>
      <w:r>
        <w:rPr>
          <w:rStyle w:val="CRRefonteDeleted"/>
          <w:noProof/>
          <w:highlight w:val="lightGray"/>
        </w:rPr>
        <w:tab/>
        <w:t>5.</w:t>
      </w:r>
      <w:r>
        <w:rPr>
          <w:rStyle w:val="CRRefonteDeleted"/>
          <w:i/>
          <w:noProof/>
          <w:highlight w:val="lightGray"/>
        </w:rPr>
        <w:tab/>
        <w:t>Poland</w:t>
      </w:r>
    </w:p>
    <w:p w:rsidR="003F7D15" w:rsidRDefault="00A6155D">
      <w:pPr>
        <w:pStyle w:val="Tiret1"/>
        <w:ind w:left="1418"/>
        <w:rPr>
          <w:rStyle w:val="CRRefonteDeleted"/>
          <w:noProof/>
          <w:highlight w:val="lightGray"/>
        </w:rPr>
      </w:pPr>
      <w:r>
        <w:rPr>
          <w:rStyle w:val="CRRefonteDeleted"/>
          <w:noProof/>
          <w:highlight w:val="lightGray"/>
        </w:rPr>
        <w:t>for aviation fuel and turbo-combustion engine fuels and engine oils for aviation engines, sold by the producer of such fuels on the order of the Minister of National Defence or the competen</w:t>
      </w:r>
      <w:r>
        <w:rPr>
          <w:rStyle w:val="CRRefonteDeleted"/>
          <w:noProof/>
          <w:highlight w:val="lightGray"/>
        </w:rPr>
        <w:t>t minister for internal affairs, for purposes of the aviation industry, or the Agency of Material Reserves to supplement State reserves, or organisational units of sanitary aviation for purposes of such units,</w:t>
      </w:r>
    </w:p>
    <w:p w:rsidR="003F7D15" w:rsidRDefault="00A6155D">
      <w:pPr>
        <w:pStyle w:val="Tiret1"/>
        <w:ind w:left="1418"/>
        <w:rPr>
          <w:rStyle w:val="CRRefonteDeleted"/>
          <w:noProof/>
          <w:highlight w:val="lightGray"/>
        </w:rPr>
      </w:pPr>
      <w:r>
        <w:rPr>
          <w:rStyle w:val="CRRefonteDeleted"/>
          <w:noProof/>
          <w:highlight w:val="lightGray"/>
        </w:rPr>
        <w:t>gas oil for ship engines and engines for sea t</w:t>
      </w:r>
      <w:r>
        <w:rPr>
          <w:rStyle w:val="CRRefonteDeleted"/>
          <w:noProof/>
          <w:highlight w:val="lightGray"/>
        </w:rPr>
        <w:t>echnology and engine oils for ship engines and for sea technology, sold by the producer of such fuel on the order of the Agency of Stock Reserves to supplement State reserves, or on the order of the Minister of National Defence to be used for purposes of t</w:t>
      </w:r>
      <w:r>
        <w:rPr>
          <w:rStyle w:val="CRRefonteDeleted"/>
          <w:noProof/>
          <w:highlight w:val="lightGray"/>
        </w:rPr>
        <w:t>he navy, or on the order of the competent minister for internal affairs to be used for sea engineering,</w:t>
      </w:r>
    </w:p>
    <w:p w:rsidR="003F7D15" w:rsidRDefault="00A6155D">
      <w:pPr>
        <w:pStyle w:val="Tiret1"/>
        <w:ind w:left="1418"/>
        <w:rPr>
          <w:rStyle w:val="CRRefonteDeleted"/>
          <w:noProof/>
          <w:highlight w:val="lightGray"/>
        </w:rPr>
        <w:sectPr w:rsidR="003F7D15" w:rsidSect="00A6155D">
          <w:pgSz w:w="11906" w:h="16838"/>
          <w:pgMar w:top="1134" w:right="1418" w:bottom="1134" w:left="1418" w:header="709" w:footer="709" w:gutter="0"/>
          <w:cols w:space="709"/>
          <w:docGrid w:linePitch="326"/>
        </w:sectPr>
      </w:pPr>
      <w:r>
        <w:rPr>
          <w:rStyle w:val="CRRefonteDeleted"/>
          <w:noProof/>
          <w:highlight w:val="lightGray"/>
        </w:rPr>
        <w:t>aviation fuel, turbo-combustion engine fuel and gas oil for ship engines and engines for sea technology and oils for aviation engin</w:t>
      </w:r>
      <w:r>
        <w:rPr>
          <w:rStyle w:val="CRRefonteDeleted"/>
          <w:noProof/>
          <w:highlight w:val="lightGray"/>
        </w:rPr>
        <w:t>es, ship engines and engines for sea technology, sold by the Agency of Stock Reserves on the order of the Minister of National Defence or the competent minister for internal affairs.</w:t>
      </w:r>
    </w:p>
    <w:p w:rsidR="003F7D15" w:rsidRDefault="003F7D15">
      <w:pPr>
        <w:pStyle w:val="CRSeparator"/>
        <w:rPr>
          <w:noProof/>
          <w:lang w:val="en-US"/>
        </w:rPr>
      </w:pPr>
    </w:p>
    <w:p w:rsidR="003F7D15" w:rsidRDefault="00A6155D">
      <w:pPr>
        <w:pStyle w:val="CRReference"/>
        <w:rPr>
          <w:noProof/>
          <w:highlight w:val="lightGray"/>
        </w:rPr>
      </w:pPr>
      <w:r>
        <w:rPr>
          <w:noProof/>
          <w:highlight w:val="lightGray"/>
        </w:rPr>
        <w:fldChar w:fldCharType="begin"/>
      </w:r>
      <w:r>
        <w:rPr>
          <w:noProof/>
          <w:highlight w:val="lightGray"/>
        </w:rPr>
        <w:instrText xml:space="preserve"> QUOTE "</w:instrText>
      </w:r>
      <w:r>
        <w:rPr>
          <w:rStyle w:val="CRMarker"/>
          <w:noProof/>
          <w:highlight w:val="lightGray"/>
        </w:rPr>
        <w:instrText>ò</w:instrText>
      </w:r>
      <w:r>
        <w:rPr>
          <w:noProof/>
          <w:highlight w:val="lightGray"/>
        </w:rPr>
        <w:instrText xml:space="preserve">" </w:instrText>
      </w:r>
      <w:r>
        <w:rPr>
          <w:noProof/>
          <w:highlight w:val="lightGray"/>
        </w:rPr>
        <w:fldChar w:fldCharType="separate"/>
      </w:r>
      <w:r>
        <w:rPr>
          <w:rStyle w:val="CRMarker"/>
          <w:noProof/>
          <w:highlight w:val="lightGray"/>
        </w:rPr>
        <w:t>ò</w:t>
      </w:r>
      <w:r>
        <w:rPr>
          <w:noProof/>
          <w:highlight w:val="lightGray"/>
        </w:rPr>
        <w:fldChar w:fldCharType="end"/>
      </w:r>
      <w:r>
        <w:rPr>
          <w:noProof/>
          <w:highlight w:val="lightGray"/>
        </w:rPr>
        <w:t> new</w:t>
      </w:r>
    </w:p>
    <w:p w:rsidR="003F7D15" w:rsidRDefault="00A6155D">
      <w:pPr>
        <w:pStyle w:val="Annexetitre"/>
        <w:rPr>
          <w:noProof/>
          <w:highlight w:val="lightGray"/>
        </w:rPr>
      </w:pPr>
      <w:r>
        <w:rPr>
          <w:noProof/>
          <w:highlight w:val="lightGray"/>
        </w:rPr>
        <w:t>ANNEX 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0"/>
      </w:tblGrid>
      <w:tr w:rsidR="003F7D15">
        <w:tc>
          <w:tcPr>
            <w:tcW w:w="9210" w:type="dxa"/>
          </w:tcPr>
          <w:p w:rsidR="003F7D15" w:rsidRDefault="00A6155D">
            <w:pPr>
              <w:pStyle w:val="NormalCentered"/>
              <w:rPr>
                <w:noProof/>
                <w:highlight w:val="lightGray"/>
                <w:lang w:val="en-US"/>
              </w:rPr>
            </w:pPr>
            <w:r>
              <w:rPr>
                <w:noProof/>
                <w:highlight w:val="lightGray"/>
              </w:rPr>
              <w:t xml:space="preserve">Table A. — Minimum levels of taxation </w:t>
            </w:r>
            <w:r>
              <w:rPr>
                <w:noProof/>
                <w:highlight w:val="lightGray"/>
              </w:rPr>
              <w:t>applicable to motor fuels for the purposes of Article 7 (in EUR/Gigajoule)</w:t>
            </w:r>
          </w:p>
        </w:tc>
      </w:tr>
    </w:tbl>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2"/>
        <w:gridCol w:w="2638"/>
        <w:gridCol w:w="2400"/>
      </w:tblGrid>
      <w:tr w:rsidR="003F7D15">
        <w:trPr>
          <w:trHeight w:val="720"/>
        </w:trPr>
        <w:tc>
          <w:tcPr>
            <w:tcW w:w="4202" w:type="dxa"/>
            <w:tcBorders>
              <w:top w:val="single" w:sz="4" w:space="0" w:color="auto"/>
              <w:left w:val="single" w:sz="4" w:space="0" w:color="auto"/>
              <w:bottom w:val="single" w:sz="4" w:space="0" w:color="auto"/>
              <w:right w:val="single" w:sz="4" w:space="0" w:color="auto"/>
            </w:tcBorders>
            <w:vAlign w:val="center"/>
            <w:hideMark/>
          </w:tcPr>
          <w:p w:rsidR="003F7D15" w:rsidRDefault="003F7D15">
            <w:pPr>
              <w:spacing w:line="276" w:lineRule="auto"/>
              <w:rPr>
                <w:noProof/>
                <w:color w:val="000000"/>
                <w:sz w:val="18"/>
                <w:szCs w:val="20"/>
                <w:highlight w:val="lightGray"/>
              </w:rPr>
            </w:pP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center"/>
              <w:rPr>
                <w:bCs/>
                <w:noProof/>
                <w:color w:val="000000"/>
                <w:sz w:val="18"/>
                <w:szCs w:val="20"/>
                <w:highlight w:val="lightGray"/>
              </w:rPr>
            </w:pPr>
            <w:r>
              <w:rPr>
                <w:bCs/>
                <w:noProof/>
                <w:color w:val="000000"/>
                <w:sz w:val="18"/>
                <w:szCs w:val="20"/>
                <w:highlight w:val="lightGray"/>
              </w:rPr>
              <w:t xml:space="preserve">Start of transitional period (01.01.2023) </w:t>
            </w:r>
          </w:p>
        </w:tc>
        <w:tc>
          <w:tcPr>
            <w:tcW w:w="240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center"/>
              <w:rPr>
                <w:bCs/>
                <w:noProof/>
                <w:color w:val="000000"/>
                <w:sz w:val="18"/>
                <w:szCs w:val="20"/>
                <w:highlight w:val="lightGray"/>
              </w:rPr>
            </w:pPr>
            <w:r>
              <w:rPr>
                <w:bCs/>
                <w:noProof/>
                <w:color w:val="000000"/>
                <w:sz w:val="18"/>
                <w:szCs w:val="20"/>
                <w:highlight w:val="lightGray"/>
              </w:rPr>
              <w:t xml:space="preserve">Final rate after completion of transitional period (01.01.2033) before indexation </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Petrol</w:t>
            </w: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Gasoil</w:t>
            </w: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Kerosene</w:t>
            </w: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hyperlink r:id="rId20" w:anchor="RANGE!_ftn2" w:history="1">
              <w:r>
                <w:rPr>
                  <w:rStyle w:val="Hyperlink"/>
                  <w:noProof/>
                  <w:color w:val="000000"/>
                  <w:sz w:val="18"/>
                  <w:szCs w:val="20"/>
                  <w:highlight w:val="lightGray"/>
                  <w:u w:val="none"/>
                </w:rPr>
                <w:t>Non-sustainable biofuels</w:t>
              </w:r>
            </w:hyperlink>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sz w:val="18"/>
                <w:szCs w:val="20"/>
                <w:highlight w:val="lightGray"/>
              </w:rPr>
            </w:pPr>
            <w:r>
              <w:rPr>
                <w:noProof/>
                <w:sz w:val="18"/>
                <w:szCs w:val="20"/>
                <w:highlight w:val="lightGray"/>
              </w:rPr>
              <w:t>10,75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Liquefied Petroleum Gas (LPG) </w:t>
            </w: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sz w:val="18"/>
                <w:szCs w:val="20"/>
                <w:highlight w:val="lightGray"/>
              </w:rPr>
            </w:pPr>
            <w:r>
              <w:rPr>
                <w:noProof/>
                <w:sz w:val="18"/>
                <w:szCs w:val="20"/>
                <w:highlight w:val="lightGray"/>
              </w:rPr>
              <w:t>7,17</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Natural gas</w:t>
            </w: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sz w:val="18"/>
                <w:szCs w:val="20"/>
                <w:highlight w:val="lightGray"/>
              </w:rPr>
            </w:pPr>
            <w:r>
              <w:rPr>
                <w:noProof/>
                <w:sz w:val="18"/>
                <w:szCs w:val="20"/>
                <w:highlight w:val="lightGray"/>
              </w:rPr>
              <w:t>7,17</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Non-sustainable biogas</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sz w:val="18"/>
                <w:szCs w:val="20"/>
                <w:highlight w:val="lightGray"/>
              </w:rPr>
            </w:pPr>
            <w:r>
              <w:rPr>
                <w:noProof/>
                <w:sz w:val="18"/>
                <w:szCs w:val="20"/>
                <w:highlight w:val="lightGray"/>
              </w:rPr>
              <w:t>7,17</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 renewable fuels of non-biological origin</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sz w:val="18"/>
                <w:szCs w:val="20"/>
                <w:highlight w:val="lightGray"/>
              </w:rPr>
            </w:pPr>
            <w:r>
              <w:rPr>
                <w:noProof/>
                <w:sz w:val="18"/>
                <w:szCs w:val="20"/>
                <w:highlight w:val="lightGray"/>
              </w:rPr>
              <w:t>7,17</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sz w:val="18"/>
                <w:szCs w:val="20"/>
                <w:highlight w:val="lightGray"/>
              </w:rPr>
            </w:pPr>
            <w:r>
              <w:rPr>
                <w:noProof/>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food and feed crop biofuels</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sz w:val="18"/>
                <w:szCs w:val="20"/>
                <w:highlight w:val="lightGray"/>
              </w:rPr>
            </w:pPr>
            <w:r>
              <w:rPr>
                <w:noProof/>
                <w:color w:val="000000"/>
                <w:sz w:val="18"/>
                <w:szCs w:val="20"/>
                <w:highlight w:val="lightGray"/>
              </w:rPr>
              <w:t>5,38</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sz w:val="18"/>
                <w:szCs w:val="20"/>
                <w:highlight w:val="lightGray"/>
              </w:rPr>
            </w:pPr>
            <w:r>
              <w:rPr>
                <w:noProof/>
                <w:color w:val="000000"/>
                <w:sz w:val="18"/>
                <w:szCs w:val="20"/>
                <w:highlight w:val="lightGray"/>
              </w:rPr>
              <w:t>10,75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food and feed crop biogas</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5,38</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10,75</w:t>
            </w:r>
          </w:p>
        </w:tc>
      </w:tr>
      <w:tr w:rsidR="003F7D15">
        <w:trPr>
          <w:trHeight w:val="297"/>
        </w:trPr>
        <w:tc>
          <w:tcPr>
            <w:tcW w:w="4202"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Sustainable biofuels</w:t>
            </w:r>
          </w:p>
        </w:tc>
        <w:tc>
          <w:tcPr>
            <w:tcW w:w="2638"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sz w:val="18"/>
                <w:szCs w:val="20"/>
                <w:highlight w:val="lightGray"/>
              </w:rPr>
            </w:pPr>
            <w:r>
              <w:rPr>
                <w:noProof/>
                <w:sz w:val="18"/>
                <w:szCs w:val="20"/>
                <w:highlight w:val="lightGray"/>
              </w:rPr>
              <w:t>5,38</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sz w:val="18"/>
                <w:szCs w:val="20"/>
                <w:highlight w:val="lightGray"/>
              </w:rPr>
            </w:pPr>
            <w:r>
              <w:rPr>
                <w:noProof/>
                <w:sz w:val="18"/>
                <w:szCs w:val="20"/>
                <w:highlight w:val="lightGray"/>
              </w:rPr>
              <w:t>5,38</w:t>
            </w:r>
          </w:p>
        </w:tc>
      </w:tr>
      <w:tr w:rsidR="003F7D15">
        <w:trPr>
          <w:trHeight w:val="297"/>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biogas</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sz w:val="18"/>
                <w:szCs w:val="20"/>
                <w:highlight w:val="lightGray"/>
              </w:rPr>
            </w:pPr>
            <w:r>
              <w:rPr>
                <w:noProof/>
                <w:color w:val="000000"/>
                <w:sz w:val="18"/>
                <w:szCs w:val="20"/>
                <w:highlight w:val="lightGray"/>
              </w:rPr>
              <w:t>5,38</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sz w:val="18"/>
                <w:szCs w:val="20"/>
                <w:highlight w:val="lightGray"/>
              </w:rPr>
            </w:pPr>
            <w:r>
              <w:rPr>
                <w:noProof/>
                <w:color w:val="000000"/>
                <w:sz w:val="18"/>
                <w:szCs w:val="20"/>
                <w:highlight w:val="lightGray"/>
              </w:rPr>
              <w:t>5,38</w:t>
            </w:r>
          </w:p>
        </w:tc>
      </w:tr>
      <w:tr w:rsidR="003F7D15">
        <w:trPr>
          <w:trHeight w:val="297"/>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Low-carbon fuels</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5,38</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Renewable fuels of non-biological origin</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sz w:val="18"/>
                <w:szCs w:val="20"/>
                <w:highlight w:val="lightGray"/>
              </w:rPr>
            </w:pPr>
            <w:r>
              <w:rPr>
                <w:noProof/>
                <w:color w:val="000000"/>
                <w:sz w:val="18"/>
                <w:szCs w:val="20"/>
                <w:highlight w:val="lightGray"/>
              </w:rPr>
              <w:t>0,15</w:t>
            </w:r>
          </w:p>
        </w:tc>
      </w:tr>
      <w:tr w:rsidR="003F7D15">
        <w:trPr>
          <w:trHeight w:val="275"/>
        </w:trPr>
        <w:tc>
          <w:tcPr>
            <w:tcW w:w="4202"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Advanced sustainable biofuels and biogas</w:t>
            </w:r>
          </w:p>
        </w:tc>
        <w:tc>
          <w:tcPr>
            <w:tcW w:w="2638"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r>
    </w:tbl>
    <w:p w:rsidR="003F7D15" w:rsidRDefault="003F7D15">
      <w:pPr>
        <w:adjustRightInd w:val="0"/>
        <w:spacing w:before="0" w:after="0"/>
        <w:jc w:val="left"/>
        <w:rPr>
          <w:noProof/>
          <w:highlight w:val="lightGray"/>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0"/>
      </w:tblGrid>
      <w:tr w:rsidR="003F7D15">
        <w:tc>
          <w:tcPr>
            <w:tcW w:w="9210" w:type="dxa"/>
          </w:tcPr>
          <w:p w:rsidR="003F7D15" w:rsidRDefault="00A6155D">
            <w:pPr>
              <w:pStyle w:val="NormalCentered"/>
              <w:rPr>
                <w:noProof/>
                <w:highlight w:val="lightGray"/>
              </w:rPr>
            </w:pPr>
            <w:r>
              <w:rPr>
                <w:noProof/>
                <w:highlight w:val="lightGray"/>
              </w:rPr>
              <w:t xml:space="preserve">Table B. — Minimum levels of taxation applicable to motor fuels used for the purpose set out in Article 8(2) (in </w:t>
            </w:r>
            <w:r>
              <w:rPr>
                <w:noProof/>
                <w:highlight w:val="lightGray"/>
              </w:rPr>
              <w:t>EUR/Gigajoule)</w:t>
            </w:r>
          </w:p>
        </w:tc>
      </w:tr>
    </w:tbl>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0"/>
        <w:gridCol w:w="2640"/>
        <w:gridCol w:w="2400"/>
      </w:tblGrid>
      <w:tr w:rsidR="003F7D15">
        <w:trPr>
          <w:trHeight w:val="980"/>
        </w:trPr>
        <w:tc>
          <w:tcPr>
            <w:tcW w:w="4200" w:type="dxa"/>
            <w:tcBorders>
              <w:top w:val="single" w:sz="4" w:space="0" w:color="auto"/>
              <w:left w:val="single" w:sz="4" w:space="0" w:color="auto"/>
              <w:bottom w:val="single" w:sz="4" w:space="0" w:color="auto"/>
              <w:right w:val="single" w:sz="4" w:space="0" w:color="auto"/>
            </w:tcBorders>
            <w:vAlign w:val="center"/>
            <w:hideMark/>
          </w:tcPr>
          <w:p w:rsidR="003F7D15" w:rsidRDefault="003F7D15">
            <w:pPr>
              <w:spacing w:line="276" w:lineRule="auto"/>
              <w:rPr>
                <w:noProof/>
                <w:color w:val="000000"/>
                <w:sz w:val="18"/>
                <w:szCs w:val="20"/>
                <w:highlight w:val="lightGray"/>
              </w:rPr>
            </w:pPr>
          </w:p>
        </w:tc>
        <w:tc>
          <w:tcPr>
            <w:tcW w:w="264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center"/>
              <w:rPr>
                <w:noProof/>
                <w:color w:val="000000"/>
                <w:sz w:val="18"/>
                <w:szCs w:val="20"/>
                <w:highlight w:val="lightGray"/>
              </w:rPr>
            </w:pPr>
            <w:r>
              <w:rPr>
                <w:bCs/>
                <w:noProof/>
                <w:color w:val="000000"/>
                <w:sz w:val="18"/>
                <w:szCs w:val="20"/>
                <w:highlight w:val="lightGray"/>
              </w:rPr>
              <w:t>Start of transitional period (01.01.2023)</w:t>
            </w:r>
          </w:p>
        </w:tc>
        <w:tc>
          <w:tcPr>
            <w:tcW w:w="240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center"/>
              <w:rPr>
                <w:noProof/>
                <w:color w:val="000000"/>
                <w:sz w:val="18"/>
                <w:szCs w:val="20"/>
                <w:highlight w:val="lightGray"/>
              </w:rPr>
            </w:pPr>
            <w:r>
              <w:rPr>
                <w:bCs/>
                <w:noProof/>
                <w:color w:val="000000"/>
                <w:sz w:val="18"/>
                <w:szCs w:val="20"/>
                <w:highlight w:val="lightGray"/>
              </w:rPr>
              <w:t xml:space="preserve">Final rate after completion of transitional period (01.01.2033) before indexation </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Gas oil </w:t>
            </w:r>
          </w:p>
        </w:tc>
        <w:tc>
          <w:tcPr>
            <w:tcW w:w="264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Heavy fuel oil</w:t>
            </w:r>
          </w:p>
        </w:tc>
        <w:tc>
          <w:tcPr>
            <w:tcW w:w="264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Kerosene</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Non-sustainable biofuels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Liquefied Petroleum Gas (LPG) </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Natural gas </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Non-sustainable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42"/>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 renewable fuels of non-biological origin</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food and feed crop biofuels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food and feed crop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biofuels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Low-carbon fuels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Renewable fuels of non-biological origin</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r>
      <w:tr w:rsidR="003F7D15">
        <w:trPr>
          <w:trHeight w:val="275"/>
        </w:trPr>
        <w:tc>
          <w:tcPr>
            <w:tcW w:w="42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Advanced sustainable biofuels and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r>
    </w:tbl>
    <w:p w:rsidR="003F7D15" w:rsidRDefault="003F7D15">
      <w:pPr>
        <w:adjustRightInd w:val="0"/>
        <w:spacing w:before="0" w:after="0"/>
        <w:jc w:val="left"/>
        <w:rPr>
          <w:noProof/>
          <w:highlight w:val="lightGray"/>
          <w:lang w:val="en-US"/>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0"/>
      </w:tblGrid>
      <w:tr w:rsidR="003F7D15">
        <w:tc>
          <w:tcPr>
            <w:tcW w:w="9210" w:type="dxa"/>
          </w:tcPr>
          <w:p w:rsidR="003F7D15" w:rsidRDefault="00A6155D">
            <w:pPr>
              <w:pStyle w:val="NormalCentered"/>
              <w:rPr>
                <w:noProof/>
                <w:highlight w:val="lightGray"/>
              </w:rPr>
            </w:pPr>
            <w:r>
              <w:rPr>
                <w:noProof/>
                <w:highlight w:val="lightGray"/>
              </w:rPr>
              <w:t xml:space="preserve">Table C. — Minimum levels of taxation applicable to heating </w:t>
            </w:r>
            <w:r>
              <w:rPr>
                <w:noProof/>
                <w:highlight w:val="lightGray"/>
              </w:rPr>
              <w:t>fuels (in EUR/Gigajoule)</w:t>
            </w:r>
          </w:p>
        </w:tc>
      </w:tr>
    </w:tbl>
    <w:tbl>
      <w:tblPr>
        <w:tblpPr w:leftFromText="141" w:rightFromText="141" w:vertAnchor="text" w:horzAnchor="page" w:tblpX="1479" w:tblpY="125"/>
        <w:tblW w:w="9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9"/>
        <w:gridCol w:w="2640"/>
        <w:gridCol w:w="2400"/>
      </w:tblGrid>
      <w:tr w:rsidR="003F7D15">
        <w:trPr>
          <w:trHeight w:val="980"/>
        </w:trPr>
        <w:tc>
          <w:tcPr>
            <w:tcW w:w="4789" w:type="dxa"/>
            <w:tcBorders>
              <w:top w:val="single" w:sz="4" w:space="0" w:color="auto"/>
              <w:left w:val="single" w:sz="4" w:space="0" w:color="auto"/>
              <w:bottom w:val="single" w:sz="4" w:space="0" w:color="auto"/>
              <w:right w:val="single" w:sz="4" w:space="0" w:color="auto"/>
            </w:tcBorders>
            <w:vAlign w:val="center"/>
            <w:hideMark/>
          </w:tcPr>
          <w:p w:rsidR="003F7D15" w:rsidRDefault="003F7D15">
            <w:pPr>
              <w:spacing w:line="276" w:lineRule="auto"/>
              <w:rPr>
                <w:noProof/>
                <w:color w:val="000000"/>
                <w:sz w:val="18"/>
                <w:szCs w:val="20"/>
                <w:highlight w:val="lightGray"/>
              </w:rPr>
            </w:pPr>
          </w:p>
        </w:tc>
        <w:tc>
          <w:tcPr>
            <w:tcW w:w="264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center"/>
              <w:rPr>
                <w:noProof/>
                <w:color w:val="000000"/>
                <w:sz w:val="18"/>
                <w:szCs w:val="20"/>
                <w:highlight w:val="lightGray"/>
              </w:rPr>
            </w:pPr>
            <w:r>
              <w:rPr>
                <w:noProof/>
                <w:color w:val="000000"/>
                <w:sz w:val="18"/>
                <w:szCs w:val="20"/>
                <w:highlight w:val="lightGray"/>
              </w:rPr>
              <w:t>Start of transitional period (01.01.2023)</w:t>
            </w:r>
          </w:p>
        </w:tc>
        <w:tc>
          <w:tcPr>
            <w:tcW w:w="240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center"/>
              <w:rPr>
                <w:noProof/>
                <w:color w:val="000000"/>
                <w:sz w:val="18"/>
                <w:szCs w:val="20"/>
                <w:highlight w:val="lightGray"/>
              </w:rPr>
            </w:pPr>
            <w:r>
              <w:rPr>
                <w:noProof/>
                <w:color w:val="000000"/>
                <w:sz w:val="18"/>
                <w:szCs w:val="20"/>
                <w:highlight w:val="lightGray"/>
              </w:rPr>
              <w:t>Final rate after completion of transitional period (01.01.2033) before indexation</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Gas oil </w:t>
            </w:r>
          </w:p>
        </w:tc>
        <w:tc>
          <w:tcPr>
            <w:tcW w:w="264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rPr>
                <w:noProof/>
                <w:color w:val="000000"/>
                <w:sz w:val="18"/>
                <w:szCs w:val="20"/>
                <w:highlight w:val="lightGray"/>
              </w:rPr>
            </w:pPr>
            <w:r>
              <w:rPr>
                <w:noProof/>
                <w:color w:val="000000"/>
                <w:sz w:val="18"/>
                <w:szCs w:val="20"/>
                <w:highlight w:val="lightGray"/>
              </w:rPr>
              <w:t>Heavy fuel oil</w:t>
            </w:r>
          </w:p>
        </w:tc>
        <w:tc>
          <w:tcPr>
            <w:tcW w:w="2640" w:type="dxa"/>
            <w:tcBorders>
              <w:top w:val="single" w:sz="4" w:space="0" w:color="auto"/>
              <w:left w:val="single" w:sz="4" w:space="0" w:color="auto"/>
              <w:bottom w:val="single" w:sz="4" w:space="0" w:color="auto"/>
              <w:right w:val="single" w:sz="4" w:space="0" w:color="auto"/>
            </w:tcBorders>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hideMark/>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Kerosene</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Coal and coke</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Non-sustainable </w:t>
            </w:r>
            <w:r>
              <w:rPr>
                <w:noProof/>
                <w:color w:val="000000"/>
                <w:sz w:val="18"/>
                <w:szCs w:val="20"/>
                <w:highlight w:val="lightGray"/>
              </w:rPr>
              <w:t>bioliquids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Non-sustainable solid products falling within CN codes 4401 and 4402</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Liquefied Petroleum Gas (LPG) </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 xml:space="preserve">Natural gas </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Non-sustainable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42"/>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Non renewable fuels of non-biological origin</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0,6</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42"/>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food and feed crop bioliquids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42"/>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food and feed crop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0,9</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bioliquids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biogas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Sustainable solid products falling within CN codes 4401 and 4402</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Low-carbon fuels</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0,45</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Renewable fuels of non-biological origin</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r>
      <w:tr w:rsidR="003F7D15">
        <w:trPr>
          <w:trHeight w:val="275"/>
        </w:trPr>
        <w:tc>
          <w:tcPr>
            <w:tcW w:w="4789"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Advanced sustainable bioliquids, biogas and products falling within CN codes 4401 and 4402</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2400"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r>
    </w:tbl>
    <w:p w:rsidR="003F7D15" w:rsidRDefault="003F7D15">
      <w:pPr>
        <w:rPr>
          <w:noProof/>
          <w:highlight w:val="lightGray"/>
        </w:rPr>
      </w:pPr>
    </w:p>
    <w:tbl>
      <w:tblPr>
        <w:tblpPr w:leftFromText="141" w:rightFromText="141" w:vertAnchor="text" w:horzAnchor="margin" w:tblpY="22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8"/>
        <w:gridCol w:w="2640"/>
        <w:gridCol w:w="3061"/>
      </w:tblGrid>
      <w:tr w:rsidR="003F7D15">
        <w:trPr>
          <w:trHeight w:val="275"/>
        </w:trPr>
        <w:tc>
          <w:tcPr>
            <w:tcW w:w="9889" w:type="dxa"/>
            <w:gridSpan w:val="3"/>
            <w:tcBorders>
              <w:top w:val="nil"/>
              <w:left w:val="nil"/>
              <w:bottom w:val="single" w:sz="4" w:space="0" w:color="auto"/>
              <w:right w:val="nil"/>
            </w:tcBorders>
            <w:noWrap/>
            <w:vAlign w:val="center"/>
          </w:tcPr>
          <w:p w:rsidR="003F7D15" w:rsidRDefault="00A6155D">
            <w:pPr>
              <w:pStyle w:val="NormalCentered"/>
              <w:rPr>
                <w:noProof/>
                <w:highlight w:val="lightGray"/>
              </w:rPr>
            </w:pPr>
            <w:r>
              <w:rPr>
                <w:noProof/>
                <w:highlight w:val="lightGray"/>
              </w:rPr>
              <w:t>Table D. — Minimum levels of taxation applicable to electricity (in EUR/Gigajoule)</w:t>
            </w:r>
          </w:p>
        </w:tc>
      </w:tr>
      <w:tr w:rsidR="003F7D15">
        <w:trPr>
          <w:trHeight w:val="275"/>
        </w:trPr>
        <w:tc>
          <w:tcPr>
            <w:tcW w:w="4188" w:type="dxa"/>
            <w:tcBorders>
              <w:top w:val="single" w:sz="4" w:space="0" w:color="auto"/>
              <w:left w:val="single" w:sz="4" w:space="0" w:color="auto"/>
              <w:bottom w:val="single" w:sz="4" w:space="0" w:color="auto"/>
              <w:right w:val="single" w:sz="4" w:space="0" w:color="auto"/>
            </w:tcBorders>
            <w:noWrap/>
            <w:vAlign w:val="center"/>
          </w:tcPr>
          <w:p w:rsidR="003F7D15" w:rsidRDefault="003F7D15">
            <w:pPr>
              <w:spacing w:line="276" w:lineRule="auto"/>
              <w:rPr>
                <w:noProof/>
                <w:color w:val="000000"/>
                <w:sz w:val="18"/>
                <w:szCs w:val="20"/>
                <w:highlight w:val="lightGray"/>
              </w:rPr>
            </w:pP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center"/>
              <w:rPr>
                <w:noProof/>
                <w:color w:val="000000"/>
                <w:sz w:val="18"/>
                <w:szCs w:val="20"/>
                <w:highlight w:val="lightGray"/>
              </w:rPr>
            </w:pPr>
            <w:r>
              <w:rPr>
                <w:noProof/>
                <w:color w:val="000000"/>
                <w:sz w:val="18"/>
                <w:szCs w:val="20"/>
                <w:highlight w:val="lightGray"/>
              </w:rPr>
              <w:t>Start of transitional period (01.01.2023)</w:t>
            </w:r>
          </w:p>
        </w:tc>
        <w:tc>
          <w:tcPr>
            <w:tcW w:w="3061"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center"/>
              <w:rPr>
                <w:noProof/>
                <w:color w:val="000000"/>
                <w:sz w:val="18"/>
                <w:szCs w:val="20"/>
                <w:highlight w:val="lightGray"/>
              </w:rPr>
            </w:pPr>
            <w:r>
              <w:rPr>
                <w:noProof/>
                <w:color w:val="000000"/>
                <w:sz w:val="18"/>
                <w:szCs w:val="20"/>
                <w:highlight w:val="lightGray"/>
              </w:rPr>
              <w:t>Final rate after completion of transitional period (01.01.2033) before indexation</w:t>
            </w:r>
          </w:p>
        </w:tc>
      </w:tr>
      <w:tr w:rsidR="003F7D15">
        <w:trPr>
          <w:trHeight w:val="275"/>
        </w:trPr>
        <w:tc>
          <w:tcPr>
            <w:tcW w:w="4188"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rPr>
                <w:noProof/>
                <w:color w:val="000000"/>
                <w:sz w:val="18"/>
                <w:szCs w:val="20"/>
                <w:highlight w:val="lightGray"/>
              </w:rPr>
            </w:pPr>
            <w:r>
              <w:rPr>
                <w:noProof/>
                <w:color w:val="000000"/>
                <w:sz w:val="18"/>
                <w:szCs w:val="20"/>
                <w:highlight w:val="lightGray"/>
              </w:rPr>
              <w:t>Electricity</w:t>
            </w:r>
          </w:p>
        </w:tc>
        <w:tc>
          <w:tcPr>
            <w:tcW w:w="2640" w:type="dxa"/>
            <w:tcBorders>
              <w:top w:val="single" w:sz="4" w:space="0" w:color="auto"/>
              <w:left w:val="single" w:sz="4" w:space="0" w:color="auto"/>
              <w:bottom w:val="single" w:sz="4" w:space="0" w:color="auto"/>
              <w:right w:val="single" w:sz="4" w:space="0" w:color="auto"/>
            </w:tcBorders>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c>
          <w:tcPr>
            <w:tcW w:w="3061" w:type="dxa"/>
            <w:tcBorders>
              <w:top w:val="single" w:sz="4" w:space="0" w:color="auto"/>
              <w:left w:val="single" w:sz="4" w:space="0" w:color="auto"/>
              <w:bottom w:val="single" w:sz="4" w:space="0" w:color="auto"/>
              <w:right w:val="single" w:sz="4" w:space="0" w:color="auto"/>
            </w:tcBorders>
            <w:noWrap/>
            <w:vAlign w:val="center"/>
          </w:tcPr>
          <w:p w:rsidR="003F7D15" w:rsidRDefault="00A6155D">
            <w:pPr>
              <w:spacing w:line="276" w:lineRule="auto"/>
              <w:jc w:val="right"/>
              <w:rPr>
                <w:noProof/>
                <w:color w:val="000000"/>
                <w:sz w:val="18"/>
                <w:szCs w:val="20"/>
                <w:highlight w:val="lightGray"/>
              </w:rPr>
            </w:pPr>
            <w:r>
              <w:rPr>
                <w:noProof/>
                <w:color w:val="000000"/>
                <w:sz w:val="18"/>
                <w:szCs w:val="20"/>
                <w:highlight w:val="lightGray"/>
              </w:rPr>
              <w:t>0,15</w:t>
            </w:r>
          </w:p>
        </w:tc>
      </w:tr>
    </w:tbl>
    <w:p w:rsidR="003F7D15" w:rsidRDefault="003F7D15">
      <w:pPr>
        <w:adjustRightInd w:val="0"/>
        <w:spacing w:before="0" w:after="0"/>
        <w:jc w:val="left"/>
        <w:rPr>
          <w:noProof/>
          <w:highlight w:val="lightGray"/>
          <w:lang w:val="en-US"/>
        </w:rPr>
      </w:pPr>
    </w:p>
    <w:p w:rsidR="003F7D15" w:rsidRDefault="003F7D15">
      <w:pPr>
        <w:adjustRightInd w:val="0"/>
        <w:spacing w:before="0" w:after="0"/>
        <w:jc w:val="left"/>
        <w:rPr>
          <w:noProof/>
          <w:highlight w:val="lightGray"/>
          <w:lang w:val="en-US"/>
        </w:rPr>
        <w:sectPr w:rsidR="003F7D15" w:rsidSect="00A6155D">
          <w:pgSz w:w="11906" w:h="16838"/>
          <w:pgMar w:top="1134" w:right="1418" w:bottom="1134" w:left="1418" w:header="709" w:footer="709" w:gutter="0"/>
          <w:cols w:space="709"/>
          <w:docGrid w:linePitch="326"/>
        </w:sectPr>
      </w:pPr>
    </w:p>
    <w:p w:rsidR="003F7D15" w:rsidRDefault="003F7D15">
      <w:pPr>
        <w:pStyle w:val="CRSeparator"/>
        <w:rPr>
          <w:noProof/>
          <w:lang w:val="en-GB"/>
        </w:rPr>
      </w:pPr>
    </w:p>
    <w:p w:rsidR="003F7D15" w:rsidRDefault="00A6155D">
      <w:pPr>
        <w:pStyle w:val="CRReference"/>
        <w:rPr>
          <w:noProof/>
        </w:rPr>
      </w:pPr>
      <w:r>
        <w:rPr>
          <w:noProof/>
        </w:rPr>
        <w:fldChar w:fldCharType="begin"/>
      </w:r>
      <w:r>
        <w:rPr>
          <w:noProof/>
        </w:rPr>
        <w:instrText xml:space="preserve"> QUOTE "</w:instrText>
      </w:r>
      <w:r>
        <w:rPr>
          <w:rStyle w:val="CRMarker"/>
          <w:noProof/>
        </w:rPr>
        <w:instrText>é</w:instrText>
      </w:r>
      <w:r>
        <w:rPr>
          <w:noProof/>
        </w:rPr>
        <w:instrText xml:space="preserve">" </w:instrText>
      </w:r>
      <w:r>
        <w:rPr>
          <w:noProof/>
        </w:rPr>
        <w:fldChar w:fldCharType="separate"/>
      </w:r>
      <w:r>
        <w:rPr>
          <w:rStyle w:val="CRMarker"/>
          <w:noProof/>
        </w:rPr>
        <w:t>é</w:t>
      </w:r>
      <w:r>
        <w:rPr>
          <w:noProof/>
        </w:rPr>
        <w:fldChar w:fldCharType="end"/>
      </w:r>
    </w:p>
    <w:p w:rsidR="003F7D15" w:rsidRDefault="00A6155D">
      <w:pPr>
        <w:pStyle w:val="Annexetitre"/>
        <w:rPr>
          <w:noProof/>
        </w:rPr>
      </w:pPr>
      <w:r>
        <w:rPr>
          <w:noProof/>
        </w:rPr>
        <w:t>ANNEX II</w:t>
      </w:r>
    </w:p>
    <w:p w:rsidR="003F7D15" w:rsidRDefault="00A6155D">
      <w:pPr>
        <w:widowControl w:val="0"/>
        <w:tabs>
          <w:tab w:val="right" w:pos="9600"/>
        </w:tabs>
        <w:suppressAutoHyphens/>
        <w:spacing w:before="0" w:after="240"/>
        <w:jc w:val="center"/>
        <w:rPr>
          <w:noProof/>
        </w:rPr>
      </w:pPr>
      <w:r>
        <w:rPr>
          <w:noProof/>
        </w:rPr>
        <w:t>Part A</w:t>
      </w:r>
    </w:p>
    <w:p w:rsidR="003F7D15" w:rsidRDefault="00A6155D">
      <w:pPr>
        <w:widowControl w:val="0"/>
        <w:tabs>
          <w:tab w:val="left" w:pos="-720"/>
          <w:tab w:val="center" w:pos="7344"/>
        </w:tabs>
        <w:suppressAutoHyphens/>
        <w:spacing w:before="0" w:after="240"/>
        <w:jc w:val="center"/>
        <w:rPr>
          <w:rFonts w:eastAsia="Times New Roman"/>
          <w:b/>
          <w:noProof/>
          <w:lang w:eastAsia="fr-BE"/>
        </w:rPr>
      </w:pPr>
      <w:r>
        <w:rPr>
          <w:rFonts w:eastAsia="Times New Roman"/>
          <w:b/>
          <w:bCs/>
          <w:noProof/>
          <w:lang w:eastAsia="fr-BE"/>
        </w:rPr>
        <w:t xml:space="preserve">Repealed Directive with list of the successive </w:t>
      </w:r>
      <w:r>
        <w:rPr>
          <w:rFonts w:eastAsia="Times New Roman"/>
          <w:b/>
          <w:bCs/>
          <w:noProof/>
          <w:lang w:eastAsia="fr-BE"/>
        </w:rPr>
        <w:t>amendments thereto</w:t>
      </w:r>
      <w:r>
        <w:rPr>
          <w:rFonts w:eastAsia="Times New Roman"/>
          <w:b/>
          <w:bCs/>
          <w:noProof/>
          <w:lang w:eastAsia="fr-BE"/>
        </w:rPr>
        <w:br/>
      </w:r>
      <w:r>
        <w:rPr>
          <w:rFonts w:eastAsia="Times New Roman"/>
          <w:b/>
          <w:noProof/>
          <w:lang w:eastAsia="fr-BE"/>
        </w:rPr>
        <w:t>(referred to in Article 32)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4677"/>
        <w:gridCol w:w="426"/>
        <w:gridCol w:w="3650"/>
      </w:tblGrid>
      <w:tr w:rsidR="003F7D15">
        <w:tc>
          <w:tcPr>
            <w:tcW w:w="5211" w:type="dxa"/>
            <w:gridSpan w:val="2"/>
          </w:tcPr>
          <w:p w:rsidR="003F7D15" w:rsidRDefault="00A6155D">
            <w:pPr>
              <w:widowControl w:val="0"/>
              <w:tabs>
                <w:tab w:val="left" w:pos="-720"/>
                <w:tab w:val="center" w:pos="7344"/>
              </w:tabs>
              <w:suppressAutoHyphens/>
              <w:jc w:val="left"/>
              <w:rPr>
                <w:noProof/>
                <w:lang w:val="en-IE"/>
              </w:rPr>
            </w:pPr>
            <w:r>
              <w:rPr>
                <w:noProof/>
              </w:rPr>
              <w:t>Council Directive 2003/96/EC</w:t>
            </w:r>
            <w:r>
              <w:rPr>
                <w:noProof/>
              </w:rPr>
              <w:br/>
              <w:t>(</w:t>
            </w:r>
            <w:r>
              <w:rPr>
                <w:iCs/>
                <w:noProof/>
              </w:rPr>
              <w:t>OJ L 283, 31.10.2003, p. 51</w:t>
            </w:r>
            <w:r>
              <w:rPr>
                <w:noProof/>
              </w:rPr>
              <w:t>)</w:t>
            </w:r>
          </w:p>
        </w:tc>
        <w:tc>
          <w:tcPr>
            <w:tcW w:w="4076" w:type="dxa"/>
            <w:gridSpan w:val="2"/>
          </w:tcPr>
          <w:p w:rsidR="003F7D15" w:rsidRDefault="003F7D15">
            <w:pPr>
              <w:widowControl w:val="0"/>
              <w:tabs>
                <w:tab w:val="left" w:pos="-720"/>
                <w:tab w:val="center" w:pos="7344"/>
              </w:tabs>
              <w:suppressAutoHyphens/>
              <w:jc w:val="left"/>
              <w:rPr>
                <w:b/>
                <w:noProof/>
                <w:lang w:eastAsia="fr-BE"/>
              </w:rPr>
            </w:pPr>
          </w:p>
        </w:tc>
      </w:tr>
      <w:tr w:rsidR="003F7D15">
        <w:trPr>
          <w:gridBefore w:val="1"/>
          <w:wBefore w:w="534" w:type="dxa"/>
        </w:trPr>
        <w:tc>
          <w:tcPr>
            <w:tcW w:w="5103" w:type="dxa"/>
            <w:gridSpan w:val="2"/>
          </w:tcPr>
          <w:p w:rsidR="003F7D15" w:rsidRDefault="00A6155D">
            <w:pPr>
              <w:widowControl w:val="0"/>
              <w:tabs>
                <w:tab w:val="left" w:pos="-720"/>
                <w:tab w:val="center" w:pos="7344"/>
              </w:tabs>
              <w:suppressAutoHyphens/>
              <w:jc w:val="left"/>
              <w:rPr>
                <w:noProof/>
              </w:rPr>
            </w:pPr>
            <w:r>
              <w:rPr>
                <w:noProof/>
              </w:rPr>
              <w:t xml:space="preserve">Council Directive 2004/74/EC </w:t>
            </w:r>
            <w:r>
              <w:rPr>
                <w:noProof/>
              </w:rPr>
              <w:br/>
              <w:t>(</w:t>
            </w:r>
            <w:r>
              <w:rPr>
                <w:iCs/>
                <w:noProof/>
              </w:rPr>
              <w:t>OJ L 157, 30.4.2004, p. 87</w:t>
            </w:r>
            <w:r>
              <w:rPr>
                <w:noProof/>
              </w:rPr>
              <w:t>)</w:t>
            </w:r>
          </w:p>
        </w:tc>
        <w:tc>
          <w:tcPr>
            <w:tcW w:w="3650" w:type="dxa"/>
          </w:tcPr>
          <w:p w:rsidR="003F7D15" w:rsidRDefault="003F7D15">
            <w:pPr>
              <w:widowControl w:val="0"/>
              <w:tabs>
                <w:tab w:val="left" w:pos="-720"/>
                <w:tab w:val="center" w:pos="7344"/>
              </w:tabs>
              <w:suppressAutoHyphens/>
              <w:jc w:val="left"/>
              <w:rPr>
                <w:b/>
                <w:noProof/>
                <w:lang w:eastAsia="fr-BE"/>
              </w:rPr>
            </w:pPr>
          </w:p>
        </w:tc>
      </w:tr>
      <w:tr w:rsidR="003F7D15">
        <w:trPr>
          <w:gridBefore w:val="1"/>
          <w:wBefore w:w="534" w:type="dxa"/>
        </w:trPr>
        <w:tc>
          <w:tcPr>
            <w:tcW w:w="5103" w:type="dxa"/>
            <w:gridSpan w:val="2"/>
          </w:tcPr>
          <w:p w:rsidR="003F7D15" w:rsidRDefault="00A6155D">
            <w:pPr>
              <w:widowControl w:val="0"/>
              <w:tabs>
                <w:tab w:val="left" w:pos="-720"/>
                <w:tab w:val="center" w:pos="7344"/>
              </w:tabs>
              <w:suppressAutoHyphens/>
              <w:jc w:val="left"/>
              <w:rPr>
                <w:noProof/>
              </w:rPr>
            </w:pPr>
            <w:r>
              <w:rPr>
                <w:noProof/>
              </w:rPr>
              <w:t>Council Directive 2004/75/EC</w:t>
            </w:r>
            <w:r>
              <w:rPr>
                <w:noProof/>
              </w:rPr>
              <w:br/>
              <w:t>(</w:t>
            </w:r>
            <w:r>
              <w:rPr>
                <w:iCs/>
                <w:noProof/>
              </w:rPr>
              <w:t>OJ L 157, 30.4.2004, p. 100</w:t>
            </w:r>
            <w:r>
              <w:rPr>
                <w:noProof/>
              </w:rPr>
              <w:t>)</w:t>
            </w:r>
          </w:p>
        </w:tc>
        <w:tc>
          <w:tcPr>
            <w:tcW w:w="3650" w:type="dxa"/>
          </w:tcPr>
          <w:p w:rsidR="003F7D15" w:rsidRDefault="003F7D15">
            <w:pPr>
              <w:widowControl w:val="0"/>
              <w:tabs>
                <w:tab w:val="left" w:pos="-720"/>
                <w:tab w:val="center" w:pos="7344"/>
              </w:tabs>
              <w:suppressAutoHyphens/>
              <w:jc w:val="left"/>
              <w:rPr>
                <w:b/>
                <w:noProof/>
                <w:lang w:eastAsia="fr-BE"/>
              </w:rPr>
            </w:pPr>
          </w:p>
        </w:tc>
      </w:tr>
      <w:tr w:rsidR="003F7D15">
        <w:trPr>
          <w:gridBefore w:val="1"/>
          <w:wBefore w:w="534" w:type="dxa"/>
        </w:trPr>
        <w:tc>
          <w:tcPr>
            <w:tcW w:w="5103" w:type="dxa"/>
            <w:gridSpan w:val="2"/>
          </w:tcPr>
          <w:p w:rsidR="003F7D15" w:rsidRDefault="00A6155D">
            <w:pPr>
              <w:widowControl w:val="0"/>
              <w:tabs>
                <w:tab w:val="left" w:pos="-720"/>
                <w:tab w:val="center" w:pos="7344"/>
              </w:tabs>
              <w:suppressAutoHyphens/>
              <w:jc w:val="left"/>
              <w:rPr>
                <w:noProof/>
              </w:rPr>
            </w:pPr>
            <w:r>
              <w:rPr>
                <w:noProof/>
              </w:rPr>
              <w:t xml:space="preserve">Commission Implementing </w:t>
            </w:r>
            <w:r>
              <w:rPr>
                <w:noProof/>
              </w:rPr>
              <w:t>Decision (EU) 2018/552 </w:t>
            </w:r>
            <w:r>
              <w:rPr>
                <w:noProof/>
              </w:rPr>
              <w:br/>
              <w:t>(OJ L 91, 9.4.2018, p. 27</w:t>
            </w:r>
            <w:r>
              <w:rPr>
                <w:iCs/>
                <w:noProof/>
              </w:rPr>
              <w:t>)</w:t>
            </w:r>
          </w:p>
        </w:tc>
        <w:tc>
          <w:tcPr>
            <w:tcW w:w="3650" w:type="dxa"/>
          </w:tcPr>
          <w:p w:rsidR="003F7D15" w:rsidRDefault="003F7D15">
            <w:pPr>
              <w:widowControl w:val="0"/>
              <w:tabs>
                <w:tab w:val="left" w:pos="-720"/>
                <w:tab w:val="center" w:pos="7344"/>
              </w:tabs>
              <w:suppressAutoHyphens/>
              <w:jc w:val="left"/>
              <w:rPr>
                <w:noProof/>
              </w:rPr>
            </w:pPr>
          </w:p>
        </w:tc>
      </w:tr>
    </w:tbl>
    <w:p w:rsidR="003F7D15" w:rsidRDefault="00A6155D">
      <w:pPr>
        <w:widowControl w:val="0"/>
        <w:tabs>
          <w:tab w:val="right" w:pos="9600"/>
        </w:tabs>
        <w:suppressAutoHyphens/>
        <w:spacing w:before="0" w:after="240"/>
        <w:jc w:val="center"/>
        <w:outlineLvl w:val="0"/>
        <w:rPr>
          <w:rFonts w:eastAsia="Times New Roman"/>
          <w:noProof/>
          <w:lang w:eastAsia="fr-BE"/>
        </w:rPr>
      </w:pPr>
      <w:r>
        <w:rPr>
          <w:rFonts w:eastAsia="Times New Roman"/>
          <w:noProof/>
          <w:lang w:eastAsia="fr-BE"/>
        </w:rPr>
        <w:t>Part B</w:t>
      </w:r>
    </w:p>
    <w:p w:rsidR="003F7D15" w:rsidRDefault="00A6155D">
      <w:pPr>
        <w:widowControl w:val="0"/>
        <w:tabs>
          <w:tab w:val="right" w:pos="9600"/>
        </w:tabs>
        <w:suppressAutoHyphens/>
        <w:spacing w:before="0" w:after="240"/>
        <w:jc w:val="center"/>
        <w:rPr>
          <w:rFonts w:eastAsia="Times New Roman"/>
          <w:b/>
          <w:noProof/>
          <w:lang w:eastAsia="fr-BE"/>
        </w:rPr>
      </w:pPr>
      <w:r>
        <w:rPr>
          <w:rFonts w:eastAsia="Times New Roman"/>
          <w:b/>
          <w:bCs/>
          <w:noProof/>
          <w:lang w:eastAsia="fr-BE"/>
        </w:rPr>
        <w:t>Time-limits for transposition into national law</w:t>
      </w:r>
      <w:r>
        <w:rPr>
          <w:rFonts w:eastAsia="Times New Roman"/>
          <w:b/>
          <w:bCs/>
          <w:noProof/>
          <w:lang w:eastAsia="fr-BE"/>
        </w:rPr>
        <w:br/>
      </w:r>
      <w:r>
        <w:rPr>
          <w:rFonts w:eastAsia="Times New Roman"/>
          <w:b/>
          <w:noProof/>
          <w:lang w:eastAsia="fr-BE"/>
        </w:rPr>
        <w:t>(referred to in Article 32)</w:t>
      </w:r>
    </w:p>
    <w:tbl>
      <w:tblPr>
        <w:tblW w:w="0" w:type="auto"/>
        <w:jc w:val="center"/>
        <w:tblLook w:val="01E0" w:firstRow="1" w:lastRow="1" w:firstColumn="1" w:lastColumn="1" w:noHBand="0" w:noVBand="0"/>
      </w:tblPr>
      <w:tblGrid>
        <w:gridCol w:w="3079"/>
        <w:gridCol w:w="3107"/>
      </w:tblGrid>
      <w:tr w:rsidR="003F7D15">
        <w:trPr>
          <w:jc w:val="center"/>
        </w:trPr>
        <w:tc>
          <w:tcPr>
            <w:tcW w:w="3079" w:type="dxa"/>
            <w:tcBorders>
              <w:top w:val="single" w:sz="4" w:space="0" w:color="auto"/>
              <w:bottom w:val="single" w:sz="4" w:space="0" w:color="auto"/>
              <w:right w:val="single" w:sz="4" w:space="0" w:color="auto"/>
            </w:tcBorders>
          </w:tcPr>
          <w:p w:rsidR="003F7D15" w:rsidRDefault="00A6155D">
            <w:pPr>
              <w:widowControl w:val="0"/>
              <w:tabs>
                <w:tab w:val="right" w:pos="9600"/>
              </w:tabs>
              <w:suppressAutoHyphens/>
              <w:jc w:val="center"/>
              <w:rPr>
                <w:rFonts w:eastAsia="Times New Roman"/>
                <w:noProof/>
                <w:lang w:val="fr-BE" w:eastAsia="fr-BE"/>
              </w:rPr>
            </w:pPr>
            <w:r>
              <w:rPr>
                <w:rFonts w:eastAsia="Times New Roman"/>
                <w:noProof/>
                <w:lang w:val="fr-BE" w:eastAsia="fr-BE"/>
              </w:rPr>
              <w:t>Directive</w:t>
            </w:r>
          </w:p>
        </w:tc>
        <w:tc>
          <w:tcPr>
            <w:tcW w:w="3107" w:type="dxa"/>
            <w:tcBorders>
              <w:top w:val="single" w:sz="4" w:space="0" w:color="auto"/>
              <w:left w:val="single" w:sz="4" w:space="0" w:color="auto"/>
              <w:bottom w:val="single" w:sz="4" w:space="0" w:color="auto"/>
            </w:tcBorders>
          </w:tcPr>
          <w:p w:rsidR="003F7D15" w:rsidRDefault="00A6155D">
            <w:pPr>
              <w:widowControl w:val="0"/>
              <w:tabs>
                <w:tab w:val="right" w:pos="9600"/>
              </w:tabs>
              <w:suppressAutoHyphens/>
              <w:jc w:val="center"/>
              <w:rPr>
                <w:rFonts w:eastAsia="Times New Roman"/>
                <w:noProof/>
                <w:lang w:val="fr-BE" w:eastAsia="fr-BE"/>
              </w:rPr>
            </w:pPr>
            <w:r>
              <w:rPr>
                <w:rFonts w:eastAsia="Times New Roman"/>
                <w:noProof/>
                <w:lang w:val="fr-BE" w:eastAsia="fr-BE"/>
              </w:rPr>
              <w:t>Time-limit for transposition</w:t>
            </w:r>
          </w:p>
        </w:tc>
      </w:tr>
      <w:tr w:rsidR="003F7D15">
        <w:trPr>
          <w:jc w:val="center"/>
        </w:trPr>
        <w:tc>
          <w:tcPr>
            <w:tcW w:w="3079" w:type="dxa"/>
            <w:tcBorders>
              <w:right w:val="single" w:sz="4" w:space="0" w:color="auto"/>
            </w:tcBorders>
          </w:tcPr>
          <w:p w:rsidR="003F7D15" w:rsidRDefault="00A6155D">
            <w:pPr>
              <w:widowControl w:val="0"/>
              <w:tabs>
                <w:tab w:val="right" w:pos="9600"/>
              </w:tabs>
              <w:suppressAutoHyphens/>
              <w:jc w:val="center"/>
              <w:rPr>
                <w:rFonts w:eastAsia="Times New Roman"/>
                <w:noProof/>
                <w:lang w:val="fr-BE" w:eastAsia="fr-BE"/>
              </w:rPr>
            </w:pPr>
            <w:r>
              <w:rPr>
                <w:noProof/>
              </w:rPr>
              <w:t xml:space="preserve"> 2003/96/EC</w:t>
            </w:r>
          </w:p>
        </w:tc>
        <w:tc>
          <w:tcPr>
            <w:tcW w:w="3107" w:type="dxa"/>
            <w:tcBorders>
              <w:left w:val="single" w:sz="4" w:space="0" w:color="auto"/>
            </w:tcBorders>
          </w:tcPr>
          <w:p w:rsidR="003F7D15" w:rsidRDefault="00A6155D">
            <w:pPr>
              <w:widowControl w:val="0"/>
              <w:tabs>
                <w:tab w:val="right" w:pos="9600"/>
              </w:tabs>
              <w:suppressAutoHyphens/>
              <w:jc w:val="center"/>
              <w:rPr>
                <w:rFonts w:eastAsia="Times New Roman"/>
                <w:noProof/>
                <w:lang w:eastAsia="fr-BE"/>
              </w:rPr>
            </w:pPr>
            <w:r>
              <w:rPr>
                <w:noProof/>
                <w:color w:val="444444"/>
                <w:lang w:val="en"/>
              </w:rPr>
              <w:t>31 December 2003</w:t>
            </w:r>
          </w:p>
        </w:tc>
      </w:tr>
      <w:tr w:rsidR="003F7D15">
        <w:trPr>
          <w:jc w:val="center"/>
        </w:trPr>
        <w:tc>
          <w:tcPr>
            <w:tcW w:w="3079" w:type="dxa"/>
            <w:tcBorders>
              <w:right w:val="single" w:sz="4" w:space="0" w:color="auto"/>
            </w:tcBorders>
          </w:tcPr>
          <w:p w:rsidR="003F7D15" w:rsidRDefault="00A6155D">
            <w:pPr>
              <w:widowControl w:val="0"/>
              <w:tabs>
                <w:tab w:val="right" w:pos="9600"/>
              </w:tabs>
              <w:suppressAutoHyphens/>
              <w:jc w:val="center"/>
              <w:rPr>
                <w:rFonts w:eastAsia="Times New Roman"/>
                <w:noProof/>
                <w:lang w:val="fr-BE" w:eastAsia="fr-BE"/>
              </w:rPr>
            </w:pPr>
            <w:r>
              <w:rPr>
                <w:noProof/>
              </w:rPr>
              <w:t>2004/74/EC</w:t>
            </w:r>
          </w:p>
        </w:tc>
        <w:tc>
          <w:tcPr>
            <w:tcW w:w="3107" w:type="dxa"/>
            <w:tcBorders>
              <w:left w:val="single" w:sz="4" w:space="0" w:color="auto"/>
            </w:tcBorders>
          </w:tcPr>
          <w:p w:rsidR="003F7D15" w:rsidRDefault="00A6155D">
            <w:pPr>
              <w:widowControl w:val="0"/>
              <w:tabs>
                <w:tab w:val="right" w:pos="9600"/>
              </w:tabs>
              <w:suppressAutoHyphens/>
              <w:jc w:val="center"/>
              <w:rPr>
                <w:rFonts w:eastAsia="Times New Roman"/>
                <w:noProof/>
                <w:lang w:val="fr-BE" w:eastAsia="fr-BE"/>
              </w:rPr>
            </w:pPr>
            <w:r>
              <w:rPr>
                <w:noProof/>
                <w:color w:val="444444"/>
                <w:lang w:val="en"/>
              </w:rPr>
              <w:t>1 May 2004</w:t>
            </w:r>
          </w:p>
        </w:tc>
      </w:tr>
      <w:tr w:rsidR="003F7D15">
        <w:trPr>
          <w:jc w:val="center"/>
        </w:trPr>
        <w:tc>
          <w:tcPr>
            <w:tcW w:w="3079" w:type="dxa"/>
            <w:tcBorders>
              <w:right w:val="single" w:sz="4" w:space="0" w:color="auto"/>
            </w:tcBorders>
          </w:tcPr>
          <w:p w:rsidR="003F7D15" w:rsidRDefault="00A6155D">
            <w:pPr>
              <w:widowControl w:val="0"/>
              <w:tabs>
                <w:tab w:val="right" w:pos="9600"/>
              </w:tabs>
              <w:suppressAutoHyphens/>
              <w:jc w:val="center"/>
              <w:rPr>
                <w:noProof/>
              </w:rPr>
            </w:pPr>
            <w:r>
              <w:rPr>
                <w:noProof/>
              </w:rPr>
              <w:t>2004/75/EC</w:t>
            </w:r>
          </w:p>
        </w:tc>
        <w:tc>
          <w:tcPr>
            <w:tcW w:w="3107" w:type="dxa"/>
            <w:tcBorders>
              <w:left w:val="single" w:sz="4" w:space="0" w:color="auto"/>
            </w:tcBorders>
          </w:tcPr>
          <w:p w:rsidR="003F7D15" w:rsidRDefault="00A6155D">
            <w:pPr>
              <w:widowControl w:val="0"/>
              <w:tabs>
                <w:tab w:val="right" w:pos="9600"/>
              </w:tabs>
              <w:suppressAutoHyphens/>
              <w:jc w:val="center"/>
              <w:rPr>
                <w:noProof/>
                <w:color w:val="444444"/>
                <w:lang w:val="en"/>
              </w:rPr>
            </w:pPr>
            <w:r>
              <w:rPr>
                <w:noProof/>
                <w:color w:val="444444"/>
                <w:lang w:val="en"/>
              </w:rPr>
              <w:t>1 May 2004</w:t>
            </w:r>
          </w:p>
          <w:p w:rsidR="003F7D15" w:rsidRDefault="003F7D15">
            <w:pPr>
              <w:widowControl w:val="0"/>
              <w:tabs>
                <w:tab w:val="right" w:pos="9600"/>
              </w:tabs>
              <w:suppressAutoHyphens/>
              <w:jc w:val="center"/>
              <w:rPr>
                <w:noProof/>
              </w:rPr>
            </w:pPr>
          </w:p>
        </w:tc>
      </w:tr>
    </w:tbl>
    <w:p w:rsidR="003F7D15" w:rsidRDefault="00A6155D">
      <w:pPr>
        <w:jc w:val="center"/>
        <w:rPr>
          <w:rFonts w:eastAsia="Times New Roman"/>
          <w:noProof/>
        </w:rPr>
      </w:pPr>
      <w:r>
        <w:rPr>
          <w:rFonts w:eastAsia="Times New Roman"/>
          <w:noProof/>
        </w:rPr>
        <w:t>_____________</w:t>
      </w:r>
    </w:p>
    <w:p w:rsidR="003F7D15" w:rsidRDefault="003F7D15">
      <w:pPr>
        <w:rPr>
          <w:noProof/>
          <w:lang w:val="fr-FR" w:eastAsia="en-GB"/>
        </w:rPr>
        <w:sectPr w:rsidR="003F7D15" w:rsidSect="00A6155D">
          <w:pgSz w:w="11907" w:h="16839"/>
          <w:pgMar w:top="1134" w:right="1417" w:bottom="1134" w:left="1417" w:header="709" w:footer="709" w:gutter="0"/>
          <w:cols w:space="708"/>
          <w:docGrid w:linePitch="360"/>
        </w:sectPr>
      </w:pPr>
    </w:p>
    <w:p w:rsidR="003F7D15" w:rsidRDefault="00A6155D">
      <w:pPr>
        <w:pStyle w:val="Annexetitre"/>
        <w:rPr>
          <w:b w:val="0"/>
          <w:noProof/>
          <w:szCs w:val="20"/>
        </w:rPr>
      </w:pPr>
      <w:r>
        <w:rPr>
          <w:noProof/>
          <w:szCs w:val="20"/>
        </w:rPr>
        <w:t>ANNEX III</w:t>
      </w:r>
    </w:p>
    <w:p w:rsidR="003F7D15" w:rsidRDefault="00A6155D">
      <w:pPr>
        <w:keepNext/>
        <w:spacing w:before="360"/>
        <w:jc w:val="center"/>
        <w:outlineLvl w:val="0"/>
        <w:rPr>
          <w:rFonts w:eastAsia="Times New Roman"/>
          <w:b/>
          <w:smallCaps/>
          <w:noProof/>
          <w:szCs w:val="20"/>
        </w:rPr>
      </w:pPr>
      <w:r>
        <w:rPr>
          <w:rFonts w:eastAsia="Times New Roman"/>
          <w:b/>
          <w:smallCaps/>
          <w:noProof/>
          <w:szCs w:val="20"/>
        </w:rPr>
        <w:t>Correlation Table</w:t>
      </w:r>
    </w:p>
    <w:tbl>
      <w:tblPr>
        <w:tblStyle w:val="TableGrid"/>
        <w:tblW w:w="9348" w:type="dxa"/>
        <w:tblLayout w:type="fixed"/>
        <w:tblLook w:val="04A0" w:firstRow="1" w:lastRow="0" w:firstColumn="1" w:lastColumn="0" w:noHBand="0" w:noVBand="1"/>
      </w:tblPr>
      <w:tblGrid>
        <w:gridCol w:w="4674"/>
        <w:gridCol w:w="4674"/>
      </w:tblGrid>
      <w:tr w:rsidR="003F7D15">
        <w:tc>
          <w:tcPr>
            <w:tcW w:w="4674" w:type="dxa"/>
          </w:tcPr>
          <w:p w:rsidR="003F7D15" w:rsidRDefault="00A6155D">
            <w:pPr>
              <w:jc w:val="center"/>
              <w:rPr>
                <w:rFonts w:eastAsia="Times New Roman"/>
                <w:noProof/>
              </w:rPr>
            </w:pPr>
            <w:r>
              <w:rPr>
                <w:rFonts w:eastAsia="Times New Roman"/>
                <w:noProof/>
              </w:rPr>
              <w:t xml:space="preserve">Directive </w:t>
            </w:r>
            <w:r>
              <w:rPr>
                <w:noProof/>
              </w:rPr>
              <w:t>2003/96/EC</w:t>
            </w:r>
          </w:p>
        </w:tc>
        <w:tc>
          <w:tcPr>
            <w:tcW w:w="4674" w:type="dxa"/>
          </w:tcPr>
          <w:p w:rsidR="003F7D15" w:rsidRDefault="00A6155D">
            <w:pPr>
              <w:jc w:val="center"/>
              <w:rPr>
                <w:rFonts w:eastAsia="Times New Roman"/>
                <w:noProof/>
              </w:rPr>
            </w:pPr>
            <w:r>
              <w:rPr>
                <w:rFonts w:eastAsia="Times New Roman"/>
                <w:noProof/>
              </w:rPr>
              <w:t>This Directive</w:t>
            </w:r>
          </w:p>
        </w:tc>
      </w:tr>
      <w:tr w:rsidR="003F7D15">
        <w:tc>
          <w:tcPr>
            <w:tcW w:w="4674" w:type="dxa"/>
          </w:tcPr>
          <w:p w:rsidR="003F7D15" w:rsidRDefault="00A6155D">
            <w:pPr>
              <w:jc w:val="left"/>
              <w:rPr>
                <w:rFonts w:eastAsia="Times New Roman"/>
                <w:noProof/>
              </w:rPr>
            </w:pPr>
            <w:r>
              <w:rPr>
                <w:rFonts w:eastAsia="Times New Roman"/>
                <w:noProof/>
              </w:rPr>
              <w:t>Article 1</w:t>
            </w:r>
          </w:p>
        </w:tc>
        <w:tc>
          <w:tcPr>
            <w:tcW w:w="4674" w:type="dxa"/>
          </w:tcPr>
          <w:p w:rsidR="003F7D15" w:rsidRDefault="00A6155D">
            <w:pPr>
              <w:jc w:val="left"/>
              <w:rPr>
                <w:rFonts w:eastAsia="Times New Roman"/>
                <w:noProof/>
              </w:rPr>
            </w:pPr>
            <w:r>
              <w:rPr>
                <w:rFonts w:eastAsia="Times New Roman"/>
                <w:noProof/>
              </w:rPr>
              <w:t>Article 1(1)</w:t>
            </w:r>
          </w:p>
        </w:tc>
      </w:tr>
      <w:tr w:rsidR="003F7D15">
        <w:tc>
          <w:tcPr>
            <w:tcW w:w="4674" w:type="dxa"/>
          </w:tcPr>
          <w:p w:rsidR="003F7D15" w:rsidRDefault="00A6155D">
            <w:pPr>
              <w:jc w:val="left"/>
              <w:rPr>
                <w:rFonts w:eastAsia="Times New Roman"/>
                <w:noProof/>
              </w:rPr>
            </w:pPr>
            <w:r>
              <w:rPr>
                <w:rFonts w:eastAsia="Times New Roman"/>
                <w:noProof/>
              </w:rPr>
              <w:t>-</w:t>
            </w:r>
          </w:p>
        </w:tc>
        <w:tc>
          <w:tcPr>
            <w:tcW w:w="4674" w:type="dxa"/>
          </w:tcPr>
          <w:p w:rsidR="003F7D15" w:rsidRDefault="00A6155D">
            <w:pPr>
              <w:jc w:val="left"/>
              <w:rPr>
                <w:rFonts w:eastAsia="Times New Roman"/>
                <w:noProof/>
              </w:rPr>
            </w:pPr>
            <w:r>
              <w:rPr>
                <w:rFonts w:eastAsia="Times New Roman"/>
                <w:noProof/>
              </w:rPr>
              <w:t>Article 1(2)</w:t>
            </w:r>
          </w:p>
        </w:tc>
      </w:tr>
      <w:tr w:rsidR="003F7D15">
        <w:tc>
          <w:tcPr>
            <w:tcW w:w="4674" w:type="dxa"/>
          </w:tcPr>
          <w:p w:rsidR="003F7D15" w:rsidRDefault="00A6155D">
            <w:pPr>
              <w:jc w:val="left"/>
              <w:rPr>
                <w:rFonts w:eastAsia="Times New Roman"/>
                <w:noProof/>
              </w:rPr>
            </w:pPr>
            <w:r>
              <w:rPr>
                <w:rFonts w:eastAsia="Times New Roman"/>
                <w:noProof/>
              </w:rPr>
              <w:t xml:space="preserve">Article 2(1), point (a) </w:t>
            </w:r>
          </w:p>
        </w:tc>
        <w:tc>
          <w:tcPr>
            <w:tcW w:w="4674" w:type="dxa"/>
          </w:tcPr>
          <w:p w:rsidR="003F7D15" w:rsidRDefault="00A6155D">
            <w:pPr>
              <w:jc w:val="left"/>
              <w:rPr>
                <w:rFonts w:eastAsia="Times New Roman"/>
                <w:noProof/>
              </w:rPr>
            </w:pPr>
            <w:r>
              <w:rPr>
                <w:rFonts w:eastAsia="Times New Roman"/>
                <w:noProof/>
              </w:rPr>
              <w:t>Article 2(1), point (a)</w:t>
            </w:r>
          </w:p>
        </w:tc>
      </w:tr>
      <w:tr w:rsidR="003F7D15">
        <w:tc>
          <w:tcPr>
            <w:tcW w:w="4674" w:type="dxa"/>
          </w:tcPr>
          <w:p w:rsidR="003F7D15" w:rsidRDefault="00A6155D">
            <w:pPr>
              <w:jc w:val="left"/>
              <w:rPr>
                <w:rFonts w:eastAsia="Times New Roman"/>
                <w:noProof/>
              </w:rPr>
            </w:pPr>
            <w:r>
              <w:rPr>
                <w:rFonts w:eastAsia="Times New Roman"/>
                <w:noProof/>
              </w:rPr>
              <w:t xml:space="preserve">Article 2(1), points (b) to (h) </w:t>
            </w:r>
          </w:p>
        </w:tc>
        <w:tc>
          <w:tcPr>
            <w:tcW w:w="4674" w:type="dxa"/>
          </w:tcPr>
          <w:p w:rsidR="003F7D15" w:rsidRDefault="00A6155D">
            <w:pPr>
              <w:jc w:val="left"/>
              <w:rPr>
                <w:rFonts w:eastAsia="Times New Roman"/>
                <w:noProof/>
              </w:rPr>
            </w:pPr>
            <w:r>
              <w:rPr>
                <w:rFonts w:eastAsia="Times New Roman"/>
                <w:noProof/>
              </w:rPr>
              <w:t>-</w:t>
            </w:r>
          </w:p>
        </w:tc>
      </w:tr>
      <w:tr w:rsidR="003F7D15">
        <w:tc>
          <w:tcPr>
            <w:tcW w:w="4674" w:type="dxa"/>
          </w:tcPr>
          <w:p w:rsidR="003F7D15" w:rsidRDefault="00A6155D">
            <w:pPr>
              <w:tabs>
                <w:tab w:val="left" w:pos="1412"/>
              </w:tabs>
              <w:jc w:val="left"/>
              <w:rPr>
                <w:rFonts w:eastAsia="Times New Roman"/>
                <w:noProof/>
              </w:rPr>
            </w:pPr>
            <w:r>
              <w:rPr>
                <w:rFonts w:eastAsia="Times New Roman"/>
                <w:noProof/>
              </w:rPr>
              <w:t xml:space="preserve">- </w:t>
            </w:r>
            <w:r>
              <w:rPr>
                <w:rFonts w:eastAsia="Times New Roman"/>
                <w:noProof/>
              </w:rPr>
              <w:tab/>
            </w:r>
          </w:p>
        </w:tc>
        <w:tc>
          <w:tcPr>
            <w:tcW w:w="4674" w:type="dxa"/>
          </w:tcPr>
          <w:p w:rsidR="003F7D15" w:rsidRDefault="00A6155D">
            <w:pPr>
              <w:jc w:val="left"/>
              <w:rPr>
                <w:rFonts w:eastAsia="Times New Roman"/>
                <w:noProof/>
              </w:rPr>
            </w:pPr>
            <w:r>
              <w:rPr>
                <w:rFonts w:eastAsia="Times New Roman"/>
                <w:noProof/>
              </w:rPr>
              <w:t xml:space="preserve">Article 2(1), points (b) </w:t>
            </w:r>
            <w:r>
              <w:rPr>
                <w:rFonts w:eastAsia="Times New Roman"/>
                <w:noProof/>
              </w:rPr>
              <w:t>to (o)</w:t>
            </w:r>
          </w:p>
        </w:tc>
      </w:tr>
      <w:tr w:rsidR="003F7D15">
        <w:tc>
          <w:tcPr>
            <w:tcW w:w="4674" w:type="dxa"/>
          </w:tcPr>
          <w:p w:rsidR="003F7D15" w:rsidRDefault="00A6155D">
            <w:pPr>
              <w:jc w:val="left"/>
              <w:rPr>
                <w:rFonts w:eastAsia="Times New Roman"/>
                <w:noProof/>
              </w:rPr>
            </w:pPr>
            <w:r>
              <w:rPr>
                <w:rFonts w:eastAsia="Times New Roman"/>
                <w:noProof/>
              </w:rPr>
              <w:t>Article 2(2)</w:t>
            </w:r>
          </w:p>
        </w:tc>
        <w:tc>
          <w:tcPr>
            <w:tcW w:w="4674" w:type="dxa"/>
          </w:tcPr>
          <w:p w:rsidR="003F7D15" w:rsidRDefault="00A6155D">
            <w:pPr>
              <w:jc w:val="left"/>
              <w:rPr>
                <w:rFonts w:eastAsia="Times New Roman"/>
                <w:noProof/>
              </w:rPr>
            </w:pPr>
            <w:r>
              <w:rPr>
                <w:rFonts w:eastAsia="Times New Roman"/>
                <w:noProof/>
              </w:rPr>
              <w:t>Article 2(2)</w:t>
            </w:r>
          </w:p>
        </w:tc>
      </w:tr>
      <w:tr w:rsidR="003F7D15">
        <w:tc>
          <w:tcPr>
            <w:tcW w:w="4674" w:type="dxa"/>
          </w:tcPr>
          <w:p w:rsidR="003F7D15" w:rsidRDefault="00A6155D">
            <w:pPr>
              <w:jc w:val="left"/>
              <w:rPr>
                <w:rFonts w:eastAsia="Times New Roman"/>
                <w:noProof/>
              </w:rPr>
            </w:pPr>
            <w:r>
              <w:rPr>
                <w:rFonts w:eastAsia="Times New Roman"/>
                <w:noProof/>
              </w:rPr>
              <w:t>Article 2(3), first subparagraph</w:t>
            </w:r>
          </w:p>
        </w:tc>
        <w:tc>
          <w:tcPr>
            <w:tcW w:w="4674" w:type="dxa"/>
          </w:tcPr>
          <w:p w:rsidR="003F7D15" w:rsidRDefault="00A6155D">
            <w:pPr>
              <w:jc w:val="left"/>
              <w:rPr>
                <w:rFonts w:eastAsia="Times New Roman"/>
                <w:noProof/>
              </w:rPr>
            </w:pPr>
            <w:r>
              <w:rPr>
                <w:rFonts w:eastAsia="Times New Roman"/>
                <w:noProof/>
              </w:rPr>
              <w:t>Article 2(3), first subparagraph</w:t>
            </w:r>
          </w:p>
        </w:tc>
      </w:tr>
      <w:tr w:rsidR="003F7D15">
        <w:tc>
          <w:tcPr>
            <w:tcW w:w="4674" w:type="dxa"/>
          </w:tcPr>
          <w:p w:rsidR="003F7D15" w:rsidRDefault="00A6155D">
            <w:pPr>
              <w:jc w:val="left"/>
              <w:rPr>
                <w:rFonts w:eastAsia="Times New Roman"/>
                <w:noProof/>
              </w:rPr>
            </w:pPr>
            <w:r>
              <w:rPr>
                <w:rFonts w:eastAsia="Times New Roman"/>
                <w:noProof/>
              </w:rPr>
              <w:t>Article 2(3), second and third subparagraphs</w:t>
            </w:r>
          </w:p>
        </w:tc>
        <w:tc>
          <w:tcPr>
            <w:tcW w:w="4674" w:type="dxa"/>
          </w:tcPr>
          <w:p w:rsidR="003F7D15" w:rsidRDefault="00A6155D">
            <w:pPr>
              <w:jc w:val="left"/>
              <w:rPr>
                <w:rFonts w:eastAsia="Times New Roman"/>
                <w:noProof/>
              </w:rPr>
            </w:pPr>
            <w:r>
              <w:rPr>
                <w:rFonts w:eastAsia="Times New Roman"/>
                <w:noProof/>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en-IE"/>
              </w:rPr>
            </w:pPr>
            <w:r>
              <w:rPr>
                <w:rFonts w:eastAsia="Times New Roman"/>
                <w:noProof/>
              </w:rPr>
              <w:t xml:space="preserve">Article 2(3), </w:t>
            </w:r>
            <w:r>
              <w:rPr>
                <w:rFonts w:eastAsia="Times New Roman"/>
                <w:noProof/>
                <w:lang w:val="en-IE"/>
              </w:rPr>
              <w:t>second, third and fourth subparagraphs</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2(4) and (5)</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2(4) to (8)</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3</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3</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4</w:t>
            </w:r>
          </w:p>
        </w:tc>
        <w:tc>
          <w:tcPr>
            <w:tcW w:w="4674" w:type="dxa"/>
          </w:tcPr>
          <w:p w:rsidR="003F7D15" w:rsidRDefault="00A6155D">
            <w:pPr>
              <w:jc w:val="left"/>
              <w:rPr>
                <w:rFonts w:eastAsia="Times New Roman"/>
                <w:noProof/>
                <w:lang w:val="fr-BE"/>
              </w:rPr>
            </w:pPr>
            <w:r>
              <w:rPr>
                <w:rFonts w:eastAsia="Times New Roman"/>
                <w:noProof/>
                <w:lang w:val="fr-BE"/>
              </w:rPr>
              <w:t>Article 4</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5</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5</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6</w:t>
            </w:r>
          </w:p>
        </w:tc>
        <w:tc>
          <w:tcPr>
            <w:tcW w:w="4674" w:type="dxa"/>
          </w:tcPr>
          <w:p w:rsidR="003F7D15" w:rsidRDefault="00A6155D">
            <w:pPr>
              <w:jc w:val="left"/>
              <w:rPr>
                <w:rFonts w:eastAsia="Times New Roman"/>
                <w:noProof/>
                <w:lang w:val="fr-BE"/>
              </w:rPr>
            </w:pPr>
            <w:r>
              <w:rPr>
                <w:rFonts w:eastAsia="Times New Roman"/>
                <w:noProof/>
                <w:lang w:val="fr-BE"/>
              </w:rPr>
              <w:t>Article 6</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7</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rPr>
            </w:pPr>
            <w:r>
              <w:rPr>
                <w:rFonts w:eastAsia="Times New Roman"/>
                <w:noProof/>
                <w:lang w:val="fr-BE"/>
              </w:rPr>
              <w:t>Article 7</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8(1)</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8(1)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8(2)</w:t>
            </w:r>
          </w:p>
        </w:tc>
        <w:tc>
          <w:tcPr>
            <w:tcW w:w="4674" w:type="dxa"/>
          </w:tcPr>
          <w:p w:rsidR="003F7D15" w:rsidRDefault="00A6155D">
            <w:pPr>
              <w:jc w:val="left"/>
              <w:rPr>
                <w:rFonts w:eastAsia="Times New Roman"/>
                <w:noProof/>
                <w:lang w:val="fr-BE"/>
              </w:rPr>
            </w:pPr>
            <w:r>
              <w:rPr>
                <w:rFonts w:eastAsia="Times New Roman"/>
                <w:noProof/>
                <w:lang w:val="fr-BE"/>
              </w:rPr>
              <w:t>Article 8(2)</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9(1)</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9(1)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9(2)</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10(1)</w:t>
            </w:r>
          </w:p>
        </w:tc>
        <w:tc>
          <w:tcPr>
            <w:tcW w:w="4674" w:type="dxa"/>
          </w:tcPr>
          <w:p w:rsidR="003F7D15" w:rsidRDefault="00A6155D">
            <w:pPr>
              <w:jc w:val="left"/>
              <w:rPr>
                <w:rFonts w:eastAsia="Times New Roman"/>
                <w:noProof/>
                <w:lang w:val="fr-BE"/>
              </w:rPr>
            </w:pPr>
            <w:r>
              <w:rPr>
                <w:rFonts w:eastAsia="Times New Roman"/>
                <w:noProof/>
                <w:lang w:val="fr-BE"/>
              </w:rPr>
              <w:t>Article 10</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10(2)</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11</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12</w:t>
            </w:r>
          </w:p>
        </w:tc>
        <w:tc>
          <w:tcPr>
            <w:tcW w:w="4674" w:type="dxa"/>
          </w:tcPr>
          <w:p w:rsidR="003F7D15" w:rsidRDefault="00A6155D">
            <w:pPr>
              <w:jc w:val="left"/>
              <w:rPr>
                <w:rFonts w:eastAsia="Times New Roman"/>
                <w:noProof/>
                <w:lang w:val="fr-BE"/>
              </w:rPr>
            </w:pPr>
            <w:r>
              <w:rPr>
                <w:rFonts w:eastAsia="Times New Roman"/>
                <w:noProof/>
                <w:lang w:val="fr-BE"/>
              </w:rPr>
              <w:t>Article 11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13</w:t>
            </w:r>
          </w:p>
        </w:tc>
        <w:tc>
          <w:tcPr>
            <w:tcW w:w="4674" w:type="dxa"/>
          </w:tcPr>
          <w:p w:rsidR="003F7D15" w:rsidRDefault="00A6155D">
            <w:pPr>
              <w:jc w:val="left"/>
              <w:rPr>
                <w:rFonts w:eastAsia="Times New Roman"/>
                <w:noProof/>
                <w:lang w:val="fr-BE"/>
              </w:rPr>
            </w:pPr>
            <w:r>
              <w:rPr>
                <w:rFonts w:eastAsia="Times New Roman"/>
                <w:noProof/>
                <w:lang w:val="fr-BE"/>
              </w:rPr>
              <w:t>Article 12</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13</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14</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Articles 14 and 15</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15(1), point (a)</w:t>
            </w:r>
          </w:p>
        </w:tc>
        <w:tc>
          <w:tcPr>
            <w:tcW w:w="4674" w:type="dxa"/>
          </w:tcPr>
          <w:p w:rsidR="003F7D15" w:rsidRDefault="00A6155D">
            <w:pPr>
              <w:jc w:val="left"/>
              <w:rPr>
                <w:rFonts w:eastAsia="Times New Roman"/>
                <w:noProof/>
                <w:lang w:val="fr-BE"/>
              </w:rPr>
            </w:pPr>
            <w:r>
              <w:rPr>
                <w:rFonts w:eastAsia="Times New Roman"/>
                <w:noProof/>
                <w:lang w:val="fr-BE"/>
              </w:rPr>
              <w:t>Article 16, point (a)</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15(1), point (b)</w:t>
            </w:r>
          </w:p>
        </w:tc>
        <w:tc>
          <w:tcPr>
            <w:tcW w:w="4674" w:type="dxa"/>
          </w:tcPr>
          <w:p w:rsidR="003F7D15" w:rsidRDefault="00A6155D">
            <w:pPr>
              <w:jc w:val="left"/>
              <w:rPr>
                <w:rFonts w:eastAsia="Times New Roman"/>
                <w:noProof/>
                <w:lang w:val="fr-BE"/>
              </w:rPr>
            </w:pPr>
            <w:r>
              <w:rPr>
                <w:rFonts w:eastAsia="Times New Roman"/>
                <w:noProof/>
                <w:lang w:val="fr-BE"/>
              </w:rPr>
              <w:t>Article 16, point (b)</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 xml:space="preserve">Article 16, point (b), last </w:t>
            </w:r>
            <w:r>
              <w:rPr>
                <w:rFonts w:eastAsia="Times New Roman"/>
                <w:noProof/>
                <w:lang w:val="fr-BE"/>
              </w:rPr>
              <w:t>sentence</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15(1), point (c)</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15(1), point (d)</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16, point (c), (d) and (e)</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15(1), points (e) to (l)</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15(2) and (3)</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16</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17</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17</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18</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18</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Articles 18a and 18b</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19</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19</w:t>
            </w:r>
          </w:p>
        </w:tc>
        <w:tc>
          <w:tcPr>
            <w:tcW w:w="4674" w:type="dxa"/>
          </w:tcPr>
          <w:p w:rsidR="003F7D15" w:rsidRDefault="00A6155D">
            <w:pPr>
              <w:jc w:val="left"/>
              <w:rPr>
                <w:rFonts w:eastAsia="Times New Roman"/>
                <w:noProof/>
                <w:lang w:val="fr-BE"/>
              </w:rPr>
            </w:pPr>
            <w:r>
              <w:rPr>
                <w:rFonts w:eastAsia="Times New Roman"/>
                <w:noProof/>
                <w:lang w:val="fr-BE"/>
              </w:rPr>
              <w:t>Article 20</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20(1), point (a)</w:t>
            </w:r>
          </w:p>
        </w:tc>
        <w:tc>
          <w:tcPr>
            <w:tcW w:w="4674" w:type="dxa"/>
          </w:tcPr>
          <w:p w:rsidR="003F7D15" w:rsidRDefault="00A6155D">
            <w:pPr>
              <w:jc w:val="left"/>
              <w:rPr>
                <w:rFonts w:eastAsia="Times New Roman"/>
                <w:noProof/>
                <w:lang w:val="fr-BE"/>
              </w:rPr>
            </w:pPr>
            <w:r>
              <w:rPr>
                <w:rFonts w:eastAsia="Times New Roman"/>
                <w:noProof/>
                <w:lang w:val="fr-BE"/>
              </w:rPr>
              <w:t>Article 21(1), point (a)</w:t>
            </w:r>
          </w:p>
        </w:tc>
      </w:tr>
      <w:tr w:rsidR="003F7D15">
        <w:tc>
          <w:tcPr>
            <w:tcW w:w="4674" w:type="dxa"/>
          </w:tcPr>
          <w:p w:rsidR="003F7D15" w:rsidRDefault="00A6155D">
            <w:pPr>
              <w:jc w:val="left"/>
              <w:rPr>
                <w:rFonts w:eastAsia="Times New Roman"/>
                <w:noProof/>
              </w:rPr>
            </w:pPr>
            <w:r>
              <w:rPr>
                <w:rFonts w:eastAsia="Times New Roman"/>
                <w:noProof/>
              </w:rPr>
              <w:t>-</w:t>
            </w:r>
          </w:p>
        </w:tc>
        <w:tc>
          <w:tcPr>
            <w:tcW w:w="4674" w:type="dxa"/>
          </w:tcPr>
          <w:p w:rsidR="003F7D15" w:rsidRDefault="00A6155D">
            <w:pPr>
              <w:jc w:val="left"/>
              <w:rPr>
                <w:rFonts w:eastAsia="Times New Roman"/>
                <w:noProof/>
                <w:lang w:val="fr-BE"/>
              </w:rPr>
            </w:pPr>
            <w:r>
              <w:rPr>
                <w:rFonts w:eastAsia="Times New Roman"/>
                <w:noProof/>
                <w:lang w:val="fr-BE"/>
              </w:rPr>
              <w:t>Article 21(1), point (b)</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20(1), point (b)</w:t>
            </w:r>
          </w:p>
        </w:tc>
        <w:tc>
          <w:tcPr>
            <w:tcW w:w="4674" w:type="dxa"/>
          </w:tcPr>
          <w:p w:rsidR="003F7D15" w:rsidRDefault="00A6155D">
            <w:pPr>
              <w:jc w:val="left"/>
              <w:rPr>
                <w:rFonts w:eastAsia="Times New Roman"/>
                <w:noProof/>
                <w:lang w:val="fr-BE"/>
              </w:rPr>
            </w:pPr>
            <w:r>
              <w:rPr>
                <w:rFonts w:eastAsia="Times New Roman"/>
                <w:noProof/>
                <w:lang w:val="fr-BE"/>
              </w:rPr>
              <w:t>Article 21(1), point (c)</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20(1), point (c)</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21(1), point (d)</w:t>
            </w:r>
          </w:p>
        </w:tc>
      </w:tr>
      <w:tr w:rsidR="003F7D15">
        <w:tc>
          <w:tcPr>
            <w:tcW w:w="4674" w:type="dxa"/>
          </w:tcPr>
          <w:p w:rsidR="003F7D15" w:rsidRDefault="00A6155D">
            <w:pPr>
              <w:jc w:val="left"/>
              <w:rPr>
                <w:rFonts w:eastAsia="Times New Roman"/>
                <w:noProof/>
                <w:lang w:val="fr-BE"/>
              </w:rPr>
            </w:pPr>
            <w:r>
              <w:rPr>
                <w:rFonts w:eastAsia="Times New Roman"/>
                <w:noProof/>
                <w:lang w:val="fr-BE"/>
              </w:rPr>
              <w:t xml:space="preserve">Article 20(1), points (d) to </w:t>
            </w:r>
            <w:r>
              <w:rPr>
                <w:rFonts w:eastAsia="Times New Roman"/>
                <w:noProof/>
                <w:lang w:val="fr-BE"/>
              </w:rPr>
              <w:t>(g)</w:t>
            </w:r>
          </w:p>
        </w:tc>
        <w:tc>
          <w:tcPr>
            <w:tcW w:w="4674" w:type="dxa"/>
          </w:tcPr>
          <w:p w:rsidR="003F7D15" w:rsidRDefault="00A6155D">
            <w:pPr>
              <w:jc w:val="left"/>
              <w:rPr>
                <w:rFonts w:eastAsia="Times New Roman"/>
                <w:noProof/>
                <w:lang w:val="fr-BE"/>
              </w:rPr>
            </w:pPr>
            <w:r>
              <w:rPr>
                <w:rFonts w:eastAsia="Times New Roman"/>
                <w:noProof/>
                <w:lang w:val="fr-BE"/>
              </w:rPr>
              <w:t>Article 21(1), points (e) to (h)</w:t>
            </w:r>
          </w:p>
        </w:tc>
      </w:tr>
      <w:tr w:rsidR="003F7D15">
        <w:tc>
          <w:tcPr>
            <w:tcW w:w="4674" w:type="dxa"/>
          </w:tcPr>
          <w:p w:rsidR="003F7D15" w:rsidRDefault="00A6155D">
            <w:pPr>
              <w:jc w:val="left"/>
              <w:rPr>
                <w:rFonts w:eastAsia="Times New Roman"/>
                <w:noProof/>
              </w:rPr>
            </w:pPr>
            <w:r>
              <w:rPr>
                <w:rFonts w:eastAsia="Times New Roman"/>
                <w:noProof/>
              </w:rPr>
              <w:t>-</w:t>
            </w:r>
          </w:p>
        </w:tc>
        <w:tc>
          <w:tcPr>
            <w:tcW w:w="4674" w:type="dxa"/>
          </w:tcPr>
          <w:p w:rsidR="003F7D15" w:rsidRDefault="00A6155D">
            <w:pPr>
              <w:jc w:val="left"/>
              <w:rPr>
                <w:rFonts w:eastAsia="Times New Roman"/>
                <w:noProof/>
              </w:rPr>
            </w:pPr>
            <w:r>
              <w:rPr>
                <w:rFonts w:eastAsia="Times New Roman"/>
                <w:noProof/>
              </w:rPr>
              <w:t>Article 21(1), points (i) to (m)</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20(1), point (h)</w:t>
            </w:r>
          </w:p>
        </w:tc>
        <w:tc>
          <w:tcPr>
            <w:tcW w:w="4674" w:type="dxa"/>
          </w:tcPr>
          <w:p w:rsidR="003F7D15" w:rsidRDefault="00A6155D">
            <w:pPr>
              <w:jc w:val="left"/>
              <w:rPr>
                <w:rFonts w:eastAsia="Times New Roman"/>
                <w:noProof/>
                <w:lang w:val="fr-BE"/>
              </w:rPr>
            </w:pPr>
            <w:r>
              <w:rPr>
                <w:rFonts w:eastAsia="Times New Roman"/>
                <w:noProof/>
                <w:lang w:val="fr-BE"/>
              </w:rPr>
              <w:t>Article 21(1), point (n)</w:t>
            </w:r>
          </w:p>
        </w:tc>
      </w:tr>
      <w:tr w:rsidR="003F7D15">
        <w:tc>
          <w:tcPr>
            <w:tcW w:w="4674" w:type="dxa"/>
          </w:tcPr>
          <w:p w:rsidR="003F7D15" w:rsidRDefault="00A6155D">
            <w:pPr>
              <w:jc w:val="left"/>
              <w:rPr>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21(1), second subparagraph</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20(2)</w:t>
            </w:r>
          </w:p>
        </w:tc>
        <w:tc>
          <w:tcPr>
            <w:tcW w:w="4674" w:type="dxa"/>
          </w:tcPr>
          <w:p w:rsidR="003F7D15" w:rsidRDefault="00A6155D">
            <w:pPr>
              <w:jc w:val="left"/>
              <w:rPr>
                <w:rFonts w:eastAsia="Times New Roman"/>
                <w:noProof/>
                <w:lang w:val="fr-BE"/>
              </w:rPr>
            </w:pPr>
            <w:r>
              <w:rPr>
                <w:rFonts w:eastAsia="Times New Roman"/>
                <w:noProof/>
                <w:lang w:val="fr-BE"/>
              </w:rPr>
              <w:t>Article 21(2)</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20(3)</w:t>
            </w:r>
          </w:p>
        </w:tc>
        <w:tc>
          <w:tcPr>
            <w:tcW w:w="4674" w:type="dxa"/>
          </w:tcPr>
          <w:p w:rsidR="003F7D15" w:rsidRDefault="00A6155D">
            <w:pPr>
              <w:jc w:val="left"/>
              <w:rPr>
                <w:rFonts w:eastAsia="Times New Roman"/>
                <w:noProof/>
                <w:lang w:val="fr-BE"/>
              </w:rPr>
            </w:pPr>
            <w:r>
              <w:rPr>
                <w:rFonts w:eastAsia="Times New Roman"/>
                <w:noProof/>
                <w:lang w:val="fr-BE"/>
              </w:rPr>
              <w:t>Article 21(3)</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21(1)</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22(1)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21(2)</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21(3) and (4)</w:t>
            </w:r>
          </w:p>
        </w:tc>
        <w:tc>
          <w:tcPr>
            <w:tcW w:w="4674" w:type="dxa"/>
          </w:tcPr>
          <w:p w:rsidR="003F7D15" w:rsidRDefault="00A6155D">
            <w:pPr>
              <w:jc w:val="left"/>
              <w:rPr>
                <w:rFonts w:eastAsia="Times New Roman"/>
                <w:noProof/>
                <w:lang w:val="fr-BE"/>
              </w:rPr>
            </w:pPr>
            <w:r>
              <w:rPr>
                <w:rFonts w:eastAsia="Times New Roman"/>
                <w:noProof/>
                <w:lang w:val="fr-BE"/>
              </w:rPr>
              <w:t>Article 22(2) and (3)</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21(5)</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22(4)</w:t>
            </w:r>
          </w:p>
        </w:tc>
      </w:tr>
      <w:tr w:rsidR="003F7D15">
        <w:tc>
          <w:tcPr>
            <w:tcW w:w="4674" w:type="dxa"/>
          </w:tcPr>
          <w:p w:rsidR="003F7D15" w:rsidRDefault="00A6155D">
            <w:pPr>
              <w:jc w:val="left"/>
              <w:rPr>
                <w:rFonts w:eastAsia="Times New Roman"/>
                <w:noProof/>
              </w:rPr>
            </w:pPr>
            <w:r>
              <w:rPr>
                <w:rFonts w:eastAsia="Times New Roman"/>
                <w:noProof/>
                <w:lang w:val="fr-BE"/>
              </w:rPr>
              <w:t>Article 21(6)</w:t>
            </w:r>
          </w:p>
        </w:tc>
        <w:tc>
          <w:tcPr>
            <w:tcW w:w="4674" w:type="dxa"/>
          </w:tcPr>
          <w:p w:rsidR="003F7D15" w:rsidRDefault="00A6155D">
            <w:pPr>
              <w:jc w:val="left"/>
              <w:rPr>
                <w:rFonts w:eastAsia="Times New Roman"/>
                <w:noProof/>
                <w:lang w:val="fr-BE"/>
              </w:rPr>
            </w:pPr>
            <w:r>
              <w:rPr>
                <w:rFonts w:eastAsia="Times New Roman"/>
                <w:noProof/>
                <w:lang w:val="fr-BE"/>
              </w:rPr>
              <w:t>Article 22(5)</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22</w:t>
            </w:r>
          </w:p>
        </w:tc>
        <w:tc>
          <w:tcPr>
            <w:tcW w:w="4674" w:type="dxa"/>
          </w:tcPr>
          <w:p w:rsidR="003F7D15" w:rsidRDefault="00A6155D">
            <w:pPr>
              <w:jc w:val="left"/>
              <w:rPr>
                <w:rFonts w:eastAsia="Times New Roman"/>
                <w:noProof/>
                <w:lang w:val="fr-BE"/>
              </w:rPr>
            </w:pPr>
            <w:r>
              <w:rPr>
                <w:rFonts w:eastAsia="Times New Roman"/>
                <w:noProof/>
                <w:lang w:val="fr-BE"/>
              </w:rPr>
              <w:t>Article 23</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23</w:t>
            </w:r>
          </w:p>
        </w:tc>
        <w:tc>
          <w:tcPr>
            <w:tcW w:w="4674" w:type="dxa"/>
          </w:tcPr>
          <w:p w:rsidR="003F7D15" w:rsidRDefault="00A6155D">
            <w:pPr>
              <w:jc w:val="left"/>
              <w:rPr>
                <w:rFonts w:eastAsia="Times New Roman"/>
                <w:noProof/>
                <w:lang w:val="fr-BE"/>
              </w:rPr>
            </w:pPr>
            <w:r>
              <w:rPr>
                <w:rFonts w:eastAsia="Times New Roman"/>
                <w:noProof/>
                <w:lang w:val="fr-BE"/>
              </w:rPr>
              <w:t>Article 24</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24(1)</w:t>
            </w:r>
          </w:p>
        </w:tc>
        <w:tc>
          <w:tcPr>
            <w:tcW w:w="4674" w:type="dxa"/>
          </w:tcPr>
          <w:p w:rsidR="003F7D15" w:rsidRDefault="00A6155D">
            <w:pPr>
              <w:jc w:val="left"/>
              <w:rPr>
                <w:rFonts w:eastAsia="Times New Roman"/>
                <w:noProof/>
                <w:lang w:val="fr-BE"/>
              </w:rPr>
            </w:pPr>
            <w:r>
              <w:rPr>
                <w:rFonts w:eastAsia="Times New Roman"/>
                <w:noProof/>
                <w:lang w:val="fr-BE"/>
              </w:rPr>
              <w:t>Article 25(1)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24(2)</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25(2)</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25(1)</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26(1)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25(2)</w:t>
            </w:r>
          </w:p>
        </w:tc>
        <w:tc>
          <w:tcPr>
            <w:tcW w:w="4674" w:type="dxa"/>
          </w:tcPr>
          <w:p w:rsidR="003F7D15" w:rsidRDefault="00A6155D">
            <w:pPr>
              <w:jc w:val="left"/>
              <w:rPr>
                <w:rFonts w:eastAsia="Times New Roman"/>
                <w:noProof/>
                <w:lang w:val="fr-BE"/>
              </w:rPr>
            </w:pPr>
            <w:r>
              <w:rPr>
                <w:rFonts w:eastAsia="Times New Roman"/>
                <w:noProof/>
                <w:lang w:val="fr-BE"/>
              </w:rPr>
              <w:t>Article 26(2)</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26(1) and (2)</w:t>
            </w:r>
          </w:p>
        </w:tc>
        <w:tc>
          <w:tcPr>
            <w:tcW w:w="4674" w:type="dxa"/>
          </w:tcPr>
          <w:p w:rsidR="003F7D15" w:rsidRDefault="00A6155D">
            <w:pPr>
              <w:jc w:val="left"/>
              <w:rPr>
                <w:rFonts w:eastAsia="Times New Roman"/>
                <w:noProof/>
                <w:lang w:val="fr-BE"/>
              </w:rPr>
            </w:pPr>
            <w:r>
              <w:rPr>
                <w:rFonts w:eastAsia="Times New Roman"/>
                <w:noProof/>
                <w:lang w:val="fr-BE"/>
              </w:rPr>
              <w:t>Article 27(1) and (2)</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26(3)</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27</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28</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29</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28</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30</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29</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31</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30</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Article 32</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31</w:t>
            </w:r>
          </w:p>
        </w:tc>
        <w:tc>
          <w:tcPr>
            <w:tcW w:w="4674" w:type="dxa"/>
          </w:tcPr>
          <w:p w:rsidR="003F7D15" w:rsidRDefault="00A6155D">
            <w:pPr>
              <w:jc w:val="left"/>
              <w:rPr>
                <w:rFonts w:eastAsia="Times New Roman"/>
                <w:noProof/>
                <w:lang w:val="fr-BE"/>
              </w:rPr>
            </w:pPr>
            <w:r>
              <w:rPr>
                <w:rFonts w:eastAsia="Times New Roman"/>
                <w:noProof/>
                <w:lang w:val="fr-BE"/>
              </w:rPr>
              <w:t>-</w:t>
            </w:r>
          </w:p>
        </w:tc>
      </w:tr>
      <w:tr w:rsidR="003F7D15">
        <w:tc>
          <w:tcPr>
            <w:tcW w:w="4674" w:type="dxa"/>
          </w:tcPr>
          <w:p w:rsidR="003F7D15" w:rsidRDefault="00A6155D">
            <w:pPr>
              <w:jc w:val="left"/>
              <w:rPr>
                <w:rFonts w:eastAsia="Times New Roman"/>
                <w:noProof/>
                <w:lang w:val="fr-BE"/>
              </w:rPr>
            </w:pPr>
            <w:r>
              <w:rPr>
                <w:rFonts w:eastAsia="Times New Roman"/>
                <w:noProof/>
                <w:lang w:val="fr-BE"/>
              </w:rPr>
              <w:t>-</w:t>
            </w:r>
          </w:p>
        </w:tc>
        <w:tc>
          <w:tcPr>
            <w:tcW w:w="4674" w:type="dxa"/>
          </w:tcPr>
          <w:p w:rsidR="003F7D15" w:rsidRDefault="00A6155D">
            <w:pPr>
              <w:jc w:val="left"/>
              <w:rPr>
                <w:rFonts w:eastAsia="Times New Roman"/>
                <w:noProof/>
                <w:lang w:val="fr-BE"/>
              </w:rPr>
            </w:pPr>
            <w:r>
              <w:rPr>
                <w:rFonts w:eastAsia="Times New Roman"/>
                <w:noProof/>
                <w:lang w:val="fr-BE"/>
              </w:rPr>
              <w:t xml:space="preserve">Article </w:t>
            </w:r>
            <w:r>
              <w:rPr>
                <w:rFonts w:eastAsia="Times New Roman"/>
                <w:noProof/>
                <w:lang w:val="fr-BE"/>
              </w:rPr>
              <w:t>33</w:t>
            </w:r>
          </w:p>
        </w:tc>
      </w:tr>
      <w:tr w:rsidR="003F7D15">
        <w:tc>
          <w:tcPr>
            <w:tcW w:w="4674" w:type="dxa"/>
          </w:tcPr>
          <w:p w:rsidR="003F7D15" w:rsidRDefault="00A6155D">
            <w:pPr>
              <w:jc w:val="left"/>
              <w:rPr>
                <w:rFonts w:eastAsia="Times New Roman"/>
                <w:noProof/>
                <w:lang w:val="fr-BE"/>
              </w:rPr>
            </w:pPr>
            <w:r>
              <w:rPr>
                <w:rFonts w:eastAsia="Times New Roman"/>
                <w:noProof/>
                <w:lang w:val="fr-BE"/>
              </w:rPr>
              <w:t>Article 32</w:t>
            </w:r>
          </w:p>
        </w:tc>
        <w:tc>
          <w:tcPr>
            <w:tcW w:w="4674" w:type="dxa"/>
          </w:tcPr>
          <w:p w:rsidR="003F7D15" w:rsidRDefault="00A6155D">
            <w:pPr>
              <w:jc w:val="left"/>
              <w:rPr>
                <w:rFonts w:eastAsia="Times New Roman"/>
                <w:noProof/>
                <w:lang w:val="fr-BE"/>
              </w:rPr>
            </w:pPr>
            <w:r>
              <w:rPr>
                <w:rFonts w:eastAsia="Times New Roman"/>
                <w:noProof/>
                <w:lang w:val="fr-BE"/>
              </w:rPr>
              <w:t>Article 34</w:t>
            </w:r>
          </w:p>
        </w:tc>
      </w:tr>
      <w:tr w:rsidR="003F7D15">
        <w:tc>
          <w:tcPr>
            <w:tcW w:w="4674" w:type="dxa"/>
          </w:tcPr>
          <w:p w:rsidR="003F7D15" w:rsidRDefault="00A6155D">
            <w:pPr>
              <w:jc w:val="left"/>
              <w:rPr>
                <w:rFonts w:eastAsia="Times New Roman"/>
                <w:noProof/>
                <w:lang w:val="en-IE"/>
              </w:rPr>
            </w:pPr>
            <w:r>
              <w:rPr>
                <w:rFonts w:eastAsia="Times New Roman"/>
                <w:noProof/>
                <w:lang w:val="en-US"/>
              </w:rPr>
              <w:t>Annexes I, II and III</w:t>
            </w:r>
          </w:p>
        </w:tc>
        <w:tc>
          <w:tcPr>
            <w:tcW w:w="4674" w:type="dxa"/>
          </w:tcPr>
          <w:p w:rsidR="003F7D15" w:rsidRDefault="00A6155D">
            <w:pPr>
              <w:jc w:val="left"/>
              <w:rPr>
                <w:rFonts w:eastAsia="Times New Roman"/>
                <w:noProof/>
                <w:lang w:val="fr-BE"/>
              </w:rPr>
            </w:pPr>
            <w:r>
              <w:rPr>
                <w:rFonts w:eastAsia="Times New Roman"/>
                <w:noProof/>
                <w:lang w:val="en-IE"/>
              </w:rPr>
              <w:t>-</w:t>
            </w:r>
          </w:p>
        </w:tc>
      </w:tr>
      <w:tr w:rsidR="003F7D15">
        <w:tc>
          <w:tcPr>
            <w:tcW w:w="4674" w:type="dxa"/>
          </w:tcPr>
          <w:p w:rsidR="003F7D15" w:rsidRDefault="00A6155D">
            <w:pPr>
              <w:jc w:val="left"/>
              <w:rPr>
                <w:rFonts w:eastAsia="Times New Roman"/>
                <w:noProof/>
                <w:lang w:val="en-IE"/>
              </w:rPr>
            </w:pPr>
            <w:r>
              <w:rPr>
                <w:rFonts w:eastAsia="Times New Roman"/>
                <w:noProof/>
                <w:lang w:val="fr-BE"/>
              </w:rPr>
              <w:t>-</w:t>
            </w:r>
          </w:p>
        </w:tc>
        <w:tc>
          <w:tcPr>
            <w:tcW w:w="4674" w:type="dxa"/>
          </w:tcPr>
          <w:p w:rsidR="003F7D15" w:rsidRDefault="00A6155D">
            <w:pPr>
              <w:jc w:val="left"/>
              <w:rPr>
                <w:rFonts w:eastAsia="Times New Roman"/>
                <w:noProof/>
                <w:lang w:val="en-IE"/>
              </w:rPr>
            </w:pPr>
            <w:r>
              <w:rPr>
                <w:rFonts w:eastAsia="Times New Roman"/>
                <w:noProof/>
                <w:lang w:val="en-US"/>
              </w:rPr>
              <w:t>Annexes I, II and III</w:t>
            </w:r>
          </w:p>
        </w:tc>
      </w:tr>
    </w:tbl>
    <w:p w:rsidR="003F7D15" w:rsidRDefault="00A6155D">
      <w:pPr>
        <w:jc w:val="center"/>
        <w:rPr>
          <w:noProof/>
        </w:rPr>
      </w:pPr>
      <w:r>
        <w:rPr>
          <w:rFonts w:eastAsia="Times New Roman"/>
          <w:noProof/>
        </w:rPr>
        <w:t>_____________</w:t>
      </w:r>
    </w:p>
    <w:sectPr w:rsidR="003F7D15" w:rsidSect="00A6155D">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D15" w:rsidRDefault="00A6155D">
      <w:pPr>
        <w:spacing w:before="0" w:after="0"/>
      </w:pPr>
      <w:r>
        <w:separator/>
      </w:r>
    </w:p>
  </w:endnote>
  <w:endnote w:type="continuationSeparator" w:id="0">
    <w:p w:rsidR="003F7D15" w:rsidRDefault="00A6155D">
      <w:pPr>
        <w:spacing w:before="0" w:after="0"/>
      </w:pPr>
      <w:r>
        <w:continuationSeparator/>
      </w:r>
    </w:p>
  </w:endnote>
  <w:endnote w:type="continuationNotice" w:id="1">
    <w:p w:rsidR="003F7D15" w:rsidRDefault="003F7D1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D15" w:rsidRPr="00A6155D" w:rsidRDefault="00A6155D" w:rsidP="00A6155D">
    <w:pPr>
      <w:pStyle w:val="Footer"/>
      <w:rPr>
        <w:rFonts w:ascii="Arial" w:hAnsi="Arial" w:cs="Arial"/>
        <w:b/>
        <w:sz w:val="48"/>
      </w:rPr>
    </w:pPr>
    <w:r w:rsidRPr="00A6155D">
      <w:rPr>
        <w:rFonts w:ascii="Arial" w:hAnsi="Arial" w:cs="Arial"/>
        <w:b/>
        <w:sz w:val="48"/>
      </w:rPr>
      <w:t>EN</w:t>
    </w:r>
    <w:r w:rsidRPr="00A6155D">
      <w:rPr>
        <w:rFonts w:ascii="Arial" w:hAnsi="Arial" w:cs="Arial"/>
        <w:b/>
        <w:sz w:val="48"/>
      </w:rPr>
      <w:tab/>
    </w:r>
    <w:r w:rsidRPr="00A6155D">
      <w:rPr>
        <w:rFonts w:ascii="Arial" w:hAnsi="Arial" w:cs="Arial"/>
        <w:b/>
        <w:sz w:val="48"/>
      </w:rPr>
      <w:tab/>
    </w:r>
    <w:r w:rsidRPr="00A6155D">
      <w:tab/>
    </w:r>
    <w:r w:rsidRPr="00A6155D">
      <w:rPr>
        <w:rFonts w:ascii="Arial" w:hAnsi="Arial" w:cs="Arial"/>
        <w:b/>
        <w:sz w:val="48"/>
      </w:rPr>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Footer"/>
      <w:rPr>
        <w:rFonts w:ascii="Arial" w:hAnsi="Arial" w:cs="Arial"/>
        <w:b/>
        <w:sz w:val="48"/>
      </w:rPr>
    </w:pPr>
    <w:r w:rsidRPr="00A6155D">
      <w:rPr>
        <w:rFonts w:ascii="Arial" w:hAnsi="Arial" w:cs="Arial"/>
        <w:b/>
        <w:sz w:val="48"/>
      </w:rPr>
      <w:t>EN</w:t>
    </w:r>
    <w:r w:rsidRPr="00A6155D">
      <w:rPr>
        <w:rFonts w:ascii="Arial" w:hAnsi="Arial" w:cs="Arial"/>
        <w:b/>
        <w:sz w:val="48"/>
      </w:rPr>
      <w:tab/>
    </w:r>
    <w:r>
      <w:fldChar w:fldCharType="begin"/>
    </w:r>
    <w:r>
      <w:instrText xml:space="preserve"> PAGE  \* MERGEFORMAT </w:instrText>
    </w:r>
    <w:r>
      <w:fldChar w:fldCharType="separate"/>
    </w:r>
    <w:r>
      <w:rPr>
        <w:noProof/>
      </w:rPr>
      <w:t>20</w:t>
    </w:r>
    <w:r>
      <w:fldChar w:fldCharType="end"/>
    </w:r>
    <w:r>
      <w:tab/>
    </w:r>
    <w:r w:rsidRPr="00A6155D">
      <w:tab/>
    </w:r>
    <w:r w:rsidRPr="00A6155D">
      <w:rPr>
        <w:rFonts w:ascii="Arial" w:hAnsi="Arial" w:cs="Arial"/>
        <w:b/>
        <w:sz w:val="48"/>
      </w:rPr>
      <w:t>EN</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D15" w:rsidRDefault="00A6155D">
      <w:pPr>
        <w:spacing w:before="0" w:after="0"/>
      </w:pPr>
      <w:r>
        <w:separator/>
      </w:r>
    </w:p>
  </w:footnote>
  <w:footnote w:type="continuationSeparator" w:id="0">
    <w:p w:rsidR="003F7D15" w:rsidRDefault="00A6155D">
      <w:pPr>
        <w:spacing w:before="0" w:after="0"/>
      </w:pPr>
      <w:r>
        <w:continuationSeparator/>
      </w:r>
    </w:p>
  </w:footnote>
  <w:footnote w:type="continuationNotice" w:id="1">
    <w:p w:rsidR="003F7D15" w:rsidRDefault="003F7D1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5D" w:rsidRPr="00A6155D" w:rsidRDefault="00A6155D" w:rsidP="00A61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60669064"/>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B4B87CA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97B20984"/>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F4ECAD4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4B624A1C"/>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B352CC48"/>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D60C2E7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03BCAD0E"/>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9"/>
    <w:lvlOverride w:ilvl="0">
      <w:startOverride w:val="1"/>
    </w:lvlOverride>
  </w:num>
  <w:num w:numId="10">
    <w:abstractNumId w:val="12"/>
    <w:lvlOverride w:ilvl="0">
      <w:startOverride w:val="1"/>
    </w:lvlOverride>
  </w:num>
  <w:num w:numId="11">
    <w:abstractNumId w:val="19"/>
  </w:num>
  <w:num w:numId="12">
    <w:abstractNumId w:val="12"/>
  </w:num>
  <w:num w:numId="13">
    <w:abstractNumId w:val="21"/>
  </w:num>
  <w:num w:numId="14">
    <w:abstractNumId w:val="11"/>
  </w:num>
  <w:num w:numId="15">
    <w:abstractNumId w:val="13"/>
  </w:num>
  <w:num w:numId="16">
    <w:abstractNumId w:val="14"/>
  </w:num>
  <w:num w:numId="17">
    <w:abstractNumId w:val="9"/>
  </w:num>
  <w:num w:numId="18">
    <w:abstractNumId w:val="20"/>
  </w:num>
  <w:num w:numId="19">
    <w:abstractNumId w:val="8"/>
  </w:num>
  <w:num w:numId="20">
    <w:abstractNumId w:val="15"/>
  </w:num>
  <w:num w:numId="21">
    <w:abstractNumId w:val="17"/>
  </w:num>
  <w:num w:numId="22">
    <w:abstractNumId w:val="18"/>
  </w:num>
  <w:num w:numId="23">
    <w:abstractNumId w:val="10"/>
  </w:num>
  <w:num w:numId="24">
    <w:abstractNumId w:val="16"/>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50"/>
  <w:hideSpellingErrors/>
  <w:hideGrammaticalErrors/>
  <w:attachedTemplate r:id="rId1"/>
  <w:defaultTabStop w:val="720"/>
  <w:hyphenationZone w:val="283"/>
  <w:characterSpacingControl w:val="doNotCompress"/>
  <w:hdrShapeDefaults>
    <o:shapedefaults v:ext="edit" spidmax="12697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7-09 16:47:36"/>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Yellow"/>
    <w:docVar w:name="DQCVersion" w:val="3"/>
    <w:docVar w:name="DQCWithWarnings" w:val="0"/>
    <w:docVar w:name="LW_ACCOMPAGNANT" w:val="to the "/>
    <w:docVar w:name="LW_ACCOMPAGNANT.CP" w:val="to the "/>
    <w:docVar w:name="LW_ANNEX_NBR_FIRST" w:val="1"/>
    <w:docVar w:name="LW_ANNEX_NBR_LAST" w:val="3"/>
    <w:docVar w:name="LW_ANNEX_UNIQUE" w:val="0"/>
    <w:docVar w:name="LW_CORRIGENDUM" w:val="&lt;UNUSED&gt;"/>
    <w:docVar w:name="LW_COVERPAGE_EXISTS" w:val="True"/>
    <w:docVar w:name="LW_COVERPAGE_GUID" w:val="9EE576E7-BAC4-414E-98B2-E5492551744C"/>
    <w:docVar w:name="LW_COVERPAGE_TYPE" w:val="1"/>
    <w:docVar w:name="LW_CROSSREFERENCE" w:val="{SEC(2021) 663 final} - {SWD(2021) 640 final} - {SWD(2021) 641 final} - {SWD(2021) 642 final}"/>
    <w:docVar w:name="LW_DocType" w:val="ANNEX"/>
    <w:docVar w:name="LW_EMISSION" w:val="14.7.2021"/>
    <w:docVar w:name="LW_EMISSION_ISODATE" w:val="2021-07-14"/>
    <w:docVar w:name="LW_EMISSION_LOCATION" w:val="BRX"/>
    <w:docVar w:name="LW_EMISSION_PREFIX" w:val="Brussels, "/>
    <w:docVar w:name="LW_EMISSION_SUFFIX" w:val=" "/>
    <w:docVar w:name="LW_ID_DOCSTRUCTURE" w:val="COM/ANNEX"/>
    <w:docVar w:name="LW_ID_DOCTYPE" w:val="SG-017"/>
    <w:docVar w:name="LW_LANGUE" w:val="EN"/>
    <w:docVar w:name="LW_LEVEL_OF_SENSITIVITY" w:val="Standard treatment"/>
    <w:docVar w:name="LW_NOM.INST" w:val="EUROPEAN COMMISSION"/>
    <w:docVar w:name="LW_NOM.INST_JOINTDOC" w:val="&lt;EMPTY&gt;"/>
    <w:docVar w:name="LW_OBJETACTEPRINCIPAL" w:val="&lt;FMT:Bold&gt;restructuring the Union framework for the taxation of energy products and electricity (recast)&lt;/FMT&gt;_x000d__x000d__x000d__x000d__x000d__x000d__x000d__x000d__x000b__x000d__x000d__x000d__x000d__x000d__x000d__x000d__x000d__x000b_&lt;FMT:Bold&gt;(Text with EEA relevance)&lt;/FMT&gt;"/>
    <w:docVar w:name="LW_OBJETACTEPRINCIPAL.CP" w:val="&lt;FMT:Bold&gt;restructuring the Union framework for the taxation of energy products and electricity (recast)&lt;/FMT&gt;_x000d__x000d__x000d__x000d__x000d__x000d__x000d__x000d__x000b__x000d__x000d__x000d__x000d__x000d__x000d__x000d__x000d__x000b_&lt;FMT:Bold&gt;(Text with EEA relevance)&lt;/FMT&gt;"/>
    <w:docVar w:name="LW_PART_NBR" w:val="&lt;UNUSED&gt;"/>
    <w:docVar w:name="LW_PART_NBR_TOTAL" w:val="&lt;UNUSED&gt;"/>
    <w:docVar w:name="LW_REF.INST.NEW" w:val="COM"/>
    <w:docVar w:name="LW_REF.INST.NEW_ADOPTED" w:val="final"/>
    <w:docVar w:name="LW_REF.INST.NEW_TEXT" w:val="(2021) 56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ANNEXES"/>
    <w:docVar w:name="LW_TYPE.DOC.CP" w:val="ANNEXES"/>
    <w:docVar w:name="LW_TYPEACTEPRINCIPAL" w:val="PROPOSAL FOR A COUNCIL DIRECTIVE"/>
    <w:docVar w:name="LW_TYPEACTEPRINCIPAL.CP" w:val="PROPOSAL FOR A COUNCIL DIRECTIVE"/>
    <w:docVar w:name="LwApiVersions" w:val="LW4CoDe 1.23.0.0; LW 8.0, Build 20210114"/>
  </w:docVars>
  <w:rsids>
    <w:rsidRoot w:val="003F7D15"/>
    <w:rsid w:val="003F7D15"/>
    <w:rsid w:val="00A61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6977"/>
    <o:shapelayout v:ext="edit">
      <o:idmap v:ext="edit" data="1"/>
    </o:shapelayout>
  </w:shapeDefaults>
  <w:decimalSymbol w:val=","/>
  <w:listSeparator w:val=";"/>
  <w15:docId w15:val="{B0A8E0CE-EF90-4DE2-9D49-8D396784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en-GB"/>
    </w:rPr>
  </w:style>
  <w:style w:type="paragraph" w:styleId="Heading1">
    <w:name w:val="heading 1"/>
    <w:basedOn w:val="Normal"/>
    <w:next w:val="Text1"/>
    <w:link w:val="Heading1Char"/>
    <w:uiPriority w:val="9"/>
    <w:qFormat/>
    <w:pPr>
      <w:keepNext/>
      <w:numPr>
        <w:numId w:val="1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etitreacte">
    <w:name w:val="Annexe titre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globale">
    <w:name w:val="Annexe titre (globale)"/>
    <w:basedOn w:val="Normal"/>
    <w:next w:val="Normal"/>
    <w:uiPriority w:val="99"/>
    <w:pPr>
      <w:autoSpaceDE w:val="0"/>
      <w:autoSpaceDN w:val="0"/>
      <w:jc w:val="center"/>
    </w:pPr>
    <w:rPr>
      <w:rFonts w:eastAsiaTheme="minorEastAsia"/>
      <w:b/>
      <w:bCs/>
      <w:szCs w:val="24"/>
      <w:u w:val="single"/>
      <w:lang w:val="fr-FR" w:eastAsia="en-GB"/>
    </w:rPr>
  </w:style>
  <w:style w:type="character" w:customStyle="1" w:styleId="CRMarker">
    <w:name w:val="CR Marker"/>
    <w:basedOn w:val="DefaultParagraphFont"/>
    <w:rPr>
      <w:rFonts w:ascii="Wingdings" w:hAnsi="Wingdings" w:cs="Wingdings"/>
    </w:rPr>
  </w:style>
  <w:style w:type="paragraph" w:customStyle="1" w:styleId="CRSeparator">
    <w:name w:val="CR Separator"/>
    <w:basedOn w:val="Normal"/>
    <w:next w:val="CRReference"/>
    <w:link w:val="CRSeparatorChar"/>
    <w:pPr>
      <w:keepNext/>
      <w:pBdr>
        <w:top w:val="single" w:sz="4" w:space="1" w:color="auto"/>
      </w:pBdr>
      <w:autoSpaceDE w:val="0"/>
      <w:autoSpaceDN w:val="0"/>
      <w:spacing w:before="0" w:after="0"/>
    </w:pPr>
    <w:rPr>
      <w:rFonts w:eastAsiaTheme="minorEastAsia"/>
      <w:szCs w:val="24"/>
      <w:lang w:val="fr-FR" w:eastAsia="en-GB"/>
    </w:rPr>
  </w:style>
  <w:style w:type="paragraph" w:customStyle="1" w:styleId="CRReference">
    <w:name w:val="CR Reference"/>
    <w:basedOn w:val="Normal"/>
    <w:link w:val="CRReferenceChar"/>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heme="minorEastAsia"/>
      <w:szCs w:val="24"/>
      <w:lang w:val="fr-FR" w:eastAsia="en-GB"/>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character" w:customStyle="1" w:styleId="CRSeparatorChar">
    <w:name w:val="CR Separator Char"/>
    <w:basedOn w:val="DefaultParagraphFont"/>
    <w:link w:val="CRSeparator"/>
    <w:locked/>
    <w:rPr>
      <w:rFonts w:ascii="Times New Roman" w:eastAsiaTheme="minorEastAsia" w:hAnsi="Times New Roman" w:cs="Times New Roman"/>
      <w:sz w:val="24"/>
      <w:szCs w:val="24"/>
      <w:lang w:val="fr-FR" w:eastAsia="en-GB"/>
    </w:rPr>
  </w:style>
  <w:style w:type="character" w:customStyle="1" w:styleId="CRReferenceChar">
    <w:name w:val="CR Reference Char"/>
    <w:basedOn w:val="DefaultParagraphFont"/>
    <w:link w:val="CRReference"/>
    <w:locked/>
    <w:rPr>
      <w:rFonts w:ascii="Times New Roman" w:eastAsiaTheme="minorEastAsia" w:hAnsi="Times New Roman" w:cs="Times New Roman"/>
      <w:sz w:val="24"/>
      <w:szCs w:val="24"/>
      <w:lang w:val="fr-FR" w:eastAsia="en-GB"/>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n-GB"/>
    </w:rPr>
  </w:style>
  <w:style w:type="character" w:customStyle="1" w:styleId="CRRefonteDeleted">
    <w:name w:val="CR Refonte Deleted"/>
    <w:basedOn w:val="DefaultParagraphFont"/>
    <w:rPr>
      <w:strike w:val="0"/>
      <w:dstrik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A6155D"/>
    <w:pPr>
      <w:tabs>
        <w:tab w:val="center" w:pos="4535"/>
        <w:tab w:val="right" w:pos="9071"/>
      </w:tabs>
      <w:spacing w:before="0"/>
    </w:pPr>
  </w:style>
  <w:style w:type="character" w:customStyle="1" w:styleId="HeaderChar">
    <w:name w:val="Header Char"/>
    <w:basedOn w:val="DefaultParagraphFont"/>
    <w:link w:val="Header"/>
    <w:uiPriority w:val="99"/>
    <w:rsid w:val="00A6155D"/>
    <w:rPr>
      <w:rFonts w:ascii="Times New Roman" w:hAnsi="Times New Roman" w:cs="Times New Roman"/>
      <w:sz w:val="24"/>
      <w:lang w:val="en-GB"/>
    </w:rPr>
  </w:style>
  <w:style w:type="paragraph" w:styleId="Footer">
    <w:name w:val="footer"/>
    <w:basedOn w:val="Normal"/>
    <w:link w:val="FooterChar"/>
    <w:uiPriority w:val="99"/>
    <w:unhideWhenUsed/>
    <w:rsid w:val="00A6155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A6155D"/>
    <w:rPr>
      <w:rFonts w:ascii="Times New Roman" w:hAnsi="Times New Roman" w:cs="Times New Roman"/>
      <w:sz w:val="24"/>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A6155D"/>
    <w:pPr>
      <w:tabs>
        <w:tab w:val="center" w:pos="7285"/>
        <w:tab w:val="right" w:pos="14003"/>
      </w:tabs>
      <w:spacing w:before="0"/>
    </w:pPr>
  </w:style>
  <w:style w:type="paragraph" w:customStyle="1" w:styleId="FooterLandscape">
    <w:name w:val="FooterLandscape"/>
    <w:basedOn w:val="Normal"/>
    <w:rsid w:val="00A6155D"/>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A6155D"/>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A6155D"/>
    <w:pPr>
      <w:spacing w:before="0"/>
      <w:jc w:val="right"/>
    </w:pPr>
    <w:rPr>
      <w:sz w:val="28"/>
    </w:rPr>
  </w:style>
  <w:style w:type="paragraph" w:customStyle="1" w:styleId="FooterSensitivity">
    <w:name w:val="Footer Sensitivity"/>
    <w:basedOn w:val="Normal"/>
    <w:rsid w:val="00A6155D"/>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Tiret5">
    <w:name w:val="Tiret 5"/>
    <w:basedOn w:val="Point5"/>
    <w:pPr>
      <w:numPr>
        <w:numId w:val="1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7"/>
      </w:numPr>
    </w:pPr>
  </w:style>
  <w:style w:type="paragraph" w:customStyle="1" w:styleId="NumPar2">
    <w:name w:val="NumPar 2"/>
    <w:basedOn w:val="Normal"/>
    <w:next w:val="Text1"/>
    <w:pPr>
      <w:numPr>
        <w:ilvl w:val="1"/>
        <w:numId w:val="17"/>
      </w:numPr>
    </w:pPr>
  </w:style>
  <w:style w:type="paragraph" w:customStyle="1" w:styleId="NumPar3">
    <w:name w:val="NumPar 3"/>
    <w:basedOn w:val="Normal"/>
    <w:next w:val="Text1"/>
    <w:pPr>
      <w:numPr>
        <w:ilvl w:val="2"/>
        <w:numId w:val="17"/>
      </w:numPr>
    </w:pPr>
  </w:style>
  <w:style w:type="paragraph" w:customStyle="1" w:styleId="NumPar4">
    <w:name w:val="NumPar 4"/>
    <w:basedOn w:val="Normal"/>
    <w:next w:val="Text1"/>
    <w:pPr>
      <w:numPr>
        <w:ilvl w:val="3"/>
        <w:numId w:val="17"/>
      </w:numPr>
    </w:pPr>
  </w:style>
  <w:style w:type="paragraph" w:customStyle="1" w:styleId="NumPar5">
    <w:name w:val="NumPar 5"/>
    <w:basedOn w:val="Normal"/>
    <w:next w:val="Text2"/>
    <w:pPr>
      <w:numPr>
        <w:ilvl w:val="4"/>
        <w:numId w:val="17"/>
      </w:numPr>
    </w:pPr>
  </w:style>
  <w:style w:type="paragraph" w:customStyle="1" w:styleId="NumPar6">
    <w:name w:val="NumPar 6"/>
    <w:basedOn w:val="Normal"/>
    <w:next w:val="Text2"/>
    <w:pPr>
      <w:numPr>
        <w:ilvl w:val="5"/>
        <w:numId w:val="17"/>
      </w:numPr>
    </w:pPr>
  </w:style>
  <w:style w:type="paragraph" w:customStyle="1" w:styleId="NumPar7">
    <w:name w:val="NumPar 7"/>
    <w:basedOn w:val="Normal"/>
    <w:next w:val="Text2"/>
    <w:pPr>
      <w:numPr>
        <w:ilvl w:val="6"/>
        <w:numId w:val="1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9"/>
      </w:numPr>
    </w:pPr>
  </w:style>
  <w:style w:type="paragraph" w:customStyle="1" w:styleId="Point1number">
    <w:name w:val="Point 1 (number)"/>
    <w:basedOn w:val="Normal"/>
    <w:pPr>
      <w:numPr>
        <w:ilvl w:val="2"/>
        <w:numId w:val="19"/>
      </w:numPr>
    </w:pPr>
  </w:style>
  <w:style w:type="paragraph" w:customStyle="1" w:styleId="Point2number">
    <w:name w:val="Point 2 (number)"/>
    <w:basedOn w:val="Normal"/>
    <w:pPr>
      <w:numPr>
        <w:ilvl w:val="4"/>
        <w:numId w:val="19"/>
      </w:numPr>
    </w:pPr>
  </w:style>
  <w:style w:type="paragraph" w:customStyle="1" w:styleId="Point3number">
    <w:name w:val="Point 3 (number)"/>
    <w:basedOn w:val="Normal"/>
    <w:pPr>
      <w:numPr>
        <w:ilvl w:val="6"/>
        <w:numId w:val="19"/>
      </w:numPr>
    </w:pPr>
  </w:style>
  <w:style w:type="paragraph" w:customStyle="1" w:styleId="Point0letter">
    <w:name w:val="Point 0 (letter)"/>
    <w:basedOn w:val="Normal"/>
    <w:pPr>
      <w:numPr>
        <w:ilvl w:val="1"/>
        <w:numId w:val="19"/>
      </w:numPr>
    </w:pPr>
  </w:style>
  <w:style w:type="paragraph" w:customStyle="1" w:styleId="Point1letter">
    <w:name w:val="Point 1 (letter)"/>
    <w:basedOn w:val="Normal"/>
    <w:pPr>
      <w:numPr>
        <w:ilvl w:val="3"/>
        <w:numId w:val="19"/>
      </w:numPr>
    </w:pPr>
  </w:style>
  <w:style w:type="paragraph" w:customStyle="1" w:styleId="Point2letter">
    <w:name w:val="Point 2 (letter)"/>
    <w:basedOn w:val="Normal"/>
    <w:pPr>
      <w:numPr>
        <w:ilvl w:val="5"/>
        <w:numId w:val="19"/>
      </w:numPr>
    </w:pPr>
  </w:style>
  <w:style w:type="paragraph" w:customStyle="1" w:styleId="Point3letter">
    <w:name w:val="Point 3 (letter)"/>
    <w:basedOn w:val="Normal"/>
    <w:pPr>
      <w:numPr>
        <w:ilvl w:val="7"/>
        <w:numId w:val="19"/>
      </w:numPr>
    </w:pPr>
  </w:style>
  <w:style w:type="paragraph" w:customStyle="1" w:styleId="Point4letter">
    <w:name w:val="Point 4 (letter)"/>
    <w:basedOn w:val="Normal"/>
    <w:pPr>
      <w:numPr>
        <w:ilvl w:val="8"/>
        <w:numId w:val="19"/>
      </w:numPr>
    </w:pPr>
  </w:style>
  <w:style w:type="paragraph" w:customStyle="1" w:styleId="Bullet0">
    <w:name w:val="Bullet 0"/>
    <w:basedOn w:val="Normal"/>
    <w:pPr>
      <w:numPr>
        <w:numId w:val="20"/>
      </w:numPr>
    </w:pPr>
  </w:style>
  <w:style w:type="paragraph" w:customStyle="1" w:styleId="Bullet1">
    <w:name w:val="Bullet 1"/>
    <w:basedOn w:val="Normal"/>
    <w:pPr>
      <w:numPr>
        <w:numId w:val="21"/>
      </w:numPr>
    </w:pPr>
  </w:style>
  <w:style w:type="paragraph" w:customStyle="1" w:styleId="Bullet2">
    <w:name w:val="Bullet 2"/>
    <w:basedOn w:val="Normal"/>
    <w:pPr>
      <w:numPr>
        <w:numId w:val="22"/>
      </w:numPr>
    </w:pPr>
  </w:style>
  <w:style w:type="paragraph" w:customStyle="1" w:styleId="Bullet3">
    <w:name w:val="Bullet 3"/>
    <w:basedOn w:val="Normal"/>
    <w:pPr>
      <w:numPr>
        <w:numId w:val="23"/>
      </w:numPr>
    </w:pPr>
  </w:style>
  <w:style w:type="paragraph" w:customStyle="1" w:styleId="Bullet4">
    <w:name w:val="Bullet 4"/>
    <w:basedOn w:val="Normal"/>
    <w:pPr>
      <w:numPr>
        <w:numId w:val="2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file:///C:\Users\zachaio\AppData\Local\Microsoft\Windows\INetCache\Content.MSO\E8761871.xls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2BB2692E4C43E04E96282352541176AA" ma:contentTypeVersion="0" ma:contentTypeDescription="Create a new document in this library." ma:contentTypeScope="" ma:versionID="2914185865f7771a262f11f307e7e05b">
  <xsd:schema xmlns:xsd="http://www.w3.org/2001/XMLSchema" xmlns:xs="http://www.w3.org/2001/XMLSchema" xmlns:p="http://schemas.microsoft.com/office/2006/metadata/properties" xmlns:ns2="http://schemas.microsoft.com/sharepoint/v3/fields" xmlns:ns3="e612c5b1-42b4-4dfc-ad0a-11711e4d1848" targetNamespace="http://schemas.microsoft.com/office/2006/metadata/properties" ma:root="true" ma:fieldsID="18cc5138467ee2bfb2ea10dc7acde7aa" ns2:_="" ns3:_="">
    <xsd:import namespace="http://schemas.microsoft.com/sharepoint/v3/fields"/>
    <xsd:import namespace="e612c5b1-42b4-4dfc-ad0a-11711e4d1848"/>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e612c5b1-42b4-4dfc-ad0a-11711e4d1848"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C_Collab_DocumentLanguage xmlns="e612c5b1-42b4-4dfc-ad0a-11711e4d1848">EN</EC_Collab_DocumentLanguage>
    <EC_Collab_Reference xmlns="e612c5b1-42b4-4dfc-ad0a-11711e4d1848" xsi:nil="true"/>
    <EC_Collab_Status xmlns="e612c5b1-42b4-4dfc-ad0a-11711e4d1848">Not Started</EC_Collab_Status>
    <_Status xmlns="http://schemas.microsoft.com/sharepoint/v3/fields">Not Started</_Statu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C55B8-C60A-48E7-BF61-03B648F336A4}">
  <ds:schemaRefs>
    <ds:schemaRef ds:uri="http://schemas.microsoft.com/sharepoint/v3/contenttype/forms"/>
  </ds:schemaRefs>
</ds:datastoreItem>
</file>

<file path=customXml/itemProps2.xml><?xml version="1.0" encoding="utf-8"?>
<ds:datastoreItem xmlns:ds="http://schemas.openxmlformats.org/officeDocument/2006/customXml" ds:itemID="{421A9A97-362A-442A-8B3F-AB3E68E948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e612c5b1-42b4-4dfc-ad0a-11711e4d18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8A14B9-03C3-4D3E-AD6F-9EB76C671CD2}">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e612c5b1-42b4-4dfc-ad0a-11711e4d1848"/>
    <ds:schemaRef ds:uri="http://purl.org/dc/elements/1.1/"/>
    <ds:schemaRef ds:uri="http://schemas.microsoft.com/sharepoint/v3/fields"/>
    <ds:schemaRef ds:uri="http://www.w3.org/XML/1998/namespace"/>
    <ds:schemaRef ds:uri="http://purl.org/dc/dcmitype/"/>
  </ds:schemaRefs>
</ds:datastoreItem>
</file>

<file path=customXml/itemProps4.xml><?xml version="1.0" encoding="utf-8"?>
<ds:datastoreItem xmlns:ds="http://schemas.openxmlformats.org/officeDocument/2006/customXml" ds:itemID="{58798DF6-0DED-439A-BB54-457176489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Template>
  <TotalTime>5</TotalTime>
  <Pages>21</Pages>
  <Words>4761</Words>
  <Characters>24139</Characters>
  <Application>Microsoft Office Word</Application>
  <DocSecurity>0</DocSecurity>
  <Lines>862</Lines>
  <Paragraphs>722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20</cp:revision>
  <dcterms:created xsi:type="dcterms:W3CDTF">2021-07-14T07:05:00Z</dcterms:created>
  <dcterms:modified xsi:type="dcterms:W3CDTF">2021-07-14T07:36:00Z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20190916</vt:lpwstr>
  </property>
  <property fmtid="{D5CDD505-2E9C-101B-9397-08002B2CF9AE}" pid="6" name="First annex">
    <vt:lpwstr>1</vt:lpwstr>
  </property>
  <property fmtid="{D5CDD505-2E9C-101B-9397-08002B2CF9AE}" pid="7" name="Last annex">
    <vt:lpwstr>3</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ContentTypeId">
    <vt:lpwstr>0x010100258AA79CEB83498886A3A08681123250002BB2692E4C43E04E96282352541176AA</vt:lpwstr>
  </property>
  <property fmtid="{D5CDD505-2E9C-101B-9397-08002B2CF9AE}" pid="14" name="DQCStatus">
    <vt:lpwstr>Yellow (DQC version 03)</vt:lpwstr>
  </property>
  <property name="OP_sanitized" fmtid="{D5CDD505-2E9C-101B-9397-08002B2CF9AE}" pid="15">
    <vt:lpwstr>True</vt:lpwstr>
  </property>
</Properties>
</file>