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E6" w:rsidRPr="00A84E3A" w:rsidRDefault="00E42136" w:rsidP="00E42136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alt="EE903B4C-37CA-4568-A9D2-CD1A9BC9D1C0" style="width:455.25pt;height:429pt">
            <v:imagedata r:id="rId7" o:title=""/>
          </v:shape>
        </w:pict>
      </w:r>
    </w:p>
    <w:p w:rsidR="007F77E6" w:rsidRPr="00A84E3A" w:rsidRDefault="007F77E6" w:rsidP="007F77E6">
      <w:pPr>
        <w:rPr>
          <w:noProof/>
        </w:rPr>
        <w:sectPr w:rsidR="007F77E6" w:rsidRPr="00A84E3A" w:rsidSect="00E421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7F77E6" w:rsidRPr="00A84E3A" w:rsidRDefault="00A84E3A" w:rsidP="007F77E6">
      <w:pPr>
        <w:pStyle w:val="Annexetitre"/>
        <w:rPr>
          <w:noProof/>
        </w:rPr>
      </w:pPr>
      <w:bookmarkStart w:id="0" w:name="_GoBack"/>
      <w:bookmarkEnd w:id="0"/>
      <w:r>
        <w:rPr>
          <w:noProof/>
        </w:rPr>
        <w:lastRenderedPageBreak/>
        <w:t>ANNEX</w:t>
      </w:r>
      <w:r w:rsidR="007F77E6" w:rsidRPr="00A84E3A">
        <w:rPr>
          <w:noProof/>
        </w:rPr>
        <w:t>E</w:t>
      </w:r>
    </w:p>
    <w:p w:rsidR="007F77E6" w:rsidRPr="00A84E3A" w:rsidRDefault="007F77E6" w:rsidP="000C028D">
      <w:pPr>
        <w:jc w:val="center"/>
        <w:rPr>
          <w:b/>
          <w:noProof/>
        </w:rPr>
      </w:pPr>
      <w:r w:rsidRPr="00A84E3A">
        <w:rPr>
          <w:b/>
          <w:noProof/>
        </w:rPr>
        <w:t>Classification des éléments de hors bilan</w:t>
      </w:r>
    </w:p>
    <w:tbl>
      <w:tblPr>
        <w:tblW w:w="0" w:type="auto"/>
        <w:tblInd w:w="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5"/>
        <w:gridCol w:w="7054"/>
      </w:tblGrid>
      <w:tr w:rsidR="007F77E6" w:rsidRPr="00A84E3A" w:rsidTr="00B865D0">
        <w:tc>
          <w:tcPr>
            <w:tcW w:w="1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B865D0">
            <w:pPr>
              <w:rPr>
                <w:noProof/>
              </w:rPr>
            </w:pPr>
            <w:r w:rsidRPr="00A84E3A">
              <w:rPr>
                <w:noProof/>
              </w:rPr>
              <w:t>Classe</w:t>
            </w:r>
          </w:p>
        </w:tc>
        <w:tc>
          <w:tcPr>
            <w:tcW w:w="7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B865D0">
            <w:pPr>
              <w:rPr>
                <w:noProof/>
              </w:rPr>
            </w:pPr>
            <w:r w:rsidRPr="00A84E3A">
              <w:rPr>
                <w:noProof/>
              </w:rPr>
              <w:t>Éléments</w:t>
            </w:r>
          </w:p>
        </w:tc>
      </w:tr>
      <w:tr w:rsidR="007F77E6" w:rsidRPr="00A84E3A" w:rsidTr="00B865D0">
        <w:tc>
          <w:tcPr>
            <w:tcW w:w="1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B865D0">
            <w:pPr>
              <w:rPr>
                <w:noProof/>
              </w:rPr>
            </w:pPr>
            <w:r w:rsidRPr="00A84E3A">
              <w:rPr>
                <w:noProof/>
              </w:rPr>
              <w:t>1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Garanties générales d’endettement, y compris les lettres de crédit «stand-by» servant de garanties financières pour des prêts et des titres, acceptations, y compris les endossements ayant un caractère d’acceptation, et [tous] autres substituts de crédit direct;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accords de pension livrée et ventes d’actifs passibles de recours où le risque de crédit reste supporté par l’établissement;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titres prêtés par l’établissement ou titres donnés en garantie par l’établissement, y compris en dehors d’opérations de type pension livrée;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achats d’actifs à terme, dépôts terme contre terme (</w:t>
            </w:r>
            <w:r w:rsidRPr="00A84E3A">
              <w:rPr>
                <w:i/>
                <w:iCs/>
                <w:noProof/>
                <w:sz w:val="20"/>
                <w:szCs w:val="20"/>
              </w:rPr>
              <w:t>forward deposits</w:t>
            </w:r>
            <w:r w:rsidRPr="00A84E3A">
              <w:rPr>
                <w:noProof/>
                <w:sz w:val="20"/>
                <w:szCs w:val="20"/>
              </w:rPr>
              <w:t>) et actions et titres partiellement libérés, qui représentent des engagements à tirage certain;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éléments de hors bilan constituant un substitut de crédit qui ne sont pas expressément inclus dans une autre catégorie;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autres éléments de hors bilan présentant un risque similaire, tels que notifiés à l’ABE.</w:t>
            </w:r>
          </w:p>
        </w:tc>
      </w:tr>
      <w:tr w:rsidR="007F77E6" w:rsidRPr="00A84E3A" w:rsidTr="00B865D0">
        <w:tc>
          <w:tcPr>
            <w:tcW w:w="1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B865D0">
            <w:pPr>
              <w:rPr>
                <w:noProof/>
              </w:rPr>
            </w:pPr>
            <w:r w:rsidRPr="00A84E3A">
              <w:rPr>
                <w:noProof/>
              </w:rPr>
              <w:t>2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Facilités d’émission d’effets (NIF) et facilités de prise ferme renouvelables (RUF), quelle que soit l’échéance de la facilité sous-jacente;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garanties de bonne fin, cautions de soumission, contre-garanties et lettres de crédit «stand-by» liées à des opérations particulières et éléments contingents similaires liés à des opérations;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éléments de hors bilan ne constituant pas un substitut de crédit qui ne sont pas expressément inclus dans une autre catégorie;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autres éléments de hors bilan présentant un risque similaire, tels que notifiés à l’ABE.</w:t>
            </w:r>
          </w:p>
        </w:tc>
      </w:tr>
      <w:tr w:rsidR="007F77E6" w:rsidRPr="00A84E3A" w:rsidTr="00B865D0">
        <w:tc>
          <w:tcPr>
            <w:tcW w:w="1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B865D0">
            <w:pPr>
              <w:rPr>
                <w:noProof/>
              </w:rPr>
            </w:pPr>
            <w:r w:rsidRPr="00A84E3A">
              <w:rPr>
                <w:noProof/>
              </w:rPr>
              <w:t>3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Engagements, quelle que soit l’échéance de la facilité sous-jacente, à moins qu’ils ne relèvent d’une autre catégorie;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autres éléments de hors bilan présentant un risque similaire, tels que notifiés à l’ABE.</w:t>
            </w:r>
          </w:p>
        </w:tc>
      </w:tr>
      <w:tr w:rsidR="007F77E6" w:rsidRPr="00A84E3A" w:rsidTr="00B865D0">
        <w:tc>
          <w:tcPr>
            <w:tcW w:w="1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B865D0">
            <w:pPr>
              <w:rPr>
                <w:noProof/>
              </w:rPr>
            </w:pPr>
            <w:r w:rsidRPr="00A84E3A">
              <w:rPr>
                <w:noProof/>
              </w:rPr>
              <w:t>4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Lettres de crédit commerciales à court terme à dénouement automatique liées à des mouvements de marchandises, et notamment crédits documentaires garantis par les marchandises sous-jacentes, pour l’établissement qui les émet ou l’établissement qui en confirme l’exécution;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autres éléments de hors bilan présentant un risque similaire, tels que notifiés à l’ABE.</w:t>
            </w:r>
          </w:p>
        </w:tc>
      </w:tr>
      <w:tr w:rsidR="007F77E6" w:rsidRPr="00A84E3A" w:rsidTr="00B865D0">
        <w:tc>
          <w:tcPr>
            <w:tcW w:w="1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B865D0">
            <w:pPr>
              <w:rPr>
                <w:noProof/>
              </w:rPr>
            </w:pPr>
            <w:r w:rsidRPr="00A84E3A">
              <w:rPr>
                <w:noProof/>
              </w:rPr>
              <w:t>5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Engagements annulables sans condition;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montant non tiré de lignes de crédit de détail dont les clauses permettent à l’établissement de les annuler dans toute la mesure autorisée par la législation relative à la protection des consommateurs et la législation connexe;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facilités de découvert non tirées pour cautionnements de marchés publics et garanties de bonne fin qui peuvent être annulées sans condition à tout moment et sans préavis ou qui prévoient effectivement une annulation automatique en cas de détérioration de la qualité de crédit de l’emprunteur;</w:t>
            </w:r>
          </w:p>
          <w:p w:rsidR="007F77E6" w:rsidRPr="00A84E3A" w:rsidRDefault="007F77E6" w:rsidP="00EB4A82">
            <w:pPr>
              <w:numPr>
                <w:ilvl w:val="0"/>
                <w:numId w:val="1"/>
              </w:numPr>
              <w:autoSpaceDE w:val="0"/>
              <w:autoSpaceDN w:val="0"/>
              <w:spacing w:before="118" w:after="0" w:line="276" w:lineRule="auto"/>
              <w:ind w:right="117"/>
              <w:contextualSpacing/>
              <w:rPr>
                <w:noProof/>
                <w:sz w:val="20"/>
                <w:szCs w:val="20"/>
              </w:rPr>
            </w:pPr>
            <w:r w:rsidRPr="00A84E3A">
              <w:rPr>
                <w:noProof/>
                <w:sz w:val="20"/>
                <w:szCs w:val="20"/>
              </w:rPr>
              <w:t>autres éléments de hors bilan présentant un risque similaire, tels que notifiés à l’ABE.</w:t>
            </w:r>
          </w:p>
        </w:tc>
      </w:tr>
    </w:tbl>
    <w:p w:rsidR="001C2816" w:rsidRPr="00A84E3A" w:rsidRDefault="001C2816" w:rsidP="007F77E6">
      <w:pPr>
        <w:rPr>
          <w:noProof/>
        </w:rPr>
      </w:pPr>
    </w:p>
    <w:sectPr w:rsidR="001C2816" w:rsidRPr="00A84E3A" w:rsidSect="00E42136">
      <w:footerReference w:type="default" r:id="rId14"/>
      <w:footerReference w:type="first" r:id="rId15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7E6" w:rsidRDefault="007F77E6" w:rsidP="007F77E6">
      <w:pPr>
        <w:spacing w:before="0" w:after="0"/>
      </w:pPr>
      <w:r>
        <w:separator/>
      </w:r>
    </w:p>
  </w:endnote>
  <w:endnote w:type="continuationSeparator" w:id="0">
    <w:p w:rsidR="007F77E6" w:rsidRDefault="007F77E6" w:rsidP="007F77E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36" w:rsidRPr="00E42136" w:rsidRDefault="00E42136" w:rsidP="00E421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7E6" w:rsidRPr="00E42136" w:rsidRDefault="00E42136" w:rsidP="00E42136">
    <w:pPr>
      <w:pStyle w:val="Footer"/>
      <w:rPr>
        <w:rFonts w:ascii="Arial" w:hAnsi="Arial" w:cs="Arial"/>
        <w:b/>
        <w:sz w:val="48"/>
      </w:rPr>
    </w:pPr>
    <w:r w:rsidRPr="00E42136">
      <w:rPr>
        <w:rFonts w:ascii="Arial" w:hAnsi="Arial" w:cs="Arial"/>
        <w:b/>
        <w:sz w:val="48"/>
      </w:rPr>
      <w:t>FR</w:t>
    </w:r>
    <w:r w:rsidRPr="00E42136">
      <w:rPr>
        <w:rFonts w:ascii="Arial" w:hAnsi="Arial" w:cs="Arial"/>
        <w:b/>
        <w:sz w:val="48"/>
      </w:rPr>
      <w:tab/>
    </w:r>
    <w:r w:rsidRPr="00E42136">
      <w:rPr>
        <w:rFonts w:ascii="Arial" w:hAnsi="Arial" w:cs="Arial"/>
        <w:b/>
        <w:sz w:val="48"/>
      </w:rPr>
      <w:tab/>
    </w:r>
    <w:r w:rsidRPr="00E42136">
      <w:tab/>
    </w:r>
    <w:r w:rsidRPr="00E42136">
      <w:rPr>
        <w:rFonts w:ascii="Arial" w:hAnsi="Arial" w:cs="Arial"/>
        <w:b/>
        <w:sz w:val="48"/>
      </w:rPr>
      <w:t>FR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36" w:rsidRPr="00E42136" w:rsidRDefault="00E42136" w:rsidP="00E4213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36" w:rsidRPr="00E42136" w:rsidRDefault="00E42136" w:rsidP="00E42136">
    <w:pPr>
      <w:pStyle w:val="Footer"/>
      <w:rPr>
        <w:rFonts w:ascii="Arial" w:hAnsi="Arial" w:cs="Arial"/>
        <w:b/>
        <w:sz w:val="48"/>
      </w:rPr>
    </w:pPr>
    <w:r w:rsidRPr="00E42136">
      <w:rPr>
        <w:rFonts w:ascii="Arial" w:hAnsi="Arial" w:cs="Arial"/>
        <w:b/>
        <w:sz w:val="48"/>
      </w:rPr>
      <w:t>FR</w:t>
    </w:r>
    <w:r w:rsidRPr="00E42136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E42136">
      <w:tab/>
    </w:r>
    <w:r w:rsidRPr="00E42136">
      <w:rPr>
        <w:rFonts w:ascii="Arial" w:hAnsi="Arial" w:cs="Arial"/>
        <w:b/>
        <w:sz w:val="48"/>
      </w:rPr>
      <w:t>FR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36" w:rsidRPr="00E42136" w:rsidRDefault="00E42136" w:rsidP="00E421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7E6" w:rsidRDefault="007F77E6" w:rsidP="007F77E6">
      <w:pPr>
        <w:spacing w:before="0" w:after="0"/>
      </w:pPr>
      <w:r>
        <w:separator/>
      </w:r>
    </w:p>
  </w:footnote>
  <w:footnote w:type="continuationSeparator" w:id="0">
    <w:p w:rsidR="007F77E6" w:rsidRDefault="007F77E6" w:rsidP="007F77E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36" w:rsidRPr="00E42136" w:rsidRDefault="00E42136" w:rsidP="00E421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36" w:rsidRPr="00E42136" w:rsidRDefault="00E42136" w:rsidP="00E421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36" w:rsidRPr="00E42136" w:rsidRDefault="00E42136" w:rsidP="00E421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F32696D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6DC81A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74A0BA5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3C26DE3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4DC8454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8E92053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1848E3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77BE1B1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436ED5"/>
    <w:multiLevelType w:val="hybridMultilevel"/>
    <w:tmpl w:val="CD32A9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22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19"/>
  </w:num>
  <w:num w:numId="11">
    <w:abstractNumId w:val="12"/>
  </w:num>
  <w:num w:numId="12">
    <w:abstractNumId w:val="21"/>
  </w:num>
  <w:num w:numId="13">
    <w:abstractNumId w:val="11"/>
  </w:num>
  <w:num w:numId="14">
    <w:abstractNumId w:val="13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3"/>
  </w:num>
  <w:num w:numId="24">
    <w:abstractNumId w:val="20"/>
  </w:num>
  <w:num w:numId="25">
    <w:abstractNumId w:val="20"/>
  </w:num>
  <w:num w:numId="26">
    <w:abstractNumId w:val="20"/>
  </w:num>
  <w:num w:numId="27">
    <w:abstractNumId w:val="14"/>
  </w:num>
  <w:num w:numId="28">
    <w:abstractNumId w:val="9"/>
  </w:num>
  <w:num w:numId="29">
    <w:abstractNumId w:val="9"/>
  </w:num>
  <w:num w:numId="30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1-12-22 10:35:29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0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de la"/>
    <w:docVar w:name="LW_ACCOMPAGNANT.CP" w:val="de la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EE903B4C-37CA-4568-A9D2-CD1A9BC9D1C0"/>
    <w:docVar w:name="LW_COVERPAGE_TYPE" w:val="1"/>
    <w:docVar w:name="LW_CROSSREFERENCE" w:val="&lt;UNUSED&gt;"/>
    <w:docVar w:name="LW_DocType" w:val="ANNEX"/>
    <w:docVar w:name="LW_EMISSION" w:val="27.10.2021"/>
    <w:docVar w:name="LW_EMISSION_ISODATE" w:val="2021-10-27"/>
    <w:docVar w:name="LW_EMISSION_LOCATION" w:val="BRX"/>
    <w:docVar w:name="LW_EMISSION_PREFIX" w:val="Bruxelles, le "/>
    <w:docVar w:name="LW_EMISSION_SUFFIX" w:val=" "/>
    <w:docVar w:name="LW_ID_DOCSTRUCTURE" w:val="COM/ANNEX"/>
    <w:docVar w:name="LW_ID_DOCTYPE" w:val="SG-017"/>
    <w:docVar w:name="LW_LANGUE" w:val="FR"/>
    <w:docVar w:name="LW_LEVEL_OF_SENSITIVITY" w:val="Standard treatment"/>
    <w:docVar w:name="LW_NOM.INST" w:val="COMMISSION EUROPÉENNE"/>
    <w:docVar w:name="LW_NOM.INST_JOINTDOC" w:val="&lt;EMPTY&gt;"/>
    <w:docVar w:name="LW_OBJETACTEPRINCIPAL" w:val="modifiant le règlement (UE) nº 575/2013 en ce qui concerne les exigences pour risque de crédit, risque d\u8217?ajustement de l\u8217?évaluation de crédit, risque opérationnel et risque de marché et le plancher de fonds propres_x000d__x000d__x000d__x000b__x000d__x000d__x000d__x000d__x000b_"/>
    <w:docVar w:name="LW_OBJETACTEPRINCIPAL.CP" w:val="modifiant le règlement (UE) nº 575/2013 en ce qui concerne les exigences pour risque de crédit, risque d’ajustement de l’évaluation de crédit, risque opérationnel et risque de marché et le plancher de fonds propres_x000d__x000d__x000d__x000b__x000d__x000d__x000d__x000d__x000b_"/>
    <w:docVar w:name="LW_PART_NBR" w:val="1"/>
    <w:docVar w:name="LW_PART_NBR_TOTAL" w:val="1"/>
    <w:docVar w:name="LW_REF.INST.NEW" w:val="COM"/>
    <w:docVar w:name="LW_REF.INST.NEW_ADOPTED" w:val="final"/>
    <w:docVar w:name="LW_REF.INST.NEW_TEXT" w:val="(2021) 664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NEXE"/>
    <w:docVar w:name="LW_TYPE.DOC.CP" w:val="ANNEXE"/>
    <w:docVar w:name="LW_TYPEACTEPRINCIPAL" w:val="proposition de RÈGLEMENT DU PARLEMENT EUROPÉEN ET DU CONSEIL"/>
    <w:docVar w:name="LW_TYPEACTEPRINCIPAL.CP" w:val="proposition de RÈGLEMENT DU PARLEMENT EUROPÉEN ET DU CONSEIL"/>
    <w:docVar w:name="LwApiVersions" w:val="LW4CoDe 1.23.2.0; LW 8.0, Build 20211117"/>
  </w:docVars>
  <w:rsids>
    <w:rsidRoot w:val="007F77E6"/>
    <w:rsid w:val="000574B0"/>
    <w:rsid w:val="000C028D"/>
    <w:rsid w:val="000E198E"/>
    <w:rsid w:val="001C2816"/>
    <w:rsid w:val="001C669E"/>
    <w:rsid w:val="001D6F25"/>
    <w:rsid w:val="00275512"/>
    <w:rsid w:val="00437D0E"/>
    <w:rsid w:val="004D74E4"/>
    <w:rsid w:val="0052484D"/>
    <w:rsid w:val="005A7541"/>
    <w:rsid w:val="00656F69"/>
    <w:rsid w:val="00731592"/>
    <w:rsid w:val="00761D40"/>
    <w:rsid w:val="007D4DE5"/>
    <w:rsid w:val="007F77E6"/>
    <w:rsid w:val="00827826"/>
    <w:rsid w:val="00867628"/>
    <w:rsid w:val="008E2421"/>
    <w:rsid w:val="00924501"/>
    <w:rsid w:val="00927BD8"/>
    <w:rsid w:val="00986B33"/>
    <w:rsid w:val="00987AD5"/>
    <w:rsid w:val="00A145EF"/>
    <w:rsid w:val="00A21B15"/>
    <w:rsid w:val="00A307B8"/>
    <w:rsid w:val="00A84E3A"/>
    <w:rsid w:val="00B70628"/>
    <w:rsid w:val="00B711EC"/>
    <w:rsid w:val="00B856AB"/>
    <w:rsid w:val="00BB0CF3"/>
    <w:rsid w:val="00BB58B3"/>
    <w:rsid w:val="00BF17AA"/>
    <w:rsid w:val="00C24556"/>
    <w:rsid w:val="00E10811"/>
    <w:rsid w:val="00E42136"/>
    <w:rsid w:val="00E72D49"/>
    <w:rsid w:val="00E8417A"/>
    <w:rsid w:val="00E871BC"/>
    <w:rsid w:val="00EB4A82"/>
    <w:rsid w:val="00EE08E0"/>
    <w:rsid w:val="00EF3FF8"/>
    <w:rsid w:val="00FE01F7"/>
    <w:rsid w:val="00FF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24BB8553-F650-41D6-A701-199A496C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fr-FR"/>
    </w:rPr>
  </w:style>
  <w:style w:type="paragraph" w:styleId="Heading1">
    <w:name w:val="heading 1"/>
    <w:basedOn w:val="Normal"/>
    <w:next w:val="Text1"/>
    <w:link w:val="Heading1Char"/>
    <w:uiPriority w:val="9"/>
    <w:qFormat/>
    <w:rsid w:val="00BB0CF3"/>
    <w:pPr>
      <w:keepNext/>
      <w:numPr>
        <w:numId w:val="26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BB0CF3"/>
    <w:pPr>
      <w:keepNext/>
      <w:numPr>
        <w:ilvl w:val="1"/>
        <w:numId w:val="26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BB0CF3"/>
    <w:pPr>
      <w:keepNext/>
      <w:numPr>
        <w:ilvl w:val="2"/>
        <w:numId w:val="26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BB0CF3"/>
    <w:pPr>
      <w:keepNext/>
      <w:numPr>
        <w:ilvl w:val="3"/>
        <w:numId w:val="26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0574B0"/>
    <w:pPr>
      <w:keepNext/>
      <w:numPr>
        <w:ilvl w:val="4"/>
        <w:numId w:val="26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0574B0"/>
    <w:pPr>
      <w:keepNext/>
      <w:numPr>
        <w:ilvl w:val="5"/>
        <w:numId w:val="26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0574B0"/>
    <w:pPr>
      <w:keepNext/>
      <w:numPr>
        <w:ilvl w:val="6"/>
        <w:numId w:val="26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A307B8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A307B8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A307B8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307B8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307B8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307B8"/>
    <w:pPr>
      <w:numPr>
        <w:numId w:val="5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A307B8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307B8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307B8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307B8"/>
    <w:pPr>
      <w:numPr>
        <w:numId w:val="9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C02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02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028D"/>
    <w:rPr>
      <w:rFonts w:ascii="Times New Roman" w:hAnsi="Times New Roman" w:cs="Times New Roman"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02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028D"/>
    <w:rPr>
      <w:rFonts w:ascii="Times New Roman" w:hAnsi="Times New Roman" w:cs="Times New Roman"/>
      <w:b/>
      <w:bCs/>
      <w:sz w:val="20"/>
      <w:szCs w:val="20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28D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28D"/>
    <w:rPr>
      <w:rFonts w:ascii="Segoe UI" w:hAnsi="Segoe UI" w:cs="Segoe UI"/>
      <w:sz w:val="18"/>
      <w:szCs w:val="18"/>
      <w:lang w:val="fr-FR"/>
    </w:rPr>
  </w:style>
  <w:style w:type="character" w:styleId="Hyperlink">
    <w:name w:val="Hyperlink"/>
    <w:basedOn w:val="DefaultParagraphFont"/>
    <w:uiPriority w:val="99"/>
    <w:unhideWhenUsed/>
    <w:rsid w:val="000C028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2136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E42136"/>
    <w:rPr>
      <w:rFonts w:ascii="Times New Roman" w:hAnsi="Times New Roman" w:cs="Times New Roman"/>
      <w:sz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E42136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E42136"/>
    <w:rPr>
      <w:rFonts w:ascii="Times New Roman" w:hAnsi="Times New Roman" w:cs="Times New Roman"/>
      <w:sz w:val="24"/>
      <w:lang w:val="fr-F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0CF3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CF3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BB0CF3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0CF3"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0CF3"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0CF3"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BB0CF3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BB0CF3"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E42136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E42136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BB0CF3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E4213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E42136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E4213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BB0CF3"/>
    <w:pPr>
      <w:ind w:left="850"/>
    </w:pPr>
  </w:style>
  <w:style w:type="paragraph" w:customStyle="1" w:styleId="Text2">
    <w:name w:val="Text 2"/>
    <w:basedOn w:val="Normal"/>
    <w:rsid w:val="00BB0CF3"/>
    <w:pPr>
      <w:ind w:left="1417"/>
    </w:pPr>
  </w:style>
  <w:style w:type="paragraph" w:customStyle="1" w:styleId="Text3">
    <w:name w:val="Text 3"/>
    <w:basedOn w:val="Normal"/>
    <w:rsid w:val="00BB0CF3"/>
    <w:pPr>
      <w:ind w:left="1984"/>
    </w:pPr>
  </w:style>
  <w:style w:type="paragraph" w:customStyle="1" w:styleId="Text4">
    <w:name w:val="Text 4"/>
    <w:basedOn w:val="Normal"/>
    <w:rsid w:val="00BB0CF3"/>
    <w:pPr>
      <w:ind w:left="2551"/>
    </w:pPr>
  </w:style>
  <w:style w:type="paragraph" w:customStyle="1" w:styleId="NormalCentered">
    <w:name w:val="Normal Centered"/>
    <w:basedOn w:val="Normal"/>
    <w:rsid w:val="00BB0CF3"/>
    <w:pPr>
      <w:jc w:val="center"/>
    </w:pPr>
  </w:style>
  <w:style w:type="paragraph" w:customStyle="1" w:styleId="NormalLeft">
    <w:name w:val="Normal Left"/>
    <w:basedOn w:val="Normal"/>
    <w:rsid w:val="00BB0CF3"/>
    <w:pPr>
      <w:jc w:val="left"/>
    </w:pPr>
  </w:style>
  <w:style w:type="paragraph" w:customStyle="1" w:styleId="NormalRight">
    <w:name w:val="Normal Right"/>
    <w:basedOn w:val="Normal"/>
    <w:rsid w:val="00BB0CF3"/>
    <w:pPr>
      <w:jc w:val="right"/>
    </w:pPr>
  </w:style>
  <w:style w:type="paragraph" w:customStyle="1" w:styleId="QuotedText">
    <w:name w:val="Quoted Text"/>
    <w:basedOn w:val="Normal"/>
    <w:rsid w:val="00BB0CF3"/>
    <w:pPr>
      <w:ind w:left="1417"/>
    </w:pPr>
  </w:style>
  <w:style w:type="paragraph" w:customStyle="1" w:styleId="Point0">
    <w:name w:val="Point 0"/>
    <w:basedOn w:val="Normal"/>
    <w:rsid w:val="00BB0CF3"/>
    <w:pPr>
      <w:ind w:left="850" w:hanging="850"/>
    </w:pPr>
  </w:style>
  <w:style w:type="paragraph" w:customStyle="1" w:styleId="Point1">
    <w:name w:val="Point 1"/>
    <w:basedOn w:val="Normal"/>
    <w:rsid w:val="00BB0CF3"/>
    <w:pPr>
      <w:ind w:left="1417" w:hanging="567"/>
    </w:pPr>
  </w:style>
  <w:style w:type="paragraph" w:customStyle="1" w:styleId="Point2">
    <w:name w:val="Point 2"/>
    <w:basedOn w:val="Normal"/>
    <w:rsid w:val="00BB0CF3"/>
    <w:pPr>
      <w:ind w:left="1984" w:hanging="567"/>
    </w:pPr>
  </w:style>
  <w:style w:type="paragraph" w:customStyle="1" w:styleId="Point3">
    <w:name w:val="Point 3"/>
    <w:basedOn w:val="Normal"/>
    <w:rsid w:val="00BB0CF3"/>
    <w:pPr>
      <w:ind w:left="2551" w:hanging="567"/>
    </w:pPr>
  </w:style>
  <w:style w:type="paragraph" w:customStyle="1" w:styleId="Point4">
    <w:name w:val="Point 4"/>
    <w:basedOn w:val="Normal"/>
    <w:rsid w:val="00BB0CF3"/>
    <w:pPr>
      <w:ind w:left="3118" w:hanging="567"/>
    </w:pPr>
  </w:style>
  <w:style w:type="paragraph" w:customStyle="1" w:styleId="Tiret0">
    <w:name w:val="Tiret 0"/>
    <w:basedOn w:val="Point0"/>
    <w:rsid w:val="00BB0CF3"/>
    <w:pPr>
      <w:numPr>
        <w:numId w:val="10"/>
      </w:numPr>
    </w:pPr>
  </w:style>
  <w:style w:type="paragraph" w:customStyle="1" w:styleId="Tiret1">
    <w:name w:val="Tiret 1"/>
    <w:basedOn w:val="Point1"/>
    <w:rsid w:val="00BB0CF3"/>
    <w:pPr>
      <w:numPr>
        <w:numId w:val="11"/>
      </w:numPr>
    </w:pPr>
  </w:style>
  <w:style w:type="paragraph" w:customStyle="1" w:styleId="Tiret2">
    <w:name w:val="Tiret 2"/>
    <w:basedOn w:val="Point2"/>
    <w:rsid w:val="00BB0CF3"/>
    <w:pPr>
      <w:numPr>
        <w:numId w:val="12"/>
      </w:numPr>
    </w:pPr>
  </w:style>
  <w:style w:type="paragraph" w:customStyle="1" w:styleId="Tiret3">
    <w:name w:val="Tiret 3"/>
    <w:basedOn w:val="Point3"/>
    <w:rsid w:val="00BB0CF3"/>
    <w:pPr>
      <w:numPr>
        <w:numId w:val="13"/>
      </w:numPr>
    </w:pPr>
  </w:style>
  <w:style w:type="paragraph" w:customStyle="1" w:styleId="Tiret4">
    <w:name w:val="Tiret 4"/>
    <w:basedOn w:val="Point4"/>
    <w:rsid w:val="00BB0CF3"/>
    <w:pPr>
      <w:numPr>
        <w:numId w:val="14"/>
      </w:numPr>
    </w:pPr>
  </w:style>
  <w:style w:type="paragraph" w:customStyle="1" w:styleId="PointDouble0">
    <w:name w:val="PointDouble 0"/>
    <w:basedOn w:val="Normal"/>
    <w:rsid w:val="00BB0CF3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BB0CF3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BB0CF3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BB0CF3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BB0CF3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BB0CF3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BB0CF3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BB0CF3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BB0CF3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BB0CF3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BB0CF3"/>
    <w:pPr>
      <w:numPr>
        <w:numId w:val="30"/>
      </w:numPr>
    </w:pPr>
  </w:style>
  <w:style w:type="paragraph" w:customStyle="1" w:styleId="NumPar2">
    <w:name w:val="NumPar 2"/>
    <w:basedOn w:val="Normal"/>
    <w:next w:val="Text1"/>
    <w:rsid w:val="00BB0CF3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rsid w:val="00BB0CF3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rsid w:val="00BB0CF3"/>
    <w:pPr>
      <w:numPr>
        <w:ilvl w:val="3"/>
        <w:numId w:val="30"/>
      </w:numPr>
    </w:pPr>
  </w:style>
  <w:style w:type="paragraph" w:customStyle="1" w:styleId="ManualNumPar1">
    <w:name w:val="Manual NumPar 1"/>
    <w:basedOn w:val="Normal"/>
    <w:next w:val="Text1"/>
    <w:rsid w:val="00BB0CF3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BB0CF3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BB0CF3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BB0CF3"/>
    <w:pPr>
      <w:ind w:left="850" w:hanging="850"/>
    </w:pPr>
  </w:style>
  <w:style w:type="paragraph" w:customStyle="1" w:styleId="QuotedNumPar">
    <w:name w:val="Quoted NumPar"/>
    <w:basedOn w:val="Normal"/>
    <w:rsid w:val="00BB0CF3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BB0CF3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BB0CF3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BB0CF3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BB0CF3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rsid w:val="00BB0CF3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BB0CF3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BB0CF3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BB0CF3"/>
    <w:pPr>
      <w:jc w:val="center"/>
    </w:pPr>
    <w:rPr>
      <w:b/>
    </w:rPr>
  </w:style>
  <w:style w:type="character" w:customStyle="1" w:styleId="Marker">
    <w:name w:val="Marker"/>
    <w:basedOn w:val="DefaultParagraphFont"/>
    <w:rsid w:val="00BB0CF3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BB0CF3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BB0CF3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BB0CF3"/>
    <w:pPr>
      <w:numPr>
        <w:numId w:val="17"/>
      </w:numPr>
    </w:pPr>
  </w:style>
  <w:style w:type="paragraph" w:customStyle="1" w:styleId="Point1number">
    <w:name w:val="Point 1 (number)"/>
    <w:basedOn w:val="Normal"/>
    <w:rsid w:val="00BB0CF3"/>
    <w:pPr>
      <w:numPr>
        <w:ilvl w:val="2"/>
        <w:numId w:val="17"/>
      </w:numPr>
    </w:pPr>
  </w:style>
  <w:style w:type="paragraph" w:customStyle="1" w:styleId="Point2number">
    <w:name w:val="Point 2 (number)"/>
    <w:basedOn w:val="Normal"/>
    <w:rsid w:val="00BB0CF3"/>
    <w:pPr>
      <w:numPr>
        <w:ilvl w:val="4"/>
        <w:numId w:val="17"/>
      </w:numPr>
    </w:pPr>
  </w:style>
  <w:style w:type="paragraph" w:customStyle="1" w:styleId="Point3number">
    <w:name w:val="Point 3 (number)"/>
    <w:basedOn w:val="Normal"/>
    <w:rsid w:val="00BB0CF3"/>
    <w:pPr>
      <w:numPr>
        <w:ilvl w:val="6"/>
        <w:numId w:val="17"/>
      </w:numPr>
    </w:pPr>
  </w:style>
  <w:style w:type="paragraph" w:customStyle="1" w:styleId="Point0letter">
    <w:name w:val="Point 0 (letter)"/>
    <w:basedOn w:val="Normal"/>
    <w:rsid w:val="00BB0CF3"/>
    <w:pPr>
      <w:numPr>
        <w:ilvl w:val="1"/>
        <w:numId w:val="17"/>
      </w:numPr>
    </w:pPr>
  </w:style>
  <w:style w:type="paragraph" w:customStyle="1" w:styleId="Point1letter">
    <w:name w:val="Point 1 (letter)"/>
    <w:basedOn w:val="Normal"/>
    <w:rsid w:val="00BB0CF3"/>
    <w:pPr>
      <w:numPr>
        <w:ilvl w:val="3"/>
        <w:numId w:val="17"/>
      </w:numPr>
    </w:pPr>
  </w:style>
  <w:style w:type="paragraph" w:customStyle="1" w:styleId="Point2letter">
    <w:name w:val="Point 2 (letter)"/>
    <w:basedOn w:val="Normal"/>
    <w:rsid w:val="00BB0CF3"/>
    <w:pPr>
      <w:numPr>
        <w:ilvl w:val="5"/>
        <w:numId w:val="17"/>
      </w:numPr>
    </w:pPr>
  </w:style>
  <w:style w:type="paragraph" w:customStyle="1" w:styleId="Point3letter">
    <w:name w:val="Point 3 (letter)"/>
    <w:basedOn w:val="Normal"/>
    <w:rsid w:val="00BB0CF3"/>
    <w:pPr>
      <w:numPr>
        <w:ilvl w:val="7"/>
        <w:numId w:val="17"/>
      </w:numPr>
    </w:pPr>
  </w:style>
  <w:style w:type="paragraph" w:customStyle="1" w:styleId="Point4letter">
    <w:name w:val="Point 4 (letter)"/>
    <w:basedOn w:val="Normal"/>
    <w:rsid w:val="00BB0CF3"/>
    <w:pPr>
      <w:numPr>
        <w:ilvl w:val="8"/>
        <w:numId w:val="17"/>
      </w:numPr>
    </w:pPr>
  </w:style>
  <w:style w:type="paragraph" w:customStyle="1" w:styleId="Bullet0">
    <w:name w:val="Bullet 0"/>
    <w:basedOn w:val="Normal"/>
    <w:rsid w:val="00BB0CF3"/>
    <w:pPr>
      <w:numPr>
        <w:numId w:val="18"/>
      </w:numPr>
    </w:pPr>
  </w:style>
  <w:style w:type="paragraph" w:customStyle="1" w:styleId="Bullet1">
    <w:name w:val="Bullet 1"/>
    <w:basedOn w:val="Normal"/>
    <w:rsid w:val="00BB0CF3"/>
    <w:pPr>
      <w:numPr>
        <w:numId w:val="19"/>
      </w:numPr>
    </w:pPr>
  </w:style>
  <w:style w:type="paragraph" w:customStyle="1" w:styleId="Bullet2">
    <w:name w:val="Bullet 2"/>
    <w:basedOn w:val="Normal"/>
    <w:rsid w:val="00BB0CF3"/>
    <w:pPr>
      <w:numPr>
        <w:numId w:val="20"/>
      </w:numPr>
    </w:pPr>
  </w:style>
  <w:style w:type="paragraph" w:customStyle="1" w:styleId="Bullet3">
    <w:name w:val="Bullet 3"/>
    <w:basedOn w:val="Normal"/>
    <w:rsid w:val="00BB0CF3"/>
    <w:pPr>
      <w:numPr>
        <w:numId w:val="21"/>
      </w:numPr>
    </w:pPr>
  </w:style>
  <w:style w:type="paragraph" w:customStyle="1" w:styleId="Bullet4">
    <w:name w:val="Bullet 4"/>
    <w:basedOn w:val="Normal"/>
    <w:rsid w:val="00BB0CF3"/>
    <w:pPr>
      <w:numPr>
        <w:numId w:val="22"/>
      </w:numPr>
    </w:pPr>
  </w:style>
  <w:style w:type="paragraph" w:customStyle="1" w:styleId="Langue">
    <w:name w:val="Langue"/>
    <w:basedOn w:val="Normal"/>
    <w:next w:val="Rfrenceinterne"/>
    <w:rsid w:val="00BB0CF3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BB0CF3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BB0CF3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BB0CF3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BB0CF3"/>
    <w:pPr>
      <w:spacing w:before="0" w:after="0"/>
    </w:pPr>
  </w:style>
  <w:style w:type="paragraph" w:customStyle="1" w:styleId="Disclaimer">
    <w:name w:val="Disclaimer"/>
    <w:basedOn w:val="Normal"/>
    <w:rsid w:val="00BB0CF3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BB0CF3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BB0CF3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BB0CF3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BB0CF3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BB0CF3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BB0CF3"/>
    <w:pPr>
      <w:numPr>
        <w:numId w:val="23"/>
      </w:numPr>
    </w:pPr>
  </w:style>
  <w:style w:type="paragraph" w:customStyle="1" w:styleId="Corrigendum">
    <w:name w:val="Corrigendum"/>
    <w:basedOn w:val="Normal"/>
    <w:next w:val="Normal"/>
    <w:rsid w:val="00BB0CF3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BB0CF3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BB0CF3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BB0CF3"/>
    <w:pPr>
      <w:keepNext/>
    </w:pPr>
  </w:style>
  <w:style w:type="paragraph" w:customStyle="1" w:styleId="Institutionquiagit">
    <w:name w:val="Institution qui agit"/>
    <w:basedOn w:val="Normal"/>
    <w:next w:val="Normal"/>
    <w:rsid w:val="00BB0CF3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BB0CF3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BB0CF3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BB0CF3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BB0CF3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BB0CF3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BB0CF3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BB0CF3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BB0CF3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BB0CF3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BB0CF3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BB0CF3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BB0CF3"/>
    <w:rPr>
      <w:i/>
      <w:caps/>
    </w:rPr>
  </w:style>
  <w:style w:type="paragraph" w:customStyle="1" w:styleId="Supertitre">
    <w:name w:val="Supertitre"/>
    <w:basedOn w:val="Normal"/>
    <w:next w:val="Normal"/>
    <w:rsid w:val="00BB0CF3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BB0CF3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BB0CF3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BB0CF3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BB0CF3"/>
  </w:style>
  <w:style w:type="paragraph" w:customStyle="1" w:styleId="StatutPagedecouverture">
    <w:name w:val="Statut (Page de couverture)"/>
    <w:basedOn w:val="Statut"/>
    <w:next w:val="TypedudocumentPagedecouverture"/>
    <w:rsid w:val="00BB0CF3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BB0CF3"/>
  </w:style>
  <w:style w:type="paragraph" w:customStyle="1" w:styleId="Volume">
    <w:name w:val="Volum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BB0CF3"/>
    <w:pPr>
      <w:spacing w:after="240"/>
    </w:pPr>
  </w:style>
  <w:style w:type="paragraph" w:customStyle="1" w:styleId="Accompagnant">
    <w:name w:val="Accompagnant"/>
    <w:basedOn w:val="Normal"/>
    <w:next w:val="Typeacteprincipal"/>
    <w:rsid w:val="00BB0CF3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BB0CF3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BB0CF3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BB0CF3"/>
  </w:style>
  <w:style w:type="paragraph" w:customStyle="1" w:styleId="AccompagnantPagedecouverture">
    <w:name w:val="Accompagnant (Page de couverture)"/>
    <w:basedOn w:val="Accompagnant"/>
    <w:next w:val="TypeacteprincipalPagedecouverture"/>
    <w:rsid w:val="00BB0CF3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BB0CF3"/>
  </w:style>
  <w:style w:type="paragraph" w:customStyle="1" w:styleId="ObjetacteprincipalPagedecouverture">
    <w:name w:val="Objet acte principal (Page de couverture)"/>
    <w:basedOn w:val="Objetacteprincipal"/>
    <w:next w:val="Rfrencecroise"/>
    <w:rsid w:val="00BB0CF3"/>
  </w:style>
  <w:style w:type="paragraph" w:customStyle="1" w:styleId="LanguesfaisantfoiPagedecouverture">
    <w:name w:val="Langues faisant foi (Page de couverture)"/>
    <w:basedOn w:val="Normal"/>
    <w:next w:val="Normal"/>
    <w:rsid w:val="00BB0CF3"/>
    <w:pPr>
      <w:spacing w:before="360" w:after="0"/>
      <w:jc w:val="center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0574B0"/>
    <w:rPr>
      <w:rFonts w:ascii="Times New Roman" w:eastAsiaTheme="majorEastAsia" w:hAnsi="Times New Roman" w:cs="Times New Roman"/>
      <w:sz w:val="24"/>
      <w:lang w:val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4B0"/>
    <w:rPr>
      <w:rFonts w:ascii="Times New Roman" w:eastAsiaTheme="majorEastAsia" w:hAnsi="Times New Roman" w:cs="Times New Roman"/>
      <w:iCs/>
      <w:sz w:val="24"/>
      <w:lang w:val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4B0"/>
    <w:rPr>
      <w:rFonts w:ascii="Times New Roman" w:eastAsiaTheme="majorEastAsia" w:hAnsi="Times New Roman" w:cs="Times New Roman"/>
      <w:iCs/>
      <w:sz w:val="24"/>
      <w:lang w:val="fr-FR"/>
    </w:rPr>
  </w:style>
  <w:style w:type="paragraph" w:customStyle="1" w:styleId="ManualHeading5">
    <w:name w:val="Manual Heading 5"/>
    <w:basedOn w:val="Normal"/>
    <w:next w:val="Text2"/>
    <w:rsid w:val="000574B0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0574B0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0574B0"/>
    <w:pPr>
      <w:keepNext/>
      <w:tabs>
        <w:tab w:val="left" w:pos="1417"/>
      </w:tabs>
      <w:ind w:left="1417" w:hanging="1417"/>
      <w:outlineLvl w:val="6"/>
    </w:pPr>
  </w:style>
  <w:style w:type="paragraph" w:customStyle="1" w:styleId="Text5">
    <w:name w:val="Text 5"/>
    <w:basedOn w:val="Normal"/>
    <w:rsid w:val="000574B0"/>
    <w:pPr>
      <w:ind w:left="3118"/>
    </w:pPr>
  </w:style>
  <w:style w:type="paragraph" w:customStyle="1" w:styleId="Text6">
    <w:name w:val="Text 6"/>
    <w:basedOn w:val="Normal"/>
    <w:rsid w:val="000574B0"/>
    <w:pPr>
      <w:ind w:left="3685"/>
    </w:pPr>
  </w:style>
  <w:style w:type="paragraph" w:customStyle="1" w:styleId="Point5">
    <w:name w:val="Point 5"/>
    <w:basedOn w:val="Normal"/>
    <w:rsid w:val="000574B0"/>
    <w:pPr>
      <w:ind w:left="3685" w:hanging="567"/>
    </w:pPr>
  </w:style>
  <w:style w:type="paragraph" w:customStyle="1" w:styleId="Tiret5">
    <w:name w:val="Tiret 5"/>
    <w:basedOn w:val="Point5"/>
    <w:rsid w:val="000574B0"/>
    <w:pPr>
      <w:numPr>
        <w:numId w:val="27"/>
      </w:numPr>
    </w:pPr>
  </w:style>
  <w:style w:type="paragraph" w:customStyle="1" w:styleId="NumPar5">
    <w:name w:val="NumPar 5"/>
    <w:basedOn w:val="Normal"/>
    <w:next w:val="Text2"/>
    <w:rsid w:val="000574B0"/>
    <w:pPr>
      <w:numPr>
        <w:ilvl w:val="4"/>
        <w:numId w:val="30"/>
      </w:numPr>
    </w:pPr>
  </w:style>
  <w:style w:type="paragraph" w:customStyle="1" w:styleId="NumPar6">
    <w:name w:val="NumPar 6"/>
    <w:basedOn w:val="Normal"/>
    <w:next w:val="Text2"/>
    <w:rsid w:val="000574B0"/>
    <w:pPr>
      <w:numPr>
        <w:ilvl w:val="5"/>
        <w:numId w:val="30"/>
      </w:numPr>
    </w:pPr>
  </w:style>
  <w:style w:type="paragraph" w:customStyle="1" w:styleId="NumPar7">
    <w:name w:val="NumPar 7"/>
    <w:basedOn w:val="Normal"/>
    <w:next w:val="Text2"/>
    <w:rsid w:val="000574B0"/>
    <w:pPr>
      <w:numPr>
        <w:ilvl w:val="6"/>
        <w:numId w:val="30"/>
      </w:numPr>
    </w:pPr>
  </w:style>
  <w:style w:type="paragraph" w:customStyle="1" w:styleId="ManualNumPar5">
    <w:name w:val="Manual NumPar 5"/>
    <w:basedOn w:val="Normal"/>
    <w:next w:val="Text2"/>
    <w:rsid w:val="000574B0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0574B0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0574B0"/>
    <w:pPr>
      <w:ind w:left="1417" w:hanging="14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19</cp:revision>
  <dcterms:created xsi:type="dcterms:W3CDTF">2021-12-17T13:33:00Z</dcterms:created>
  <dcterms:modified xsi:type="dcterms:W3CDTF">2021-12-22T09:35:00Z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7.0.9.0</vt:lpwstr>
  </property>
  <property fmtid="{D5CDD505-2E9C-101B-9397-08002B2CF9AE}" pid="4" name="Last edited using">
    <vt:lpwstr>LW 7.0.1, Build 20200226</vt:lpwstr>
  </property>
  <property fmtid="{D5CDD505-2E9C-101B-9397-08002B2CF9AE}" pid="5" name="Created using">
    <vt:lpwstr>LW 7.0.1, Build 20200226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