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053F0B36-9FF4-4262-A16D-DAF7FE417F8B" style="width:450.75pt;height:424.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p>
    <w:p>
      <w:pPr>
        <w:spacing w:before="360" w:after="0"/>
        <w:jc w:val="center"/>
        <w:rPr>
          <w:b/>
          <w:noProof/>
        </w:rPr>
      </w:pPr>
      <w:r>
        <w:rPr>
          <w:b/>
          <w:noProof/>
        </w:rPr>
        <w:t>Luonnos</w:t>
      </w:r>
      <w:r>
        <w:rPr>
          <w:noProof/>
        </w:rPr>
        <w:t xml:space="preserve"> </w:t>
      </w:r>
      <w:r>
        <w:rPr>
          <w:noProof/>
        </w:rPr>
        <w:br/>
        <w:t xml:space="preserve"> </w:t>
      </w:r>
      <w:r>
        <w:rPr>
          <w:noProof/>
        </w:rPr>
        <w:br/>
      </w:r>
      <w:r>
        <w:rPr>
          <w:b/>
          <w:noProof/>
        </w:rPr>
        <w:t>EU–TURKKI-SEKAKOMITEAN PÄÄTÖS N:o ...</w:t>
      </w:r>
    </w:p>
    <w:p>
      <w:pPr>
        <w:spacing w:before="360" w:after="0"/>
        <w:jc w:val="center"/>
        <w:rPr>
          <w:b/>
          <w:noProof/>
        </w:rPr>
      </w:pPr>
      <w:r>
        <w:rPr>
          <w:b/>
          <w:noProof/>
        </w:rPr>
        <w:t>annettu … päivänä …kuuta …</w:t>
      </w:r>
    </w:p>
    <w:p>
      <w:pPr>
        <w:spacing w:before="360" w:after="0"/>
        <w:jc w:val="center"/>
        <w:rPr>
          <w:b/>
          <w:noProof/>
        </w:rPr>
      </w:pPr>
      <w:r>
        <w:rPr>
          <w:b/>
          <w:noProof/>
        </w:rPr>
        <w:t>Euroopan hiili- ja teräsyhteisön perustamissopimuksen soveltamisalaan kuuluvien tuotteiden kaupasta tehdyn Euroopan hiili- ja teräsyhteisön ja Turkin tasavallan välisen sopimuksen käsitteen ”alkuperätuotteet” määrittelyä ja hallinnollisen yhteistyön menetelmiä koskevan pöytäkirjan N:o 1 muuttamisesta</w:t>
      </w:r>
    </w:p>
    <w:p>
      <w:pPr>
        <w:keepNext/>
        <w:spacing w:before="600"/>
        <w:rPr>
          <w:caps/>
          <w:noProof/>
        </w:rPr>
      </w:pPr>
      <w:r>
        <w:rPr>
          <w:caps/>
          <w:noProof/>
        </w:rPr>
        <w:t>EU–TURKKI-SEKAKOMITEA, joka</w:t>
      </w:r>
    </w:p>
    <w:p>
      <w:pPr>
        <w:rPr>
          <w:noProof/>
        </w:rPr>
      </w:pPr>
      <w:r>
        <w:rPr>
          <w:noProof/>
        </w:rPr>
        <w:t>ottaa huomioon Euroopan hiili- ja teräsyhteisön perustamissopimuksen soveltamisalaan kuuluvien tuotteiden kaupasta tehdyn Euroopan hiili- ja teräsyhteisön ja Turkin tasavallan välisen sopimuksen</w:t>
      </w:r>
      <w:r>
        <w:rPr>
          <w:rStyle w:val="FootnoteReference"/>
          <w:noProof/>
        </w:rPr>
        <w:footnoteReference w:id="2"/>
      </w:r>
      <w:r>
        <w:rPr>
          <w:noProof/>
        </w:rPr>
        <w:t xml:space="preserve"> ja erityisesti sen käsitteen ”alkuperätuotteet” määrittelyä ja hallinnollisen yhteistyön menetelmiä koskevassa pöytäkirjassa N:o 1 olevan 39 artiklan,</w:t>
      </w:r>
    </w:p>
    <w:p>
      <w:pPr>
        <w:rPr>
          <w:noProof/>
        </w:rPr>
      </w:pPr>
      <w:r>
        <w:rPr>
          <w:noProof/>
        </w:rPr>
        <w:t>sekä katsoo seuraavaa:</w:t>
      </w:r>
    </w:p>
    <w:p>
      <w:pPr>
        <w:pStyle w:val="Point0number"/>
        <w:numPr>
          <w:ilvl w:val="0"/>
          <w:numId w:val="1"/>
        </w:numPr>
        <w:rPr>
          <w:noProof/>
        </w:rPr>
      </w:pPr>
      <w:r>
        <w:rPr>
          <w:noProof/>
        </w:rPr>
        <w:t>Euroopan hiili- ja teräsyhteisön perustamissopimuksen soveltamisalaan kuuluvien tuotteiden kaupasta tehdyn Euroopan hiili- ja teräsyhteisön ja Turkin tasavallan välisen sopimuksen, jäljempänä ’sopimus’, 6 artiklan 2 kohdassa viitataan sopimuksen pöytäkirjaan N:o 1, jäljempänä ’pöytäkirja N:o 1’, jossa vahvistetaan alkuperäsäännöt.</w:t>
      </w:r>
    </w:p>
    <w:p>
      <w:pPr>
        <w:pStyle w:val="Point0number"/>
        <w:ind w:left="851" w:hanging="851"/>
        <w:rPr>
          <w:noProof/>
        </w:rPr>
      </w:pPr>
      <w:r>
        <w:rPr>
          <w:noProof/>
        </w:rPr>
        <w:t>Pöytäkirjassa N:o 1 olevassa 39 artiklassa määrätään, että sopimuksen 14 artiklalla perustettu sekakomitea voi päättää mainitun pöytäkirjan määräysten muuttamisesta.</w:t>
      </w:r>
    </w:p>
    <w:p>
      <w:pPr>
        <w:pStyle w:val="Point0number"/>
        <w:rPr>
          <w:noProof/>
        </w:rPr>
      </w:pPr>
      <w:r>
        <w:rPr>
          <w:noProof/>
        </w:rPr>
        <w:t>Etuuskohteluun oikeuttavia Paneurooppa-Välimeri-alkuperäsääntöjä koskevan alueellisen yleissopimuksen</w:t>
      </w:r>
      <w:r>
        <w:rPr>
          <w:rStyle w:val="FootnoteReference"/>
          <w:noProof/>
        </w:rPr>
        <w:footnoteReference w:id="3"/>
      </w:r>
      <w:r>
        <w:rPr>
          <w:noProof/>
        </w:rPr>
        <w:t>, jäljempänä ’yleissopimus’, tarkoituksena on saattaa nykyiset kahdenväliset alkuperäsääntöjärjestelmät monenväliseen kehykseen, sanotun kuitenkaan rajoittamatta sopimuspuolten välillä tehdyissä asiaankuuluvissa sopimuksissa määrättyjen periaatteiden noudattamista.</w:t>
      </w:r>
    </w:p>
    <w:p>
      <w:pPr>
        <w:pStyle w:val="Point0number"/>
        <w:rPr>
          <w:noProof/>
        </w:rPr>
      </w:pPr>
      <w:r>
        <w:rPr>
          <w:noProof/>
        </w:rPr>
        <w:t>Euroopan unioni allekirjoitti yleissopimuksen 15 päivänä kesäkuuta 2011 ja Turkki 4 päivänä marraskuuta 2011.</w:t>
      </w:r>
    </w:p>
    <w:p>
      <w:pPr>
        <w:pStyle w:val="Point0number"/>
        <w:rPr>
          <w:noProof/>
        </w:rPr>
      </w:pPr>
      <w:r>
        <w:rPr>
          <w:noProof/>
        </w:rPr>
        <w:t>Euroopan unioni talletti hyväksymiskirjansa yleissopimuksen tallettajalle 26 päivänä maaliskuuta 2012 ja Turkki 4 päivänä joulukuuta 2013. Näin ollen yleissopimus tuli voimaan sen 10 artiklan 3 kohdan mukaisesti Euroopan unionin osalta 1 päivänä toukokuuta 2012 ja Turkin osalta 1 päivänä helmikuuta 2014.</w:t>
      </w:r>
    </w:p>
    <w:p>
      <w:pPr>
        <w:pStyle w:val="Point0number"/>
        <w:rPr>
          <w:noProof/>
        </w:rPr>
      </w:pPr>
      <w:r>
        <w:rPr>
          <w:noProof/>
        </w:rPr>
        <w:t>Euroopan unioni ja Turkki sopivat ottavansa käyttöön muutetut säännöt, joita voitaisiin käyttää kahdenvälisesti vaihtoehtona yleissopimuksen alkuperäsääntöjen soveltamiselle siihen asti, kun siirtymäsääntöjen perustana oleva yleissopimukseen tekeillä oleva muutos saadaan valmiiksi ja tulee voimaan.</w:t>
      </w:r>
    </w:p>
    <w:p>
      <w:pPr>
        <w:pStyle w:val="Point0number"/>
        <w:rPr>
          <w:noProof/>
        </w:rPr>
      </w:pPr>
      <w:r>
        <w:rPr>
          <w:noProof/>
        </w:rPr>
        <w:t>Sen vuoksi pöytäkirjaa N:o 1 olisi muutettava, jotta siinä olisi dynaaminen viittaus yleissopimukseen, sellaisena kuin se on mahdollisesti myöhemmin muutettuna, ja jotta siinä vahvistettaisiin vaihtoehtoiset säännöt,</w:t>
      </w:r>
    </w:p>
    <w:p>
      <w:pPr>
        <w:keepNext/>
        <w:rPr>
          <w:noProof/>
        </w:rPr>
      </w:pPr>
      <w:r>
        <w:rPr>
          <w:noProof/>
        </w:rPr>
        <w:t>ON HYVÄKSYNYT TÄMÄN PÄÄTÖKSEN:</w:t>
      </w:r>
    </w:p>
    <w:p>
      <w:pPr>
        <w:keepNext/>
        <w:spacing w:before="360"/>
        <w:jc w:val="center"/>
        <w:rPr>
          <w:i/>
          <w:noProof/>
        </w:rPr>
      </w:pPr>
      <w:r>
        <w:rPr>
          <w:i/>
          <w:noProof/>
        </w:rPr>
        <w:t>1 artikla</w:t>
      </w:r>
    </w:p>
    <w:p>
      <w:pPr>
        <w:rPr>
          <w:noProof/>
        </w:rPr>
      </w:pPr>
      <w:r>
        <w:rPr>
          <w:noProof/>
        </w:rPr>
        <w:t>Korvataan Euroopan hiili- ja teräsyhteisön perustamissopimuksen soveltamisalaan kuuluvien tuotteiden kaupasta tehdyn Euroopan hiili- ja teräsyhteisön ja Turkin tasavallan välisen sopimuksen käsitteen ”alkuperätuotteet” määrittelyä ja hallinnollisen yhteistyön menetelmiä koskeva pöytäkirja N:o 1 tämän päätöksen liitteessä olevalla tekstillä.</w:t>
      </w:r>
    </w:p>
    <w:p>
      <w:pPr>
        <w:keepNext/>
        <w:spacing w:before="360"/>
        <w:jc w:val="center"/>
        <w:rPr>
          <w:i/>
          <w:noProof/>
        </w:rPr>
      </w:pPr>
      <w:r>
        <w:rPr>
          <w:i/>
          <w:noProof/>
        </w:rPr>
        <w:t>2 artikla</w:t>
      </w:r>
    </w:p>
    <w:p>
      <w:pPr>
        <w:rPr>
          <w:noProof/>
        </w:rPr>
      </w:pPr>
      <w:r>
        <w:rPr>
          <w:noProof/>
        </w:rPr>
        <w:t>Tämä päätös tulee voimaan päivänä, jona se hyväksytään.</w:t>
      </w:r>
    </w:p>
    <w:p>
      <w:pPr>
        <w:rPr>
          <w:noProof/>
        </w:rPr>
      </w:pPr>
      <w:r>
        <w:rPr>
          <w:noProof/>
        </w:rPr>
        <w:t>Sitä sovelletaan … päivästä …kuuta ….</w:t>
      </w:r>
    </w:p>
    <w:p>
      <w:pPr>
        <w:keepNext/>
        <w:spacing w:after="0"/>
        <w:rPr>
          <w:noProof/>
        </w:rPr>
      </w:pPr>
      <w:r>
        <w:rPr>
          <w:noProof/>
        </w:rPr>
        <w:t>Tehty</w:t>
      </w:r>
    </w:p>
    <w:p>
      <w:pPr>
        <w:keepNext/>
        <w:tabs>
          <w:tab w:val="left" w:pos="4252"/>
        </w:tabs>
        <w:spacing w:before="720" w:after="0"/>
        <w:rPr>
          <w:i/>
          <w:noProof/>
        </w:rPr>
      </w:pPr>
      <w:r>
        <w:rPr>
          <w:noProof/>
        </w:rPr>
        <w:tab/>
      </w:r>
      <w:r>
        <w:rPr>
          <w:i/>
          <w:noProof/>
        </w:rPr>
        <w:t>Sekakomitean puolesta</w:t>
      </w:r>
    </w:p>
    <w:p>
      <w:pPr>
        <w:tabs>
          <w:tab w:val="left" w:pos="4252"/>
        </w:tabs>
        <w:spacing w:before="0" w:after="0"/>
        <w:jc w:val="left"/>
        <w:rPr>
          <w:i/>
          <w:noProof/>
        </w:rPr>
      </w:pPr>
      <w:r>
        <w:rPr>
          <w:noProof/>
        </w:rPr>
        <w:tab/>
      </w:r>
      <w:r>
        <w:rPr>
          <w:i/>
          <w:noProof/>
        </w:rPr>
        <w:t>Puheenjohtaja</w:t>
      </w:r>
    </w:p>
    <w:p>
      <w:pPr>
        <w:pStyle w:val="Point0number"/>
        <w:rPr>
          <w:noProof/>
        </w:rPr>
        <w:sectPr>
          <w:footerReference w:type="default" r:id="rId16"/>
          <w:footerReference w:type="first" r:id="rId17"/>
          <w:footnotePr>
            <w:numRestart w:val="eachSect"/>
          </w:footnotePr>
          <w:pgSz w:w="11907" w:h="16839"/>
          <w:pgMar w:top="1134" w:right="1417" w:bottom="1134" w:left="1417" w:header="709" w:footer="709" w:gutter="0"/>
          <w:cols w:space="708"/>
          <w:docGrid w:linePitch="360"/>
        </w:sectPr>
      </w:pPr>
      <w:bookmarkStart w:id="1" w:name="DQCNUMB_1"/>
      <w:bookmarkEnd w:id="1"/>
    </w:p>
    <w:p>
      <w:pPr>
        <w:spacing w:before="0" w:after="240"/>
        <w:jc w:val="center"/>
        <w:rPr>
          <w:i/>
          <w:smallCaps/>
          <w:noProof/>
          <w:szCs w:val="20"/>
        </w:rPr>
      </w:pPr>
      <w:r>
        <w:rPr>
          <w:i/>
          <w:smallCaps/>
          <w:noProof/>
          <w:szCs w:val="20"/>
        </w:rPr>
        <w:t>Liite</w:t>
      </w:r>
    </w:p>
    <w:p>
      <w:pPr>
        <w:spacing w:before="0" w:after="240"/>
        <w:jc w:val="center"/>
        <w:rPr>
          <w:b/>
          <w:noProof/>
        </w:rPr>
      </w:pPr>
      <w:r>
        <w:rPr>
          <w:b/>
          <w:noProof/>
        </w:rPr>
        <w:t>”Pöytäkirja N:o 1</w:t>
      </w:r>
    </w:p>
    <w:p>
      <w:pPr>
        <w:spacing w:before="0" w:after="240"/>
        <w:jc w:val="center"/>
        <w:rPr>
          <w:b/>
          <w:noProof/>
        </w:rPr>
      </w:pPr>
      <w:r>
        <w:rPr>
          <w:b/>
          <w:noProof/>
        </w:rPr>
        <w:t>käsitteen ”peräisin olevat tuotteet” (”alkuperätuotteet”) määrittelystä ja hallinnollisen yhteistyön menetelmistä</w:t>
      </w:r>
    </w:p>
    <w:p>
      <w:pPr>
        <w:keepNext/>
        <w:spacing w:before="360"/>
        <w:jc w:val="center"/>
        <w:rPr>
          <w:i/>
          <w:noProof/>
        </w:rPr>
      </w:pPr>
      <w:r>
        <w:rPr>
          <w:i/>
          <w:noProof/>
        </w:rPr>
        <w:t>1 artikla</w:t>
      </w:r>
    </w:p>
    <w:p>
      <w:pPr>
        <w:spacing w:before="0" w:after="240"/>
        <w:jc w:val="center"/>
        <w:rPr>
          <w:b/>
          <w:noProof/>
        </w:rPr>
      </w:pPr>
      <w:r>
        <w:rPr>
          <w:b/>
          <w:noProof/>
        </w:rPr>
        <w:t>Sovellettavat alkuperäsäännöt</w:t>
      </w:r>
    </w:p>
    <w:p>
      <w:pPr>
        <w:rPr>
          <w:noProof/>
        </w:rPr>
      </w:pPr>
      <w:r>
        <w:rPr>
          <w:noProof/>
        </w:rPr>
        <w:t>1.</w:t>
      </w:r>
      <w:r>
        <w:rPr>
          <w:noProof/>
        </w:rPr>
        <w:tab/>
        <w:t>Tämän sopimuksen panemiseksi täytäntöön sovelletaan etuuskohteluun oikeuttavia Paneurooppa–Välimeri-alkuperäsääntöjä koskevan alueellisen yleissopimuksen</w:t>
      </w:r>
      <w:r>
        <w:rPr>
          <w:rStyle w:val="FootnoteReference"/>
          <w:noProof/>
        </w:rPr>
        <w:footnoteReference w:id="4"/>
      </w:r>
      <w:r>
        <w:rPr>
          <w:noProof/>
        </w:rPr>
        <w:t>, jäljempänä ’yleissopimus’, sellaisena kuin se on mahdollisesti myöhemmin muutettuna ja julkaistuna Euroopan unionin virallisessa lehdessä, lisäystä I ja lisäyksen II asiaankuuluvia määräyksiä.</w:t>
      </w:r>
    </w:p>
    <w:p>
      <w:pPr>
        <w:rPr>
          <w:noProof/>
        </w:rPr>
      </w:pPr>
      <w:r>
        <w:rPr>
          <w:noProof/>
        </w:rPr>
        <w:t>2.</w:t>
      </w:r>
      <w:r>
        <w:rPr>
          <w:noProof/>
        </w:rPr>
        <w:tab/>
        <w:t>Kaikki etuuskohteluun oikeuttavia Paneurooppa–Välimeri-alkuperäsääntöjä koskevan alueellisen yleissopimuksen lisäyksessä I ja lisäyksen II asiaankuuluvissa määräyksissä olevat viittaukset ”asiaankuuluvaan sopimukseen” katsotaan viittauksiksi tähän sopimukseen.</w:t>
      </w:r>
    </w:p>
    <w:p>
      <w:pPr>
        <w:rPr>
          <w:noProof/>
        </w:rPr>
      </w:pPr>
      <w:r>
        <w:rPr>
          <w:noProof/>
        </w:rPr>
        <w:t>3.</w:t>
      </w:r>
      <w:r>
        <w:rPr>
          <w:noProof/>
        </w:rPr>
        <w:tab/>
        <w:t>Sen estämättä, mitä yleissopimuksen lisäyksessä I olevan 16 artiklan 5 kohdassa ja 21 artiklan 3 kohdassa määrätään, silloin kun kumulaatioon osallistuu ainoastaan EFTA-valtioita, Färsaaret, Euroopan unioni, Turkki, vakautus- ja assosiaatioprosessin osallistujia, Moldovan tasavalta, Georgia ja Ukraina, alkuperäselvityksenä voidaan käyttää EUR.1-tavaratodistusta tai alkuperäilmoitusta.</w:t>
      </w:r>
    </w:p>
    <w:p>
      <w:pPr>
        <w:rPr>
          <w:noProof/>
        </w:rPr>
      </w:pPr>
    </w:p>
    <w:p>
      <w:pPr>
        <w:keepNext/>
        <w:spacing w:before="360"/>
        <w:jc w:val="center"/>
        <w:rPr>
          <w:i/>
          <w:noProof/>
        </w:rPr>
      </w:pPr>
      <w:r>
        <w:rPr>
          <w:i/>
          <w:noProof/>
        </w:rPr>
        <w:t>2 artikla</w:t>
      </w:r>
    </w:p>
    <w:p>
      <w:pPr>
        <w:spacing w:before="0" w:after="240"/>
        <w:jc w:val="center"/>
        <w:rPr>
          <w:b/>
          <w:noProof/>
        </w:rPr>
      </w:pPr>
      <w:r>
        <w:rPr>
          <w:b/>
          <w:noProof/>
        </w:rPr>
        <w:t>Vaihtoehtoisesti sovellettavat alkuperäsäännöt</w:t>
      </w:r>
    </w:p>
    <w:p>
      <w:pPr>
        <w:rPr>
          <w:noProof/>
        </w:rPr>
      </w:pPr>
      <w:r>
        <w:rPr>
          <w:noProof/>
        </w:rPr>
        <w:t>1.</w:t>
      </w:r>
      <w:r>
        <w:rPr>
          <w:noProof/>
        </w:rPr>
        <w:tab/>
        <w:t xml:space="preserve">Sen estämättä, mitä 1 artiklassa määrätään, pantaessa tätä sopimusta täytäntöön pidetään tuotteita, jotka saavat etuuskohteluun oikeuttavan alkuperäaseman tämän pöytäkirjan lisäyksen A määräysten mukaisesti, pidetään myös Euroopan unionin tai Turkin alkuperätuotteina. </w:t>
      </w:r>
    </w:p>
    <w:p>
      <w:pPr>
        <w:rPr>
          <w:noProof/>
        </w:rPr>
      </w:pPr>
      <w:r>
        <w:rPr>
          <w:noProof/>
        </w:rPr>
        <w:t>2.</w:t>
      </w:r>
      <w:r>
        <w:rPr>
          <w:noProof/>
        </w:rPr>
        <w:tab/>
        <w:t>Vaihtoehtoisia sääntöjä sovelletaan siihen asti, kun vaihtoehtoisten sääntöjen perustana oleva yleissopimuksen muutos tulee voimaan.</w:t>
      </w:r>
    </w:p>
    <w:p>
      <w:pPr>
        <w:keepNext/>
        <w:spacing w:before="360"/>
        <w:jc w:val="center"/>
        <w:rPr>
          <w:i/>
          <w:noProof/>
        </w:rPr>
      </w:pPr>
      <w:r>
        <w:rPr>
          <w:i/>
          <w:noProof/>
        </w:rPr>
        <w:t>3 artikla</w:t>
      </w:r>
    </w:p>
    <w:p>
      <w:pPr>
        <w:spacing w:before="0" w:after="240"/>
        <w:jc w:val="center"/>
        <w:rPr>
          <w:b/>
          <w:noProof/>
        </w:rPr>
      </w:pPr>
      <w:r>
        <w:rPr>
          <w:b/>
          <w:noProof/>
        </w:rPr>
        <w:t>Riitojen ratkaiseminen</w:t>
      </w:r>
    </w:p>
    <w:p>
      <w:pPr>
        <w:rPr>
          <w:noProof/>
        </w:rPr>
      </w:pPr>
      <w:r>
        <w:rPr>
          <w:noProof/>
        </w:rPr>
        <w:t>1.</w:t>
      </w:r>
      <w:r>
        <w:rPr>
          <w:noProof/>
        </w:rPr>
        <w:tab/>
        <w:t>Jos yleissopimuksen lisäyksessä I olevassa 32 artiklassa tai tämän pöytäkirjan lisäyksessä A olevassa 34 artiklassa määrätyistä tarkastusmenettelyistä syntyy riita, jota tarkastusta pyytävät ja kyseisen tarkastuksen tekemisestä vastaavat tulliviranomaiset eivät pysty sopimaan keskenään, asia saatetaan sekakomitean ratkaistavaksi.</w:t>
      </w:r>
    </w:p>
    <w:p>
      <w:pPr>
        <w:rPr>
          <w:noProof/>
        </w:rPr>
      </w:pPr>
      <w:r>
        <w:rPr>
          <w:noProof/>
        </w:rPr>
        <w:t>2.</w:t>
      </w:r>
      <w:r>
        <w:rPr>
          <w:noProof/>
        </w:rPr>
        <w:tab/>
        <w:t>Tuojan ja tuojamaan tulliviranomaisten väliset riidat ratkaistaan aina kyseisen maan lainsäädännön mukaisesti.</w:t>
      </w:r>
    </w:p>
    <w:p>
      <w:pPr>
        <w:rPr>
          <w:noProof/>
        </w:rPr>
      </w:pPr>
    </w:p>
    <w:p>
      <w:pPr>
        <w:keepNext/>
        <w:spacing w:before="360"/>
        <w:jc w:val="center"/>
        <w:rPr>
          <w:i/>
          <w:noProof/>
        </w:rPr>
      </w:pPr>
      <w:r>
        <w:rPr>
          <w:i/>
          <w:noProof/>
        </w:rPr>
        <w:t>4 artikla</w:t>
      </w:r>
    </w:p>
    <w:p>
      <w:pPr>
        <w:spacing w:before="0" w:after="240"/>
        <w:jc w:val="center"/>
        <w:rPr>
          <w:b/>
          <w:noProof/>
        </w:rPr>
      </w:pPr>
      <w:r>
        <w:rPr>
          <w:b/>
          <w:noProof/>
        </w:rPr>
        <w:t>Pöytäkirjan muuttaminen</w:t>
      </w:r>
    </w:p>
    <w:p>
      <w:pPr>
        <w:rPr>
          <w:noProof/>
        </w:rPr>
      </w:pPr>
      <w:r>
        <w:rPr>
          <w:noProof/>
        </w:rPr>
        <w:t>Sekakomitea voi päättää tämän pöytäkirjan määräysten muuttamisesta.</w:t>
      </w:r>
    </w:p>
    <w:p>
      <w:pPr>
        <w:rPr>
          <w:noProof/>
        </w:rPr>
      </w:pPr>
    </w:p>
    <w:p>
      <w:pPr>
        <w:keepNext/>
        <w:spacing w:before="360"/>
        <w:jc w:val="center"/>
        <w:rPr>
          <w:i/>
          <w:noProof/>
        </w:rPr>
      </w:pPr>
      <w:r>
        <w:rPr>
          <w:i/>
          <w:noProof/>
        </w:rPr>
        <w:t>5 artikla</w:t>
      </w:r>
    </w:p>
    <w:p>
      <w:pPr>
        <w:spacing w:before="0" w:after="240"/>
        <w:jc w:val="center"/>
        <w:rPr>
          <w:b/>
          <w:noProof/>
        </w:rPr>
      </w:pPr>
      <w:r>
        <w:rPr>
          <w:b/>
          <w:noProof/>
        </w:rPr>
        <w:t>Yleissopimuksen irtisanominen</w:t>
      </w:r>
    </w:p>
    <w:p>
      <w:pPr>
        <w:rPr>
          <w:noProof/>
        </w:rPr>
      </w:pPr>
      <w:r>
        <w:rPr>
          <w:noProof/>
        </w:rPr>
        <w:t>1.</w:t>
      </w:r>
      <w:r>
        <w:rPr>
          <w:noProof/>
        </w:rPr>
        <w:tab/>
        <w:t>Jos joko Euroopan unioni tai Turkki ilmoittaa kirjallisesti yleissopimuksen tallettajalle aikeestaan irtisanoa yleissopimus sen 9 artiklan mukaisesti, Euroopan unioni ja Turkki aloittavat viipymättä alkuperäsääntöjä koskevat neuvottelut tämän sopimuksen täytäntöön panemiseksi.</w:t>
      </w:r>
    </w:p>
    <w:p>
      <w:pPr>
        <w:rPr>
          <w:noProof/>
        </w:rPr>
      </w:pPr>
      <w:r>
        <w:rPr>
          <w:noProof/>
        </w:rPr>
        <w:t>2.</w:t>
      </w:r>
      <w:r>
        <w:rPr>
          <w:noProof/>
        </w:rPr>
        <w:tab/>
        <w:t>Yleissopimuksen lisäyksen I alkuperäsääntöjä ja soveltuvin osin sen lisäyksen II asiaankuuluvia määräyksiä, sellaisina kuin niitä sovelletaan irtisanomishetkellä, sovelletaan edelleen tähän sopimukseen tällaisten uudelleen neuvoteltujen alkuperäsääntöjen voimaantuloon asti. Yleissopimuksen lisäyksen I alkuperäsääntöjä ja soveltuvin osin sen lisäyksen II asiaankuuluvia määräyksiä tulkitaan kuitenkin irtisanomishetkestä alkaen siten, että ainoastaan Euroopan unionin ja Turkin välinen kahdenvälinen kumulaatio on sallittua.</w:t>
      </w:r>
    </w:p>
    <w:p>
      <w:pPr>
        <w:rPr>
          <w:noProof/>
        </w:rPr>
      </w:pPr>
    </w:p>
    <w:p>
      <w:pPr>
        <w:rPr>
          <w:noProof/>
        </w:rPr>
      </w:pPr>
      <w:r>
        <w:rPr>
          <w:noProof/>
        </w:rPr>
        <w:br w:type="page"/>
      </w:r>
    </w:p>
    <w:p>
      <w:pPr>
        <w:spacing w:before="0" w:after="200" w:line="276" w:lineRule="auto"/>
        <w:jc w:val="left"/>
        <w:rPr>
          <w:noProof/>
        </w:rPr>
      </w:pPr>
    </w:p>
    <w:p>
      <w:pPr>
        <w:jc w:val="center"/>
        <w:rPr>
          <w:i/>
          <w:noProof/>
        </w:rPr>
      </w:pPr>
      <w:r>
        <w:rPr>
          <w:i/>
          <w:noProof/>
        </w:rPr>
        <w:t>LISÄYS A</w:t>
      </w:r>
    </w:p>
    <w:p>
      <w:pPr>
        <w:jc w:val="center"/>
        <w:rPr>
          <w:noProof/>
        </w:rPr>
      </w:pPr>
      <w:r>
        <w:rPr>
          <w:b/>
          <w:noProof/>
        </w:rPr>
        <w:t>VAIHTOEHTOISESTI SOVELLETTAVAT ALKUPERÄSÄÄNNÖT</w:t>
      </w:r>
    </w:p>
    <w:p>
      <w:pPr>
        <w:autoSpaceDE w:val="0"/>
        <w:autoSpaceDN w:val="0"/>
        <w:jc w:val="center"/>
        <w:rPr>
          <w:rFonts w:eastAsia="Times New Roman"/>
          <w:b/>
          <w:bCs/>
          <w:noProof/>
          <w:szCs w:val="24"/>
          <w:u w:val="single"/>
          <w:lang w:eastAsia="en-GB"/>
        </w:rPr>
      </w:pPr>
    </w:p>
    <w:p>
      <w:pPr>
        <w:keepNext/>
        <w:autoSpaceDE w:val="0"/>
        <w:autoSpaceDN w:val="0"/>
        <w:ind w:left="851" w:hanging="851"/>
        <w:jc w:val="center"/>
        <w:outlineLvl w:val="0"/>
        <w:rPr>
          <w:b/>
          <w:i/>
          <w:noProof/>
        </w:rPr>
      </w:pPr>
      <w:r>
        <w:rPr>
          <w:b/>
          <w:i/>
          <w:noProof/>
        </w:rPr>
        <w:t>Säännöt, joita sovelletaan vaihtoehtoisesti etuuskohteluun oikeuttavia Paneurooppa–Välimeri-alkuperäsääntöjä koskevan alueellisen yleissopimuksen osapuolissa yleissopimuksen muutoksen tekemiseen ja voimantuloon asti,</w:t>
      </w:r>
    </w:p>
    <w:p>
      <w:pPr>
        <w:keepNext/>
        <w:autoSpaceDE w:val="0"/>
        <w:autoSpaceDN w:val="0"/>
        <w:ind w:left="851" w:hanging="851"/>
        <w:jc w:val="center"/>
        <w:outlineLvl w:val="0"/>
        <w:rPr>
          <w:rFonts w:eastAsia="Times New Roman"/>
          <w:b/>
          <w:bCs/>
          <w:i/>
          <w:iCs/>
          <w:noProof/>
          <w:szCs w:val="24"/>
        </w:rPr>
      </w:pPr>
      <w:r>
        <w:rPr>
          <w:b/>
          <w:bCs/>
          <w:i/>
          <w:iCs/>
          <w:noProof/>
          <w:szCs w:val="24"/>
        </w:rPr>
        <w:t>jäljempänä ’säännöt’ tai ’siirtymäsäännöt’</w:t>
      </w:r>
    </w:p>
    <w:p>
      <w:pPr>
        <w:keepNext/>
        <w:autoSpaceDE w:val="0"/>
        <w:autoSpaceDN w:val="0"/>
        <w:ind w:left="851" w:hanging="851"/>
        <w:jc w:val="center"/>
        <w:outlineLvl w:val="0"/>
        <w:rPr>
          <w:rFonts w:ascii="Times New Roman Bold" w:eastAsia="Times New Roman" w:hAnsi="Times New Roman Bold"/>
          <w:b/>
          <w:bCs/>
          <w:i/>
          <w:iCs/>
          <w:noProof/>
          <w:szCs w:val="24"/>
          <w:lang w:eastAsia="en-GB"/>
        </w:rPr>
      </w:pPr>
    </w:p>
    <w:p>
      <w:pPr>
        <w:keepNext/>
        <w:autoSpaceDE w:val="0"/>
        <w:autoSpaceDN w:val="0"/>
        <w:jc w:val="center"/>
        <w:outlineLvl w:val="0"/>
        <w:rPr>
          <w:b/>
          <w:i/>
          <w:smallCaps/>
          <w:noProof/>
        </w:rPr>
      </w:pPr>
      <w:r>
        <w:rPr>
          <w:b/>
          <w:i/>
          <w:smallCaps/>
          <w:noProof/>
        </w:rPr>
        <w:t>käsitteen ”peräisin olevat tuotteet” (”alkuperätuotteet”) määrittely ja hallinnollisen yhteistyön menetelmät</w:t>
      </w:r>
    </w:p>
    <w:p>
      <w:pPr>
        <w:keepNext/>
        <w:autoSpaceDE w:val="0"/>
        <w:autoSpaceDN w:val="0"/>
        <w:jc w:val="center"/>
        <w:outlineLvl w:val="0"/>
        <w:rPr>
          <w:rFonts w:eastAsia="Times New Roman"/>
          <w:b/>
          <w:bCs/>
          <w:smallCaps/>
          <w:noProof/>
          <w:szCs w:val="24"/>
          <w:lang w:eastAsia="en-GB"/>
        </w:rPr>
      </w:pPr>
    </w:p>
    <w:p>
      <w:pPr>
        <w:pStyle w:val="Text1"/>
        <w:rPr>
          <w:noProof/>
        </w:rPr>
      </w:pPr>
      <w:r>
        <w:rPr>
          <w:noProof/>
        </w:rPr>
        <w:t>SISÄLLYSLUETTELO</w:t>
      </w:r>
    </w:p>
    <w:p>
      <w:pPr>
        <w:keepNext/>
        <w:jc w:val="center"/>
        <w:rPr>
          <w:rFonts w:eastAsia="Times New Roman"/>
          <w:b/>
          <w:noProof/>
          <w:szCs w:val="20"/>
        </w:rPr>
      </w:pPr>
    </w:p>
    <w:p>
      <w:pPr>
        <w:keepNext/>
        <w:rPr>
          <w:rFonts w:eastAsia="Times New Roman"/>
          <w:i/>
          <w:noProof/>
          <w:szCs w:val="20"/>
        </w:rPr>
      </w:pPr>
      <w:r>
        <w:rPr>
          <w:noProof/>
        </w:rPr>
        <w:t>TAVOITTEET</w:t>
      </w:r>
    </w:p>
    <w:p>
      <w:pPr>
        <w:pStyle w:val="Text1"/>
        <w:tabs>
          <w:tab w:val="left" w:pos="2268"/>
        </w:tabs>
        <w:rPr>
          <w:noProof/>
        </w:rPr>
      </w:pPr>
      <w:r>
        <w:rPr>
          <w:noProof/>
        </w:rPr>
        <w:t>I OSASTO</w:t>
      </w:r>
      <w:r>
        <w:rPr>
          <w:noProof/>
        </w:rPr>
        <w:tab/>
      </w:r>
      <w:r>
        <w:rPr>
          <w:b/>
          <w:noProof/>
        </w:rPr>
        <w:t>YLEISET MÄÄRÄYKSET</w:t>
      </w:r>
    </w:p>
    <w:p>
      <w:pPr>
        <w:pStyle w:val="Text1"/>
        <w:tabs>
          <w:tab w:val="left" w:pos="2268"/>
        </w:tabs>
        <w:rPr>
          <w:noProof/>
        </w:rPr>
      </w:pPr>
      <w:r>
        <w:rPr>
          <w:noProof/>
        </w:rPr>
        <w:t>1 artikla</w:t>
      </w:r>
      <w:r>
        <w:rPr>
          <w:noProof/>
        </w:rPr>
        <w:tab/>
      </w:r>
      <w:r>
        <w:rPr>
          <w:b/>
          <w:noProof/>
        </w:rPr>
        <w:t>Määritelmät</w:t>
      </w:r>
    </w:p>
    <w:p>
      <w:pPr>
        <w:pStyle w:val="Text1"/>
        <w:tabs>
          <w:tab w:val="left" w:pos="2268"/>
        </w:tabs>
        <w:rPr>
          <w:noProof/>
        </w:rPr>
      </w:pPr>
      <w:r>
        <w:rPr>
          <w:noProof/>
        </w:rPr>
        <w:t>II OSASTO</w:t>
      </w:r>
      <w:r>
        <w:rPr>
          <w:noProof/>
        </w:rPr>
        <w:tab/>
      </w:r>
      <w:r>
        <w:rPr>
          <w:b/>
          <w:noProof/>
        </w:rPr>
        <w:t>KÄSITTEEN ”PERÄISIN OLEVAT TUOTTEET’” (”ALKUPERÄTUOTTEET”) MÄÄRITTELY</w:t>
      </w:r>
    </w:p>
    <w:p>
      <w:pPr>
        <w:pStyle w:val="Text1"/>
        <w:tabs>
          <w:tab w:val="left" w:pos="2268"/>
        </w:tabs>
        <w:rPr>
          <w:noProof/>
        </w:rPr>
      </w:pPr>
      <w:r>
        <w:rPr>
          <w:noProof/>
        </w:rPr>
        <w:t>2 artikla</w:t>
      </w:r>
      <w:r>
        <w:rPr>
          <w:noProof/>
        </w:rPr>
        <w:tab/>
      </w:r>
      <w:r>
        <w:rPr>
          <w:b/>
          <w:noProof/>
        </w:rPr>
        <w:t>Yleiset vaatimukset</w:t>
      </w:r>
    </w:p>
    <w:p>
      <w:pPr>
        <w:pStyle w:val="Text1"/>
        <w:tabs>
          <w:tab w:val="left" w:pos="2268"/>
        </w:tabs>
        <w:rPr>
          <w:b/>
          <w:noProof/>
        </w:rPr>
      </w:pPr>
      <w:r>
        <w:rPr>
          <w:noProof/>
        </w:rPr>
        <w:t>3 artikla</w:t>
      </w:r>
      <w:r>
        <w:rPr>
          <w:noProof/>
        </w:rPr>
        <w:tab/>
      </w:r>
      <w:r>
        <w:rPr>
          <w:b/>
          <w:noProof/>
        </w:rPr>
        <w:t>Kokonaan tuotetut tuotteet</w:t>
      </w:r>
    </w:p>
    <w:p>
      <w:pPr>
        <w:pStyle w:val="Text1"/>
        <w:tabs>
          <w:tab w:val="left" w:pos="2268"/>
        </w:tabs>
        <w:rPr>
          <w:noProof/>
        </w:rPr>
      </w:pPr>
      <w:r>
        <w:rPr>
          <w:noProof/>
        </w:rPr>
        <w:t>4 artikla</w:t>
      </w:r>
      <w:r>
        <w:rPr>
          <w:noProof/>
        </w:rPr>
        <w:tab/>
      </w:r>
      <w:r>
        <w:rPr>
          <w:b/>
          <w:noProof/>
        </w:rPr>
        <w:t>Riittävä valmistus tai käsittely</w:t>
      </w:r>
    </w:p>
    <w:p>
      <w:pPr>
        <w:pStyle w:val="Text1"/>
        <w:tabs>
          <w:tab w:val="left" w:pos="2268"/>
        </w:tabs>
        <w:rPr>
          <w:noProof/>
        </w:rPr>
      </w:pPr>
      <w:r>
        <w:rPr>
          <w:noProof/>
        </w:rPr>
        <w:t>5 artikla</w:t>
      </w:r>
      <w:r>
        <w:rPr>
          <w:noProof/>
        </w:rPr>
        <w:tab/>
      </w:r>
      <w:r>
        <w:rPr>
          <w:b/>
          <w:noProof/>
        </w:rPr>
        <w:t>Toleranssisääntö</w:t>
      </w:r>
    </w:p>
    <w:p>
      <w:pPr>
        <w:pStyle w:val="Text1"/>
        <w:tabs>
          <w:tab w:val="left" w:pos="2268"/>
        </w:tabs>
        <w:rPr>
          <w:noProof/>
        </w:rPr>
      </w:pPr>
      <w:r>
        <w:rPr>
          <w:noProof/>
        </w:rPr>
        <w:t>6 artikla</w:t>
      </w:r>
      <w:r>
        <w:rPr>
          <w:noProof/>
        </w:rPr>
        <w:tab/>
      </w:r>
      <w:r>
        <w:rPr>
          <w:b/>
          <w:noProof/>
        </w:rPr>
        <w:t>Riittämätön valmistus tai käsittely</w:t>
      </w:r>
    </w:p>
    <w:p>
      <w:pPr>
        <w:pStyle w:val="Text1"/>
        <w:tabs>
          <w:tab w:val="left" w:pos="2268"/>
        </w:tabs>
        <w:rPr>
          <w:noProof/>
        </w:rPr>
      </w:pPr>
      <w:r>
        <w:rPr>
          <w:noProof/>
        </w:rPr>
        <w:t>7 artikla</w:t>
      </w:r>
      <w:r>
        <w:rPr>
          <w:noProof/>
        </w:rPr>
        <w:tab/>
      </w:r>
      <w:r>
        <w:rPr>
          <w:b/>
          <w:noProof/>
        </w:rPr>
        <w:t>Alkuperäkumulaatio</w:t>
      </w:r>
    </w:p>
    <w:p>
      <w:pPr>
        <w:pStyle w:val="Text1"/>
        <w:tabs>
          <w:tab w:val="left" w:pos="2268"/>
        </w:tabs>
        <w:rPr>
          <w:noProof/>
        </w:rPr>
      </w:pPr>
      <w:r>
        <w:rPr>
          <w:noProof/>
        </w:rPr>
        <w:t>8 artikla</w:t>
      </w:r>
      <w:r>
        <w:rPr>
          <w:noProof/>
        </w:rPr>
        <w:tab/>
      </w:r>
      <w:r>
        <w:rPr>
          <w:b/>
          <w:noProof/>
        </w:rPr>
        <w:t>Alkuperäkumulaation soveltamisedellytykset</w:t>
      </w:r>
    </w:p>
    <w:p>
      <w:pPr>
        <w:pStyle w:val="Text1"/>
        <w:tabs>
          <w:tab w:val="left" w:pos="2268"/>
        </w:tabs>
        <w:rPr>
          <w:noProof/>
        </w:rPr>
      </w:pPr>
      <w:r>
        <w:rPr>
          <w:noProof/>
        </w:rPr>
        <w:t>9 artikla</w:t>
      </w:r>
      <w:r>
        <w:rPr>
          <w:noProof/>
        </w:rPr>
        <w:tab/>
      </w:r>
      <w:r>
        <w:rPr>
          <w:b/>
          <w:noProof/>
        </w:rPr>
        <w:t>Kelpuuttamisen yksikkö</w:t>
      </w:r>
    </w:p>
    <w:p>
      <w:pPr>
        <w:pStyle w:val="Text1"/>
        <w:tabs>
          <w:tab w:val="left" w:pos="2268"/>
        </w:tabs>
        <w:rPr>
          <w:noProof/>
        </w:rPr>
      </w:pPr>
      <w:r>
        <w:rPr>
          <w:noProof/>
        </w:rPr>
        <w:t>10 artikla</w:t>
      </w:r>
      <w:r>
        <w:rPr>
          <w:noProof/>
        </w:rPr>
        <w:tab/>
      </w:r>
      <w:r>
        <w:rPr>
          <w:b/>
          <w:noProof/>
        </w:rPr>
        <w:t>Sarjat</w:t>
      </w:r>
    </w:p>
    <w:p>
      <w:pPr>
        <w:pStyle w:val="Text1"/>
        <w:tabs>
          <w:tab w:val="left" w:pos="2268"/>
        </w:tabs>
        <w:rPr>
          <w:noProof/>
        </w:rPr>
      </w:pPr>
      <w:r>
        <w:rPr>
          <w:noProof/>
        </w:rPr>
        <w:t>11 artikla</w:t>
      </w:r>
      <w:r>
        <w:rPr>
          <w:noProof/>
        </w:rPr>
        <w:tab/>
      </w:r>
      <w:r>
        <w:rPr>
          <w:b/>
          <w:noProof/>
        </w:rPr>
        <w:t>Neutraalit tekijät</w:t>
      </w:r>
    </w:p>
    <w:p>
      <w:pPr>
        <w:pStyle w:val="Text1"/>
        <w:tabs>
          <w:tab w:val="left" w:pos="2268"/>
        </w:tabs>
        <w:rPr>
          <w:noProof/>
        </w:rPr>
      </w:pPr>
      <w:r>
        <w:rPr>
          <w:noProof/>
        </w:rPr>
        <w:t>12 artikla</w:t>
      </w:r>
      <w:r>
        <w:rPr>
          <w:noProof/>
        </w:rPr>
        <w:tab/>
      </w:r>
      <w:r>
        <w:rPr>
          <w:b/>
          <w:noProof/>
        </w:rPr>
        <w:t>Kirjanpidollinen erottelu</w:t>
      </w:r>
    </w:p>
    <w:p>
      <w:pPr>
        <w:pStyle w:val="Text1"/>
        <w:tabs>
          <w:tab w:val="left" w:pos="2268"/>
        </w:tabs>
        <w:rPr>
          <w:noProof/>
        </w:rPr>
      </w:pPr>
      <w:r>
        <w:rPr>
          <w:noProof/>
        </w:rPr>
        <w:t>III OSASTO</w:t>
      </w:r>
      <w:r>
        <w:rPr>
          <w:noProof/>
        </w:rPr>
        <w:tab/>
      </w:r>
      <w:r>
        <w:rPr>
          <w:b/>
          <w:noProof/>
        </w:rPr>
        <w:t>ALUEESEEN LIITTYVÄT VAATIMUKSET</w:t>
      </w:r>
    </w:p>
    <w:p>
      <w:pPr>
        <w:pStyle w:val="Text1"/>
        <w:tabs>
          <w:tab w:val="left" w:pos="2268"/>
        </w:tabs>
        <w:rPr>
          <w:noProof/>
        </w:rPr>
      </w:pPr>
      <w:r>
        <w:rPr>
          <w:noProof/>
        </w:rPr>
        <w:t>13 artikla</w:t>
      </w:r>
      <w:r>
        <w:rPr>
          <w:noProof/>
        </w:rPr>
        <w:tab/>
      </w:r>
      <w:r>
        <w:rPr>
          <w:b/>
          <w:noProof/>
        </w:rPr>
        <w:t>Alueperiaate</w:t>
      </w:r>
    </w:p>
    <w:p>
      <w:pPr>
        <w:pStyle w:val="Text1"/>
        <w:tabs>
          <w:tab w:val="left" w:pos="2268"/>
        </w:tabs>
        <w:rPr>
          <w:noProof/>
        </w:rPr>
      </w:pPr>
      <w:r>
        <w:rPr>
          <w:noProof/>
        </w:rPr>
        <w:t>14 artikla</w:t>
      </w:r>
      <w:r>
        <w:rPr>
          <w:noProof/>
        </w:rPr>
        <w:tab/>
      </w:r>
      <w:r>
        <w:rPr>
          <w:b/>
          <w:noProof/>
        </w:rPr>
        <w:t>Muuttumattomuus</w:t>
      </w:r>
    </w:p>
    <w:p>
      <w:pPr>
        <w:pStyle w:val="Text1"/>
        <w:tabs>
          <w:tab w:val="left" w:pos="2268"/>
        </w:tabs>
        <w:rPr>
          <w:noProof/>
        </w:rPr>
      </w:pPr>
      <w:r>
        <w:rPr>
          <w:noProof/>
        </w:rPr>
        <w:t>15 artikla</w:t>
      </w:r>
      <w:r>
        <w:rPr>
          <w:noProof/>
        </w:rPr>
        <w:tab/>
      </w:r>
      <w:r>
        <w:rPr>
          <w:b/>
          <w:noProof/>
        </w:rPr>
        <w:t>Näyttelyt</w:t>
      </w:r>
    </w:p>
    <w:p>
      <w:pPr>
        <w:pStyle w:val="Text1"/>
        <w:tabs>
          <w:tab w:val="left" w:pos="2268"/>
        </w:tabs>
        <w:rPr>
          <w:noProof/>
        </w:rPr>
      </w:pPr>
      <w:r>
        <w:rPr>
          <w:noProof/>
        </w:rPr>
        <w:t>IV OSASTO</w:t>
      </w:r>
      <w:r>
        <w:rPr>
          <w:noProof/>
        </w:rPr>
        <w:tab/>
      </w:r>
      <w:r>
        <w:rPr>
          <w:b/>
          <w:noProof/>
        </w:rPr>
        <w:t>TULLINPALAUTUS TAI TULLEISTA VAPAUTTAMINEN</w:t>
      </w:r>
    </w:p>
    <w:p>
      <w:pPr>
        <w:pStyle w:val="Text1"/>
        <w:tabs>
          <w:tab w:val="left" w:pos="2268"/>
        </w:tabs>
        <w:rPr>
          <w:noProof/>
        </w:rPr>
      </w:pPr>
      <w:r>
        <w:rPr>
          <w:noProof/>
        </w:rPr>
        <w:t>16 artikla</w:t>
      </w:r>
      <w:r>
        <w:rPr>
          <w:noProof/>
        </w:rPr>
        <w:tab/>
      </w:r>
      <w:r>
        <w:rPr>
          <w:b/>
          <w:noProof/>
        </w:rPr>
        <w:t>Tullinpalautus tai tulleista vapauttaminen</w:t>
      </w:r>
    </w:p>
    <w:p>
      <w:pPr>
        <w:pStyle w:val="Text1"/>
        <w:tabs>
          <w:tab w:val="left" w:pos="2268"/>
        </w:tabs>
        <w:rPr>
          <w:noProof/>
        </w:rPr>
      </w:pPr>
      <w:r>
        <w:rPr>
          <w:noProof/>
        </w:rPr>
        <w:t>V OSASTO</w:t>
      </w:r>
      <w:r>
        <w:rPr>
          <w:noProof/>
        </w:rPr>
        <w:tab/>
      </w:r>
      <w:r>
        <w:rPr>
          <w:b/>
          <w:noProof/>
        </w:rPr>
        <w:t>ALKUPERÄSELVITYS</w:t>
      </w:r>
    </w:p>
    <w:p>
      <w:pPr>
        <w:pStyle w:val="Text1"/>
        <w:tabs>
          <w:tab w:val="left" w:pos="2268"/>
        </w:tabs>
        <w:rPr>
          <w:noProof/>
        </w:rPr>
      </w:pPr>
      <w:r>
        <w:rPr>
          <w:noProof/>
        </w:rPr>
        <w:t>17 artikla</w:t>
      </w:r>
      <w:r>
        <w:rPr>
          <w:noProof/>
        </w:rPr>
        <w:tab/>
      </w:r>
      <w:r>
        <w:rPr>
          <w:b/>
          <w:noProof/>
        </w:rPr>
        <w:t>Yleiset vaatimukset</w:t>
      </w:r>
    </w:p>
    <w:p>
      <w:pPr>
        <w:pStyle w:val="Text1"/>
        <w:tabs>
          <w:tab w:val="left" w:pos="2268"/>
        </w:tabs>
        <w:rPr>
          <w:noProof/>
        </w:rPr>
      </w:pPr>
      <w:r>
        <w:rPr>
          <w:noProof/>
        </w:rPr>
        <w:t>18 artikla</w:t>
      </w:r>
      <w:r>
        <w:rPr>
          <w:noProof/>
        </w:rPr>
        <w:tab/>
      </w:r>
      <w:r>
        <w:rPr>
          <w:b/>
          <w:noProof/>
        </w:rPr>
        <w:t>Alkuperäilmoituksen laatimisedellytykset</w:t>
      </w:r>
    </w:p>
    <w:p>
      <w:pPr>
        <w:pStyle w:val="Text1"/>
        <w:tabs>
          <w:tab w:val="left" w:pos="2268"/>
        </w:tabs>
        <w:rPr>
          <w:noProof/>
        </w:rPr>
      </w:pPr>
      <w:r>
        <w:rPr>
          <w:noProof/>
        </w:rPr>
        <w:t>19 artikla</w:t>
      </w:r>
      <w:r>
        <w:rPr>
          <w:noProof/>
        </w:rPr>
        <w:tab/>
      </w:r>
      <w:r>
        <w:rPr>
          <w:b/>
          <w:noProof/>
        </w:rPr>
        <w:t>Valtuutettu viejä</w:t>
      </w:r>
    </w:p>
    <w:p>
      <w:pPr>
        <w:pStyle w:val="Text1"/>
        <w:tabs>
          <w:tab w:val="left" w:pos="2268"/>
        </w:tabs>
        <w:rPr>
          <w:noProof/>
        </w:rPr>
      </w:pPr>
      <w:r>
        <w:rPr>
          <w:noProof/>
        </w:rPr>
        <w:t>20 artikla</w:t>
      </w:r>
      <w:r>
        <w:rPr>
          <w:noProof/>
        </w:rPr>
        <w:tab/>
      </w:r>
      <w:r>
        <w:rPr>
          <w:b/>
          <w:noProof/>
        </w:rPr>
        <w:t>EUR.1-tavaratodistuksen antamismenettely</w:t>
      </w:r>
    </w:p>
    <w:p>
      <w:pPr>
        <w:pStyle w:val="Text1"/>
        <w:tabs>
          <w:tab w:val="left" w:pos="2268"/>
        </w:tabs>
        <w:rPr>
          <w:noProof/>
        </w:rPr>
      </w:pPr>
      <w:r>
        <w:rPr>
          <w:noProof/>
        </w:rPr>
        <w:t>21 artikla</w:t>
      </w:r>
      <w:r>
        <w:rPr>
          <w:noProof/>
        </w:rPr>
        <w:tab/>
      </w:r>
      <w:r>
        <w:rPr>
          <w:b/>
          <w:noProof/>
        </w:rPr>
        <w:t>Jälkikäteen annetut EUR.1-tavaratodistukset</w:t>
      </w:r>
    </w:p>
    <w:p>
      <w:pPr>
        <w:pStyle w:val="Text1"/>
        <w:tabs>
          <w:tab w:val="left" w:pos="2268"/>
        </w:tabs>
        <w:rPr>
          <w:noProof/>
        </w:rPr>
      </w:pPr>
      <w:r>
        <w:rPr>
          <w:noProof/>
        </w:rPr>
        <w:t>22 artikla</w:t>
      </w:r>
      <w:r>
        <w:rPr>
          <w:noProof/>
        </w:rPr>
        <w:tab/>
      </w:r>
      <w:r>
        <w:rPr>
          <w:b/>
          <w:noProof/>
        </w:rPr>
        <w:t>EUR.1-tavaratodistuksen kaksoiskappaleen antaminen</w:t>
      </w:r>
    </w:p>
    <w:p>
      <w:pPr>
        <w:pStyle w:val="Text1"/>
        <w:tabs>
          <w:tab w:val="left" w:pos="2268"/>
        </w:tabs>
        <w:rPr>
          <w:noProof/>
        </w:rPr>
      </w:pPr>
      <w:r>
        <w:rPr>
          <w:noProof/>
        </w:rPr>
        <w:t>23 artikla</w:t>
      </w:r>
      <w:r>
        <w:rPr>
          <w:noProof/>
        </w:rPr>
        <w:tab/>
      </w:r>
      <w:r>
        <w:rPr>
          <w:b/>
          <w:noProof/>
        </w:rPr>
        <w:t>Alkuperäselvityksen voimassaolo</w:t>
      </w:r>
    </w:p>
    <w:p>
      <w:pPr>
        <w:pStyle w:val="Text1"/>
        <w:tabs>
          <w:tab w:val="left" w:pos="2268"/>
        </w:tabs>
        <w:rPr>
          <w:noProof/>
        </w:rPr>
      </w:pPr>
      <w:r>
        <w:rPr>
          <w:noProof/>
        </w:rPr>
        <w:t>24 artikla</w:t>
      </w:r>
      <w:r>
        <w:rPr>
          <w:noProof/>
        </w:rPr>
        <w:tab/>
      </w:r>
      <w:r>
        <w:rPr>
          <w:b/>
          <w:noProof/>
        </w:rPr>
        <w:t>Vapaa-alueet</w:t>
      </w:r>
    </w:p>
    <w:p>
      <w:pPr>
        <w:pStyle w:val="Text1"/>
        <w:tabs>
          <w:tab w:val="left" w:pos="2268"/>
        </w:tabs>
        <w:rPr>
          <w:noProof/>
        </w:rPr>
      </w:pPr>
      <w:r>
        <w:rPr>
          <w:noProof/>
        </w:rPr>
        <w:t>25 artikla</w:t>
      </w:r>
      <w:r>
        <w:rPr>
          <w:noProof/>
        </w:rPr>
        <w:tab/>
      </w:r>
      <w:r>
        <w:rPr>
          <w:b/>
          <w:noProof/>
        </w:rPr>
        <w:t>Tuontivaatimukset</w:t>
      </w:r>
    </w:p>
    <w:p>
      <w:pPr>
        <w:pStyle w:val="Text1"/>
        <w:tabs>
          <w:tab w:val="left" w:pos="2268"/>
        </w:tabs>
        <w:rPr>
          <w:noProof/>
        </w:rPr>
      </w:pPr>
      <w:r>
        <w:rPr>
          <w:noProof/>
        </w:rPr>
        <w:t>26 artikla</w:t>
      </w:r>
      <w:r>
        <w:rPr>
          <w:noProof/>
        </w:rPr>
        <w:tab/>
      </w:r>
      <w:r>
        <w:rPr>
          <w:b/>
          <w:noProof/>
        </w:rPr>
        <w:t>Tuonti osalähetyksinä</w:t>
      </w:r>
    </w:p>
    <w:p>
      <w:pPr>
        <w:pStyle w:val="Text1"/>
        <w:tabs>
          <w:tab w:val="left" w:pos="2268"/>
        </w:tabs>
        <w:rPr>
          <w:noProof/>
        </w:rPr>
      </w:pPr>
      <w:r>
        <w:rPr>
          <w:noProof/>
        </w:rPr>
        <w:t>27 artikla</w:t>
      </w:r>
      <w:r>
        <w:rPr>
          <w:noProof/>
        </w:rPr>
        <w:tab/>
      </w:r>
      <w:r>
        <w:rPr>
          <w:b/>
          <w:noProof/>
        </w:rPr>
        <w:t>Poikkeukset alkuperäselvityksen toimittamisesta</w:t>
      </w:r>
    </w:p>
    <w:p>
      <w:pPr>
        <w:pStyle w:val="Text1"/>
        <w:tabs>
          <w:tab w:val="left" w:pos="2268"/>
        </w:tabs>
        <w:rPr>
          <w:noProof/>
        </w:rPr>
      </w:pPr>
      <w:r>
        <w:rPr>
          <w:noProof/>
        </w:rPr>
        <w:t>28 artikla</w:t>
      </w:r>
      <w:r>
        <w:rPr>
          <w:noProof/>
        </w:rPr>
        <w:tab/>
      </w:r>
      <w:r>
        <w:rPr>
          <w:b/>
          <w:noProof/>
        </w:rPr>
        <w:t>Poikkeavuudet ja muotovirheet</w:t>
      </w:r>
    </w:p>
    <w:p>
      <w:pPr>
        <w:pStyle w:val="Text1"/>
        <w:tabs>
          <w:tab w:val="left" w:pos="2268"/>
        </w:tabs>
        <w:rPr>
          <w:noProof/>
        </w:rPr>
      </w:pPr>
      <w:r>
        <w:rPr>
          <w:noProof/>
        </w:rPr>
        <w:t>29 artikla</w:t>
      </w:r>
      <w:r>
        <w:rPr>
          <w:noProof/>
        </w:rPr>
        <w:tab/>
      </w:r>
      <w:r>
        <w:rPr>
          <w:b/>
          <w:noProof/>
        </w:rPr>
        <w:t>Tavarantoimittajan ilmoitukset</w:t>
      </w:r>
    </w:p>
    <w:p>
      <w:pPr>
        <w:pStyle w:val="Text1"/>
        <w:tabs>
          <w:tab w:val="left" w:pos="2268"/>
        </w:tabs>
        <w:rPr>
          <w:noProof/>
        </w:rPr>
      </w:pPr>
      <w:r>
        <w:rPr>
          <w:noProof/>
        </w:rPr>
        <w:t>30 artikla</w:t>
      </w:r>
      <w:r>
        <w:rPr>
          <w:noProof/>
        </w:rPr>
        <w:tab/>
      </w:r>
      <w:r>
        <w:rPr>
          <w:b/>
          <w:noProof/>
        </w:rPr>
        <w:t>Euroina ilmaistavat määrät</w:t>
      </w:r>
    </w:p>
    <w:p>
      <w:pPr>
        <w:pStyle w:val="Text1"/>
        <w:tabs>
          <w:tab w:val="left" w:pos="2268"/>
        </w:tabs>
        <w:ind w:left="2268" w:hanging="1418"/>
        <w:rPr>
          <w:noProof/>
        </w:rPr>
      </w:pPr>
      <w:r>
        <w:rPr>
          <w:noProof/>
        </w:rPr>
        <w:t>VI OSASTO</w:t>
      </w:r>
      <w:r>
        <w:rPr>
          <w:noProof/>
        </w:rPr>
        <w:tab/>
      </w:r>
      <w:r>
        <w:rPr>
          <w:b/>
          <w:noProof/>
        </w:rPr>
        <w:t>YHTEISTYÖN JA ASIAKIRJANÄYTÖN PERIAATTEET</w:t>
      </w:r>
    </w:p>
    <w:p>
      <w:pPr>
        <w:pStyle w:val="Text1"/>
        <w:ind w:left="2268" w:hanging="1418"/>
        <w:rPr>
          <w:noProof/>
        </w:rPr>
      </w:pPr>
      <w:r>
        <w:rPr>
          <w:noProof/>
        </w:rPr>
        <w:t>31 artikla</w:t>
      </w:r>
      <w:r>
        <w:rPr>
          <w:noProof/>
        </w:rPr>
        <w:tab/>
      </w:r>
      <w:r>
        <w:rPr>
          <w:b/>
          <w:noProof/>
        </w:rPr>
        <w:t>Asiakirjanäyttö, alkuperäselvitysten ja todistusasiakirjojen säilyttäminen</w:t>
      </w:r>
    </w:p>
    <w:p>
      <w:pPr>
        <w:pStyle w:val="Text1"/>
        <w:tabs>
          <w:tab w:val="left" w:pos="2268"/>
        </w:tabs>
        <w:rPr>
          <w:noProof/>
        </w:rPr>
      </w:pPr>
      <w:r>
        <w:rPr>
          <w:noProof/>
        </w:rPr>
        <w:t>32 artikla</w:t>
      </w:r>
      <w:r>
        <w:rPr>
          <w:noProof/>
        </w:rPr>
        <w:tab/>
      </w:r>
      <w:r>
        <w:rPr>
          <w:b/>
          <w:noProof/>
        </w:rPr>
        <w:t>Riitojen ratkaiseminen</w:t>
      </w:r>
    </w:p>
    <w:p>
      <w:pPr>
        <w:pStyle w:val="Text1"/>
        <w:tabs>
          <w:tab w:val="left" w:pos="2268"/>
        </w:tabs>
        <w:rPr>
          <w:noProof/>
        </w:rPr>
      </w:pPr>
      <w:r>
        <w:rPr>
          <w:noProof/>
        </w:rPr>
        <w:t>VII OSASTO</w:t>
      </w:r>
      <w:r>
        <w:rPr>
          <w:noProof/>
        </w:rPr>
        <w:tab/>
      </w:r>
      <w:r>
        <w:rPr>
          <w:b/>
          <w:noProof/>
        </w:rPr>
        <w:t>HALLINNOLLINEN YHTEISTYÖ</w:t>
      </w:r>
    </w:p>
    <w:p>
      <w:pPr>
        <w:pStyle w:val="Text1"/>
        <w:tabs>
          <w:tab w:val="left" w:pos="2268"/>
        </w:tabs>
        <w:rPr>
          <w:noProof/>
        </w:rPr>
      </w:pPr>
      <w:r>
        <w:rPr>
          <w:noProof/>
        </w:rPr>
        <w:t>33 artikla</w:t>
      </w:r>
      <w:r>
        <w:rPr>
          <w:noProof/>
        </w:rPr>
        <w:tab/>
      </w:r>
      <w:r>
        <w:rPr>
          <w:b/>
          <w:noProof/>
        </w:rPr>
        <w:t>Ilmoitukset ja yhteistyö</w:t>
      </w:r>
    </w:p>
    <w:p>
      <w:pPr>
        <w:pStyle w:val="Text1"/>
        <w:tabs>
          <w:tab w:val="left" w:pos="2268"/>
        </w:tabs>
        <w:rPr>
          <w:noProof/>
        </w:rPr>
      </w:pPr>
      <w:r>
        <w:rPr>
          <w:noProof/>
        </w:rPr>
        <w:t>34 artikla</w:t>
      </w:r>
      <w:r>
        <w:rPr>
          <w:noProof/>
        </w:rPr>
        <w:tab/>
      </w:r>
      <w:r>
        <w:rPr>
          <w:b/>
          <w:noProof/>
        </w:rPr>
        <w:t>Alkuperäselvitysten tarkastaminen</w:t>
      </w:r>
    </w:p>
    <w:p>
      <w:pPr>
        <w:pStyle w:val="Text1"/>
        <w:tabs>
          <w:tab w:val="left" w:pos="2268"/>
        </w:tabs>
        <w:rPr>
          <w:noProof/>
        </w:rPr>
      </w:pPr>
      <w:r>
        <w:rPr>
          <w:noProof/>
        </w:rPr>
        <w:t>35 artikla</w:t>
      </w:r>
      <w:r>
        <w:rPr>
          <w:noProof/>
        </w:rPr>
        <w:tab/>
      </w:r>
      <w:r>
        <w:rPr>
          <w:b/>
          <w:noProof/>
        </w:rPr>
        <w:t>Tavarantoimittajan ilmoitusten tarkastaminen</w:t>
      </w:r>
    </w:p>
    <w:p>
      <w:pPr>
        <w:pStyle w:val="Text1"/>
        <w:tabs>
          <w:tab w:val="left" w:pos="2268"/>
        </w:tabs>
        <w:rPr>
          <w:noProof/>
        </w:rPr>
      </w:pPr>
      <w:r>
        <w:rPr>
          <w:noProof/>
        </w:rPr>
        <w:t>36 artikla</w:t>
      </w:r>
      <w:r>
        <w:rPr>
          <w:noProof/>
        </w:rPr>
        <w:tab/>
      </w:r>
      <w:r>
        <w:rPr>
          <w:b/>
          <w:noProof/>
        </w:rPr>
        <w:t>Seuraamukset</w:t>
      </w:r>
    </w:p>
    <w:p>
      <w:pPr>
        <w:pStyle w:val="Text1"/>
        <w:tabs>
          <w:tab w:val="left" w:pos="2268"/>
        </w:tabs>
        <w:rPr>
          <w:noProof/>
        </w:rPr>
      </w:pPr>
      <w:r>
        <w:rPr>
          <w:noProof/>
        </w:rPr>
        <w:t>VIII OSASTO</w:t>
      </w:r>
      <w:r>
        <w:rPr>
          <w:noProof/>
        </w:rPr>
        <w:tab/>
      </w:r>
      <w:r>
        <w:rPr>
          <w:b/>
          <w:noProof/>
        </w:rPr>
        <w:t>LISÄYKSEN A SOVELTAMINEN</w:t>
      </w:r>
    </w:p>
    <w:p>
      <w:pPr>
        <w:pStyle w:val="Text1"/>
        <w:tabs>
          <w:tab w:val="left" w:pos="2268"/>
        </w:tabs>
        <w:rPr>
          <w:noProof/>
        </w:rPr>
      </w:pPr>
      <w:r>
        <w:rPr>
          <w:noProof/>
        </w:rPr>
        <w:t>37 artikla</w:t>
      </w:r>
      <w:r>
        <w:rPr>
          <w:noProof/>
        </w:rPr>
        <w:tab/>
      </w:r>
      <w:r>
        <w:rPr>
          <w:b/>
          <w:noProof/>
        </w:rPr>
        <w:t>Euroopan talousalue</w:t>
      </w:r>
    </w:p>
    <w:p>
      <w:pPr>
        <w:pStyle w:val="Text1"/>
        <w:tabs>
          <w:tab w:val="left" w:pos="2268"/>
        </w:tabs>
        <w:rPr>
          <w:noProof/>
        </w:rPr>
      </w:pPr>
      <w:r>
        <w:rPr>
          <w:noProof/>
        </w:rPr>
        <w:t>38 artikla</w:t>
      </w:r>
      <w:r>
        <w:rPr>
          <w:noProof/>
        </w:rPr>
        <w:tab/>
      </w:r>
      <w:r>
        <w:rPr>
          <w:b/>
          <w:noProof/>
        </w:rPr>
        <w:t>Liechtenstein</w:t>
      </w:r>
    </w:p>
    <w:p>
      <w:pPr>
        <w:pStyle w:val="Text1"/>
        <w:tabs>
          <w:tab w:val="left" w:pos="2268"/>
        </w:tabs>
        <w:rPr>
          <w:noProof/>
        </w:rPr>
      </w:pPr>
      <w:r>
        <w:rPr>
          <w:noProof/>
        </w:rPr>
        <w:t>39 artikla</w:t>
      </w:r>
      <w:r>
        <w:rPr>
          <w:noProof/>
        </w:rPr>
        <w:tab/>
      </w:r>
      <w:r>
        <w:rPr>
          <w:b/>
          <w:noProof/>
        </w:rPr>
        <w:t>San Marinon tasavalta</w:t>
      </w:r>
    </w:p>
    <w:p>
      <w:pPr>
        <w:pStyle w:val="Text1"/>
        <w:tabs>
          <w:tab w:val="left" w:pos="2268"/>
        </w:tabs>
        <w:rPr>
          <w:noProof/>
        </w:rPr>
      </w:pPr>
      <w:r>
        <w:rPr>
          <w:noProof/>
        </w:rPr>
        <w:t>40 artikla</w:t>
      </w:r>
      <w:r>
        <w:rPr>
          <w:noProof/>
        </w:rPr>
        <w:tab/>
      </w:r>
      <w:r>
        <w:rPr>
          <w:b/>
          <w:noProof/>
        </w:rPr>
        <w:t>Andorran ruhtinaskunta</w:t>
      </w:r>
    </w:p>
    <w:p>
      <w:pPr>
        <w:pStyle w:val="Text1"/>
        <w:tabs>
          <w:tab w:val="left" w:pos="2268"/>
        </w:tabs>
        <w:rPr>
          <w:noProof/>
        </w:rPr>
      </w:pPr>
      <w:r>
        <w:rPr>
          <w:noProof/>
        </w:rPr>
        <w:t>41 artikla</w:t>
      </w:r>
      <w:r>
        <w:rPr>
          <w:noProof/>
        </w:rPr>
        <w:tab/>
      </w:r>
      <w:r>
        <w:rPr>
          <w:b/>
          <w:noProof/>
        </w:rPr>
        <w:t>Ceuta ja Melilla</w:t>
      </w:r>
    </w:p>
    <w:p>
      <w:pPr>
        <w:pStyle w:val="Text1"/>
        <w:tabs>
          <w:tab w:val="left" w:pos="2268"/>
        </w:tabs>
        <w:rPr>
          <w:noProof/>
        </w:rPr>
      </w:pPr>
      <w:r>
        <w:rPr>
          <w:noProof/>
        </w:rPr>
        <w:br w:type="page"/>
        <w:t>Liiteluettelo</w:t>
      </w:r>
    </w:p>
    <w:p>
      <w:pPr>
        <w:pStyle w:val="Text1"/>
        <w:tabs>
          <w:tab w:val="left" w:pos="2268"/>
        </w:tabs>
        <w:rPr>
          <w:noProof/>
        </w:rPr>
      </w:pPr>
    </w:p>
    <w:p>
      <w:pPr>
        <w:pStyle w:val="Text1"/>
        <w:tabs>
          <w:tab w:val="left" w:pos="2268"/>
        </w:tabs>
        <w:rPr>
          <w:noProof/>
        </w:rPr>
      </w:pPr>
      <w:r>
        <w:rPr>
          <w:noProof/>
        </w:rPr>
        <w:t>LIITE I</w:t>
      </w:r>
      <w:r>
        <w:rPr>
          <w:noProof/>
        </w:rPr>
        <w:tab/>
      </w:r>
      <w:r>
        <w:rPr>
          <w:b/>
          <w:noProof/>
        </w:rPr>
        <w:t>Alkuhuomautukset liitteen II luetteloon</w:t>
      </w:r>
    </w:p>
    <w:p>
      <w:pPr>
        <w:spacing w:line="360" w:lineRule="auto"/>
        <w:ind w:left="2268" w:hanging="1418"/>
        <w:jc w:val="left"/>
        <w:rPr>
          <w:b/>
          <w:noProof/>
        </w:rPr>
      </w:pPr>
      <w:r>
        <w:rPr>
          <w:noProof/>
        </w:rPr>
        <w:t>LIITE II:</w:t>
      </w:r>
      <w:r>
        <w:rPr>
          <w:noProof/>
        </w:rPr>
        <w:tab/>
      </w:r>
      <w:r>
        <w:rPr>
          <w:b/>
          <w:noProof/>
        </w:rPr>
        <w:t>Luettelo ei-alkuperäaineksiin sovellettavasta valmistuksesta tai käsittelystä, joka on tehtävä, jotta valmistettu tuote voi saada alkuperäaseman</w:t>
      </w:r>
    </w:p>
    <w:p>
      <w:pPr>
        <w:spacing w:line="360" w:lineRule="auto"/>
        <w:ind w:left="2268" w:hanging="1418"/>
        <w:jc w:val="left"/>
        <w:rPr>
          <w:noProof/>
        </w:rPr>
      </w:pPr>
      <w:r>
        <w:rPr>
          <w:noProof/>
        </w:rPr>
        <w:t>LIITE III</w:t>
      </w:r>
      <w:r>
        <w:rPr>
          <w:noProof/>
        </w:rPr>
        <w:tab/>
      </w:r>
      <w:r>
        <w:rPr>
          <w:b/>
          <w:noProof/>
        </w:rPr>
        <w:t>Alkuperäilmoituksen teksti</w:t>
      </w:r>
    </w:p>
    <w:p>
      <w:pPr>
        <w:spacing w:line="360" w:lineRule="auto"/>
        <w:ind w:left="2268" w:hanging="1418"/>
        <w:jc w:val="left"/>
        <w:rPr>
          <w:b/>
          <w:noProof/>
        </w:rPr>
      </w:pPr>
      <w:r>
        <w:rPr>
          <w:noProof/>
        </w:rPr>
        <w:t>LIITE IV:</w:t>
      </w:r>
      <w:r>
        <w:rPr>
          <w:noProof/>
        </w:rPr>
        <w:tab/>
      </w:r>
      <w:r>
        <w:rPr>
          <w:b/>
          <w:noProof/>
        </w:rPr>
        <w:t>EUR.1-tavaratodistuksen ja EUR.1-tavaratodistushakemuksen mallit</w:t>
      </w:r>
    </w:p>
    <w:p>
      <w:pPr>
        <w:spacing w:line="360" w:lineRule="auto"/>
        <w:ind w:left="2268" w:hanging="1418"/>
        <w:jc w:val="left"/>
        <w:rPr>
          <w:b/>
          <w:noProof/>
        </w:rPr>
      </w:pPr>
      <w:r>
        <w:rPr>
          <w:noProof/>
        </w:rPr>
        <w:t>LIITE V</w:t>
      </w:r>
      <w:r>
        <w:rPr>
          <w:noProof/>
        </w:rPr>
        <w:tab/>
      </w:r>
      <w:r>
        <w:rPr>
          <w:b/>
          <w:noProof/>
        </w:rPr>
        <w:t>Ceutan ja Melillan alkuperätuotteita koskevat erityisedellytykset</w:t>
      </w:r>
    </w:p>
    <w:p>
      <w:pPr>
        <w:spacing w:line="360" w:lineRule="auto"/>
        <w:ind w:left="2268" w:hanging="1418"/>
        <w:jc w:val="left"/>
        <w:rPr>
          <w:b/>
          <w:noProof/>
        </w:rPr>
      </w:pPr>
      <w:r>
        <w:rPr>
          <w:noProof/>
        </w:rPr>
        <w:t>LIITE VI</w:t>
      </w:r>
      <w:r>
        <w:rPr>
          <w:noProof/>
        </w:rPr>
        <w:tab/>
      </w:r>
      <w:r>
        <w:rPr>
          <w:b/>
          <w:noProof/>
        </w:rPr>
        <w:t>Tavarantoimittajan ilmoitus</w:t>
      </w:r>
    </w:p>
    <w:p>
      <w:pPr>
        <w:spacing w:line="360" w:lineRule="auto"/>
        <w:ind w:left="2268" w:hanging="1418"/>
        <w:jc w:val="left"/>
        <w:rPr>
          <w:noProof/>
        </w:rPr>
      </w:pPr>
      <w:r>
        <w:rPr>
          <w:noProof/>
        </w:rPr>
        <w:t>LIITE VII</w:t>
      </w:r>
      <w:r>
        <w:rPr>
          <w:noProof/>
        </w:rPr>
        <w:tab/>
      </w:r>
      <w:r>
        <w:rPr>
          <w:b/>
          <w:noProof/>
        </w:rPr>
        <w:t>Tavarantoimittajan pitkäaikaisilmoitus</w:t>
      </w:r>
    </w:p>
    <w:p>
      <w:pPr>
        <w:autoSpaceDE w:val="0"/>
        <w:autoSpaceDN w:val="0"/>
        <w:rPr>
          <w:rFonts w:eastAsia="Times New Roman"/>
          <w:noProof/>
          <w:szCs w:val="24"/>
          <w:lang w:eastAsia="en-GB"/>
        </w:rPr>
      </w:pPr>
    </w:p>
    <w:p>
      <w:pPr>
        <w:spacing w:before="0" w:after="200" w:line="276" w:lineRule="auto"/>
        <w:rPr>
          <w:rFonts w:eastAsia="Times New Roman"/>
          <w:noProof/>
          <w:szCs w:val="24"/>
        </w:rPr>
      </w:pPr>
      <w:r>
        <w:rPr>
          <w:noProof/>
        </w:rPr>
        <w:br w:type="page"/>
      </w:r>
    </w:p>
    <w:p>
      <w:pPr>
        <w:autoSpaceDE w:val="0"/>
        <w:autoSpaceDN w:val="0"/>
        <w:rPr>
          <w:rFonts w:eastAsia="Times New Roman"/>
          <w:noProof/>
          <w:szCs w:val="24"/>
        </w:rPr>
      </w:pPr>
      <w:r>
        <w:rPr>
          <w:noProof/>
        </w:rPr>
        <w:t>TAVOITTEET</w:t>
      </w:r>
    </w:p>
    <w:p>
      <w:pPr>
        <w:autoSpaceDE w:val="0"/>
        <w:autoSpaceDN w:val="0"/>
        <w:rPr>
          <w:rFonts w:eastAsia="Times New Roman"/>
          <w:noProof/>
          <w:szCs w:val="24"/>
        </w:rPr>
      </w:pPr>
      <w:r>
        <w:rPr>
          <w:noProof/>
        </w:rPr>
        <w:t>Paneurooppa–Välimeri-alkuperäsääntöjä koskevan alueellisen yleissopimuksen, jäljempänä ’yleissopimus’, osapuolten on tarkoitus soveltaa näitä sääntöjä väliaikaisesti, vaihtoehtoisesti ja kahdenvälisesti yleissopimuksen muutoksen tekemiseen ja voimantuloon asti. Niitä sovelletaan sellaisten sopimuspuolten väliseen kauppaan, jotka niin päättävät ja jotka viittaavat niihin tai jotka sisällyttävät ne etuuskohtelukauppaa koskeviin kahdenvälisiin sopimuksiinsa. Niitä on tarkoitus soveltaa vaihtoehtoisesti sellaisten yleissopimuksen sääntöjen sijaan, jotka yleissopimuksen mukaisesti eivät rajoita sopimuspuolten välisissä asiaankuuluvissa sopimuksissa ja muissa asiaankuuluvissa kahdenvälisissä sopimuksissa vahvistettujen periaatteiden noudattamista. Näin ollen niiden soveltaminen ei ole pakollista, vaan niitä soveltavat vapaaehtoisesti sellaiset talouden toimijat, jotka haluavat hakea etuuksia niiden perusteella yleissopimuksen sääntöjen sijaan.</w:t>
      </w:r>
    </w:p>
    <w:p>
      <w:pPr>
        <w:autoSpaceDE w:val="0"/>
        <w:autoSpaceDN w:val="0"/>
        <w:rPr>
          <w:rFonts w:eastAsia="Times New Roman"/>
          <w:noProof/>
          <w:szCs w:val="24"/>
        </w:rPr>
      </w:pPr>
      <w:r>
        <w:rPr>
          <w:noProof/>
        </w:rPr>
        <w:t>Niiden tarkoituksena ei ole muuttaa yleissopimusta, jota sovelletaan edelleen täysimääräisesti yleissopimuksen osapuolten kesken, eivätkä ne muuta yleissopimuksen mukaisia sopimuspuolten oikeuksia ja velvollisuuksia.</w:t>
      </w:r>
    </w:p>
    <w:p>
      <w:pPr>
        <w:keepNext/>
        <w:autoSpaceDE w:val="0"/>
        <w:autoSpaceDN w:val="0"/>
        <w:jc w:val="center"/>
        <w:rPr>
          <w:rFonts w:eastAsia="Times New Roman"/>
          <w:b/>
          <w:bCs/>
          <w:smallCaps/>
          <w:noProof/>
          <w:sz w:val="28"/>
          <w:szCs w:val="28"/>
          <w:lang w:eastAsia="en-GB"/>
        </w:rPr>
      </w:pPr>
    </w:p>
    <w:p>
      <w:pPr>
        <w:pStyle w:val="Text1"/>
        <w:jc w:val="center"/>
        <w:rPr>
          <w:b/>
          <w:noProof/>
        </w:rPr>
      </w:pPr>
      <w:r>
        <w:rPr>
          <w:noProof/>
        </w:rPr>
        <w:t xml:space="preserve">I OSASTO </w:t>
      </w:r>
      <w:r>
        <w:rPr>
          <w:noProof/>
        </w:rPr>
        <w:br/>
      </w:r>
      <w:r>
        <w:rPr>
          <w:b/>
          <w:noProof/>
        </w:rPr>
        <w:t>YLEISET MÄÄRÄYKSET</w:t>
      </w:r>
    </w:p>
    <w:p>
      <w:pPr>
        <w:pStyle w:val="Text1"/>
        <w:jc w:val="center"/>
        <w:rPr>
          <w:i/>
          <w:noProof/>
        </w:rPr>
      </w:pPr>
      <w:r>
        <w:rPr>
          <w:i/>
          <w:noProof/>
        </w:rPr>
        <w:t>1 artikla</w:t>
      </w:r>
      <w:r>
        <w:rPr>
          <w:noProof/>
        </w:rPr>
        <w:t xml:space="preserve"> </w:t>
      </w:r>
      <w:r>
        <w:rPr>
          <w:noProof/>
        </w:rPr>
        <w:br/>
      </w:r>
      <w:r>
        <w:rPr>
          <w:b/>
          <w:noProof/>
        </w:rPr>
        <w:t>Määritelmät</w:t>
      </w:r>
    </w:p>
    <w:p>
      <w:pPr>
        <w:autoSpaceDE w:val="0"/>
        <w:autoSpaceDN w:val="0"/>
        <w:ind w:left="283" w:firstLine="567"/>
        <w:rPr>
          <w:rFonts w:eastAsia="Times New Roman"/>
          <w:noProof/>
          <w:szCs w:val="24"/>
        </w:rPr>
      </w:pPr>
      <w:r>
        <w:rPr>
          <w:noProof/>
        </w:rPr>
        <w:t>Näitä sääntöjä sovellettaessa</w:t>
      </w:r>
    </w:p>
    <w:p>
      <w:pPr>
        <w:autoSpaceDE w:val="0"/>
        <w:autoSpaceDN w:val="0"/>
        <w:ind w:left="851" w:hanging="851"/>
        <w:rPr>
          <w:noProof/>
        </w:rPr>
      </w:pPr>
      <w:r>
        <w:rPr>
          <w:noProof/>
        </w:rPr>
        <w:tab/>
        <w:t>a) ’soveltavalla sopimuspuolella’ tarkoitetaan yleissopimuksen osapuolta, joka sisällyttää nämä säännöt toisen yleissopimuksen osapuolen kanssa tekemiinsä etuuskohtelukauppaa koskeviin kahdenvälisiin sopimuksiin. Ilmaisu ’soveltava sopimuspuoli ’kattaa myös tämän sopimuksen osapuolet.</w:t>
      </w:r>
    </w:p>
    <w:p>
      <w:pPr>
        <w:autoSpaceDE w:val="0"/>
        <w:autoSpaceDN w:val="0"/>
        <w:ind w:left="851" w:hanging="851"/>
        <w:rPr>
          <w:noProof/>
        </w:rPr>
      </w:pPr>
      <w:r>
        <w:rPr>
          <w:noProof/>
        </w:rPr>
        <w:tab/>
        <w:t>b) ’ryhmillä’, ’nimikkeillä’ ja ’alanimikkeillä’ (neli- tai kuusinumeroisia) ryhmiä, nimikkeitä ja alanimikkeitä, joita käytetään  harmonoidun tavarankuvaus- ja koodausjärjestelmän muodostavassa nimikkeistössä, jäljempänä ’harmonoitu järjestelmä’, sellaisena kuin se on viimeksi muutettuna tulliyhteistyöneuvoston 26 päivänä kesäkuuta 2004 antamalla suosituksella;</w:t>
      </w:r>
    </w:p>
    <w:p>
      <w:pPr>
        <w:autoSpaceDE w:val="0"/>
        <w:autoSpaceDN w:val="0"/>
        <w:ind w:left="851" w:hanging="851"/>
        <w:rPr>
          <w:rFonts w:cstheme="minorBidi"/>
          <w:noProof/>
        </w:rPr>
      </w:pPr>
      <w:r>
        <w:rPr>
          <w:noProof/>
        </w:rPr>
        <w:tab/>
        <w:t>c) ilmaisulla ’luokitella’ tavaran luokittelua harmonoidun järjestelmän tiettyyn nimikkeeseen tai alanimikkeeseen;</w:t>
      </w:r>
    </w:p>
    <w:p>
      <w:pPr>
        <w:autoSpaceDE w:val="0"/>
        <w:autoSpaceDN w:val="0"/>
        <w:ind w:left="851" w:hanging="851"/>
        <w:rPr>
          <w:rFonts w:cstheme="minorBidi"/>
          <w:noProof/>
        </w:rPr>
      </w:pPr>
      <w:r>
        <w:rPr>
          <w:noProof/>
        </w:rPr>
        <w:tab/>
        <w:t>d) ’lähetyksellä’ tuotteita, jotka joko</w:t>
      </w:r>
    </w:p>
    <w:p>
      <w:pPr>
        <w:autoSpaceDE w:val="0"/>
        <w:autoSpaceDN w:val="0"/>
        <w:ind w:left="851" w:hanging="851"/>
        <w:rPr>
          <w:rFonts w:cstheme="minorBidi"/>
          <w:noProof/>
        </w:rPr>
      </w:pPr>
      <w:r>
        <w:rPr>
          <w:noProof/>
        </w:rPr>
        <w:tab/>
        <w:t>- (i)</w:t>
      </w:r>
      <w:r>
        <w:rPr>
          <w:noProof/>
        </w:rPr>
        <w:tab/>
        <w:t>lähetetään samanaikaisesti yhdeltä viejältä yhdelle vastaanottajalle; tai</w:t>
      </w:r>
    </w:p>
    <w:p>
      <w:pPr>
        <w:autoSpaceDE w:val="0"/>
        <w:autoSpaceDN w:val="0"/>
        <w:ind w:left="851" w:hanging="851"/>
        <w:rPr>
          <w:rFonts w:cstheme="minorBidi"/>
          <w:noProof/>
        </w:rPr>
      </w:pPr>
      <w:r>
        <w:rPr>
          <w:noProof/>
        </w:rPr>
        <w:tab/>
        <w:t>- (ii)</w:t>
      </w:r>
      <w:r>
        <w:rPr>
          <w:noProof/>
        </w:rPr>
        <w:tab/>
        <w:t>kuljetetaan yhdellä kuljetusasiakirjalla, joka kattaa lähetyksen viejältä vastaanottajalle, tai jos tällaista asiakirjaa ei ole, yhdellä kauppalaskulla;</w:t>
      </w:r>
    </w:p>
    <w:p>
      <w:pPr>
        <w:autoSpaceDE w:val="0"/>
        <w:autoSpaceDN w:val="0"/>
        <w:ind w:left="851" w:hanging="851"/>
        <w:rPr>
          <w:rFonts w:cstheme="minorBidi"/>
          <w:noProof/>
        </w:rPr>
      </w:pPr>
      <w:r>
        <w:rPr>
          <w:noProof/>
        </w:rPr>
        <w:tab/>
        <w:t>e) ’osapuolen tai soveltavan sopimuspuolen tulliviranomaisilla’ Euroopan unionin osalta kaikkia Euroopan unionin jäsenvaltioiden tulliviranomaisia;</w:t>
      </w:r>
    </w:p>
    <w:p>
      <w:pPr>
        <w:autoSpaceDE w:val="0"/>
        <w:autoSpaceDN w:val="0"/>
        <w:ind w:left="851" w:hanging="851"/>
        <w:rPr>
          <w:rFonts w:cstheme="minorBidi"/>
          <w:noProof/>
        </w:rPr>
      </w:pPr>
      <w:r>
        <w:rPr>
          <w:noProof/>
        </w:rPr>
        <w:tab/>
        <w:t>f) ’tullausarvolla’ tullitariffeja ja kauppaa koskevan yleissopimuksen VII artiklan soveltamisesta vuonna 1994 tehdyn sopimuksen (WTO:n sopimus tullausarvosta) mukaisesti määritettyä arvoa;</w:t>
      </w:r>
    </w:p>
    <w:p>
      <w:pPr>
        <w:autoSpaceDE w:val="0"/>
        <w:autoSpaceDN w:val="0"/>
        <w:ind w:left="851" w:hanging="851"/>
        <w:rPr>
          <w:rFonts w:cstheme="minorBidi"/>
          <w:noProof/>
        </w:rPr>
      </w:pPr>
      <w:r>
        <w:rPr>
          <w:noProof/>
        </w:rPr>
        <w:tab/>
        <w:t>g) ’noudettuna-hinnalla’ sille osapuolen valmistajalle, jonka yrityksessä viimeinen valmistus tai käsittely on suoritettu, tuotteesta maksettua noudettuna-hintaa, johon sisältyvät kaikkien käytettyjen ainesten arvo ja muut sen tuottamiseen liittyvät kustannukset ja josta on vähennetty mahdolliset sisäiset verot, jotka palautetaan tai voidaan palauttaa valmista tuotetta vietäessä. Jos viimeinen valmistus tai käsittely on annettu alihankkijan tehtäväksi, ilmaisulla ’valmistaja’ tarkoitetaan yritystä, joka on teettänyt toiminnan kyseisellä alihankkijalla.</w:t>
      </w:r>
    </w:p>
    <w:p>
      <w:pPr>
        <w:autoSpaceDE w:val="0"/>
        <w:autoSpaceDN w:val="0"/>
        <w:ind w:left="851" w:hanging="851"/>
        <w:rPr>
          <w:noProof/>
        </w:rPr>
      </w:pPr>
      <w:r>
        <w:rPr>
          <w:noProof/>
        </w:rPr>
        <w:tab/>
        <w:t>Jos todellinen maksettu hinta ei vastaa kaikkia tuotteen valmistukseen liittyviä kustannuksia, jotka tosiasiallisesti aiheutuivat osapuolessa, noudettuna-hinnalla tarkoitetaan kaikkien näiden kustannusten summaa, josta on vähennetty mahdolliset sisäiset verot, jotka palautetaan tai voidaan palauttaa valmista tuotetta vietäessä;</w:t>
      </w:r>
    </w:p>
    <w:p>
      <w:pPr>
        <w:autoSpaceDE w:val="0"/>
        <w:autoSpaceDN w:val="0"/>
        <w:ind w:left="851" w:hanging="851"/>
        <w:rPr>
          <w:noProof/>
        </w:rPr>
      </w:pPr>
      <w:r>
        <w:rPr>
          <w:noProof/>
        </w:rPr>
        <w:tab/>
        <w:t>h) ’keskenään korvattavissa olevalla aineksella’ tai ’keskenään korvattavissa olevalla tuotteella’ saman lajin ja saman kauppalaadun aineksia ja tuotteita, joiden tekniset ja fyysiset ominaisuudet ovat samat ja joita ei voida erottaa toisistaan;</w:t>
      </w:r>
    </w:p>
    <w:p>
      <w:pPr>
        <w:autoSpaceDE w:val="0"/>
        <w:autoSpaceDN w:val="0"/>
        <w:ind w:left="851" w:hanging="851"/>
        <w:rPr>
          <w:rFonts w:cstheme="minorBidi"/>
          <w:noProof/>
        </w:rPr>
      </w:pPr>
      <w:r>
        <w:rPr>
          <w:noProof/>
        </w:rPr>
        <w:tab/>
        <w:t>i) ’tavaralla’ sekä ainesta että tuotetta;</w:t>
      </w:r>
    </w:p>
    <w:p>
      <w:pPr>
        <w:autoSpaceDE w:val="0"/>
        <w:autoSpaceDN w:val="0"/>
        <w:ind w:left="851" w:hanging="851"/>
        <w:rPr>
          <w:rFonts w:cstheme="minorBidi"/>
          <w:noProof/>
        </w:rPr>
      </w:pPr>
      <w:r>
        <w:rPr>
          <w:noProof/>
        </w:rPr>
        <w:tab/>
        <w:t>j) ’valmistuksella’ kaikenlaista valmistusta tai käsittelyä, myös kokoamista;</w:t>
      </w:r>
    </w:p>
    <w:p>
      <w:pPr>
        <w:autoSpaceDE w:val="0"/>
        <w:autoSpaceDN w:val="0"/>
        <w:ind w:left="851" w:hanging="851"/>
        <w:rPr>
          <w:rFonts w:cstheme="minorBidi"/>
          <w:noProof/>
        </w:rPr>
      </w:pPr>
      <w:r>
        <w:rPr>
          <w:noProof/>
        </w:rPr>
        <w:tab/>
        <w:t>k) ’aineksella’ kaikkia aineosia, raaka-aineita, komponentteja, osia jne., joita käytetään tuotteen valmistuksessa;</w:t>
      </w:r>
    </w:p>
    <w:p>
      <w:pPr>
        <w:autoSpaceDE w:val="0"/>
        <w:autoSpaceDN w:val="0"/>
        <w:ind w:left="851" w:hanging="851"/>
        <w:rPr>
          <w:rFonts w:cstheme="minorBidi"/>
          <w:noProof/>
        </w:rPr>
      </w:pPr>
      <w:r>
        <w:rPr>
          <w:noProof/>
        </w:rPr>
        <w:tab/>
        <w:t>l) ’ei-alkuperäainesten enimmäismäärällä’ sitä, kuinka paljon enintään ei</w:t>
      </w:r>
      <w:r>
        <w:rPr>
          <w:noProof/>
        </w:rPr>
        <w:noBreakHyphen/>
        <w:t>alkuperäaineksia sallitaan valmistuksessa, jotta sitä voidaan pitää riittävänä valmistuksena tai käsittelynä antamaan tuotteelle alkuperäaseman. Tämä voidaan ilmaista prosenttiosuutena tuotteen noudettuna-hinnasta tai prosenttiosuutena sellaisten käytettyjen ainesten nettopainosta, jotka kuuluvat tiettyyn ryhmäkokonaisuuteen, ryhmään, nimikkeeseen tai alanimikkeeseen;</w:t>
      </w:r>
    </w:p>
    <w:p>
      <w:pPr>
        <w:autoSpaceDE w:val="0"/>
        <w:autoSpaceDN w:val="0"/>
        <w:ind w:left="851" w:hanging="851"/>
        <w:rPr>
          <w:rFonts w:cstheme="minorBidi"/>
          <w:noProof/>
        </w:rPr>
      </w:pPr>
      <w:r>
        <w:rPr>
          <w:noProof/>
        </w:rPr>
        <w:tab/>
        <w:t>m) ’tuotteella’ valmistettavaa tuotetta, vaikka se olisi tarkoitettu käytettäväksi myöhemmin toisessa valmistustoimessa;</w:t>
      </w:r>
    </w:p>
    <w:p>
      <w:pPr>
        <w:autoSpaceDE w:val="0"/>
        <w:autoSpaceDN w:val="0"/>
        <w:ind w:left="851" w:hanging="851"/>
        <w:rPr>
          <w:rFonts w:cstheme="minorBidi"/>
          <w:noProof/>
        </w:rPr>
      </w:pPr>
      <w:r>
        <w:rPr>
          <w:noProof/>
        </w:rPr>
        <w:tab/>
        <w:t>n) ’alueella’ osapuolen maa-aluetta, sisäisiä aluevesiä ja aluemerta;</w:t>
      </w:r>
    </w:p>
    <w:p>
      <w:pPr>
        <w:autoSpaceDE w:val="0"/>
        <w:autoSpaceDN w:val="0"/>
        <w:ind w:left="851" w:hanging="851"/>
        <w:rPr>
          <w:rFonts w:cstheme="minorBidi"/>
          <w:noProof/>
        </w:rPr>
      </w:pPr>
      <w:r>
        <w:rPr>
          <w:noProof/>
        </w:rPr>
        <w:tab/>
        <w:t>o) ’arvonlisäyksellä’ noudettuna-hintaa, josta on vähennetty kaikkien sellaisten käytettyjen ainesten tullausarvo, jotka ovat sellaisten muiden sopimuspuolten alkuperätuotteita, joiden kanssa kumulaatio on sallittua, tai jos tullausarvoa ei tiedetä tai voida todeta, ensimmäistä todettavissa olevaa aineksista viejäosapuolessa maksettua hintaa;</w:t>
      </w:r>
    </w:p>
    <w:p>
      <w:pPr>
        <w:autoSpaceDE w:val="0"/>
        <w:autoSpaceDN w:val="0"/>
        <w:ind w:left="851" w:hanging="851"/>
        <w:rPr>
          <w:noProof/>
        </w:rPr>
      </w:pPr>
      <w:r>
        <w:rPr>
          <w:noProof/>
        </w:rPr>
        <w:tab/>
        <w:t>p) ’ainesten arvolla’ valmistuksessa käytettyjen ei-alkuperäainesten tullausarvoa tuontihetkellä, tai jos sitä ei tiedetä tai voida todeta, ensimmäistä todennettavissa olevaa aineksista viejäosapuolessa maksettua hintaa. Kun käytettyjen alkuperäainesten arvo on määritettävä, tämän kohdan määräyksiä sovelletaan soveltuvin osin.</w:t>
      </w:r>
    </w:p>
    <w:p>
      <w:pPr>
        <w:autoSpaceDE w:val="0"/>
        <w:autoSpaceDN w:val="0"/>
        <w:ind w:left="851" w:hanging="851"/>
        <w:rPr>
          <w:rFonts w:cstheme="minorBidi"/>
          <w:noProof/>
        </w:rPr>
      </w:pPr>
    </w:p>
    <w:p>
      <w:pPr>
        <w:pStyle w:val="Text1"/>
        <w:jc w:val="center"/>
        <w:rPr>
          <w:b/>
          <w:noProof/>
        </w:rPr>
      </w:pPr>
      <w:r>
        <w:rPr>
          <w:noProof/>
        </w:rPr>
        <w:t xml:space="preserve">II OSASTO </w:t>
      </w:r>
      <w:r>
        <w:rPr>
          <w:noProof/>
        </w:rPr>
        <w:br/>
      </w:r>
      <w:r>
        <w:rPr>
          <w:b/>
          <w:noProof/>
        </w:rPr>
        <w:t>KÄSITTEEN ”PERÄISIN OLEVAT TUOTTEET’” (”ALKUPERÄTUOTTEET”) MÄÄRITTELY</w:t>
      </w:r>
    </w:p>
    <w:p>
      <w:pPr>
        <w:pStyle w:val="Text1"/>
        <w:jc w:val="center"/>
        <w:rPr>
          <w:i/>
          <w:noProof/>
        </w:rPr>
      </w:pPr>
      <w:r>
        <w:rPr>
          <w:i/>
          <w:noProof/>
        </w:rPr>
        <w:t>2 artikla</w:t>
      </w:r>
      <w:r>
        <w:rPr>
          <w:noProof/>
        </w:rPr>
        <w:t xml:space="preserve"> </w:t>
      </w:r>
      <w:r>
        <w:rPr>
          <w:noProof/>
        </w:rPr>
        <w:br/>
      </w:r>
      <w:r>
        <w:rPr>
          <w:b/>
          <w:noProof/>
        </w:rPr>
        <w:t>Yleiset vaatimukset</w:t>
      </w:r>
    </w:p>
    <w:p>
      <w:pPr>
        <w:autoSpaceDE w:val="0"/>
        <w:autoSpaceDN w:val="0"/>
        <w:ind w:left="851" w:hanging="1"/>
        <w:rPr>
          <w:noProof/>
        </w:rPr>
      </w:pPr>
      <w:r>
        <w:rPr>
          <w:noProof/>
        </w:rPr>
        <w:t>Tämän sopimuksen panemiseksi täytäntöön pidetään seuraavia tuotteita osapuolen alkuperätuotteina vietäessä niitä toiseen osapuoleen:</w:t>
      </w:r>
    </w:p>
    <w:p>
      <w:pPr>
        <w:pStyle w:val="Point2letter"/>
        <w:rPr>
          <w:noProof/>
        </w:rPr>
      </w:pPr>
      <w:r>
        <w:rPr>
          <w:noProof/>
        </w:rPr>
        <w:t>3 artiklan mukaiset osapuolessa kokonaan tuotetut tuotteet;</w:t>
      </w:r>
    </w:p>
    <w:p>
      <w:pPr>
        <w:pStyle w:val="Point2letter"/>
        <w:rPr>
          <w:noProof/>
        </w:rPr>
      </w:pPr>
      <w:r>
        <w:rPr>
          <w:noProof/>
        </w:rPr>
        <w:t>osapuolessa tuotetut tuotteet, joiden valmistuksessa on käytetty muita kuin siellä kokonaan tuotettuja aineksia, jos näille aineksille on tehty kyseisessä osapuolessa 4 artiklan mukainen riittävä valmistus tai käsittely.</w:t>
      </w:r>
    </w:p>
    <w:p>
      <w:pPr>
        <w:autoSpaceDE w:val="0"/>
        <w:autoSpaceDN w:val="0"/>
        <w:ind w:left="851" w:hanging="851"/>
        <w:jc w:val="center"/>
        <w:rPr>
          <w:i/>
          <w:noProof/>
        </w:rPr>
      </w:pPr>
      <w:r>
        <w:rPr>
          <w:i/>
          <w:noProof/>
        </w:rPr>
        <w:t>3 artikla</w:t>
      </w:r>
    </w:p>
    <w:p>
      <w:pPr>
        <w:keepNext/>
        <w:autoSpaceDE w:val="0"/>
        <w:autoSpaceDN w:val="0"/>
        <w:ind w:firstLine="567"/>
        <w:jc w:val="center"/>
        <w:rPr>
          <w:b/>
          <w:noProof/>
        </w:rPr>
      </w:pPr>
      <w:r>
        <w:rPr>
          <w:b/>
          <w:noProof/>
        </w:rPr>
        <w:t>Kokonaan tuotetut tuotteet</w:t>
      </w:r>
    </w:p>
    <w:p>
      <w:pPr>
        <w:pStyle w:val="Point1"/>
        <w:rPr>
          <w:noProof/>
        </w:rPr>
      </w:pPr>
      <w:r>
        <w:rPr>
          <w:noProof/>
        </w:rPr>
        <w:t>1.</w:t>
      </w:r>
      <w:r>
        <w:rPr>
          <w:noProof/>
        </w:rPr>
        <w:tab/>
        <w:t>Seuraavia tuotteita pidetään osapuolessa kokonaan tuotettuina, kun ne viedään toiseen osapuoleen:</w:t>
      </w:r>
    </w:p>
    <w:p>
      <w:pPr>
        <w:pStyle w:val="Point2"/>
        <w:rPr>
          <w:noProof/>
        </w:rPr>
      </w:pPr>
      <w:r>
        <w:rPr>
          <w:noProof/>
        </w:rPr>
        <w:t>a)</w:t>
      </w:r>
      <w:r>
        <w:rPr>
          <w:noProof/>
        </w:rPr>
        <w:tab/>
        <w:t>sen maaperästä tai merenpohjasta saadut kivennäistuotteet ja luonnonvesi;</w:t>
      </w:r>
    </w:p>
    <w:p>
      <w:pPr>
        <w:pStyle w:val="Point2"/>
        <w:rPr>
          <w:noProof/>
        </w:rPr>
      </w:pPr>
      <w:r>
        <w:rPr>
          <w:noProof/>
        </w:rPr>
        <w:t>b)</w:t>
      </w:r>
      <w:r>
        <w:rPr>
          <w:noProof/>
        </w:rPr>
        <w:tab/>
        <w:t>siellä kasvatetut tai korjatut kasvit, mukaan lukien vesikasvit, ja kasvistuotteet;</w:t>
      </w:r>
    </w:p>
    <w:p>
      <w:pPr>
        <w:pStyle w:val="Point2"/>
        <w:rPr>
          <w:noProof/>
        </w:rPr>
      </w:pPr>
      <w:r>
        <w:rPr>
          <w:noProof/>
        </w:rPr>
        <w:t>c)</w:t>
      </w:r>
      <w:r>
        <w:rPr>
          <w:noProof/>
        </w:rPr>
        <w:tab/>
        <w:t>siellä syntyneet ja kasvatetut elävät eläimet;</w:t>
      </w:r>
    </w:p>
    <w:p>
      <w:pPr>
        <w:pStyle w:val="Point2"/>
        <w:rPr>
          <w:noProof/>
        </w:rPr>
      </w:pPr>
      <w:r>
        <w:rPr>
          <w:noProof/>
        </w:rPr>
        <w:t>d)</w:t>
      </w:r>
      <w:r>
        <w:rPr>
          <w:noProof/>
        </w:rPr>
        <w:tab/>
        <w:t>siellä kasvatetuista elävistä eläimistä saadut tuotteet;</w:t>
      </w:r>
    </w:p>
    <w:p>
      <w:pPr>
        <w:pStyle w:val="Point2"/>
        <w:rPr>
          <w:noProof/>
        </w:rPr>
      </w:pPr>
      <w:r>
        <w:rPr>
          <w:noProof/>
        </w:rPr>
        <w:t>e)</w:t>
      </w:r>
      <w:r>
        <w:rPr>
          <w:noProof/>
        </w:rPr>
        <w:tab/>
        <w:t>siellä syntyneistä ja kasvatetuista teurastetuista eläimistä saadut tuotteet;</w:t>
      </w:r>
    </w:p>
    <w:p>
      <w:pPr>
        <w:pStyle w:val="Point2"/>
        <w:rPr>
          <w:noProof/>
        </w:rPr>
      </w:pPr>
      <w:r>
        <w:rPr>
          <w:noProof/>
        </w:rPr>
        <w:t>f)</w:t>
      </w:r>
      <w:r>
        <w:rPr>
          <w:noProof/>
        </w:rPr>
        <w:tab/>
        <w:t>siellä metsästämällä tai kalastamalla saadut tuotteet;</w:t>
      </w:r>
    </w:p>
    <w:p>
      <w:pPr>
        <w:pStyle w:val="Point2"/>
        <w:rPr>
          <w:noProof/>
        </w:rPr>
      </w:pPr>
      <w:r>
        <w:rPr>
          <w:noProof/>
        </w:rPr>
        <w:t>g)</w:t>
      </w:r>
      <w:r>
        <w:rPr>
          <w:noProof/>
        </w:rPr>
        <w:tab/>
        <w:t>vesiviljelytuotteet, kun kalat, äyriäiset, nilviäiset ja muut vedessä elävät selkärangattomat ovat syntyneet tai ne on kasvatettu siellä munista, toukista tai kalanpoikasista;</w:t>
      </w:r>
    </w:p>
    <w:p>
      <w:pPr>
        <w:pStyle w:val="Point2"/>
        <w:rPr>
          <w:noProof/>
        </w:rPr>
      </w:pPr>
      <w:r>
        <w:rPr>
          <w:noProof/>
        </w:rPr>
        <w:t>h)</w:t>
      </w:r>
      <w:r>
        <w:rPr>
          <w:noProof/>
        </w:rPr>
        <w:tab/>
        <w:t>sen alusten aluemerten ulkopuolelta pyytämät merikalastustuotteet ja muut sen alusten aluemerten ulkopuolelta saamat tuotteet;</w:t>
      </w:r>
    </w:p>
    <w:p>
      <w:pPr>
        <w:pStyle w:val="Point2"/>
        <w:rPr>
          <w:noProof/>
        </w:rPr>
      </w:pPr>
      <w:r>
        <w:rPr>
          <w:noProof/>
        </w:rPr>
        <w:t>i)</w:t>
      </w:r>
      <w:r>
        <w:rPr>
          <w:noProof/>
        </w:rPr>
        <w:tab/>
        <w:t>sen tehdasaluksilla ainoastaan h alakohdassa tarkoitetuista tuotteista valmistetut tuotteet;</w:t>
      </w:r>
    </w:p>
    <w:p>
      <w:pPr>
        <w:pStyle w:val="Point2"/>
        <w:rPr>
          <w:noProof/>
        </w:rPr>
      </w:pPr>
      <w:r>
        <w:rPr>
          <w:noProof/>
        </w:rPr>
        <w:t>j)</w:t>
      </w:r>
      <w:r>
        <w:rPr>
          <w:noProof/>
        </w:rPr>
        <w:tab/>
        <w:t>siellä kerätyt yksinomaan raaka-aineiden talteenottoon soveltuvat käytetyt tavarat;</w:t>
      </w:r>
    </w:p>
    <w:p>
      <w:pPr>
        <w:pStyle w:val="Point2"/>
        <w:rPr>
          <w:noProof/>
        </w:rPr>
      </w:pPr>
      <w:r>
        <w:rPr>
          <w:noProof/>
        </w:rPr>
        <w:t>k)</w:t>
      </w:r>
      <w:r>
        <w:rPr>
          <w:noProof/>
        </w:rPr>
        <w:tab/>
        <w:t>siellä suoritetuista valmistustoimista syntyneet jätteet ja romu;</w:t>
      </w:r>
    </w:p>
    <w:p>
      <w:pPr>
        <w:pStyle w:val="Point2"/>
        <w:rPr>
          <w:noProof/>
        </w:rPr>
      </w:pPr>
      <w:r>
        <w:rPr>
          <w:noProof/>
        </w:rPr>
        <w:t>l)</w:t>
      </w:r>
      <w:r>
        <w:rPr>
          <w:noProof/>
        </w:rPr>
        <w:tab/>
        <w:t>sen aluemeren ulkopuolisesta merenpohjasta tai merenpohjan alaisista kerrostumista saadut tuotteet, jos sillä on yksinoikeus hyödyntää tätä merenpohjaa tai sen alaisia kerrostumia;</w:t>
      </w:r>
    </w:p>
    <w:p>
      <w:pPr>
        <w:pStyle w:val="Point2"/>
        <w:rPr>
          <w:noProof/>
        </w:rPr>
      </w:pPr>
      <w:r>
        <w:rPr>
          <w:noProof/>
        </w:rPr>
        <w:t>m)</w:t>
      </w:r>
      <w:r>
        <w:rPr>
          <w:noProof/>
        </w:rPr>
        <w:tab/>
        <w:t>siellä yksinomaan a–l alakohdassa tarkoitetuista tuotteista tuotetut tavarat.</w:t>
      </w:r>
    </w:p>
    <w:p>
      <w:pPr>
        <w:pStyle w:val="Point1"/>
        <w:rPr>
          <w:noProof/>
        </w:rPr>
      </w:pPr>
      <w:r>
        <w:rPr>
          <w:noProof/>
        </w:rPr>
        <w:t>2.</w:t>
      </w:r>
      <w:r>
        <w:rPr>
          <w:noProof/>
        </w:rPr>
        <w:tab/>
        <w:t>Edellä 1 kohdan h alakohdassa käytetyllä ilmaisulla ’sen alusten’ ja 1 kohdan i alakohdassa käytetyllä ilmaisulla ’sen tehdasaluksilla’ tarkoitetaan ainoastaan sellaisia aluksia ja tehdasaluksia, jotka täyttävät kaikki seuraavat vaatimukset:</w:t>
      </w:r>
    </w:p>
    <w:p>
      <w:pPr>
        <w:pStyle w:val="Point2"/>
        <w:rPr>
          <w:noProof/>
        </w:rPr>
      </w:pPr>
      <w:r>
        <w:rPr>
          <w:noProof/>
        </w:rPr>
        <w:t>a)</w:t>
      </w:r>
      <w:r>
        <w:rPr>
          <w:noProof/>
        </w:rPr>
        <w:tab/>
        <w:t>ne on rekisteröity viejä- tai tuojaosapuolessa;</w:t>
      </w:r>
    </w:p>
    <w:p>
      <w:pPr>
        <w:pStyle w:val="Point2"/>
        <w:rPr>
          <w:noProof/>
        </w:rPr>
      </w:pPr>
      <w:r>
        <w:rPr>
          <w:noProof/>
        </w:rPr>
        <w:t>b)</w:t>
      </w:r>
      <w:r>
        <w:rPr>
          <w:noProof/>
        </w:rPr>
        <w:tab/>
        <w:t>ne purjehtivat viejä- tai tuojaosapuolen lipun alla;</w:t>
      </w:r>
    </w:p>
    <w:p>
      <w:pPr>
        <w:pStyle w:val="Point2"/>
        <w:rPr>
          <w:noProof/>
        </w:rPr>
      </w:pPr>
      <w:r>
        <w:rPr>
          <w:noProof/>
        </w:rPr>
        <w:t>c)</w:t>
      </w:r>
      <w:r>
        <w:rPr>
          <w:noProof/>
        </w:rPr>
        <w:tab/>
        <w:t>ne täyttävät toisen seuraavista edellytyksistä:</w:t>
      </w:r>
    </w:p>
    <w:p>
      <w:pPr>
        <w:pStyle w:val="Point3"/>
        <w:rPr>
          <w:noProof/>
        </w:rPr>
      </w:pPr>
      <w:r>
        <w:rPr>
          <w:noProof/>
        </w:rPr>
        <w:t>i)</w:t>
      </w:r>
      <w:r>
        <w:rPr>
          <w:noProof/>
        </w:rPr>
        <w:tab/>
        <w:t>ne ovat vähintään puoliksi viejä- tai tuojasopimuspuolen kansalaisten omistamia, tai</w:t>
      </w:r>
    </w:p>
    <w:p>
      <w:pPr>
        <w:pStyle w:val="Point3"/>
        <w:rPr>
          <w:noProof/>
        </w:rPr>
      </w:pPr>
      <w:r>
        <w:rPr>
          <w:noProof/>
        </w:rPr>
        <w:t>(ii)</w:t>
      </w:r>
      <w:r>
        <w:rPr>
          <w:noProof/>
        </w:rPr>
        <w:tab/>
        <w:t>ne ovat sellaisten yritysten omistamia,</w:t>
      </w:r>
    </w:p>
    <w:p>
      <w:pPr>
        <w:pStyle w:val="Tiret4"/>
        <w:numPr>
          <w:ilvl w:val="0"/>
          <w:numId w:val="24"/>
        </w:numPr>
        <w:spacing w:line="360" w:lineRule="auto"/>
        <w:rPr>
          <w:noProof/>
        </w:rPr>
      </w:pPr>
      <w:r>
        <w:rPr>
          <w:noProof/>
        </w:rPr>
        <w:t>joiden kotipaikka ja päätoimipaikka ovat viejä- tai tuojaosapuolessa, ja</w:t>
      </w:r>
    </w:p>
    <w:p>
      <w:pPr>
        <w:pStyle w:val="Tiret4"/>
        <w:numPr>
          <w:ilvl w:val="0"/>
          <w:numId w:val="24"/>
        </w:numPr>
        <w:spacing w:line="360" w:lineRule="auto"/>
        <w:rPr>
          <w:noProof/>
        </w:rPr>
      </w:pPr>
      <w:r>
        <w:rPr>
          <w:noProof/>
        </w:rPr>
        <w:t>jotka ovat vähintään puoliksi viejä- tai tuojasopimuspuolen tai näiden osapuolten julkisyhteisöjen tai kansalaisten omistamia.</w:t>
      </w:r>
    </w:p>
    <w:p>
      <w:pPr>
        <w:pStyle w:val="Point1"/>
        <w:rPr>
          <w:noProof/>
        </w:rPr>
      </w:pPr>
      <w:r>
        <w:rPr>
          <w:noProof/>
        </w:rPr>
        <w:t>3.</w:t>
      </w:r>
      <w:r>
        <w:rPr>
          <w:noProof/>
        </w:rPr>
        <w:tab/>
        <w:t>Edellä 2 kohdassa kyseessä on Euroopan unionin jäsenvaltio, kun viejä- tai tuojaosapuoli on Euroopan unioni.</w:t>
      </w:r>
    </w:p>
    <w:p>
      <w:pPr>
        <w:pStyle w:val="Point1"/>
        <w:rPr>
          <w:noProof/>
        </w:rPr>
      </w:pPr>
      <w:r>
        <w:rPr>
          <w:noProof/>
        </w:rPr>
        <w:t>4.</w:t>
      </w:r>
      <w:r>
        <w:rPr>
          <w:noProof/>
        </w:rPr>
        <w:tab/>
        <w:t>Edellä olevan 2 kohdan soveltamiseksi EFTA-valtioita pidetään yhtenä soveltavana sopimuspuolena.</w:t>
      </w:r>
    </w:p>
    <w:p>
      <w:pPr>
        <w:pStyle w:val="Text1"/>
        <w:jc w:val="center"/>
        <w:rPr>
          <w:i/>
          <w:noProof/>
        </w:rPr>
      </w:pPr>
      <w:r>
        <w:rPr>
          <w:i/>
          <w:noProof/>
        </w:rPr>
        <w:t>4 artikla</w:t>
      </w:r>
      <w:r>
        <w:rPr>
          <w:noProof/>
        </w:rPr>
        <w:t xml:space="preserve"> </w:t>
      </w:r>
      <w:r>
        <w:rPr>
          <w:noProof/>
        </w:rPr>
        <w:br/>
      </w:r>
      <w:r>
        <w:rPr>
          <w:b/>
          <w:noProof/>
        </w:rPr>
        <w:t>Riittävä valmistus tai käsittely</w:t>
      </w:r>
    </w:p>
    <w:p>
      <w:pPr>
        <w:pStyle w:val="Point1"/>
        <w:rPr>
          <w:noProof/>
        </w:rPr>
      </w:pPr>
      <w:r>
        <w:rPr>
          <w:noProof/>
        </w:rPr>
        <w:t>1.</w:t>
      </w:r>
      <w:r>
        <w:rPr>
          <w:noProof/>
        </w:rPr>
        <w:tab/>
        <w:t>Tuotteita, joita ei ole tuotettu kokonaan osapuolessa, pidetään riittävästi valmistettuina tai käsiteltyinä, jos liitteen II luettelossa määrätyt edellytykset täyttyvät asianomaisten tavaroiden osalta, sanotun kuitenkaan rajoittamatta tämän artiklan 3 kohdan ja 6 artiklan soveltamista.</w:t>
      </w:r>
    </w:p>
    <w:p>
      <w:pPr>
        <w:pStyle w:val="Point1"/>
        <w:rPr>
          <w:noProof/>
        </w:rPr>
      </w:pPr>
      <w:r>
        <w:rPr>
          <w:noProof/>
        </w:rPr>
        <w:t>2.</w:t>
      </w:r>
      <w:r>
        <w:rPr>
          <w:noProof/>
        </w:rPr>
        <w:tab/>
        <w:t>Jos tuotetta, joka on saanut alkuperäaseman osapuolessa tämän artiklan 1 kohdan mukaisesti, käytetään aineksena toisen tuotteen valmistuksessa, sen valmistuksessa mahdollisesti käytettyjä ei-alkuperäaineksia ei oteta huomioon.</w:t>
      </w:r>
    </w:p>
    <w:p>
      <w:pPr>
        <w:pStyle w:val="Point1"/>
        <w:rPr>
          <w:noProof/>
        </w:rPr>
      </w:pPr>
      <w:r>
        <w:rPr>
          <w:noProof/>
        </w:rPr>
        <w:t>3.</w:t>
      </w:r>
      <w:r>
        <w:rPr>
          <w:noProof/>
        </w:rPr>
        <w:tab/>
        <w:t>Kunkin tuotteen osalta on määritettävä, täyttyvätkö tämän artiklan 1 kohdan vaatimukset.</w:t>
      </w:r>
    </w:p>
    <w:p>
      <w:pPr>
        <w:pStyle w:val="Point1"/>
        <w:ind w:firstLine="0"/>
        <w:rPr>
          <w:noProof/>
        </w:rPr>
      </w:pPr>
      <w:r>
        <w:rPr>
          <w:noProof/>
        </w:rPr>
        <w:t>Kuitenkin kun asianomainen sääntö perustuu ei</w:t>
      </w:r>
      <w:r>
        <w:rPr>
          <w:noProof/>
        </w:rPr>
        <w:noBreakHyphen/>
        <w:t>alkuperäainesten enimmäismäärän noudattamiseen, osapuolten tulliviranomaiset voivat antaa viejille luvan laskea tuotteen noudettuna-hinnan ja ei</w:t>
      </w:r>
      <w:r>
        <w:rPr>
          <w:noProof/>
        </w:rPr>
        <w:noBreakHyphen/>
        <w:t>alkuperäainesten arvon tämän artiklan 4 kohdan mukaisesti keskiarvon perusteella, jotta kustannus- ja valuuttakurssivaihtelut voidaan ottaa huomioon.</w:t>
      </w:r>
    </w:p>
    <w:p>
      <w:pPr>
        <w:pStyle w:val="Point1"/>
        <w:rPr>
          <w:noProof/>
        </w:rPr>
      </w:pPr>
      <w:r>
        <w:rPr>
          <w:noProof/>
        </w:rPr>
        <w:t>4.</w:t>
      </w:r>
      <w:r>
        <w:rPr>
          <w:noProof/>
        </w:rPr>
        <w:tab/>
        <w:t>Kun tämän artiklan 3 kohdan toista alakohtaa sovelletaan, tuotteen keskimääräinen noudettuna</w:t>
      </w:r>
      <w:r>
        <w:rPr>
          <w:noProof/>
        </w:rPr>
        <w:noBreakHyphen/>
        <w:t>hinta on laskettava samojen tuotteiden kaikesta edellisenä verovuonna tapahtuneesta myynnistä veloitettujen noudettuna-hintojen summan perusteella ja käytettyjen ei-alkuperäainesten keskiarvo on laskettava edellisenä verovuonna tapahtuneessa samojen tuotteiden valmistuksessa käytettyjen ei-alkuperäaineisten arvon summan perusteella, sellaisina kuin ne on määritelty viejäosapuolessa, tai, jos koko verovuotta koskevia lukuja ei vielä ole saatavilla, käytetään lyhyempää, kuitenkin vähintään kolmen kuukauden pituista ajanjaksoa.</w:t>
      </w:r>
    </w:p>
    <w:p>
      <w:pPr>
        <w:pStyle w:val="Point1"/>
        <w:rPr>
          <w:noProof/>
        </w:rPr>
      </w:pPr>
      <w:r>
        <w:rPr>
          <w:noProof/>
        </w:rPr>
        <w:t>5.</w:t>
      </w:r>
      <w:r>
        <w:rPr>
          <w:noProof/>
        </w:rPr>
        <w:tab/>
        <w:t>Jos viejät ovat valinneet keskiarvoihin perustuvat laskelmat, niiden on johdonmukaisesti sovellettava tällaista menetelmää viiteverovuotta seuraavana vuonna tai, soveltuvin osin, viitekautena käytettyä lyhyempää ajanjaksoa seuraavana vuonna. Ne voivat lopettaa tällaisen järjestelmän soveltamisen, jos ne toteavat jonkin verovuoden tai vähintään kolmen kuukauden pituisen lyhyemmän edustavan ajanjakson aikana, että tällaisen menetelmän käytön perusteena olleita kustannus- tai valuuttakurssivaihteluja ei enää ole.</w:t>
      </w:r>
    </w:p>
    <w:p>
      <w:pPr>
        <w:pStyle w:val="Point1"/>
        <w:rPr>
          <w:noProof/>
        </w:rPr>
      </w:pPr>
      <w:r>
        <w:rPr>
          <w:noProof/>
        </w:rPr>
        <w:t>6.</w:t>
      </w:r>
      <w:r>
        <w:rPr>
          <w:noProof/>
        </w:rPr>
        <w:tab/>
        <w:t>Tämän artiklan 4 kohdassa tarkoitettuja keskiarvoja on käytettävä noudettuna-hintana ja ei-alkuperäaineisten arvona ei-alkuperäainesten enimmäismäärää koskevan vaatimuksen noudattamisen toteamiseksi.</w:t>
      </w:r>
    </w:p>
    <w:p>
      <w:pPr>
        <w:pStyle w:val="Text1"/>
        <w:jc w:val="center"/>
        <w:rPr>
          <w:i/>
          <w:noProof/>
        </w:rPr>
      </w:pPr>
      <w:r>
        <w:rPr>
          <w:i/>
          <w:noProof/>
        </w:rPr>
        <w:t>5 artikla</w:t>
      </w:r>
      <w:r>
        <w:rPr>
          <w:noProof/>
        </w:rPr>
        <w:t xml:space="preserve"> </w:t>
      </w:r>
      <w:r>
        <w:rPr>
          <w:noProof/>
        </w:rPr>
        <w:br/>
      </w:r>
      <w:r>
        <w:rPr>
          <w:b/>
          <w:noProof/>
        </w:rPr>
        <w:t>Toleranssisääntö</w:t>
      </w:r>
    </w:p>
    <w:p>
      <w:pPr>
        <w:pStyle w:val="Point1"/>
        <w:rPr>
          <w:noProof/>
        </w:rPr>
      </w:pPr>
      <w:r>
        <w:rPr>
          <w:noProof/>
        </w:rPr>
        <w:t>1.</w:t>
      </w:r>
      <w:r>
        <w:rPr>
          <w:noProof/>
        </w:rPr>
        <w:tab/>
        <w:t>Poiketen siitä, mitä 4 artiklassa säädetään, sekä tämän artiklan 2 ja 3 kohdan mukaisesti ei</w:t>
      </w:r>
      <w:r>
        <w:rPr>
          <w:noProof/>
        </w:rPr>
        <w:noBreakHyphen/>
        <w:t>alkuperäaineksia, joita liitteen II luettelossa vahvistettujen edellytysten mukaan ei saa käyttää tietyn tuotteen valmistuksessa, voidaan kuitenkin käyttää, jos niiden kokonaisnettopaino tai tuotteen arvioitu arvo on enintään</w:t>
      </w:r>
    </w:p>
    <w:p>
      <w:pPr>
        <w:pStyle w:val="Point2"/>
        <w:rPr>
          <w:noProof/>
        </w:rPr>
      </w:pPr>
      <w:r>
        <w:rPr>
          <w:noProof/>
        </w:rPr>
        <w:t>a)</w:t>
      </w:r>
      <w:r>
        <w:rPr>
          <w:noProof/>
        </w:rPr>
        <w:tab/>
        <w:t>15 prosenttia 2 tai 4–24 ryhmään kuuluvan tuotteen, lukuun ottamatta 16 ryhmään kuuluvia jalostettuja kalastustuotteita, nettopainosta;</w:t>
      </w:r>
    </w:p>
    <w:p>
      <w:pPr>
        <w:pStyle w:val="Point2"/>
        <w:rPr>
          <w:noProof/>
        </w:rPr>
      </w:pPr>
      <w:r>
        <w:rPr>
          <w:noProof/>
        </w:rPr>
        <w:t>b)</w:t>
      </w:r>
      <w:r>
        <w:rPr>
          <w:noProof/>
        </w:rPr>
        <w:tab/>
        <w:t>15 prosenttia tuotteen, lukuun ottamatta a alakohdassa tarkoitettuja tuotteita, noudettuna-hinnasta.</w:t>
      </w:r>
    </w:p>
    <w:p>
      <w:pPr>
        <w:pStyle w:val="Text2"/>
        <w:rPr>
          <w:i/>
          <w:noProof/>
        </w:rPr>
      </w:pPr>
      <w:r>
        <w:rPr>
          <w:noProof/>
        </w:rPr>
        <w:t>Tätä kohtaa ei sovelleta harmonoidun järjestelmän 50–63 ryhmän tuotteisiin, joihin sovelletaan liitteen I huomautuksissa 6 ja 7 mainittuja poikkeamia.</w:t>
      </w:r>
    </w:p>
    <w:p>
      <w:pPr>
        <w:pStyle w:val="Point1"/>
        <w:rPr>
          <w:noProof/>
        </w:rPr>
      </w:pPr>
      <w:r>
        <w:rPr>
          <w:noProof/>
        </w:rPr>
        <w:t>2.</w:t>
      </w:r>
      <w:r>
        <w:rPr>
          <w:noProof/>
        </w:rPr>
        <w:tab/>
        <w:t>Tämän artiklan 1 kohtaa sovellettaessa ei saa ylittää mitään liitteen II luettelossa vahvistetuissa säännöissä eriteltyä ei-alkuperäainesten enimmäismäärää.</w:t>
      </w:r>
    </w:p>
    <w:p>
      <w:pPr>
        <w:pStyle w:val="Point1"/>
        <w:rPr>
          <w:noProof/>
        </w:rPr>
      </w:pPr>
      <w:r>
        <w:rPr>
          <w:noProof/>
        </w:rPr>
        <w:t>3.</w:t>
      </w:r>
      <w:r>
        <w:rPr>
          <w:noProof/>
        </w:rPr>
        <w:tab/>
        <w:t>Tämän artiklan 1 ja 2 kohtaa ei sovelleta tuotteisiin, jotka on tuotettu kokonaan osapuolessa 3 artiklan mukaisesti. Mainituissa määräyksissä määrättyä poikkeamaa sovelletaan kuitenkin tuotteeseen, jonka osalta liitteen II luettelossa vahvistettu sääntö edellyttää, että kyseisen tuotteen valmistuksessa käytetyt ainekset ovat kokonaan tuotettuja, sanotun kuitenkaan rajoittamatta 6 artiklan ja 9 artiklan 1 kohdan soveltamista.</w:t>
      </w:r>
    </w:p>
    <w:p>
      <w:pPr>
        <w:pStyle w:val="Text1"/>
        <w:jc w:val="center"/>
        <w:rPr>
          <w:i/>
          <w:noProof/>
        </w:rPr>
      </w:pPr>
      <w:r>
        <w:rPr>
          <w:i/>
          <w:noProof/>
        </w:rPr>
        <w:t>6 artikla</w:t>
      </w:r>
      <w:r>
        <w:rPr>
          <w:noProof/>
        </w:rPr>
        <w:t xml:space="preserve"> </w:t>
      </w:r>
      <w:r>
        <w:rPr>
          <w:noProof/>
        </w:rPr>
        <w:br/>
      </w:r>
      <w:r>
        <w:rPr>
          <w:b/>
          <w:noProof/>
        </w:rPr>
        <w:t>Riittämätön valmistus tai käsittely</w:t>
      </w:r>
    </w:p>
    <w:p>
      <w:pPr>
        <w:pStyle w:val="Point1"/>
        <w:rPr>
          <w:noProof/>
        </w:rPr>
      </w:pPr>
      <w:r>
        <w:rPr>
          <w:noProof/>
        </w:rPr>
        <w:t>1.</w:t>
      </w:r>
      <w:r>
        <w:rPr>
          <w:noProof/>
        </w:rPr>
        <w:tab/>
        <w:t>Seuraavia toimia pidetään riittämättömänä valmistuksena tai käsittelynä antamaan alkuperäasema riippumatta siitä, täyttyvätkö 4 artiklan vaatimukset, sanotun kuitenkaan rajoittamatta tämän artiklan 2 kohdan soveltamista:</w:t>
      </w:r>
    </w:p>
    <w:p>
      <w:pPr>
        <w:pStyle w:val="Point2"/>
        <w:rPr>
          <w:noProof/>
        </w:rPr>
      </w:pPr>
      <w:r>
        <w:rPr>
          <w:noProof/>
        </w:rPr>
        <w:t>a)</w:t>
      </w:r>
      <w:r>
        <w:rPr>
          <w:noProof/>
        </w:rPr>
        <w:tab/>
        <w:t>toimet tuotteiden hyvän kunnon säilymisen varmistamiseksi kuljetuksen ja varastoinnin aikana;</w:t>
      </w:r>
    </w:p>
    <w:p>
      <w:pPr>
        <w:pStyle w:val="Point2"/>
        <w:rPr>
          <w:noProof/>
        </w:rPr>
      </w:pPr>
      <w:r>
        <w:rPr>
          <w:noProof/>
        </w:rPr>
        <w:t>b)</w:t>
      </w:r>
      <w:r>
        <w:rPr>
          <w:noProof/>
        </w:rPr>
        <w:tab/>
        <w:t>kollien jakaminen ja yhdistäminen;</w:t>
      </w:r>
    </w:p>
    <w:p>
      <w:pPr>
        <w:pStyle w:val="Point2"/>
        <w:rPr>
          <w:noProof/>
        </w:rPr>
      </w:pPr>
      <w:r>
        <w:rPr>
          <w:noProof/>
        </w:rPr>
        <w:t>c)</w:t>
      </w:r>
      <w:r>
        <w:rPr>
          <w:noProof/>
        </w:rPr>
        <w:tab/>
        <w:t>pesu, puhdistus; pölyn, oksidin, öljyn, maalin tai muun peiteaineen poistaminen;</w:t>
      </w:r>
    </w:p>
    <w:p>
      <w:pPr>
        <w:pStyle w:val="Point2"/>
        <w:rPr>
          <w:noProof/>
        </w:rPr>
      </w:pPr>
      <w:r>
        <w:rPr>
          <w:noProof/>
        </w:rPr>
        <w:t>d)</w:t>
      </w:r>
      <w:r>
        <w:rPr>
          <w:noProof/>
        </w:rPr>
        <w:tab/>
        <w:t>tekstiilien silitys tai prässäys;</w:t>
      </w:r>
    </w:p>
    <w:p>
      <w:pPr>
        <w:pStyle w:val="Point2"/>
        <w:rPr>
          <w:noProof/>
        </w:rPr>
      </w:pPr>
      <w:r>
        <w:rPr>
          <w:noProof/>
        </w:rPr>
        <w:t>e)</w:t>
      </w:r>
      <w:r>
        <w:rPr>
          <w:noProof/>
        </w:rPr>
        <w:tab/>
        <w:t>pelkät maalaus- ja kiillotustoimet;</w:t>
      </w:r>
    </w:p>
    <w:p>
      <w:pPr>
        <w:pStyle w:val="Point2"/>
        <w:rPr>
          <w:noProof/>
        </w:rPr>
      </w:pPr>
      <w:r>
        <w:rPr>
          <w:noProof/>
        </w:rPr>
        <w:t>f)</w:t>
      </w:r>
      <w:r>
        <w:rPr>
          <w:noProof/>
        </w:rPr>
        <w:tab/>
        <w:t>riisin esikuorinta ja hiominen osittain tai kokonaan; viljan ja riisin kiillotus ja lasitus;</w:t>
      </w:r>
    </w:p>
    <w:p>
      <w:pPr>
        <w:pStyle w:val="Point2"/>
        <w:rPr>
          <w:noProof/>
        </w:rPr>
      </w:pPr>
      <w:r>
        <w:rPr>
          <w:noProof/>
        </w:rPr>
        <w:t>g)</w:t>
      </w:r>
      <w:r>
        <w:rPr>
          <w:noProof/>
        </w:rPr>
        <w:tab/>
        <w:t>toimet sokerin värjäämiseksi tai maustamiseksi taikka sokeripalojen muodostamiseksi; kidesokerin hienontaminen osittain tai kokonaan;</w:t>
      </w:r>
    </w:p>
    <w:p>
      <w:pPr>
        <w:pStyle w:val="Point2"/>
        <w:rPr>
          <w:noProof/>
        </w:rPr>
      </w:pPr>
      <w:r>
        <w:rPr>
          <w:noProof/>
        </w:rPr>
        <w:t>h)</w:t>
      </w:r>
      <w:r>
        <w:rPr>
          <w:noProof/>
        </w:rPr>
        <w:tab/>
        <w:t>hedelmien, pähkinöiden ja vihannesten kuoriminen ja kivien poisto;</w:t>
      </w:r>
    </w:p>
    <w:p>
      <w:pPr>
        <w:pStyle w:val="Point2"/>
        <w:rPr>
          <w:noProof/>
        </w:rPr>
      </w:pPr>
      <w:r>
        <w:rPr>
          <w:noProof/>
        </w:rPr>
        <w:t>i)</w:t>
      </w:r>
      <w:r>
        <w:rPr>
          <w:noProof/>
        </w:rPr>
        <w:tab/>
        <w:t>teroitus, pelkkä hiominen tai pelkkä leikkaaminen;</w:t>
      </w:r>
    </w:p>
    <w:p>
      <w:pPr>
        <w:pStyle w:val="Point2"/>
        <w:rPr>
          <w:noProof/>
        </w:rPr>
      </w:pPr>
      <w:r>
        <w:rPr>
          <w:noProof/>
        </w:rPr>
        <w:t>j)</w:t>
      </w:r>
      <w:r>
        <w:rPr>
          <w:noProof/>
        </w:rPr>
        <w:tab/>
        <w:t>seulonta, lajittelu, luokittelu, ryhmittely, yhteensovitus; (myös tavaroiden järjestäminen sarjoiksi);</w:t>
      </w:r>
    </w:p>
    <w:p>
      <w:pPr>
        <w:pStyle w:val="Point2"/>
        <w:rPr>
          <w:noProof/>
        </w:rPr>
      </w:pPr>
      <w:r>
        <w:rPr>
          <w:noProof/>
        </w:rPr>
        <w:t>k)</w:t>
      </w:r>
      <w:r>
        <w:rPr>
          <w:noProof/>
        </w:rPr>
        <w:tab/>
        <w:t>pelkkä pullotus, tölkitys, pussitus, koteloihin tai rasioihin pakkaaminen, kartongille tai levyille kiinnittäminen ja kaikki muut yksinkertaiset pakkaustoimet;</w:t>
      </w:r>
    </w:p>
    <w:p>
      <w:pPr>
        <w:pStyle w:val="Point2"/>
        <w:rPr>
          <w:noProof/>
        </w:rPr>
      </w:pPr>
      <w:r>
        <w:rPr>
          <w:noProof/>
        </w:rPr>
        <w:t>l)</w:t>
      </w:r>
      <w:r>
        <w:rPr>
          <w:noProof/>
        </w:rPr>
        <w:tab/>
        <w:t>merkkien, nimilappujen, logojen ja muiden vastaavanlaisten tunnusten kiinnittäminen tai painaminen tuotteisiin tai niiden pakkauksiin;</w:t>
      </w:r>
    </w:p>
    <w:p>
      <w:pPr>
        <w:pStyle w:val="Point2"/>
        <w:rPr>
          <w:noProof/>
        </w:rPr>
      </w:pPr>
      <w:r>
        <w:rPr>
          <w:noProof/>
        </w:rPr>
        <w:t>m)</w:t>
      </w:r>
      <w:r>
        <w:rPr>
          <w:noProof/>
        </w:rPr>
        <w:tab/>
        <w:t>pelkkä tuotteiden sekoittaminen, myös jos ne ovat erilaisia;</w:t>
      </w:r>
    </w:p>
    <w:p>
      <w:pPr>
        <w:pStyle w:val="Point2"/>
        <w:rPr>
          <w:noProof/>
        </w:rPr>
      </w:pPr>
      <w:r>
        <w:rPr>
          <w:noProof/>
        </w:rPr>
        <w:t>n)</w:t>
      </w:r>
      <w:r>
        <w:rPr>
          <w:noProof/>
        </w:rPr>
        <w:tab/>
        <w:t>sokerin sekoittaminen muun aineksen kanssa;</w:t>
      </w:r>
    </w:p>
    <w:p>
      <w:pPr>
        <w:pStyle w:val="Point2"/>
        <w:rPr>
          <w:noProof/>
        </w:rPr>
      </w:pPr>
      <w:r>
        <w:rPr>
          <w:noProof/>
        </w:rPr>
        <w:t>o)</w:t>
      </w:r>
      <w:r>
        <w:rPr>
          <w:noProof/>
        </w:rPr>
        <w:tab/>
        <w:t>pelkkä veden lisääminen taikka tuotteiden laimentaminen, dehydratointi tai denaturointi;</w:t>
      </w:r>
    </w:p>
    <w:p>
      <w:pPr>
        <w:pStyle w:val="Point2"/>
        <w:rPr>
          <w:noProof/>
        </w:rPr>
      </w:pPr>
      <w:r>
        <w:rPr>
          <w:noProof/>
        </w:rPr>
        <w:t>p)</w:t>
      </w:r>
      <w:r>
        <w:rPr>
          <w:noProof/>
        </w:rPr>
        <w:tab/>
        <w:t>pelkkä osien yhdistäminen kokonaiseksi tuotteeksi tai tuotteiden purkaminen osiin;</w:t>
      </w:r>
    </w:p>
    <w:p>
      <w:pPr>
        <w:pStyle w:val="Point2"/>
        <w:rPr>
          <w:noProof/>
        </w:rPr>
      </w:pPr>
      <w:r>
        <w:rPr>
          <w:noProof/>
        </w:rPr>
        <w:t>q)</w:t>
      </w:r>
      <w:r>
        <w:rPr>
          <w:noProof/>
        </w:rPr>
        <w:tab/>
        <w:t>eläinten teurastus;</w:t>
      </w:r>
    </w:p>
    <w:p>
      <w:pPr>
        <w:pStyle w:val="Point2"/>
        <w:rPr>
          <w:noProof/>
        </w:rPr>
      </w:pPr>
      <w:r>
        <w:rPr>
          <w:noProof/>
        </w:rPr>
        <w:t>r)</w:t>
      </w:r>
      <w:r>
        <w:rPr>
          <w:noProof/>
        </w:rPr>
        <w:tab/>
        <w:t>kahden tai useamman a–q alakohdassa eritellyn toimen toteuttaminen yhdessä.</w:t>
      </w:r>
    </w:p>
    <w:p>
      <w:pPr>
        <w:pStyle w:val="Point1"/>
        <w:rPr>
          <w:noProof/>
        </w:rPr>
      </w:pPr>
      <w:r>
        <w:rPr>
          <w:noProof/>
        </w:rPr>
        <w:t>2.</w:t>
      </w:r>
      <w:r>
        <w:rPr>
          <w:noProof/>
        </w:rPr>
        <w:tab/>
        <w:t>Kaikki tietylle tuotteelle viejäosapuolessa suoritetut toimet on otettava huomioon määritettäessä, pidetäänkö tälle tuotteelle suoritettua toimea tämän artiklan 1 kohdan mukaisena riittämättömän valmistuksena tai käsittelynä.</w:t>
      </w:r>
    </w:p>
    <w:p>
      <w:pPr>
        <w:pStyle w:val="Text1"/>
        <w:jc w:val="center"/>
        <w:rPr>
          <w:i/>
          <w:noProof/>
        </w:rPr>
      </w:pPr>
      <w:r>
        <w:rPr>
          <w:i/>
          <w:noProof/>
        </w:rPr>
        <w:t>7 artikla</w:t>
      </w:r>
      <w:r>
        <w:rPr>
          <w:noProof/>
        </w:rPr>
        <w:t xml:space="preserve"> </w:t>
      </w:r>
      <w:r>
        <w:rPr>
          <w:noProof/>
        </w:rPr>
        <w:br/>
      </w:r>
      <w:r>
        <w:rPr>
          <w:b/>
          <w:noProof/>
        </w:rPr>
        <w:t>Alkuperäkumulaatio</w:t>
      </w:r>
    </w:p>
    <w:p>
      <w:pPr>
        <w:pStyle w:val="Point1"/>
        <w:rPr>
          <w:noProof/>
        </w:rPr>
      </w:pPr>
      <w:r>
        <w:rPr>
          <w:noProof/>
        </w:rPr>
        <w:t>1.</w:t>
      </w:r>
      <w:r>
        <w:rPr>
          <w:noProof/>
        </w:rPr>
        <w:tab/>
        <w:t>Tuotteita pidetään viejäosapuolen alkuperätuotteina vietäessä ne toiseen osapuoleen, jos ne on tuotettu viejäosapuolessa käyttäen minkä tahansa muun soveltavan sopimuspuolen kuin viejäosapuolen alkuperäaineksia, edellyttäen että niitä on valmistettu tai käsitelty viejäosapuolessa 6 artiklassa tarkoitettuja toimia enemmän, sanotun kuitenkaan rajoittamatta 2 artiklan soveltamista. Näiden ainesten ei tarvitse olla riittävästi valmistettuja tai käsiteltyjä.</w:t>
      </w:r>
    </w:p>
    <w:p>
      <w:pPr>
        <w:pStyle w:val="Point1"/>
        <w:rPr>
          <w:noProof/>
        </w:rPr>
      </w:pPr>
      <w:r>
        <w:rPr>
          <w:noProof/>
        </w:rPr>
        <w:t>2.</w:t>
      </w:r>
      <w:r>
        <w:rPr>
          <w:noProof/>
        </w:rPr>
        <w:tab/>
        <w:t>Jos viejäosapuolessa suoritettu valmistus tai käsittely ei ylitä 6 artiklassa tarkoitettuja toimia, minkä tahansa muun soveltavan sopimuspuolen alkuperäaineksia sisällyttämällä saatua tuotetta pidetään viejäosapuolen alkuperätuotteena ainoastaan, jos siellä syntynyt arvonlisäys on suurempi kuin sellaisten käytettyjen ainesten arvo, jotka ovat jonkin toisen soveltavan osapuolen alkuperäaineksia. Muussa tapauksessa saatua tuotetta pidetään sen soveltavan sopimuspuolen alkuperätuotteena, jonka viejäosapuolessa suoritetussa valmistuksessa käytettyjen alkuperäainesten arvo on korkein.</w:t>
      </w:r>
    </w:p>
    <w:p>
      <w:pPr>
        <w:pStyle w:val="Point1"/>
        <w:rPr>
          <w:noProof/>
        </w:rPr>
      </w:pPr>
      <w:r>
        <w:rPr>
          <w:noProof/>
        </w:rPr>
        <w:t>3.</w:t>
      </w:r>
      <w:r>
        <w:rPr>
          <w:noProof/>
        </w:rPr>
        <w:tab/>
        <w:t>Muussa viejäosapuolessa kuin soveltavassa sopimuspuolessa suoritettua valmistusta tai käsittelyä pidetään suoritettuna viejäosapuolessa, jos saaduille tuotteille suoritetaan myöhemmin valmistus tai käsittely kyseisessä viejäosapuolessa, sanotun kuitenkaan rajoittamatta 2 artiklan soveltamista ja lukuun ottamatta 50–63 ryhmän tuotteita.</w:t>
      </w:r>
    </w:p>
    <w:p>
      <w:pPr>
        <w:pStyle w:val="Point1"/>
        <w:rPr>
          <w:noProof/>
        </w:rPr>
      </w:pPr>
      <w:r>
        <w:rPr>
          <w:noProof/>
        </w:rPr>
        <w:t>4.</w:t>
      </w:r>
      <w:r>
        <w:rPr>
          <w:noProof/>
        </w:rPr>
        <w:tab/>
        <w:t>Kun kyseessä on osapuolten kahdenvälinen kauppa, tuojaosapuolessa suoritettua valmistusta tai käsittelyä pidetään suoritettuna viejäosapuolessa, jos tuotteille suoritetaan myöhemmin valmistus tai käsittely kyseisessä viejäosapuolessa, sanotun kuitenkaan rajoittamatta 2 artiklan soveltamista ja lukuun ottamatta 50–63 ryhmän tuotteita,</w:t>
      </w:r>
    </w:p>
    <w:p>
      <w:pPr>
        <w:autoSpaceDE w:val="0"/>
        <w:autoSpaceDN w:val="0"/>
        <w:ind w:left="1418"/>
        <w:rPr>
          <w:noProof/>
        </w:rPr>
      </w:pPr>
      <w:r>
        <w:rPr>
          <w:noProof/>
        </w:rPr>
        <w:t>Tätä kohtaa sovellettaessa Euroopan unionin vakautus- ja assosiaatioprosessin osallistujia ja Moldovan tasavaltaa pidetään yhtenä soveltavana sopimuspuolena.</w:t>
      </w:r>
    </w:p>
    <w:p>
      <w:pPr>
        <w:pStyle w:val="Point1"/>
        <w:rPr>
          <w:noProof/>
        </w:rPr>
      </w:pPr>
      <w:r>
        <w:rPr>
          <w:noProof/>
        </w:rPr>
        <w:t>5.</w:t>
      </w:r>
      <w:r>
        <w:rPr>
          <w:noProof/>
        </w:rPr>
        <w:tab/>
        <w:t>Sopimuspuolet voivat laajentaa tämän artiklan 3 kohdan soveltamisen koskemaan 50–63 ryhmään kuuluvien tuotteiden tuontia. Osapuolen, joka valitsee tällaisen laajentamisen, on ilmoitettava asiasta toiselle osapuolelle ja Euroopan komissiolle 8 artiklan 2 kohdan mukaisesti.</w:t>
      </w:r>
    </w:p>
    <w:p>
      <w:pPr>
        <w:pStyle w:val="Point1"/>
        <w:rPr>
          <w:noProof/>
        </w:rPr>
      </w:pPr>
      <w:r>
        <w:rPr>
          <w:noProof/>
        </w:rPr>
        <w:t>6.</w:t>
      </w:r>
      <w:r>
        <w:rPr>
          <w:noProof/>
        </w:rPr>
        <w:tab/>
        <w:t>Tämän artiklan 3–5 kohdassa tarkoitettua kumulaatiota sovellettaessa alkuperätuotteiden katsotaan olevan viejäosapuolen alkuperätuotteita ainoastaan, jos siellä suoritettu valmistus tai käsittely ylittää 6 artiklassa tarkoitetut toimet.</w:t>
      </w:r>
    </w:p>
    <w:p>
      <w:pPr>
        <w:pStyle w:val="Point1"/>
        <w:rPr>
          <w:noProof/>
        </w:rPr>
      </w:pPr>
      <w:r>
        <w:rPr>
          <w:noProof/>
        </w:rPr>
        <w:t>7.</w:t>
      </w:r>
      <w:r>
        <w:rPr>
          <w:noProof/>
        </w:rPr>
        <w:tab/>
        <w:t>Tämän artiklan 1 ja 4 kohdassa tarkoitetut soveltavien sopimuspuolten alkuperätuotteet, joille ei suoriteta mitään valmistusta tai käsittelyä viejäosapuolessa, säilyttävät alkuperänsä, jos ne viedään johonkin muuhun soveltavaan sopimuspuoleen.</w:t>
      </w:r>
    </w:p>
    <w:p>
      <w:pPr>
        <w:pStyle w:val="Point1"/>
        <w:jc w:val="center"/>
        <w:rPr>
          <w:i/>
          <w:noProof/>
        </w:rPr>
      </w:pPr>
      <w:r>
        <w:rPr>
          <w:i/>
          <w:noProof/>
        </w:rPr>
        <w:t>8 artikla</w:t>
      </w:r>
      <w:r>
        <w:rPr>
          <w:noProof/>
        </w:rPr>
        <w:t xml:space="preserve"> </w:t>
      </w:r>
      <w:r>
        <w:rPr>
          <w:noProof/>
        </w:rPr>
        <w:br/>
      </w:r>
      <w:r>
        <w:rPr>
          <w:b/>
          <w:noProof/>
        </w:rPr>
        <w:t>Alkuperäkumulaation soveltamisedellytykset</w:t>
      </w:r>
    </w:p>
    <w:p>
      <w:pPr>
        <w:pStyle w:val="Point1"/>
        <w:rPr>
          <w:noProof/>
        </w:rPr>
      </w:pPr>
      <w:r>
        <w:rPr>
          <w:noProof/>
        </w:rPr>
        <w:t>1.</w:t>
      </w:r>
      <w:r>
        <w:rPr>
          <w:noProof/>
        </w:rPr>
        <w:tab/>
        <w:t>Edellä 7 artiklassa määrättyä kumulaatiota voidaan soveltaa ainoastaan, jos</w:t>
      </w:r>
    </w:p>
    <w:p>
      <w:pPr>
        <w:pStyle w:val="Point2"/>
        <w:rPr>
          <w:noProof/>
        </w:rPr>
      </w:pPr>
      <w:r>
        <w:rPr>
          <w:noProof/>
        </w:rPr>
        <w:t>a)</w:t>
      </w:r>
      <w:r>
        <w:rPr>
          <w:noProof/>
        </w:rPr>
        <w:tab/>
        <w:t>alkuperäaseman saamiseen osallistuvien soveltavien sopimuspuolten ja määräpaikkana olevan soveltavan sopimuspuolen välillä sovelletaan vuonna 1994 tehdyn tullitariffeja ja kauppaa koskevan yleissopimuksen (GATT) XXIV artiklan mukaista etuuskohtelukauppaa koskevaa sopimusta; ja</w:t>
      </w:r>
    </w:p>
    <w:p>
      <w:pPr>
        <w:pStyle w:val="Point2"/>
        <w:rPr>
          <w:noProof/>
        </w:rPr>
      </w:pPr>
      <w:r>
        <w:rPr>
          <w:noProof/>
        </w:rPr>
        <w:t>b)</w:t>
      </w:r>
      <w:r>
        <w:rPr>
          <w:noProof/>
        </w:rPr>
        <w:tab/>
        <w:t xml:space="preserve">tavarat ovat saaneet alkuperäaseman sellaisia sääntöjä soveltaen, jotka ovat identtiset näiden sääntöjen kanssa. </w:t>
      </w:r>
    </w:p>
    <w:p>
      <w:pPr>
        <w:pStyle w:val="Point1"/>
        <w:rPr>
          <w:noProof/>
        </w:rPr>
      </w:pPr>
      <w:r>
        <w:rPr>
          <w:noProof/>
        </w:rPr>
        <w:t>2.</w:t>
      </w:r>
      <w:r>
        <w:rPr>
          <w:noProof/>
        </w:rPr>
        <w:tab/>
        <w:t xml:space="preserve">Ilmoitukset kumulaation soveltamiseksi tarvittavien vaatimusten täyttymisestä julkaistaan </w:t>
      </w:r>
      <w:r>
        <w:rPr>
          <w:i/>
          <w:noProof/>
        </w:rPr>
        <w:t>Euroopan unionin virallisessa lehdessä</w:t>
      </w:r>
      <w:r>
        <w:rPr>
          <w:noProof/>
        </w:rPr>
        <w:t xml:space="preserve"> (C-sarja) sekä Turkissa sen omia menettelyjä noudattaen.</w:t>
      </w:r>
    </w:p>
    <w:p>
      <w:pPr>
        <w:pStyle w:val="Text2"/>
        <w:rPr>
          <w:noProof/>
        </w:rPr>
      </w:pPr>
      <w:r>
        <w:rPr>
          <w:noProof/>
        </w:rPr>
        <w:t>Edellä 7 artiklassa määrättyä kumulaatiota sovelletaan kyseisissä ilmoituksissa ilmoitetusta päivämäärästä alkaen.</w:t>
      </w:r>
    </w:p>
    <w:p>
      <w:pPr>
        <w:pStyle w:val="Text2"/>
        <w:rPr>
          <w:rFonts w:eastAsia="Times New Roman"/>
          <w:noProof/>
          <w:szCs w:val="24"/>
        </w:rPr>
      </w:pPr>
      <w:r>
        <w:rPr>
          <w:noProof/>
        </w:rPr>
        <w:t xml:space="preserve">Osapuolten on annettava Euroopan komissiolle muiden soveltavien sopimuspuolten kanssa tehtyjä sopimuksia koskevat tiedot, mukaan lukien kyseisten sääntöjen voimaantulopäivät. </w:t>
      </w:r>
    </w:p>
    <w:p>
      <w:pPr>
        <w:pStyle w:val="Text2"/>
        <w:ind w:hanging="697"/>
        <w:rPr>
          <w:noProof/>
        </w:rPr>
      </w:pPr>
      <w:r>
        <w:rPr>
          <w:noProof/>
        </w:rPr>
        <w:t>3.</w:t>
      </w:r>
      <w:r>
        <w:rPr>
          <w:noProof/>
        </w:rPr>
        <w:tab/>
        <w:t>Alkuperäselvityksessä on oltava englanninkielinen maininta ”CUMULATION APPLIED WITH (asiaankuuluvan soveltavan sopimuspuolen / asiaankuuluvien soveltavien sopimuspuolten nimi englannin kielellä)”, jos tuotteet ovat saaneet alkuperäaseman 7 artiklassa määrättyä alkuperäkumulaatiota soveltaen.</w:t>
      </w:r>
    </w:p>
    <w:p>
      <w:pPr>
        <w:pStyle w:val="Text2"/>
        <w:rPr>
          <w:noProof/>
        </w:rPr>
      </w:pPr>
      <w:r>
        <w:rPr>
          <w:noProof/>
        </w:rPr>
        <w:t>Jos alkuperäselvityksenä käytetään EUR.1-tavaratodistusta, tämä maininta on tehtävä EUR.1-tavaratodistuksen 7 kohtaan.</w:t>
      </w:r>
    </w:p>
    <w:p>
      <w:pPr>
        <w:pStyle w:val="Point1"/>
        <w:rPr>
          <w:noProof/>
        </w:rPr>
      </w:pPr>
      <w:r>
        <w:rPr>
          <w:noProof/>
        </w:rPr>
        <w:t xml:space="preserve">4. </w:t>
      </w:r>
      <w:r>
        <w:rPr>
          <w:noProof/>
        </w:rPr>
        <w:tab/>
        <w:t>Osapuolet voivat päättää, että niihin vietäviin tuotteisiin, jotka ovat saaneet alkuperäaseman viejäosapuolessa 7 artiklan mukaista alkuperäkumulaatiota soveltaen, ei sovelleta velvoitetta lisätä alkuperäselvitykseen tämän artiklan 3 kohdassa tarkoitettu maininta</w:t>
      </w:r>
      <w:r>
        <w:rPr>
          <w:rStyle w:val="FootnoteReference"/>
          <w:rFonts w:eastAsia="Times New Roman"/>
          <w:noProof/>
          <w:szCs w:val="24"/>
          <w:lang w:eastAsia="en-GB"/>
        </w:rPr>
        <w:footnoteReference w:id="5"/>
      </w:r>
      <w:r>
        <w:rPr>
          <w:noProof/>
        </w:rPr>
        <w:t>.</w:t>
      </w:r>
    </w:p>
    <w:p>
      <w:pPr>
        <w:pStyle w:val="Point1"/>
        <w:ind w:firstLine="0"/>
        <w:rPr>
          <w:noProof/>
        </w:rPr>
      </w:pPr>
      <w:r>
        <w:rPr>
          <w:noProof/>
        </w:rPr>
        <w:t>Osapuolten on annettava Euroopan komissiolle 8 artiklan 2 kohdan mukainen ilmoitus tällaisesta poikkeuksesta.</w:t>
      </w:r>
    </w:p>
    <w:p>
      <w:pPr>
        <w:pStyle w:val="Text1"/>
        <w:jc w:val="center"/>
        <w:rPr>
          <w:i/>
          <w:noProof/>
        </w:rPr>
      </w:pPr>
      <w:r>
        <w:rPr>
          <w:i/>
          <w:noProof/>
        </w:rPr>
        <w:t>9 artikla</w:t>
      </w:r>
      <w:r>
        <w:rPr>
          <w:noProof/>
        </w:rPr>
        <w:t xml:space="preserve"> </w:t>
      </w:r>
      <w:r>
        <w:rPr>
          <w:noProof/>
        </w:rPr>
        <w:br/>
      </w:r>
      <w:r>
        <w:rPr>
          <w:b/>
          <w:noProof/>
        </w:rPr>
        <w:t>Kelpuuttamisen yksikkö</w:t>
      </w:r>
    </w:p>
    <w:p>
      <w:pPr>
        <w:pStyle w:val="Point1"/>
        <w:rPr>
          <w:noProof/>
        </w:rPr>
      </w:pPr>
      <w:r>
        <w:rPr>
          <w:noProof/>
        </w:rPr>
        <w:t>1.</w:t>
      </w:r>
      <w:r>
        <w:rPr>
          <w:noProof/>
        </w:rPr>
        <w:tab/>
        <w:t>Näitä sääntöjä sovellettaessa kelpuuttamisen yksikkö on se tuote, jota pidetään perusyksikkönä määritettäessä nimike harmonoidun järjestelmän nimikkeistöä käyttäen.</w:t>
      </w:r>
    </w:p>
    <w:p>
      <w:pPr>
        <w:pStyle w:val="Point1"/>
        <w:ind w:firstLine="0"/>
        <w:rPr>
          <w:noProof/>
        </w:rPr>
      </w:pPr>
      <w:r>
        <w:rPr>
          <w:noProof/>
        </w:rPr>
        <w:t>Tästä seuraa, että a) kun tavararyhmästä tai -yhdistelmästä koostuva tuote luokitellaan harmonoidun järjestelmän mukaan yhteen ainoaan nimikkeeseen, tämä kokonaisuus muodostaa kelpuuttamisen yksikön; b) kun lähetys koostuu useasta samanlaisesta tuotteesta, jotka luokitellaan samaan harmonoidun järjestelmän nimikkeeseen, kukin yksittäinen tuote on otettava huomioon näitä sääntöjä sovellettaessa.</w:t>
      </w:r>
    </w:p>
    <w:p>
      <w:pPr>
        <w:pStyle w:val="Point1"/>
        <w:rPr>
          <w:noProof/>
        </w:rPr>
      </w:pPr>
      <w:r>
        <w:rPr>
          <w:noProof/>
        </w:rPr>
        <w:t>2.</w:t>
      </w:r>
      <w:r>
        <w:rPr>
          <w:noProof/>
        </w:rPr>
        <w:tab/>
        <w:t>Jos harmonoidun järjestelmän yleisen tulkintasäännön 5 mukaan pakkausta pidetään tuotteeseen kuuluvana sitä luokiteltaessa, sitä on pidettävä tuotteeseen kuuluvana myös alkuperää määritettäessä.</w:t>
      </w:r>
    </w:p>
    <w:p>
      <w:pPr>
        <w:pStyle w:val="Point1"/>
        <w:rPr>
          <w:noProof/>
        </w:rPr>
      </w:pPr>
      <w:r>
        <w:rPr>
          <w:noProof/>
        </w:rPr>
        <w:t>3.</w:t>
      </w:r>
      <w:r>
        <w:rPr>
          <w:noProof/>
        </w:rPr>
        <w:tab/>
        <w:t>Tarvikkeiden, varaosien ja työkalujen, jotka toimitetaan yhdessä laitteiston, koneen, laitteen tai ajoneuvon kanssa, jotka kuuluvat tavanomaisena varustuksena tähän laitteistoon, koneeseen, laitteeseen tai ajoneuvoon ja jotka sisältyvät sen noudettuna</w:t>
      </w:r>
      <w:r>
        <w:rPr>
          <w:noProof/>
        </w:rPr>
        <w:noBreakHyphen/>
        <w:t>hintaan, on katsottava muodostavan kyseisen laitteiston, koneen, laitteen tai ajoneuvon kanssa yhden kokonaisuuden.</w:t>
      </w:r>
    </w:p>
    <w:p>
      <w:pPr>
        <w:pStyle w:val="Text1"/>
        <w:jc w:val="center"/>
        <w:rPr>
          <w:i/>
          <w:noProof/>
        </w:rPr>
      </w:pPr>
      <w:r>
        <w:rPr>
          <w:i/>
          <w:iCs/>
          <w:noProof/>
        </w:rPr>
        <w:t>10 artikla</w:t>
      </w:r>
      <w:r>
        <w:rPr>
          <w:noProof/>
        </w:rPr>
        <w:t xml:space="preserve"> </w:t>
      </w:r>
      <w:r>
        <w:rPr>
          <w:noProof/>
        </w:rPr>
        <w:br/>
      </w:r>
      <w:r>
        <w:rPr>
          <w:b/>
          <w:noProof/>
        </w:rPr>
        <w:t>Sarjat</w:t>
      </w:r>
    </w:p>
    <w:p>
      <w:pPr>
        <w:pStyle w:val="Text1"/>
        <w:rPr>
          <w:noProof/>
        </w:rPr>
      </w:pPr>
      <w:r>
        <w:rPr>
          <w:noProof/>
        </w:rPr>
        <w:t>Harmonoidun järjestelmän yleisen tulkintasäännön 3 mukaisia sarjoja pidetään alkuperätuotteina, jos kaikki sarjaan kuuluvat tuotteet ovat alkuperätuotteita.</w:t>
      </w:r>
    </w:p>
    <w:p>
      <w:pPr>
        <w:pStyle w:val="Text1"/>
        <w:rPr>
          <w:noProof/>
        </w:rPr>
      </w:pPr>
      <w:r>
        <w:rPr>
          <w:noProof/>
        </w:rPr>
        <w:t>Jos sarja koostuu sekä alkuperätuotteista että ei-alkuperätuotteista, sitä on kuitenkin kokonaisuutena pidettävä alkuperätuotteena, jos ei-alkuperätuotteiden arvo on enintään 15 prosenttia sarjan noudettuna-hinnasta.</w:t>
      </w:r>
    </w:p>
    <w:p>
      <w:pPr>
        <w:pStyle w:val="Text1"/>
        <w:jc w:val="center"/>
        <w:rPr>
          <w:i/>
          <w:noProof/>
        </w:rPr>
      </w:pPr>
      <w:r>
        <w:rPr>
          <w:i/>
          <w:noProof/>
        </w:rPr>
        <w:t>11 artikla</w:t>
      </w:r>
      <w:r>
        <w:rPr>
          <w:noProof/>
        </w:rPr>
        <w:t xml:space="preserve"> </w:t>
      </w:r>
      <w:r>
        <w:rPr>
          <w:noProof/>
        </w:rPr>
        <w:br/>
      </w:r>
      <w:r>
        <w:rPr>
          <w:b/>
          <w:noProof/>
        </w:rPr>
        <w:t>Neutraalit tekijät</w:t>
      </w:r>
    </w:p>
    <w:p>
      <w:pPr>
        <w:pStyle w:val="Text1"/>
        <w:rPr>
          <w:noProof/>
        </w:rPr>
      </w:pPr>
      <w:r>
        <w:rPr>
          <w:noProof/>
        </w:rPr>
        <w:t>Määritettäessä, onko jokin tuote alkuperätuote, huomioon ei oteta sen valmistuksessa mahdollisesti käytettyjen seuraavien tuotteiden alkuperää:</w:t>
      </w:r>
    </w:p>
    <w:p>
      <w:pPr>
        <w:pStyle w:val="Point1"/>
        <w:rPr>
          <w:noProof/>
        </w:rPr>
      </w:pPr>
      <w:r>
        <w:rPr>
          <w:noProof/>
        </w:rPr>
        <w:t>a)</w:t>
      </w:r>
      <w:r>
        <w:rPr>
          <w:noProof/>
        </w:rPr>
        <w:tab/>
        <w:t>energia ja polttoaineet;</w:t>
      </w:r>
    </w:p>
    <w:p>
      <w:pPr>
        <w:pStyle w:val="Point1"/>
        <w:rPr>
          <w:noProof/>
        </w:rPr>
      </w:pPr>
      <w:r>
        <w:rPr>
          <w:noProof/>
        </w:rPr>
        <w:t>b)</w:t>
      </w:r>
      <w:r>
        <w:rPr>
          <w:noProof/>
        </w:rPr>
        <w:tab/>
        <w:t>laitokset ja laitteistot;</w:t>
      </w:r>
    </w:p>
    <w:p>
      <w:pPr>
        <w:pStyle w:val="Point1"/>
        <w:rPr>
          <w:noProof/>
        </w:rPr>
      </w:pPr>
      <w:r>
        <w:rPr>
          <w:noProof/>
        </w:rPr>
        <w:t>c)</w:t>
      </w:r>
      <w:r>
        <w:rPr>
          <w:noProof/>
        </w:rPr>
        <w:tab/>
        <w:t>koneet ja työkalut;</w:t>
      </w:r>
    </w:p>
    <w:p>
      <w:pPr>
        <w:pStyle w:val="Point1"/>
        <w:rPr>
          <w:noProof/>
        </w:rPr>
      </w:pPr>
      <w:r>
        <w:rPr>
          <w:noProof/>
        </w:rPr>
        <w:t>d)</w:t>
      </w:r>
      <w:r>
        <w:rPr>
          <w:noProof/>
        </w:rPr>
        <w:tab/>
        <w:t>kaikki muut tavarat, jotka eivät sisälly ja joiden ei ole tarkoitus sisältyä tuotteen lopullisen koostumukseen.</w:t>
      </w:r>
    </w:p>
    <w:p>
      <w:pPr>
        <w:pStyle w:val="Text1"/>
        <w:jc w:val="center"/>
        <w:rPr>
          <w:i/>
          <w:noProof/>
        </w:rPr>
      </w:pPr>
      <w:r>
        <w:rPr>
          <w:i/>
          <w:noProof/>
        </w:rPr>
        <w:t>12 artikla</w:t>
      </w:r>
      <w:r>
        <w:rPr>
          <w:noProof/>
        </w:rPr>
        <w:t xml:space="preserve"> </w:t>
      </w:r>
      <w:r>
        <w:rPr>
          <w:noProof/>
        </w:rPr>
        <w:br/>
      </w:r>
      <w:r>
        <w:rPr>
          <w:b/>
          <w:iCs/>
          <w:noProof/>
        </w:rPr>
        <w:t>Kirjanpidollinen erottelu</w:t>
      </w:r>
    </w:p>
    <w:p>
      <w:pPr>
        <w:pStyle w:val="Point1"/>
        <w:rPr>
          <w:noProof/>
        </w:rPr>
      </w:pPr>
      <w:r>
        <w:rPr>
          <w:noProof/>
        </w:rPr>
        <w:t>1.</w:t>
      </w:r>
      <w:r>
        <w:rPr>
          <w:noProof/>
        </w:rPr>
        <w:tab/>
        <w:t>Jos tuotteen valmistuksessa tai käsittelyssä käytetään keskenään korvattavissa olevia alkuperä- ja ei-alkuperäaineksia, talouden toimijat voivat varmistaa ainesten hallinnoinnin käyttämällä kirjanpidollisen erottelun menetelmää ilman ainesten erillisvarastointia.</w:t>
      </w:r>
    </w:p>
    <w:p>
      <w:pPr>
        <w:pStyle w:val="Point1"/>
        <w:rPr>
          <w:noProof/>
        </w:rPr>
      </w:pPr>
      <w:r>
        <w:rPr>
          <w:noProof/>
        </w:rPr>
        <w:t>2.</w:t>
      </w:r>
      <w:r>
        <w:rPr>
          <w:noProof/>
        </w:rPr>
        <w:tab/>
        <w:t>Talouden toimijat voivat varmistaa korvattavissa olevien nimikkeen 1701 alkuperä- ja ei-alkuperäainesten hallinnoinnin käyttämällä kirjanpidollisen erottelun menetelmää ilman tuotteiden erillisvarastointia.</w:t>
      </w:r>
    </w:p>
    <w:p>
      <w:pPr>
        <w:pStyle w:val="Point1"/>
        <w:rPr>
          <w:noProof/>
        </w:rPr>
      </w:pPr>
      <w:r>
        <w:rPr>
          <w:noProof/>
        </w:rPr>
        <w:t xml:space="preserve">3. </w:t>
      </w:r>
      <w:r>
        <w:rPr>
          <w:noProof/>
        </w:rPr>
        <w:tab/>
        <w:t>Osapuolet voivat vaatia, että kirjanpidollisen erottelun soveltaminen edellyttää tulliviranomaisten antamaa ennakkolupaa. Tulliviranomaiset voivat vaatia, että luvan saamiseksi on täytettävä kaikki niiden asianmukaisina pitämät edellytykset, ja ne valvovat luvan käyttöä. Tulliviranomaiset voivat peruuttaa luvan, jos luvan saanut käyttää lupaa sääntöjenvastaisesti tai ei täytä jotakin muuta näissä säännöissä vahvistettua edellytystä.</w:t>
      </w:r>
    </w:p>
    <w:p>
      <w:pPr>
        <w:pStyle w:val="Text2"/>
        <w:rPr>
          <w:noProof/>
        </w:rPr>
      </w:pPr>
      <w:r>
        <w:rPr>
          <w:noProof/>
        </w:rPr>
        <w:t>Kirjanpidollisen erottelun avulla on varmistettava, ettei useampia tuotteita voida pitää ”viejäosapuolen alkuperätuotteina” kuin siinä tapauksessa, että varastot olisivat olleet fyysisesti erillään.</w:t>
      </w:r>
    </w:p>
    <w:p>
      <w:pPr>
        <w:pStyle w:val="Text2"/>
        <w:rPr>
          <w:noProof/>
        </w:rPr>
      </w:pPr>
      <w:r>
        <w:rPr>
          <w:noProof/>
        </w:rPr>
        <w:t>Menetelmää on sovellettava, ja sen soveltamisesta on pidettävä kirjaa unionissa sovellettavien yleisesti hyväksyttyjen kirjanpitoperiaatteiden mukaisesti.</w:t>
      </w:r>
    </w:p>
    <w:p>
      <w:pPr>
        <w:pStyle w:val="Point1"/>
        <w:rPr>
          <w:noProof/>
        </w:rPr>
      </w:pPr>
      <w:r>
        <w:rPr>
          <w:noProof/>
        </w:rPr>
        <w:t>4.</w:t>
      </w:r>
      <w:r>
        <w:rPr>
          <w:noProof/>
        </w:rPr>
        <w:tab/>
        <w:t>Tämän artiklan 1 ja 2 kohdassa tarkoitetun menettelyn käyttäjän on laadittava tai haettava alkuperäselvitykset sellaiselle tuotemäärälle, jonka voidaan katsoa muodostuvan viejäosapuolen alkuperätuotteista. Käyttäjän on tulliviranomaisten pyynnöstä annettava selvitys siitä, kuinka määriä on hallinnoitu.</w:t>
      </w:r>
    </w:p>
    <w:p>
      <w:pPr>
        <w:pStyle w:val="Point1"/>
        <w:rPr>
          <w:noProof/>
        </w:rPr>
      </w:pPr>
    </w:p>
    <w:p>
      <w:pPr>
        <w:pStyle w:val="Point1"/>
        <w:jc w:val="center"/>
        <w:rPr>
          <w:b/>
          <w:noProof/>
        </w:rPr>
      </w:pPr>
      <w:r>
        <w:rPr>
          <w:noProof/>
        </w:rPr>
        <w:t xml:space="preserve">III OSASTO </w:t>
      </w:r>
      <w:r>
        <w:rPr>
          <w:noProof/>
        </w:rPr>
        <w:br/>
      </w:r>
      <w:r>
        <w:rPr>
          <w:b/>
          <w:noProof/>
        </w:rPr>
        <w:t>ALUEESEEN LIITTYVÄT VAATIMUKSET</w:t>
      </w:r>
    </w:p>
    <w:p>
      <w:pPr>
        <w:pStyle w:val="Text1"/>
        <w:jc w:val="center"/>
        <w:rPr>
          <w:i/>
          <w:noProof/>
        </w:rPr>
      </w:pPr>
      <w:r>
        <w:rPr>
          <w:i/>
          <w:noProof/>
        </w:rPr>
        <w:t>13 artikla</w:t>
      </w:r>
      <w:r>
        <w:rPr>
          <w:noProof/>
        </w:rPr>
        <w:t xml:space="preserve"> </w:t>
      </w:r>
      <w:r>
        <w:rPr>
          <w:noProof/>
        </w:rPr>
        <w:br/>
      </w:r>
      <w:r>
        <w:rPr>
          <w:b/>
          <w:noProof/>
        </w:rPr>
        <w:t>Alueperiaate</w:t>
      </w:r>
    </w:p>
    <w:p>
      <w:pPr>
        <w:pStyle w:val="Point1"/>
        <w:rPr>
          <w:noProof/>
        </w:rPr>
      </w:pPr>
      <w:r>
        <w:rPr>
          <w:noProof/>
        </w:rPr>
        <w:t>1.</w:t>
      </w:r>
      <w:r>
        <w:rPr>
          <w:noProof/>
        </w:rPr>
        <w:tab/>
        <w:t>Edellä II osastossa vahvistettujen edellytysten on täytyttävä keskeytyksettä asianomaisessa osapuolessa.</w:t>
      </w:r>
    </w:p>
    <w:p>
      <w:pPr>
        <w:pStyle w:val="Point1"/>
        <w:rPr>
          <w:noProof/>
        </w:rPr>
      </w:pPr>
      <w:r>
        <w:rPr>
          <w:noProof/>
        </w:rPr>
        <w:t>2.</w:t>
      </w:r>
      <w:r>
        <w:rPr>
          <w:noProof/>
        </w:rPr>
        <w:tab/>
        <w:t>Jos osapuolesta toiseen maahan viedyt alkuperätuotteet palautetaan, niitä on pidettävä ei-alkuperätuotteina, jollei tulliviranomaisten hyväksymällä tavalla voida osoittaa, että</w:t>
      </w:r>
    </w:p>
    <w:p>
      <w:pPr>
        <w:pStyle w:val="Point2"/>
        <w:rPr>
          <w:noProof/>
        </w:rPr>
      </w:pPr>
      <w:r>
        <w:rPr>
          <w:noProof/>
        </w:rPr>
        <w:t>a)</w:t>
      </w:r>
      <w:r>
        <w:rPr>
          <w:noProof/>
        </w:rPr>
        <w:tab/>
        <w:t>palautetut tuotteet ovat samat kuin viedyt tuotteet; ja</w:t>
      </w:r>
    </w:p>
    <w:p>
      <w:pPr>
        <w:pStyle w:val="Point2"/>
        <w:rPr>
          <w:noProof/>
        </w:rPr>
      </w:pPr>
      <w:r>
        <w:rPr>
          <w:noProof/>
        </w:rPr>
        <w:t>b)</w:t>
      </w:r>
      <w:r>
        <w:rPr>
          <w:noProof/>
        </w:rPr>
        <w:tab/>
        <w:t>niille ei ole suoritettu kyseisessä maassa tai viennin aikana muita kuin niiden kunnon säilyttämiseksi tarvittavia toimia.</w:t>
      </w:r>
    </w:p>
    <w:p>
      <w:pPr>
        <w:pStyle w:val="Point1"/>
        <w:rPr>
          <w:noProof/>
        </w:rPr>
      </w:pPr>
      <w:r>
        <w:rPr>
          <w:noProof/>
        </w:rPr>
        <w:t>3.</w:t>
      </w:r>
      <w:r>
        <w:rPr>
          <w:noProof/>
        </w:rPr>
        <w:tab/>
        <w:t>Valmistus tai käsittely, joka suoritetaan kyseisestä osapuolesta viedyille ja sinne myöhemmin jälleentuoduille aineksille viejäosapuolen ulkopuolella, ei vaikuta alkuperäaseman saamiseen II osastossa määrätyillä edellytyksillä, jos</w:t>
      </w:r>
    </w:p>
    <w:p>
      <w:pPr>
        <w:pStyle w:val="Point2"/>
        <w:rPr>
          <w:noProof/>
        </w:rPr>
      </w:pPr>
      <w:r>
        <w:rPr>
          <w:noProof/>
        </w:rPr>
        <w:t>a)</w:t>
      </w:r>
      <w:r>
        <w:rPr>
          <w:noProof/>
        </w:rPr>
        <w:tab/>
        <w:t>kyseiset ainekset ovat viejäosapuolessa kokonaan tuotettuja tai niitä on valmistettu tai käsitelty 6 artiklassa tarkoitettuja toimia enemmän ennen niiden vientiä; ja</w:t>
      </w:r>
    </w:p>
    <w:p>
      <w:pPr>
        <w:pStyle w:val="Point2"/>
        <w:rPr>
          <w:noProof/>
        </w:rPr>
      </w:pPr>
      <w:r>
        <w:rPr>
          <w:noProof/>
        </w:rPr>
        <w:t>b)</w:t>
      </w:r>
      <w:r>
        <w:rPr>
          <w:noProof/>
        </w:rPr>
        <w:tab/>
        <w:t>tulliviranomaisia tyydyttävällä tavalla voidaan osoittaa, että</w:t>
      </w:r>
    </w:p>
    <w:p>
      <w:pPr>
        <w:pStyle w:val="Point3"/>
        <w:rPr>
          <w:noProof/>
        </w:rPr>
      </w:pPr>
      <w:r>
        <w:rPr>
          <w:noProof/>
        </w:rPr>
        <w:t>i)</w:t>
      </w:r>
      <w:r>
        <w:rPr>
          <w:noProof/>
        </w:rPr>
        <w:tab/>
        <w:t>jälleentuodut tavarat on saatu vietyjä aineksia valmistamalla ja käsittelemällä; ja</w:t>
      </w:r>
    </w:p>
    <w:p>
      <w:pPr>
        <w:pStyle w:val="Point3"/>
        <w:rPr>
          <w:noProof/>
        </w:rPr>
      </w:pPr>
      <w:r>
        <w:rPr>
          <w:noProof/>
        </w:rPr>
        <w:t>(ii)</w:t>
      </w:r>
      <w:r>
        <w:rPr>
          <w:noProof/>
        </w:rPr>
        <w:tab/>
        <w:t>viejäosapuolen ulkopuolella tätä artiklaa soveltamalla yhteensä saavutettu arvonlisäys on enintään 10 prosenttia sen valmiin tuotteen noudettuna-hinnasta, jolle alkuperäasemaa haetaan.</w:t>
      </w:r>
    </w:p>
    <w:p>
      <w:pPr>
        <w:pStyle w:val="Point1"/>
        <w:rPr>
          <w:noProof/>
        </w:rPr>
      </w:pPr>
      <w:r>
        <w:rPr>
          <w:noProof/>
        </w:rPr>
        <w:t>4.</w:t>
      </w:r>
      <w:r>
        <w:rPr>
          <w:noProof/>
        </w:rPr>
        <w:tab/>
        <w:t>Sovellettaessa tämän artiklan 3 kohdan määräyksiä ei II osastossa määrättyjä edellytyksiä alkuperäaseman saamiselle sovelleta viejäosapuolen ulkopuolella suoritettuun valmistukseen tai käsittelyyn. Kuitenkin kun valmiin tuotteen alkuperäaseman määrittämiseksi sovelletaan liitteen II luettelossa olevaa sääntöä, jossa vahvistetaan kaikkien tuotteeseen sisältyvien ei-alkuperäainesten enimmäisarvo, viejäosapuolen alueella sisällytettyjen ei-alkuperäainesten yhteisarvon ja tämän artiklan mukaisesti kyseisen osapuolen ulkopuolella yhteensä saavutetun arvonlisäyksen summa ei saa ylittää mainittua prosenttimäärää.</w:t>
      </w:r>
    </w:p>
    <w:p>
      <w:pPr>
        <w:pStyle w:val="Point1"/>
        <w:rPr>
          <w:noProof/>
        </w:rPr>
      </w:pPr>
      <w:r>
        <w:rPr>
          <w:noProof/>
        </w:rPr>
        <w:t>5.</w:t>
      </w:r>
      <w:r>
        <w:rPr>
          <w:noProof/>
        </w:rPr>
        <w:tab/>
        <w:t>Sovellettaessa tämän artiklan 3 ja 4 kohdan määräyksiä ilmaisu ’yhteensä saavutettu arvonlisäys’ tarkoittaa kaikkia viejäosapuolen ulkopuolella syntyneitä kustannuksia, mukaan lukien siellä sisällytettyjen ainesten arvo.</w:t>
      </w:r>
    </w:p>
    <w:p>
      <w:pPr>
        <w:pStyle w:val="Point1"/>
        <w:rPr>
          <w:noProof/>
        </w:rPr>
      </w:pPr>
      <w:r>
        <w:rPr>
          <w:noProof/>
        </w:rPr>
        <w:t>6.</w:t>
      </w:r>
      <w:r>
        <w:rPr>
          <w:noProof/>
        </w:rPr>
        <w:tab/>
        <w:t>Tämän artiklan 3 ja 4 kohdan määräyksiä ei sovelleta tuotteisiin, jotka eivät täytä liitteen II luettelossa vahvistettuja edellytyksiä tai joita voidaan pitää riittävästi valmistettuina tai käsiteltyinä vain soveltamalla 4 artiklassa määrättyä yleistä poikkeamaa.</w:t>
      </w:r>
    </w:p>
    <w:p>
      <w:pPr>
        <w:pStyle w:val="Point1"/>
        <w:rPr>
          <w:noProof/>
        </w:rPr>
      </w:pPr>
      <w:r>
        <w:rPr>
          <w:noProof/>
        </w:rPr>
        <w:t>7.</w:t>
      </w:r>
      <w:r>
        <w:rPr>
          <w:noProof/>
        </w:rPr>
        <w:tab/>
        <w:t>Viejäosapuolen ulkopuolella suoritettavan, tämän artiklan mukaisen valmistuksen tai käsittelyn on tapahduttava ulkoisessa jalostusmenettelyssä tai sen kaltaisessa järjestelyssä.</w:t>
      </w:r>
    </w:p>
    <w:p>
      <w:pPr>
        <w:pStyle w:val="Text1"/>
        <w:jc w:val="center"/>
        <w:rPr>
          <w:i/>
          <w:noProof/>
        </w:rPr>
      </w:pPr>
      <w:r>
        <w:rPr>
          <w:i/>
          <w:noProof/>
        </w:rPr>
        <w:t>14 artikla</w:t>
      </w:r>
      <w:r>
        <w:rPr>
          <w:noProof/>
        </w:rPr>
        <w:t xml:space="preserve"> </w:t>
      </w:r>
      <w:r>
        <w:rPr>
          <w:noProof/>
        </w:rPr>
        <w:br/>
      </w:r>
      <w:r>
        <w:rPr>
          <w:b/>
          <w:noProof/>
        </w:rPr>
        <w:t>Muuttumattomuus</w:t>
      </w:r>
    </w:p>
    <w:p>
      <w:pPr>
        <w:pStyle w:val="Point1"/>
        <w:rPr>
          <w:noProof/>
        </w:rPr>
      </w:pPr>
      <w:r>
        <w:rPr>
          <w:noProof/>
        </w:rPr>
        <w:t>1.</w:t>
      </w:r>
      <w:r>
        <w:rPr>
          <w:noProof/>
        </w:rPr>
        <w:tab/>
        <w:t>Tässä sopimuksessa määrättyä etuuskohtelua sovelletaan ainoastaan tuotteisiin, jotka täyttävät näiden sääntöjen vaatimukset ja jotka on ilmoitettu tuotaviksi osapuoleen, edellyttäen että kyseiset tuotteet ovat samat kuin viejäosapuolesta viedyt tuotteet. Niitä ei saa olla muutettu tai muunnettu millään tavalla eikä niille saa olla tehty muita toimia kuin toimet, joilla säilytetään niiden hyvä kunto tai joissa niihin lisätään tai kiinnitetään merkkejä, etikettejä, sinettejä tai asiakirjoja tuojaosapuolen erityisten kotimaisten vaatimusten täyttämiseksi ja jotka suoritetaan tullivalvonnassa kolmansissa passitus- tai jakomaissa ennen niiden ilmoittamista kulutukseen luovutettaviksi.</w:t>
      </w:r>
    </w:p>
    <w:p>
      <w:pPr>
        <w:pStyle w:val="Point1"/>
        <w:rPr>
          <w:noProof/>
        </w:rPr>
      </w:pPr>
      <w:r>
        <w:rPr>
          <w:noProof/>
        </w:rPr>
        <w:t>2.</w:t>
      </w:r>
      <w:r>
        <w:rPr>
          <w:noProof/>
        </w:rPr>
        <w:tab/>
        <w:t>Tuotteet tai lähetykset voidaan varastoida, jos ne pysyvät tullivalvonnassa kolmansissa passitusmaissa.</w:t>
      </w:r>
    </w:p>
    <w:p>
      <w:pPr>
        <w:pStyle w:val="Point1"/>
        <w:rPr>
          <w:noProof/>
        </w:rPr>
      </w:pPr>
      <w:r>
        <w:rPr>
          <w:noProof/>
        </w:rPr>
        <w:t>3.</w:t>
      </w:r>
      <w:r>
        <w:rPr>
          <w:noProof/>
        </w:rPr>
        <w:tab/>
        <w:t>Lähetykset voidaan jakaa osalähetyksiin, jos ne pysyvät tullivalvonnassa kolmansissa jakomaissa, sanotun kuitenkaan rajoittamatta lisäyksessä A olevan V osaston määräysten soveltamista.</w:t>
      </w:r>
    </w:p>
    <w:p>
      <w:pPr>
        <w:pStyle w:val="Point1"/>
        <w:rPr>
          <w:noProof/>
        </w:rPr>
      </w:pPr>
      <w:r>
        <w:rPr>
          <w:noProof/>
        </w:rPr>
        <w:t>4.</w:t>
      </w:r>
      <w:r>
        <w:rPr>
          <w:noProof/>
        </w:rPr>
        <w:tab/>
        <w:t>Epäselvissä tapauksissa tuojaosapuoli voi pyytää tuojaa tai tuojan edustajaa antamaan milloin tahansa kaikki asianmukaiset asiakirjat tämän artiklan noudattamisen todistamiseksi, ja tämä voidaan antaa millä tahansa asiakirjanäytöllä ja erityisesti esittämällä</w:t>
      </w:r>
    </w:p>
    <w:p>
      <w:pPr>
        <w:pStyle w:val="Point2"/>
        <w:rPr>
          <w:noProof/>
        </w:rPr>
      </w:pPr>
      <w:r>
        <w:rPr>
          <w:noProof/>
        </w:rPr>
        <w:t>a)</w:t>
      </w:r>
      <w:r>
        <w:rPr>
          <w:noProof/>
        </w:rPr>
        <w:tab/>
        <w:t>sopimusperusteiset kuljetusasiakirjat, kuten konossementit;</w:t>
      </w:r>
    </w:p>
    <w:p>
      <w:pPr>
        <w:pStyle w:val="Point2"/>
        <w:rPr>
          <w:noProof/>
        </w:rPr>
      </w:pPr>
      <w:r>
        <w:rPr>
          <w:noProof/>
        </w:rPr>
        <w:t>b)</w:t>
      </w:r>
      <w:r>
        <w:rPr>
          <w:noProof/>
        </w:rPr>
        <w:tab/>
        <w:t>kollien merkintöihin tai numeroihin perustuva tosiasiallinen tai konkreettinen näyttö;</w:t>
      </w:r>
    </w:p>
    <w:p>
      <w:pPr>
        <w:pStyle w:val="Point2"/>
        <w:rPr>
          <w:noProof/>
        </w:rPr>
      </w:pPr>
      <w:r>
        <w:rPr>
          <w:noProof/>
        </w:rPr>
        <w:t>c)</w:t>
      </w:r>
      <w:r>
        <w:rPr>
          <w:noProof/>
        </w:rPr>
        <w:tab/>
        <w:t>passitus- tai jakomaiden tulliviranomaisten antama todistus siitä, ettei tavaroita ole käsitelty, tai jokin muu asiakirja, joka osoittaa tavaroiden pysyneen tullivalvonnassa passitus- tai jakomaissa; tai</w:t>
      </w:r>
    </w:p>
    <w:p>
      <w:pPr>
        <w:pStyle w:val="Point2"/>
        <w:rPr>
          <w:noProof/>
        </w:rPr>
      </w:pPr>
      <w:r>
        <w:rPr>
          <w:noProof/>
        </w:rPr>
        <w:t>d)</w:t>
      </w:r>
      <w:r>
        <w:rPr>
          <w:noProof/>
        </w:rPr>
        <w:tab/>
        <w:t>kaikki itse tavaroihin liittyvä näyttö.</w:t>
      </w:r>
    </w:p>
    <w:p>
      <w:pPr>
        <w:pStyle w:val="Text1"/>
        <w:jc w:val="center"/>
        <w:rPr>
          <w:i/>
          <w:noProof/>
        </w:rPr>
      </w:pPr>
      <w:r>
        <w:rPr>
          <w:i/>
          <w:noProof/>
        </w:rPr>
        <w:t>15 artikla</w:t>
      </w:r>
      <w:r>
        <w:rPr>
          <w:noProof/>
        </w:rPr>
        <w:t xml:space="preserve"> </w:t>
      </w:r>
      <w:r>
        <w:rPr>
          <w:noProof/>
        </w:rPr>
        <w:br/>
      </w:r>
      <w:r>
        <w:rPr>
          <w:b/>
          <w:noProof/>
        </w:rPr>
        <w:t>Näyttelyt</w:t>
      </w:r>
    </w:p>
    <w:p>
      <w:pPr>
        <w:pStyle w:val="Point1"/>
        <w:rPr>
          <w:noProof/>
        </w:rPr>
      </w:pPr>
      <w:r>
        <w:rPr>
          <w:noProof/>
        </w:rPr>
        <w:t>1.</w:t>
      </w:r>
      <w:r>
        <w:rPr>
          <w:noProof/>
        </w:rPr>
        <w:tab/>
        <w:t>Muussa kuin sellaisessa maassa, jonka kanssa 7 ja 8 artiklan mukaista kumulaatiota voidaan soveltaa, pidettävään näyttelyyn lähetetyt alkuperätuotteet, jotka myydään näyttelyn jälkeen osapuoleen tuotaviksi, myönnetään tuonnissa asiaankuuluvan sopimuksen määräysten mukaiset etuudet, jos tulliviranomaisia tyydyttävällä tavalla osoitetaan, että</w:t>
      </w:r>
    </w:p>
    <w:p>
      <w:pPr>
        <w:pStyle w:val="Point2"/>
        <w:rPr>
          <w:noProof/>
        </w:rPr>
      </w:pPr>
      <w:r>
        <w:rPr>
          <w:noProof/>
        </w:rPr>
        <w:t>a)</w:t>
      </w:r>
      <w:r>
        <w:rPr>
          <w:noProof/>
        </w:rPr>
        <w:tab/>
        <w:t>viejä on lähettänyt kyseiset tuotteet osapuolesta maahan, jossa näyttely pidetään, ja pitänyt niitä näytteillä siellä;</w:t>
      </w:r>
    </w:p>
    <w:p>
      <w:pPr>
        <w:pStyle w:val="Point2"/>
        <w:rPr>
          <w:noProof/>
        </w:rPr>
      </w:pPr>
      <w:r>
        <w:rPr>
          <w:noProof/>
        </w:rPr>
        <w:t>b)</w:t>
      </w:r>
      <w:r>
        <w:rPr>
          <w:noProof/>
        </w:rPr>
        <w:tab/>
        <w:t>kyseinen viejä on myynyt tai muutoin luovuttanut tuotteet jossakin toisessa osapuolessa olevalle henkilölle,</w:t>
      </w:r>
    </w:p>
    <w:p>
      <w:pPr>
        <w:pStyle w:val="Point2"/>
        <w:rPr>
          <w:noProof/>
        </w:rPr>
      </w:pPr>
      <w:r>
        <w:rPr>
          <w:noProof/>
        </w:rPr>
        <w:t>c)</w:t>
      </w:r>
      <w:r>
        <w:rPr>
          <w:noProof/>
        </w:rPr>
        <w:tab/>
        <w:t>tuotteet on lähetetty näyttelyn aikana tai välittömästi sen jälkeen siinä tilassa, jossa ne lähetettiin näyttelyyn; ja</w:t>
      </w:r>
    </w:p>
    <w:p>
      <w:pPr>
        <w:pStyle w:val="Point2"/>
        <w:rPr>
          <w:noProof/>
        </w:rPr>
      </w:pPr>
      <w:r>
        <w:rPr>
          <w:noProof/>
        </w:rPr>
        <w:t>d)</w:t>
      </w:r>
      <w:r>
        <w:rPr>
          <w:noProof/>
        </w:rPr>
        <w:tab/>
        <w:t>tuotteita ei ole niiden näyttelyyn lähettämisen jälkeen käytetty muihin tarkoituksiin kuin näyttelyssä esittelyyn.</w:t>
      </w:r>
    </w:p>
    <w:p>
      <w:pPr>
        <w:pStyle w:val="Point1"/>
        <w:rPr>
          <w:noProof/>
        </w:rPr>
      </w:pPr>
      <w:r>
        <w:rPr>
          <w:noProof/>
        </w:rPr>
        <w:t>2.</w:t>
      </w:r>
      <w:r>
        <w:rPr>
          <w:noProof/>
        </w:rPr>
        <w:tab/>
        <w:t>Alkuperäselvitys on annettava tai laadittava lisäyksessä A olevan V osaston määräysten mukaisesti, ja annettava tavanomaisella tavalla tuojaosapuolen tulliviranomaisille. Siinä on ilmoitettava näyttelyn nimi ja osoite. Tarvittaessa voidaan vaatia lisäasiakirjanäyttöä olosuhteista, joissa tuotteita on pidetty näytteillä.</w:t>
      </w:r>
    </w:p>
    <w:p>
      <w:pPr>
        <w:pStyle w:val="Point1"/>
        <w:rPr>
          <w:noProof/>
        </w:rPr>
      </w:pPr>
      <w:r>
        <w:rPr>
          <w:noProof/>
        </w:rPr>
        <w:t>3.</w:t>
      </w:r>
      <w:r>
        <w:rPr>
          <w:noProof/>
        </w:rPr>
        <w:tab/>
        <w:t>Tämän artiklan 1 kohtaa sovelletaan kaikkiin kaupan, teollisuuden, maatalouden ja käsiteollisuuden näyttelyihin, messuihin tai niiden kaltaisiin julkisiin esittelytilaisuuksiin, joita ei ole järjestetty yksityisiin tarkoituksiin kaupoissa tai liiketiloissa ulkomaisten tuotteiden myymiseksi ja joiden aikana tuotteet pysyvät tullivalvonnassa.</w:t>
      </w:r>
    </w:p>
    <w:p>
      <w:pPr>
        <w:pStyle w:val="Point1"/>
        <w:rPr>
          <w:noProof/>
        </w:rPr>
      </w:pPr>
    </w:p>
    <w:p>
      <w:pPr>
        <w:pStyle w:val="Point1"/>
        <w:jc w:val="center"/>
        <w:rPr>
          <w:b/>
          <w:noProof/>
        </w:rPr>
      </w:pPr>
      <w:r>
        <w:rPr>
          <w:noProof/>
        </w:rPr>
        <w:t xml:space="preserve">IV OSASTO </w:t>
      </w:r>
      <w:r>
        <w:rPr>
          <w:noProof/>
        </w:rPr>
        <w:br/>
      </w:r>
      <w:r>
        <w:rPr>
          <w:b/>
          <w:noProof/>
        </w:rPr>
        <w:t>TULLINPALAUTUS TAI TULLEISTA VAPAUTTAMINEN</w:t>
      </w:r>
    </w:p>
    <w:p>
      <w:pPr>
        <w:pStyle w:val="Text1"/>
        <w:jc w:val="center"/>
        <w:rPr>
          <w:i/>
          <w:noProof/>
        </w:rPr>
      </w:pPr>
      <w:r>
        <w:rPr>
          <w:i/>
          <w:noProof/>
        </w:rPr>
        <w:t>16 artikla</w:t>
      </w:r>
      <w:r>
        <w:rPr>
          <w:noProof/>
        </w:rPr>
        <w:t xml:space="preserve"> </w:t>
      </w:r>
      <w:r>
        <w:rPr>
          <w:noProof/>
        </w:rPr>
        <w:br/>
      </w:r>
      <w:r>
        <w:rPr>
          <w:b/>
          <w:noProof/>
        </w:rPr>
        <w:t>Tullinpalautus tai tulleista vapauttaminen</w:t>
      </w:r>
    </w:p>
    <w:p>
      <w:pPr>
        <w:pStyle w:val="Point1"/>
        <w:rPr>
          <w:noProof/>
        </w:rPr>
      </w:pPr>
      <w:r>
        <w:rPr>
          <w:noProof/>
        </w:rPr>
        <w:t>1.</w:t>
      </w:r>
      <w:r>
        <w:rPr>
          <w:noProof/>
        </w:rPr>
        <w:tab/>
        <w:t>Jonkin osapuolen ei-alkuperäaineksille, joita on käytetty harmonoidun järjestelmän 50–63 ryhmän tuotteiden valmistuksessa ja joille on annettu tai laadittu alkuperäselvitys lisäyksessä A olevan V osaston määräysten mukaisesti, ei myönnetä viejäosapuolessa minkäänlaista tullinpalautusta tai vapautusta tulleista.</w:t>
      </w:r>
    </w:p>
    <w:p>
      <w:pPr>
        <w:pStyle w:val="Point1"/>
        <w:rPr>
          <w:noProof/>
        </w:rPr>
      </w:pPr>
      <w:r>
        <w:rPr>
          <w:noProof/>
        </w:rPr>
        <w:t>2.</w:t>
      </w:r>
      <w:r>
        <w:rPr>
          <w:noProof/>
        </w:rPr>
        <w:tab/>
        <w:t>Kun tullien tai vaikutukseltaan vastaavien maksujen osittaista tai täydellistä palauttamista ja peruuttamista tai niistä vapauttamista sovelletaan nimenomaisesti tai tosiasiallisesti, tämän artiklan 1 kohdassa tarkoitettu kielto koskee kaikkia tällaiseen palauttamiseen, peruuttamiseen tai vapauttamiseen liittyviä järjestelyjä, joita sovelletaan viejäosapuolessa valmistuksessa käytettäviin aineksiin, kun näistä aineksista valmistetut tuotteet viedään, mutta ei silloin, kun ne on tarkoitettu kotimaiseen käyttöön siellä.</w:t>
      </w:r>
    </w:p>
    <w:p>
      <w:pPr>
        <w:pStyle w:val="Point1"/>
        <w:rPr>
          <w:noProof/>
        </w:rPr>
      </w:pPr>
      <w:r>
        <w:rPr>
          <w:noProof/>
        </w:rPr>
        <w:t>3.</w:t>
      </w:r>
      <w:r>
        <w:rPr>
          <w:noProof/>
        </w:rPr>
        <w:tab/>
        <w:t>Alkuperäselvityksessä tarkoitettujen tuotteiden viejän on oltava valmis milloin tahansa tulliviranomaisten pyynnöstä esittämään kaikki asianmukaiset asiakirjat, joilla todistetaan, ettei asianomaisten tuotteiden valmistuksessa käytetyistä ei-alkuperäaineksista ole saatu tullinpalautusta ja että kaikki tällaisiin aineksiin sovellettavat tullit tai vaikutukseltaan vastaavat maksut on tosiasiallisesti maksettu.</w:t>
      </w:r>
    </w:p>
    <w:p>
      <w:pPr>
        <w:pStyle w:val="Point1"/>
        <w:rPr>
          <w:noProof/>
        </w:rPr>
      </w:pPr>
      <w:r>
        <w:rPr>
          <w:noProof/>
        </w:rPr>
        <w:t>4.</w:t>
      </w:r>
      <w:r>
        <w:rPr>
          <w:noProof/>
        </w:rPr>
        <w:tab/>
        <w:t xml:space="preserve">Tämän artiklan 1 kohdassa määrätty kielto ei koske osapuolten välistä kauppaa sellaisilla tuotteilla, jotka ovat saaneet alkuperäaseman 7 artiklan 4 tai 5 kohdan soveltamisalaan kuuluvaa alkuperäkumulaatiota soveltamalla. </w:t>
      </w:r>
    </w:p>
    <w:p>
      <w:pPr>
        <w:pStyle w:val="Point1"/>
        <w:rPr>
          <w:rFonts w:eastAsia="Times New Roman"/>
          <w:noProof/>
          <w:szCs w:val="24"/>
          <w:lang w:eastAsia="en-GB"/>
        </w:rPr>
      </w:pPr>
    </w:p>
    <w:p>
      <w:pPr>
        <w:pStyle w:val="Point1"/>
        <w:jc w:val="center"/>
        <w:rPr>
          <w:b/>
          <w:noProof/>
        </w:rPr>
      </w:pPr>
      <w:r>
        <w:rPr>
          <w:noProof/>
        </w:rPr>
        <w:t xml:space="preserve">V OSASTO </w:t>
      </w:r>
      <w:r>
        <w:rPr>
          <w:noProof/>
        </w:rPr>
        <w:br/>
      </w:r>
      <w:r>
        <w:rPr>
          <w:b/>
          <w:noProof/>
        </w:rPr>
        <w:t>ALKUPERÄSELVITYS</w:t>
      </w:r>
    </w:p>
    <w:p>
      <w:pPr>
        <w:pStyle w:val="Text1"/>
        <w:jc w:val="center"/>
        <w:rPr>
          <w:i/>
          <w:noProof/>
        </w:rPr>
      </w:pPr>
      <w:r>
        <w:rPr>
          <w:i/>
          <w:noProof/>
        </w:rPr>
        <w:t>17 artikla</w:t>
      </w:r>
      <w:r>
        <w:rPr>
          <w:noProof/>
        </w:rPr>
        <w:t xml:space="preserve"> </w:t>
      </w:r>
      <w:r>
        <w:rPr>
          <w:noProof/>
        </w:rPr>
        <w:br/>
      </w:r>
      <w:r>
        <w:rPr>
          <w:b/>
          <w:noProof/>
        </w:rPr>
        <w:t>Yleiset vaatimukset</w:t>
      </w:r>
    </w:p>
    <w:p>
      <w:pPr>
        <w:pStyle w:val="Point1"/>
        <w:rPr>
          <w:noProof/>
        </w:rPr>
      </w:pPr>
      <w:r>
        <w:rPr>
          <w:noProof/>
        </w:rPr>
        <w:t>1.</w:t>
      </w:r>
      <w:r>
        <w:rPr>
          <w:noProof/>
        </w:rPr>
        <w:tab/>
        <w:t>Osapuolen alkuperätuotteet saavat toiseen osapuoleen tuotaessa tämän sopimuksen mukaiset etuudet, jos niistä esitetään jokin seuraavista alkuperäselvityksistä:</w:t>
      </w:r>
    </w:p>
    <w:p>
      <w:pPr>
        <w:pStyle w:val="Point2"/>
        <w:rPr>
          <w:noProof/>
        </w:rPr>
      </w:pPr>
      <w:r>
        <w:rPr>
          <w:noProof/>
        </w:rPr>
        <w:t>a)</w:t>
      </w:r>
      <w:r>
        <w:rPr>
          <w:noProof/>
        </w:rPr>
        <w:tab/>
        <w:t>lisäyksen A liitteessä IV olevan mallin mukainen EUR.1-tavaratodistus;</w:t>
      </w:r>
    </w:p>
    <w:p>
      <w:pPr>
        <w:pStyle w:val="Point2"/>
        <w:rPr>
          <w:noProof/>
        </w:rPr>
      </w:pPr>
      <w:r>
        <w:rPr>
          <w:noProof/>
        </w:rPr>
        <w:t>b)</w:t>
      </w:r>
      <w:r>
        <w:rPr>
          <w:noProof/>
        </w:rPr>
        <w:tab/>
        <w:t>18 artiklan 1 kohdassa eritellyissä tapauksissa ilmoitus, jäljempänä ’kauppalaskuilmoitus’, jonka viejä antaa kauppalaskussa, lähetysluettelossa tai muussa sellaisessa kaupallisessa asiakirjassa, jossa asianomaisten tuotteiden kuvaus on riittävän yksityiskohtainen niiden tunnistamiseksi; alkuperäilmoituksen teksti on tämän lisäyksen liitteessä III.</w:t>
      </w:r>
    </w:p>
    <w:p>
      <w:pPr>
        <w:pStyle w:val="Point1"/>
        <w:rPr>
          <w:noProof/>
        </w:rPr>
      </w:pPr>
      <w:r>
        <w:rPr>
          <w:noProof/>
        </w:rPr>
        <w:t>2.</w:t>
      </w:r>
      <w:r>
        <w:rPr>
          <w:noProof/>
        </w:rPr>
        <w:tab/>
        <w:t>Sen estämättä, mitä tämän artiklan 1 kohdassa määrätään, näiden sääntöjen mukaiset alkuperätuotteet saavat 27 artiklassa eritellyissä tapauksissa tämän sopimuksen määräysten mukaiset etuudet ilman tarvetta esittää mitään tämän artiklan 1 kohdassa tarkoitetuista alkuperäselvityksistä.</w:t>
      </w:r>
    </w:p>
    <w:p>
      <w:pPr>
        <w:pStyle w:val="Point1"/>
        <w:rPr>
          <w:noProof/>
        </w:rPr>
      </w:pPr>
      <w:r>
        <w:rPr>
          <w:noProof/>
        </w:rPr>
        <w:t>3.</w:t>
      </w:r>
      <w:r>
        <w:rPr>
          <w:noProof/>
        </w:rPr>
        <w:tab/>
        <w:t>Rajoittamatta tämän artiklan 1 kohdan soveltamista osapuolet voivat sopia, että niiden välisessä etuuskohtelukaupassa tämän artiklan 1 kohdan a ja b alakohdassa luetellut alkuperäselvitykset korvataan sähköiseen tietokantaan osapuolten sisäisen lainsäädännön mukaisesti rekisteröityjen viejien laatimilla alkuperävakuutuksilla.</w:t>
      </w:r>
    </w:p>
    <w:p>
      <w:pPr>
        <w:pStyle w:val="Point1"/>
        <w:ind w:firstLine="0"/>
        <w:rPr>
          <w:rFonts w:eastAsia="Times New Roman"/>
          <w:noProof/>
          <w:szCs w:val="24"/>
        </w:rPr>
      </w:pPr>
      <w:r>
        <w:rPr>
          <w:noProof/>
        </w:rPr>
        <w:t>Kahden tai useamman soveltavan sopimuspuolen hyväksymään sähköiseen tietokantaan rekisteröityjen viejien laatimien alkuperävakuutusten käyttö ei estä käyttämästä diagonaalista kumulaatiota muiden soveltavien sopimuspuolten kanssa.</w:t>
      </w:r>
    </w:p>
    <w:p>
      <w:pPr>
        <w:pStyle w:val="Point1"/>
        <w:rPr>
          <w:noProof/>
        </w:rPr>
      </w:pPr>
      <w:r>
        <w:rPr>
          <w:noProof/>
        </w:rPr>
        <w:t>4.</w:t>
      </w:r>
      <w:r>
        <w:rPr>
          <w:noProof/>
        </w:rPr>
        <w:tab/>
        <w:t>Edellä 1 kohtaa sovellettaessa osapuolet voivat sopia sellaisen järjestelmän perustamisesta, jossa tämän artiklan 1 kohdan a ja b alakohdassa luetellut alkuperäselvitykset voidaan antaa sähköisesti ja/tai toimittaa sähköisesti.</w:t>
      </w:r>
    </w:p>
    <w:p>
      <w:pPr>
        <w:pStyle w:val="Point1"/>
        <w:rPr>
          <w:noProof/>
        </w:rPr>
      </w:pPr>
      <w:r>
        <w:rPr>
          <w:noProof/>
        </w:rPr>
        <w:t xml:space="preserve">5. </w:t>
      </w:r>
      <w:r>
        <w:rPr>
          <w:noProof/>
        </w:rPr>
        <w:tab/>
        <w:t>Kun 8 artiklan 4 kohtaa sovelletaan, soveltavan sopimuspuolen viejän, joka antaa alkuperäselvityksen tai hakee sitä sellaisen toisen alkuperäselvityksen perusteella, jonka osalta velvoite lisätä 8 artiklan 3 kohdassa määrätty maininta on luovuttu, on 7 artiklan soveltamiseksi toteutettava kaikki tarvittavat toimenpiteet varmistaakseen, että kumulaation soveltamisedellytykset täyttyvät, ja oltava valmis antamaan kaikki asiaankuuluvat asiakirjat tulliviranomaisille.</w:t>
      </w:r>
    </w:p>
    <w:p>
      <w:pPr>
        <w:pStyle w:val="Text1"/>
        <w:jc w:val="center"/>
        <w:rPr>
          <w:i/>
          <w:noProof/>
        </w:rPr>
      </w:pPr>
      <w:r>
        <w:rPr>
          <w:i/>
          <w:noProof/>
        </w:rPr>
        <w:t>18 artikla</w:t>
      </w:r>
      <w:r>
        <w:rPr>
          <w:noProof/>
        </w:rPr>
        <w:t xml:space="preserve"> </w:t>
      </w:r>
      <w:r>
        <w:rPr>
          <w:noProof/>
        </w:rPr>
        <w:br/>
      </w:r>
      <w:r>
        <w:rPr>
          <w:b/>
          <w:noProof/>
        </w:rPr>
        <w:t>Alkuperäilmoituksen laatimisedellytykset</w:t>
      </w:r>
    </w:p>
    <w:p>
      <w:pPr>
        <w:pStyle w:val="Point1"/>
        <w:rPr>
          <w:noProof/>
        </w:rPr>
      </w:pPr>
      <w:r>
        <w:rPr>
          <w:noProof/>
        </w:rPr>
        <w:t>1.</w:t>
      </w:r>
      <w:r>
        <w:rPr>
          <w:noProof/>
        </w:rPr>
        <w:tab/>
        <w:t>Edellä 17 artiklan 1 kohdan b alakohdassa tarkoitetun alkuperäilmoituksen voi laatia</w:t>
      </w:r>
    </w:p>
    <w:p>
      <w:pPr>
        <w:pStyle w:val="Point2"/>
        <w:rPr>
          <w:noProof/>
        </w:rPr>
      </w:pPr>
      <w:r>
        <w:rPr>
          <w:noProof/>
        </w:rPr>
        <w:t>a)</w:t>
      </w:r>
      <w:r>
        <w:rPr>
          <w:noProof/>
        </w:rPr>
        <w:tab/>
        <w:t>jäljempänä 19 artiklassa tarkoitettu valtuutettu viejä, tai</w:t>
      </w:r>
    </w:p>
    <w:p>
      <w:pPr>
        <w:pStyle w:val="Point2"/>
        <w:rPr>
          <w:noProof/>
        </w:rPr>
      </w:pPr>
      <w:r>
        <w:rPr>
          <w:noProof/>
        </w:rPr>
        <w:t>b)</w:t>
      </w:r>
      <w:r>
        <w:rPr>
          <w:noProof/>
        </w:rPr>
        <w:tab/>
        <w:t>kuka tahansa viejä, kun lähetys muodostuu yhdestä tai useammasta kollista ja sisältää alkuperätuotteita yhteensä enintään 6 000 euron arvosta.</w:t>
      </w:r>
    </w:p>
    <w:p>
      <w:pPr>
        <w:pStyle w:val="Point1"/>
        <w:rPr>
          <w:noProof/>
        </w:rPr>
      </w:pPr>
      <w:r>
        <w:rPr>
          <w:noProof/>
        </w:rPr>
        <w:t>2.</w:t>
      </w:r>
      <w:r>
        <w:rPr>
          <w:noProof/>
        </w:rPr>
        <w:tab/>
        <w:t xml:space="preserve">Alkuperäilmoitus voidaan laatia, jos tuotteita voidaan pitää soveltavan sopimuspuolen alkuperätuotteina ja jos ne täyttävät näiden sääntöjen muut vaatimukset. </w:t>
      </w:r>
    </w:p>
    <w:p>
      <w:pPr>
        <w:pStyle w:val="Point1"/>
        <w:rPr>
          <w:noProof/>
        </w:rPr>
      </w:pPr>
      <w:r>
        <w:rPr>
          <w:noProof/>
        </w:rPr>
        <w:t>3.</w:t>
      </w:r>
      <w:r>
        <w:rPr>
          <w:noProof/>
        </w:rPr>
        <w:tab/>
        <w:t>Alkuperäilmoituksen laativan viejän on oltava valmis toimittamaan milloin tahansa viejäosapuolen tulliviranomaisten pyynnöstä kaikki asianmukaiset asiakirjat, joilla todistetaan asianomaisten tuotteiden alkuperäasema ja näiden sääntöjen muiden vaatimusten täyttyminen.</w:t>
      </w:r>
    </w:p>
    <w:p>
      <w:pPr>
        <w:pStyle w:val="Point1"/>
        <w:rPr>
          <w:noProof/>
        </w:rPr>
      </w:pPr>
      <w:r>
        <w:rPr>
          <w:noProof/>
        </w:rPr>
        <w:t>4.</w:t>
      </w:r>
      <w:r>
        <w:rPr>
          <w:noProof/>
        </w:rPr>
        <w:tab/>
        <w:t>Viejä laatii alkuperäilmoituksen kirjoittamalla koneella, leimaamalla tai painamalla kauppalaskuun, lähetysluetteloon tai muuhun kaupalliseen asiakirjaan tämän lisäyksen liitteessä III olevan tekstin mukaisen ilmoituksen käyttäen jotakin mainitussa liitteessä olevista erikielisistä toisinnoista ja viejämaan sisäisen lainsäädännön mukaisesti. Jos ilmoitus kirjoitetaan käsin, se on kirjoitettava musteella painokirjaimin.</w:t>
      </w:r>
    </w:p>
    <w:p>
      <w:pPr>
        <w:pStyle w:val="Point1"/>
        <w:rPr>
          <w:noProof/>
        </w:rPr>
      </w:pPr>
      <w:r>
        <w:rPr>
          <w:noProof/>
        </w:rPr>
        <w:t>5.</w:t>
      </w:r>
      <w:r>
        <w:rPr>
          <w:noProof/>
        </w:rPr>
        <w:tab/>
        <w:t>Alkuperäilmoituksissa on oltava viejän käsin kirjoittama alkuperäinen allekirjoitus. Jäljempänä 19 artiklassa tarkoitettua valtuutettua viejää ei kuitenkaan vaadita allekirjoittamaan tällaisia ilmoituksia, jos hän antaa viejäosapuolen tulliviranomaisille kirjallisen sitoumuksen, että hän ottaa jokaisesta alkuperäilmoituksesta, josta hänet voidaan tunnistaa, täyden vastuun, niin kuin hän olisi itse käsin allekirjoittanut sen.</w:t>
      </w:r>
    </w:p>
    <w:p>
      <w:pPr>
        <w:pStyle w:val="Point1"/>
        <w:rPr>
          <w:noProof/>
        </w:rPr>
      </w:pPr>
      <w:r>
        <w:rPr>
          <w:noProof/>
        </w:rPr>
        <w:t>6.</w:t>
      </w:r>
      <w:r>
        <w:rPr>
          <w:noProof/>
        </w:rPr>
        <w:tab/>
        <w:t>Viejä voi laatia alkuperäilmoituksen, kun siinä tarkoitetut tuotteet viedään tai viennin jälkeen, jäljempänä ’jälkikäteen laadittu alkuperäilmoitus’, jos se esitetään tuojamaassa kahden vuoden kuluessa siitä, kun siinä tarkoitetut tuotteet on tuotu.</w:t>
      </w:r>
    </w:p>
    <w:p>
      <w:pPr>
        <w:pStyle w:val="Point1"/>
        <w:ind w:firstLine="0"/>
        <w:rPr>
          <w:noProof/>
        </w:rPr>
      </w:pPr>
      <w:r>
        <w:rPr>
          <w:noProof/>
        </w:rPr>
        <w:t>Jos lähetys jaetaan osiin 14 artiklan 3 kohdan mukaisesti ja edellyttäen, että samaa kahden vuoden määräaikaa noudatetaan, tuotteiden viejäosapuolen valtuutetun viejän on annettava jälkikäteen laadittu alkuperäilmoitus.</w:t>
      </w:r>
    </w:p>
    <w:p>
      <w:pPr>
        <w:pStyle w:val="Text1"/>
        <w:jc w:val="center"/>
        <w:rPr>
          <w:i/>
          <w:noProof/>
        </w:rPr>
      </w:pPr>
      <w:r>
        <w:rPr>
          <w:i/>
          <w:noProof/>
        </w:rPr>
        <w:t>19 artikla</w:t>
      </w:r>
      <w:r>
        <w:rPr>
          <w:noProof/>
        </w:rPr>
        <w:t xml:space="preserve"> </w:t>
      </w:r>
      <w:r>
        <w:rPr>
          <w:noProof/>
        </w:rPr>
        <w:br/>
      </w:r>
      <w:r>
        <w:rPr>
          <w:b/>
          <w:noProof/>
        </w:rPr>
        <w:t>Valtuutettu viejä</w:t>
      </w:r>
    </w:p>
    <w:p>
      <w:pPr>
        <w:pStyle w:val="Point1"/>
        <w:rPr>
          <w:noProof/>
        </w:rPr>
      </w:pPr>
      <w:r>
        <w:rPr>
          <w:noProof/>
        </w:rPr>
        <w:t>1.</w:t>
      </w:r>
      <w:r>
        <w:rPr>
          <w:noProof/>
        </w:rPr>
        <w:tab/>
        <w:t>Jollei kansallisista vaatimuksista muuta johdu, viejäosapuolen tulliviranomaiset voivat valtuuttaa kyseiseen osapuoleen sijoittautuneen viejän, jäljempänä ’valtuutettu viejä’, laatimaan alkuperäilmoituksia asianomaisten tuotteiden arvosta riippumatta.</w:t>
      </w:r>
    </w:p>
    <w:p>
      <w:pPr>
        <w:pStyle w:val="Point1"/>
        <w:rPr>
          <w:noProof/>
        </w:rPr>
      </w:pPr>
      <w:r>
        <w:rPr>
          <w:noProof/>
        </w:rPr>
        <w:t>2.</w:t>
      </w:r>
      <w:r>
        <w:rPr>
          <w:noProof/>
        </w:rPr>
        <w:tab/>
        <w:t>Tällaista valtuutusta hakevan viejän on annettava kaikki tulliviranomaisten tarpeellisina pitämät takeet tuotteiden alkuperäaseman ja muiden näissä säännöissä asetettujen vaatimusten täyttymisen tarkastamiseksi.</w:t>
      </w:r>
    </w:p>
    <w:p>
      <w:pPr>
        <w:pStyle w:val="Point1"/>
        <w:rPr>
          <w:noProof/>
        </w:rPr>
      </w:pPr>
      <w:r>
        <w:rPr>
          <w:noProof/>
        </w:rPr>
        <w:t>3.</w:t>
      </w:r>
      <w:r>
        <w:rPr>
          <w:noProof/>
        </w:rPr>
        <w:tab/>
        <w:t>Tulliviranomaiset antavat valtuutetulle viejälle tullin lupanumeron, joka merkitään alkuperäilmoitukseen.</w:t>
      </w:r>
    </w:p>
    <w:p>
      <w:pPr>
        <w:pStyle w:val="Point1"/>
        <w:rPr>
          <w:noProof/>
        </w:rPr>
      </w:pPr>
      <w:r>
        <w:rPr>
          <w:noProof/>
        </w:rPr>
        <w:t>4.</w:t>
      </w:r>
      <w:r>
        <w:rPr>
          <w:noProof/>
        </w:rPr>
        <w:tab/>
        <w:t>Tulliviranomaisten on tarkastettava valtuutuksen asianmukainen käyttö. Ne voivat peruuttaa valtuutuksen, jos valtuutettu viejä käyttää sitä väärin ja jos valtuutettu viejä ei enää anna tämän artiklan 2 kohdassa tarkoitettuja takeita.</w:t>
      </w:r>
    </w:p>
    <w:p>
      <w:pPr>
        <w:pStyle w:val="Point1"/>
        <w:jc w:val="center"/>
        <w:rPr>
          <w:i/>
          <w:noProof/>
        </w:rPr>
      </w:pPr>
      <w:r>
        <w:rPr>
          <w:i/>
          <w:noProof/>
        </w:rPr>
        <w:t>20 artikla</w:t>
      </w:r>
      <w:r>
        <w:rPr>
          <w:noProof/>
        </w:rPr>
        <w:t xml:space="preserve"> </w:t>
      </w:r>
      <w:r>
        <w:rPr>
          <w:noProof/>
        </w:rPr>
        <w:br/>
      </w:r>
      <w:r>
        <w:rPr>
          <w:b/>
          <w:noProof/>
        </w:rPr>
        <w:t>EUR.1-tavaratodistuksen antamismenettely</w:t>
      </w:r>
    </w:p>
    <w:p>
      <w:pPr>
        <w:pStyle w:val="Point1"/>
        <w:rPr>
          <w:noProof/>
        </w:rPr>
      </w:pPr>
      <w:r>
        <w:rPr>
          <w:noProof/>
        </w:rPr>
        <w:t>1.</w:t>
      </w:r>
      <w:r>
        <w:rPr>
          <w:noProof/>
        </w:rPr>
        <w:tab/>
        <w:t>Viejäosapuolen tulliviranomaiset antavat EUR.1-tavaratodistuksen viejän tai tämän valtuuttaman edustajan viejän vastuulla tekemästä kirjallisesta hakemuksesta.</w:t>
      </w:r>
    </w:p>
    <w:p>
      <w:pPr>
        <w:pStyle w:val="Point1"/>
        <w:rPr>
          <w:noProof/>
        </w:rPr>
      </w:pPr>
      <w:r>
        <w:rPr>
          <w:noProof/>
        </w:rPr>
        <w:t>2.</w:t>
      </w:r>
      <w:r>
        <w:rPr>
          <w:noProof/>
        </w:rPr>
        <w:tab/>
        <w:t>Tätä varten viejä tai tämän valtuuttama edustaja täyttää lisäyksen A liitteessä IV olevien mallien mukaiset EUR-1-tavaratodistuksen ja hakemuslomakkeen. Jos lomakkeet täytetään käsin, ne on täytettävä musteella painokirjaimin. Tuotteiden kuvaus on merkittävä sille varattuun kohtaan jättämättä väliin tyhjiä rivejä. Jos kohtaa ei täytetä kokonaan, kuvauksen viimeisen rivin alle on vedettävä vaakasuora viiva ja täyttämätön tila on suljettava viivalla.</w:t>
      </w:r>
    </w:p>
    <w:p>
      <w:pPr>
        <w:pStyle w:val="Point1"/>
        <w:rPr>
          <w:noProof/>
        </w:rPr>
      </w:pPr>
      <w:r>
        <w:rPr>
          <w:noProof/>
        </w:rPr>
        <w:t xml:space="preserve">3. </w:t>
      </w:r>
      <w:r>
        <w:rPr>
          <w:noProof/>
        </w:rPr>
        <w:tab/>
        <w:t>EUR.1-tavaratodistuksen 7 kohtaan olisi lisättävä englanninkielinen maininta ”TRANSITIONAL RULES”.</w:t>
      </w:r>
    </w:p>
    <w:p>
      <w:pPr>
        <w:pStyle w:val="Point1"/>
        <w:rPr>
          <w:noProof/>
        </w:rPr>
      </w:pPr>
      <w:r>
        <w:rPr>
          <w:noProof/>
        </w:rPr>
        <w:t xml:space="preserve">4. </w:t>
      </w:r>
      <w:r>
        <w:rPr>
          <w:noProof/>
        </w:rPr>
        <w:tab/>
        <w:t>EUR.1-tavaratodistuksen antamista hakevan viejän on oltava valmis toimittamaan milloin tahansa EUR.1-tavaratodistuksen antavan viejäosapuolen tulliviranomaisten pyynnöstä kaikki asianmukaiset asiakirjat, joilla todistetaan asianomaisten tuotteiden alkuperäasema sekä näissä säännöissä asetettujen muiden vaatimusten täyttyminen.</w:t>
      </w:r>
    </w:p>
    <w:p>
      <w:pPr>
        <w:pStyle w:val="Point1"/>
        <w:rPr>
          <w:noProof/>
        </w:rPr>
      </w:pPr>
      <w:r>
        <w:rPr>
          <w:noProof/>
        </w:rPr>
        <w:t xml:space="preserve">5. </w:t>
      </w:r>
      <w:r>
        <w:rPr>
          <w:noProof/>
        </w:rPr>
        <w:tab/>
        <w:t xml:space="preserve">Viejäosapuolen toimivaltaiset viranomaiset antavat alkuperätodistuksen, jos asianomaisia tuotteita voidaan pitää alkuperätuotteina ja jos ne täyttävät näissä säännöissä asetetut muut vaatimukset. </w:t>
      </w:r>
    </w:p>
    <w:p>
      <w:pPr>
        <w:pStyle w:val="Point1"/>
        <w:rPr>
          <w:noProof/>
        </w:rPr>
      </w:pPr>
      <w:r>
        <w:rPr>
          <w:noProof/>
        </w:rPr>
        <w:t xml:space="preserve">6. </w:t>
      </w:r>
      <w:r>
        <w:rPr>
          <w:noProof/>
        </w:rPr>
        <w:tab/>
        <w:t>EUR.1-tavaratodistuksia antavien tulliviranomaisten on toteutettava kaikki tarvittavat toimet tuotteiden alkuperäaseman ja näissä säännöissä asetettujen muiden vaatimusten täyttymisen tarkastamiseksi. Tätä varten niillä on oikeus vaatia näyttöä ja tarkastaa viejän tilejä tai tehdä muita tarpeelliseksi katsomiaan tarkastuksia. Ne myös varmistavat, että tämän artiklan 2 kohdassa tarkoitetut lomakkeet täytetään asianmukaisesti. Ne tarkastavat erityisesti, että tavaran kuvaukselle varattu kohta on täytetty siten, että siihen on mahdotonta tehdä vilpillisiä lisäyksiä.</w:t>
      </w:r>
    </w:p>
    <w:p>
      <w:pPr>
        <w:pStyle w:val="Point1"/>
        <w:rPr>
          <w:noProof/>
        </w:rPr>
      </w:pPr>
      <w:r>
        <w:rPr>
          <w:noProof/>
        </w:rPr>
        <w:t xml:space="preserve">7. </w:t>
      </w:r>
      <w:r>
        <w:rPr>
          <w:noProof/>
        </w:rPr>
        <w:tab/>
        <w:t>EUR.1-tavaratodistuksen antamispäivä merkitään EUR.1-tavaratodistuksen 11 kohtaan.</w:t>
      </w:r>
    </w:p>
    <w:p>
      <w:pPr>
        <w:pStyle w:val="Point1"/>
        <w:rPr>
          <w:noProof/>
        </w:rPr>
      </w:pPr>
      <w:r>
        <w:rPr>
          <w:noProof/>
        </w:rPr>
        <w:t>8.</w:t>
      </w:r>
      <w:r>
        <w:rPr>
          <w:noProof/>
        </w:rPr>
        <w:tab/>
        <w:t xml:space="preserve"> Tulliviranomaiset antavat EUR.1-tavaratodistuksen, ja se annetaan viejän käyttöön heti, kun vienti on tosiasiallisesti tapahtunut tai varmistunut.</w:t>
      </w:r>
    </w:p>
    <w:p>
      <w:pPr>
        <w:pStyle w:val="Point1"/>
        <w:jc w:val="center"/>
        <w:rPr>
          <w:i/>
          <w:noProof/>
        </w:rPr>
      </w:pPr>
      <w:r>
        <w:rPr>
          <w:i/>
          <w:noProof/>
        </w:rPr>
        <w:t>21 artikla</w:t>
      </w:r>
      <w:r>
        <w:rPr>
          <w:noProof/>
        </w:rPr>
        <w:t xml:space="preserve"> </w:t>
      </w:r>
      <w:r>
        <w:rPr>
          <w:noProof/>
        </w:rPr>
        <w:br/>
      </w:r>
      <w:r>
        <w:rPr>
          <w:b/>
          <w:noProof/>
        </w:rPr>
        <w:t>Jälkikäteen annetut EUR.1-tavaratodistukset</w:t>
      </w:r>
    </w:p>
    <w:p>
      <w:pPr>
        <w:pStyle w:val="Point1"/>
        <w:rPr>
          <w:noProof/>
        </w:rPr>
      </w:pPr>
      <w:r>
        <w:rPr>
          <w:noProof/>
        </w:rPr>
        <w:t>1.</w:t>
      </w:r>
      <w:r>
        <w:rPr>
          <w:noProof/>
        </w:rPr>
        <w:tab/>
        <w:t>Sen estämättä, mitä 20 artiklan 8 kohdassa säädetään, EUR.1-tavaratodistus voidaan antaa siihen merkittyjen tuotteiden viennin jälkeen, jos:</w:t>
      </w:r>
    </w:p>
    <w:p>
      <w:pPr>
        <w:pStyle w:val="Point2"/>
        <w:rPr>
          <w:noProof/>
        </w:rPr>
      </w:pPr>
      <w:r>
        <w:rPr>
          <w:noProof/>
        </w:rPr>
        <w:t>a)</w:t>
      </w:r>
      <w:r>
        <w:rPr>
          <w:noProof/>
        </w:rPr>
        <w:tab/>
        <w:t>sitä ei ollut annettu vientihetkellä erehdysten, tahattomien laiminlyöntien tai erityisolosuhteiden vuoksi;</w:t>
      </w:r>
    </w:p>
    <w:p>
      <w:pPr>
        <w:pStyle w:val="Point2"/>
        <w:rPr>
          <w:noProof/>
        </w:rPr>
      </w:pPr>
      <w:r>
        <w:rPr>
          <w:noProof/>
        </w:rPr>
        <w:t>b)</w:t>
      </w:r>
      <w:r>
        <w:rPr>
          <w:noProof/>
        </w:rPr>
        <w:tab/>
        <w:t xml:space="preserve">tulliviranomaisia tyydyttävällä tavalla osoitetaan, että EUR.1-tavaratodistus oli annettu, mutta sitä ei ole tuonnissa hyväksytty teknisistä syistä; </w:t>
      </w:r>
    </w:p>
    <w:p>
      <w:pPr>
        <w:pStyle w:val="Point2"/>
        <w:rPr>
          <w:noProof/>
        </w:rPr>
      </w:pPr>
      <w:r>
        <w:rPr>
          <w:noProof/>
        </w:rPr>
        <w:t>c)</w:t>
      </w:r>
      <w:r>
        <w:rPr>
          <w:noProof/>
        </w:rPr>
        <w:tab/>
        <w:t>asianomaisten tuotteiden lopullinen määräpaikka ei ollut tiedossa vientihetkellä, vaan se määritettiin niiden kuljetuksen tai varastoinnin aikana ja sen jälkeen, kun ne oli mahdollisesti jaettu osalähetyksiin 14 artiklan 3 kohdan mukaisesti;</w:t>
      </w:r>
    </w:p>
    <w:p>
      <w:pPr>
        <w:pStyle w:val="Point2"/>
        <w:rPr>
          <w:noProof/>
        </w:rPr>
      </w:pPr>
      <w:r>
        <w:rPr>
          <w:noProof/>
        </w:rPr>
        <w:t>d)</w:t>
      </w:r>
      <w:r>
        <w:rPr>
          <w:noProof/>
        </w:rPr>
        <w:tab/>
        <w:t>EUR.1- tai EUR.MED-tavaratodistus on annettu yleissopimuksen määräysten mukaisesti sellaisille tuotteille, jotka ovat myös näiden sääntöjen mukaisia alkuperätuotteita. Viejän on toteutettava kaikki tarvittavat toimet varmistaakseen, että kumulaation soveltamisedellytykset täyttyvät, ja oltava valmis antamaan kaikki asiaankuuluvat asiakirjat tulliviranomaisille; tai</w:t>
      </w:r>
    </w:p>
    <w:p>
      <w:pPr>
        <w:pStyle w:val="Point2"/>
        <w:rPr>
          <w:noProof/>
        </w:rPr>
      </w:pPr>
      <w:r>
        <w:rPr>
          <w:noProof/>
        </w:rPr>
        <w:t>e)</w:t>
      </w:r>
      <w:r>
        <w:rPr>
          <w:noProof/>
        </w:rPr>
        <w:tab/>
        <w:t>EUR.1-tavaratodistus annettiin 8 artiklan 4 kohdan soveltamisen perusteella, ja 8 artiklan 3 kohtaa on sovellettava tuonnin yhteydessä toisessa soveltavassa sopimuspuolessa.</w:t>
      </w:r>
    </w:p>
    <w:p>
      <w:pPr>
        <w:autoSpaceDE w:val="0"/>
        <w:autoSpaceDN w:val="0"/>
        <w:ind w:left="1134" w:firstLine="283"/>
        <w:rPr>
          <w:rFonts w:eastAsia="Times New Roman"/>
          <w:noProof/>
          <w:szCs w:val="24"/>
          <w:lang w:eastAsia="en-GB"/>
        </w:rPr>
      </w:pPr>
    </w:p>
    <w:p>
      <w:pPr>
        <w:pStyle w:val="Point1"/>
        <w:rPr>
          <w:noProof/>
        </w:rPr>
      </w:pPr>
      <w:r>
        <w:rPr>
          <w:noProof/>
        </w:rPr>
        <w:t>2.</w:t>
      </w:r>
      <w:r>
        <w:rPr>
          <w:noProof/>
        </w:rPr>
        <w:tab/>
        <w:t>Sovellettaessa tämän artiklan 1 kohtaa viejän on ilmoitettava hakemuksessaan EUR.1-tavaratodistukseen merkittyjen tuotteiden vientipaikka ja -päivä sekä perusteet pyynnölleen.</w:t>
      </w:r>
    </w:p>
    <w:p>
      <w:pPr>
        <w:pStyle w:val="Point1"/>
        <w:rPr>
          <w:noProof/>
        </w:rPr>
      </w:pPr>
      <w:r>
        <w:rPr>
          <w:noProof/>
        </w:rPr>
        <w:t>3.</w:t>
      </w:r>
      <w:r>
        <w:rPr>
          <w:noProof/>
        </w:rPr>
        <w:tab/>
        <w:t>Tulliviranomaiset voivat antaa EUR.1-tavaratodistuksen jälkikäteen kahden vuoden kuluessa vientipäivästä ja vasta todettuaan viejän hakemuksessa annettujen tietojen olevan vastaavien asiakirjojen mukaisia.</w:t>
      </w:r>
    </w:p>
    <w:p>
      <w:pPr>
        <w:pStyle w:val="Point1"/>
        <w:rPr>
          <w:noProof/>
        </w:rPr>
      </w:pPr>
      <w:r>
        <w:rPr>
          <w:noProof/>
        </w:rPr>
        <w:t xml:space="preserve">4. </w:t>
      </w:r>
      <w:r>
        <w:rPr>
          <w:noProof/>
        </w:rPr>
        <w:tab/>
        <w:t xml:space="preserve">Sen estämättä, mitä 20 artiklan 3 kohdassa säädetään, jälkikäteen annettuihin EUR.1-tavaratodistuksiin on merkittävä seuraava englanninkielinen maininta: ”ISSUED RETROSPECTIVELY”. </w:t>
      </w:r>
    </w:p>
    <w:p>
      <w:pPr>
        <w:pStyle w:val="Point1"/>
        <w:rPr>
          <w:noProof/>
        </w:rPr>
      </w:pPr>
      <w:r>
        <w:rPr>
          <w:noProof/>
        </w:rPr>
        <w:t>5.</w:t>
      </w:r>
      <w:r>
        <w:rPr>
          <w:noProof/>
        </w:rPr>
        <w:tab/>
        <w:t>Edellä 4 kohdassa tarkoitettu maininta tehdään EUR.1-tavaratodistuksen 7 kohtaan.</w:t>
      </w:r>
    </w:p>
    <w:p>
      <w:pPr>
        <w:pStyle w:val="Text1"/>
        <w:jc w:val="center"/>
        <w:rPr>
          <w:i/>
          <w:noProof/>
        </w:rPr>
      </w:pPr>
      <w:r>
        <w:rPr>
          <w:i/>
          <w:noProof/>
        </w:rPr>
        <w:t>22 artikla</w:t>
      </w:r>
      <w:r>
        <w:rPr>
          <w:noProof/>
        </w:rPr>
        <w:t xml:space="preserve"> </w:t>
      </w:r>
      <w:r>
        <w:rPr>
          <w:noProof/>
        </w:rPr>
        <w:br/>
      </w:r>
      <w:r>
        <w:rPr>
          <w:b/>
          <w:noProof/>
        </w:rPr>
        <w:t>EUR.1-tavaratodistuksen kaksoiskappaleen antaminen</w:t>
      </w:r>
    </w:p>
    <w:p>
      <w:pPr>
        <w:pStyle w:val="Point1"/>
        <w:rPr>
          <w:noProof/>
        </w:rPr>
      </w:pPr>
      <w:r>
        <w:rPr>
          <w:noProof/>
        </w:rPr>
        <w:t>1.</w:t>
      </w:r>
      <w:r>
        <w:rPr>
          <w:noProof/>
        </w:rPr>
        <w:tab/>
        <w:t>Jos EUR.1-tavaratodistus varastetaan tai se katoaa tai tuhoutuu, viejä voi pyytää todistuksen antaneilta tulliviranomaisilta kaksoiskappaleen, joka laaditaan niiden hallussa olevien vientiasiakirjojen perusteella.</w:t>
      </w:r>
    </w:p>
    <w:p>
      <w:pPr>
        <w:pStyle w:val="Point1"/>
        <w:rPr>
          <w:noProof/>
        </w:rPr>
      </w:pPr>
      <w:r>
        <w:rPr>
          <w:noProof/>
        </w:rPr>
        <w:t xml:space="preserve">2. </w:t>
      </w:r>
      <w:r>
        <w:rPr>
          <w:noProof/>
        </w:rPr>
        <w:tab/>
        <w:t xml:space="preserve">Sen estämättä, mitä 20 artiklan 3 kohdassa säädetään, tämän artiklan 1 kohdan mukaisesti annettuun kaksoiskappaleeseen on merkittävä seuraava englanninkielinen maininta: ”DUPLICATE”. </w:t>
      </w:r>
    </w:p>
    <w:p>
      <w:pPr>
        <w:pStyle w:val="Point1"/>
        <w:rPr>
          <w:noProof/>
        </w:rPr>
      </w:pPr>
      <w:r>
        <w:rPr>
          <w:noProof/>
        </w:rPr>
        <w:t>3.</w:t>
      </w:r>
      <w:r>
        <w:rPr>
          <w:noProof/>
        </w:rPr>
        <w:tab/>
        <w:t>Edellä 2 kohdassa tarkoitettu maininta merkitään EUR.1-tavaratodistuksen kaksoiskappaleen 7 kohtaan.</w:t>
      </w:r>
    </w:p>
    <w:p>
      <w:pPr>
        <w:pStyle w:val="Point1"/>
        <w:rPr>
          <w:noProof/>
        </w:rPr>
      </w:pPr>
      <w:r>
        <w:rPr>
          <w:noProof/>
        </w:rPr>
        <w:t>4.</w:t>
      </w:r>
      <w:r>
        <w:rPr>
          <w:noProof/>
        </w:rPr>
        <w:tab/>
        <w:t>Kaksoiskappale, johon on merkittävä alkuperäisen EUR.1-tavaratodistuksen antopäivämäärä, on voimassa kyseisestä päivästä alkaen.</w:t>
      </w:r>
    </w:p>
    <w:p>
      <w:pPr>
        <w:pStyle w:val="Point1"/>
        <w:jc w:val="center"/>
        <w:rPr>
          <w:i/>
          <w:noProof/>
        </w:rPr>
      </w:pPr>
      <w:r>
        <w:rPr>
          <w:i/>
          <w:noProof/>
        </w:rPr>
        <w:t>23 artikla</w:t>
      </w:r>
      <w:r>
        <w:rPr>
          <w:noProof/>
        </w:rPr>
        <w:t xml:space="preserve"> </w:t>
      </w:r>
      <w:r>
        <w:rPr>
          <w:noProof/>
        </w:rPr>
        <w:br/>
      </w:r>
      <w:r>
        <w:rPr>
          <w:b/>
          <w:noProof/>
        </w:rPr>
        <w:t>Alkuperäselvityksen voimassaolo</w:t>
      </w:r>
    </w:p>
    <w:p>
      <w:pPr>
        <w:pStyle w:val="Point1"/>
        <w:rPr>
          <w:noProof/>
        </w:rPr>
      </w:pPr>
      <w:r>
        <w:rPr>
          <w:noProof/>
        </w:rPr>
        <w:t>1.</w:t>
      </w:r>
      <w:r>
        <w:rPr>
          <w:noProof/>
        </w:rPr>
        <w:tab/>
        <w:t>Alkuperäselvitys on voimassa kymmenen kuukautta siitä päivästä, jona se on annettu viejäosapuolessa, ja se on toimitettava mainitun ajan kuluessa tuojaosapuolen tulliviranomaisille.</w:t>
      </w:r>
    </w:p>
    <w:p>
      <w:pPr>
        <w:pStyle w:val="Point1"/>
        <w:rPr>
          <w:noProof/>
        </w:rPr>
      </w:pPr>
      <w:r>
        <w:rPr>
          <w:noProof/>
        </w:rPr>
        <w:t>2.</w:t>
      </w:r>
      <w:r>
        <w:rPr>
          <w:noProof/>
        </w:rPr>
        <w:tab/>
        <w:t>Alkuperäselvitykset, jotka toimitetaan tuojaosapuolen tulliviranomaisille 1 kohdassa tarkoitetun voimassaoloajan päätyttyä, voidaan hyväksyä tullietuuksien myöntämiseksi, jos kyseiset asiakirjat ovat jääneet toimittamatta ennen määräajan päättymistä poikkeuksellisten olosuhteiden vuoksi.</w:t>
      </w:r>
    </w:p>
    <w:p>
      <w:pPr>
        <w:pStyle w:val="Point1"/>
        <w:rPr>
          <w:noProof/>
        </w:rPr>
      </w:pPr>
      <w:r>
        <w:rPr>
          <w:noProof/>
        </w:rPr>
        <w:t>3.</w:t>
      </w:r>
      <w:r>
        <w:rPr>
          <w:noProof/>
        </w:rPr>
        <w:tab/>
        <w:t>Muissa myöhästymistapauksissa tuojaosapuolen tulliviranomaiset voivat hyväksyä alkuperäselvitykset, jos tuotteet on esitetty tullille ennen mainitun määräajan päättymistä.</w:t>
      </w:r>
    </w:p>
    <w:p>
      <w:pPr>
        <w:pStyle w:val="Text1"/>
        <w:jc w:val="center"/>
        <w:rPr>
          <w:i/>
          <w:noProof/>
        </w:rPr>
      </w:pPr>
      <w:r>
        <w:rPr>
          <w:i/>
          <w:noProof/>
        </w:rPr>
        <w:t>24 artikla</w:t>
      </w:r>
      <w:r>
        <w:rPr>
          <w:noProof/>
        </w:rPr>
        <w:t xml:space="preserve"> </w:t>
      </w:r>
      <w:r>
        <w:rPr>
          <w:noProof/>
        </w:rPr>
        <w:br/>
      </w:r>
      <w:r>
        <w:rPr>
          <w:b/>
          <w:iCs/>
          <w:noProof/>
        </w:rPr>
        <w:t>Vapaa-alueet</w:t>
      </w:r>
    </w:p>
    <w:p>
      <w:pPr>
        <w:pStyle w:val="Point1"/>
        <w:rPr>
          <w:noProof/>
        </w:rPr>
      </w:pPr>
      <w:r>
        <w:rPr>
          <w:noProof/>
        </w:rPr>
        <w:t>1.</w:t>
      </w:r>
      <w:r>
        <w:rPr>
          <w:noProof/>
        </w:rPr>
        <w:tab/>
        <w:t>Osapuolet toteuttavat kaikki tarpeelliset toimet varmistaakseen, että kaupan kohteena olevia tuotteita, joista on annettu alkuperäselvitys ja joita kuljetuksen aikana pidetään niiden alueella sijaitsevalla vapaa-alueella, ei vaihdeta toisiin tuotteisiin eikä niille tehdä muita toimintoja kuin niiden kunnon säilyttämiseksi tarkoitetut tavanomaiset toiminnot.</w:t>
      </w:r>
    </w:p>
    <w:p>
      <w:pPr>
        <w:pStyle w:val="Point1"/>
        <w:rPr>
          <w:noProof/>
        </w:rPr>
      </w:pPr>
      <w:r>
        <w:rPr>
          <w:noProof/>
        </w:rPr>
        <w:t>2.</w:t>
      </w:r>
      <w:r>
        <w:rPr>
          <w:noProof/>
        </w:rPr>
        <w:tab/>
        <w:t>Poiketen siitä, mitä 1 kohdassa säädetään, kun soveltavan sopimuspuolen alkuperätuotteita, joista on annettu alkuperäselvitys, tuodaan vapaa-alueelle ja niille suoritetaan valmistus tai käsittely, uusi alkuperäselvitys voidaan antaa tai laatia, jos kyseinen valmistus tai käsittely on näiden sääntöjen mukaista.</w:t>
      </w:r>
    </w:p>
    <w:p>
      <w:pPr>
        <w:pStyle w:val="Point1"/>
        <w:rPr>
          <w:noProof/>
        </w:rPr>
      </w:pPr>
    </w:p>
    <w:p>
      <w:pPr>
        <w:pStyle w:val="Point1"/>
        <w:rPr>
          <w:noProof/>
        </w:rPr>
      </w:pPr>
    </w:p>
    <w:p>
      <w:pPr>
        <w:pStyle w:val="Point1"/>
        <w:rPr>
          <w:noProof/>
        </w:rPr>
      </w:pPr>
    </w:p>
    <w:p>
      <w:pPr>
        <w:pStyle w:val="Text1"/>
        <w:jc w:val="center"/>
        <w:rPr>
          <w:i/>
          <w:noProof/>
        </w:rPr>
      </w:pPr>
      <w:r>
        <w:rPr>
          <w:i/>
          <w:noProof/>
        </w:rPr>
        <w:t>25 artikla</w:t>
      </w:r>
      <w:r>
        <w:rPr>
          <w:noProof/>
        </w:rPr>
        <w:t xml:space="preserve"> </w:t>
      </w:r>
      <w:r>
        <w:rPr>
          <w:noProof/>
        </w:rPr>
        <w:br/>
      </w:r>
      <w:r>
        <w:rPr>
          <w:b/>
          <w:noProof/>
        </w:rPr>
        <w:t>Tuontivaatimukset</w:t>
      </w:r>
    </w:p>
    <w:p>
      <w:pPr>
        <w:pStyle w:val="Text1"/>
        <w:rPr>
          <w:noProof/>
        </w:rPr>
      </w:pPr>
      <w:r>
        <w:rPr>
          <w:noProof/>
        </w:rPr>
        <w:t>Alkuperäselvitykset on toimitettava tuojaosapuolen tulliviranomaisille kyseisessä osapuolessa sovellettavia menettelyjä noudattaen.</w:t>
      </w:r>
    </w:p>
    <w:p>
      <w:pPr>
        <w:pStyle w:val="Text1"/>
        <w:jc w:val="center"/>
        <w:rPr>
          <w:i/>
          <w:noProof/>
        </w:rPr>
      </w:pPr>
      <w:r>
        <w:rPr>
          <w:i/>
          <w:noProof/>
        </w:rPr>
        <w:t>26 artikla</w:t>
      </w:r>
      <w:r>
        <w:rPr>
          <w:noProof/>
        </w:rPr>
        <w:t xml:space="preserve"> </w:t>
      </w:r>
      <w:r>
        <w:rPr>
          <w:noProof/>
        </w:rPr>
        <w:br/>
      </w:r>
      <w:r>
        <w:rPr>
          <w:b/>
          <w:noProof/>
        </w:rPr>
        <w:t>Tuonti osalähetyksinä</w:t>
      </w:r>
    </w:p>
    <w:p>
      <w:pPr>
        <w:pStyle w:val="Text1"/>
        <w:rPr>
          <w:noProof/>
        </w:rPr>
      </w:pPr>
      <w:r>
        <w:rPr>
          <w:noProof/>
        </w:rPr>
        <w:t>Jos harmonoidun järjestelmän XVI tai XVII jaksoon taikka nimikkeeseen 7308 tai 9406 kuuluvat, harmonoidun järjestelmän 2 yleisen tulkintasäännön a alakohdassa tarkoitetut osiin puretut tai kokoamattomat tuotteet tuodaan osalähetyksinä tuojan pyynnöstä ja tuojaosapuolen tulliviranomaisten määräämin edellytyksin, tulliviranomaisille toimitetaan tällaisista tuotteista yksi alkuperäselvitys ensimmäistä osalähetystä tuotaessa.</w:t>
      </w:r>
    </w:p>
    <w:p>
      <w:pPr>
        <w:pStyle w:val="Text1"/>
        <w:ind w:left="1440"/>
        <w:jc w:val="center"/>
        <w:rPr>
          <w:i/>
          <w:noProof/>
        </w:rPr>
      </w:pPr>
      <w:r>
        <w:rPr>
          <w:i/>
          <w:noProof/>
        </w:rPr>
        <w:t>27 artikla</w:t>
      </w:r>
      <w:r>
        <w:rPr>
          <w:noProof/>
        </w:rPr>
        <w:t xml:space="preserve"> </w:t>
      </w:r>
      <w:r>
        <w:rPr>
          <w:noProof/>
        </w:rPr>
        <w:br/>
      </w:r>
      <w:r>
        <w:rPr>
          <w:b/>
          <w:noProof/>
        </w:rPr>
        <w:t>Poikkeukset alkuperäselvityksen toimittamisesta</w:t>
      </w:r>
    </w:p>
    <w:p>
      <w:pPr>
        <w:pStyle w:val="Point1"/>
        <w:rPr>
          <w:noProof/>
        </w:rPr>
      </w:pPr>
      <w:r>
        <w:rPr>
          <w:noProof/>
        </w:rPr>
        <w:t>1.</w:t>
      </w:r>
      <w:r>
        <w:rPr>
          <w:noProof/>
        </w:rPr>
        <w:tab/>
        <w:t>Yksityishenkilöiden yksityishenkilöille pikkulähetyksinä lähettämät tuotteet ja matkustajien henkilökohtaisiin matkatavaroihin sisältyvät tuotteet voidaan tuoda alkuperätuotteina ilman alkuperäselvityksen toimittamista, jos kyseessä ei ole kaupallinen tuonti ja tuotteiden on ilmoitettu täyttävän näissä säännöissä asetetut vaatimukset ja kun ei ole syytä epäillä annetun ilmoituksen todenmukaisuutta.</w:t>
      </w:r>
    </w:p>
    <w:p>
      <w:pPr>
        <w:pStyle w:val="Point1"/>
        <w:rPr>
          <w:noProof/>
        </w:rPr>
      </w:pPr>
      <w:r>
        <w:rPr>
          <w:noProof/>
        </w:rPr>
        <w:t>2.</w:t>
      </w:r>
      <w:r>
        <w:rPr>
          <w:noProof/>
        </w:rPr>
        <w:tab/>
        <w:t>Tuontia ei pidetä kaupallisena tuontina, jos kaikki seuraavat edellytykset täyttyvät:</w:t>
      </w:r>
    </w:p>
    <w:p>
      <w:pPr>
        <w:pStyle w:val="Point2"/>
        <w:rPr>
          <w:noProof/>
        </w:rPr>
      </w:pPr>
      <w:r>
        <w:rPr>
          <w:noProof/>
        </w:rPr>
        <w:t>a)</w:t>
      </w:r>
      <w:r>
        <w:rPr>
          <w:noProof/>
        </w:rPr>
        <w:tab/>
        <w:t>tuonti on satunnaista;</w:t>
      </w:r>
    </w:p>
    <w:p>
      <w:pPr>
        <w:pStyle w:val="Point2"/>
        <w:rPr>
          <w:noProof/>
        </w:rPr>
      </w:pPr>
      <w:r>
        <w:rPr>
          <w:noProof/>
        </w:rPr>
        <w:t>b)</w:t>
      </w:r>
      <w:r>
        <w:rPr>
          <w:noProof/>
        </w:rPr>
        <w:tab/>
        <w:t>tuonti koostuu ainoastaan vastaanottajien tai matkustajien tai heidän perheidensä henkilökohtaiseen käyttöön tarkoitetuista tuotteista;</w:t>
      </w:r>
    </w:p>
    <w:p>
      <w:pPr>
        <w:pStyle w:val="Point2"/>
        <w:rPr>
          <w:noProof/>
        </w:rPr>
      </w:pPr>
      <w:r>
        <w:rPr>
          <w:noProof/>
        </w:rPr>
        <w:t>c)</w:t>
      </w:r>
      <w:r>
        <w:rPr>
          <w:noProof/>
        </w:rPr>
        <w:tab/>
        <w:t>tuotteiden luonne tai määrä ei viittaa mihinkään kaupalliseen tarkoitukseen.</w:t>
      </w:r>
    </w:p>
    <w:p>
      <w:pPr>
        <w:pStyle w:val="Point1"/>
        <w:rPr>
          <w:noProof/>
        </w:rPr>
      </w:pPr>
      <w:r>
        <w:rPr>
          <w:noProof/>
        </w:rPr>
        <w:t>3.</w:t>
      </w:r>
      <w:r>
        <w:rPr>
          <w:noProof/>
        </w:rPr>
        <w:tab/>
        <w:t>Kyseisten tuotteiden yhteisarvo ei saa olla yli 500 euroa pikkulähetysten osalta eikä yli 1 200 euroa matkustajien henkilökohtaisiin matkatavaroihin sisältyvien tuotteiden osalta.</w:t>
      </w:r>
    </w:p>
    <w:p>
      <w:pPr>
        <w:pStyle w:val="Point1"/>
        <w:jc w:val="center"/>
        <w:rPr>
          <w:i/>
          <w:noProof/>
        </w:rPr>
      </w:pPr>
      <w:r>
        <w:rPr>
          <w:i/>
          <w:noProof/>
        </w:rPr>
        <w:t>28 artikla</w:t>
      </w:r>
      <w:r>
        <w:rPr>
          <w:noProof/>
        </w:rPr>
        <w:t xml:space="preserve"> </w:t>
      </w:r>
      <w:r>
        <w:rPr>
          <w:noProof/>
        </w:rPr>
        <w:br/>
      </w:r>
      <w:r>
        <w:rPr>
          <w:b/>
          <w:noProof/>
        </w:rPr>
        <w:t>Poikkeavuudet ja muotovirheet</w:t>
      </w:r>
    </w:p>
    <w:p>
      <w:pPr>
        <w:pStyle w:val="Point1"/>
        <w:rPr>
          <w:noProof/>
        </w:rPr>
      </w:pPr>
      <w:r>
        <w:rPr>
          <w:noProof/>
        </w:rPr>
        <w:t>1.</w:t>
      </w:r>
      <w:r>
        <w:rPr>
          <w:noProof/>
        </w:rPr>
        <w:tab/>
        <w:t>Pienet poikkeavuudet alkuperäselvityksen merkintöjen ja tuotteiden tuontimuodollisuuksien täyttämiseksi tullitoimipaikassa esitettyjen asiakirjojen merkintöjen välillä eivät sinänsä tee alkuperäselvityksestä mitätöntä, jos asianmukaisesti osoitetaan, että kyseinen asiakirja vastaa toimitettuja tuotteita.</w:t>
      </w:r>
    </w:p>
    <w:p>
      <w:pPr>
        <w:pStyle w:val="Point1"/>
        <w:rPr>
          <w:noProof/>
        </w:rPr>
      </w:pPr>
      <w:r>
        <w:rPr>
          <w:noProof/>
        </w:rPr>
        <w:t>2.</w:t>
      </w:r>
      <w:r>
        <w:rPr>
          <w:noProof/>
        </w:rPr>
        <w:tab/>
        <w:t>Alkuperäselvityksessä olevat lyöntivirheiden kaltaiset selvät muotovirheet eivät saa johtaa tämän artiklan 1 kohdassa tarkoitettujen asiakirjojen hylkäämiseen, elleivät nämä virheet ole sellaisia, että ne antavat aihetta epäillä kyseisten asiakirjojen merkintöjen oikeellisuutta.</w:t>
      </w:r>
    </w:p>
    <w:p>
      <w:pPr>
        <w:pStyle w:val="Text1"/>
        <w:jc w:val="center"/>
        <w:rPr>
          <w:i/>
          <w:noProof/>
        </w:rPr>
      </w:pPr>
      <w:r>
        <w:rPr>
          <w:i/>
          <w:noProof/>
        </w:rPr>
        <w:t>29 artikla</w:t>
      </w:r>
      <w:r>
        <w:rPr>
          <w:noProof/>
        </w:rPr>
        <w:t xml:space="preserve"> </w:t>
      </w:r>
      <w:r>
        <w:rPr>
          <w:noProof/>
        </w:rPr>
        <w:br/>
      </w:r>
      <w:r>
        <w:rPr>
          <w:b/>
          <w:noProof/>
        </w:rPr>
        <w:t>Tavarantoimittajan ilmoitukset</w:t>
      </w:r>
    </w:p>
    <w:p>
      <w:pPr>
        <w:pStyle w:val="Point1"/>
        <w:rPr>
          <w:noProof/>
        </w:rPr>
      </w:pPr>
      <w:r>
        <w:rPr>
          <w:noProof/>
        </w:rPr>
        <w:t>1.</w:t>
      </w:r>
      <w:r>
        <w:rPr>
          <w:noProof/>
        </w:rPr>
        <w:tab/>
        <w:t>Kun osapuolessa annetaan EUR.1-tavaratodistus tai laaditaan alkuperäilmoitus alkuperätuotteille, joiden valmistuksessa on käytetty 7 artiklan 3 tai 4 kohdan mukaisesti muusta soveltavasta sopimuspuolesta tulevia tavaroita, joille on suoritettu siellä valmistus tai käsittely mutta jotka eivät ole saaneet etuuskohteluun oikeuttavaa alkuperäasemaa, kyseisille tavaroille tämän artiklan mukaisesti annettu tavarantoimittajan ilmoitus on otettava huomioon.</w:t>
      </w:r>
    </w:p>
    <w:p>
      <w:pPr>
        <w:pStyle w:val="Point1"/>
        <w:rPr>
          <w:noProof/>
        </w:rPr>
      </w:pPr>
      <w:r>
        <w:rPr>
          <w:noProof/>
        </w:rPr>
        <w:t>2.</w:t>
      </w:r>
      <w:r>
        <w:rPr>
          <w:noProof/>
        </w:rPr>
        <w:tab/>
        <w:t>Edellä 1 kohdassa tarkoitettu tavarantoimittajan ilmoitus on asianomaisille tavaroille soveltavassa sopimuspuolessa suoritettua valmistusta tai käsittelyä koskeva näyttö määritettäessä, voidaanko tuotteita, joiden valmistuksessa kyseisiä tavaroita käytetään, pitää viejäosapuolen alkuperätuotteina ja täyttävätkö ne näissä säännöissä asetetut muut vaatimukset.</w:t>
      </w:r>
    </w:p>
    <w:p>
      <w:pPr>
        <w:pStyle w:val="Point1"/>
        <w:rPr>
          <w:noProof/>
        </w:rPr>
      </w:pPr>
      <w:r>
        <w:rPr>
          <w:noProof/>
        </w:rPr>
        <w:t>3.</w:t>
      </w:r>
      <w:r>
        <w:rPr>
          <w:noProof/>
        </w:rPr>
        <w:tab/>
        <w:t>Edellä 4 kohdassa tarkoitettuja tapauksia lukuun ottamatta tavarantoimittajan on laadittava erillinen tavarantoimittajan ilmoitus jokaisesta tavaralähetyksestä liitteessä VI määrätyssä muodossa paperille, joka liitetään kauppalaskuun, lähetysluetteloon tai muuhun sellaiseen kaupalliseen asiakirjaan, jossa tavaroiden kuvaus on riittävän yksityiskohtainen niiden tunnistamiseksi.</w:t>
      </w:r>
    </w:p>
    <w:p>
      <w:pPr>
        <w:pStyle w:val="Point1"/>
        <w:rPr>
          <w:noProof/>
        </w:rPr>
      </w:pPr>
      <w:r>
        <w:rPr>
          <w:noProof/>
        </w:rPr>
        <w:t>4.</w:t>
      </w:r>
      <w:r>
        <w:rPr>
          <w:noProof/>
        </w:rPr>
        <w:tab/>
        <w:t>Jos tavarantoimittaja toimittaa tietylle asiakkaalle säännöllisesti tavaroita, joille soveltavassa sopimuspuolessa suoritettavan valmistuksen tai käsittelyn oletetaan pysyvän jonkin aikaa muuttumattomana, tavarantoimittaja voi antaa yhden tavarantoimittajan ilmoituksen, joka koskee myös kyseisten tavaroiden myöhempiä lähetyksiä, jäljempänä ’tavarantoimittajan pitkäaikaisilmoitus’. Tavarantoimittajan pitkäaikaisilmoitus voi tavallisesti olla voimassa enintään kahden vuoden ajan päivästä, jona se on laadittu. Sen soveltavan sopimuspuolen tulliviranomaiset, jossa ilmoitus laaditaan, vahvistavat edellytykset, joilla pidempiä ajanjaksoja voidaan käyttää. Tavarantoimittajan on laadittava tavarantoimittajan pitkäaikaisilmoitus liitteessä VII määrätyssä muodossa ja kuvattava tavarat riittävän yksityiskohtaisesti niiden tunnistamiseksi. Ilmoitus on toimitettava asianomaiselle asiakkaalle ennen ensimmäistä tavaralähetystä, jota kyseinen ilmoitus koskee, tai ensimmäisen tavaralähetyksen yhteydessä. Jos tavarantoimittajan pitkäaikaisilmoitusta ei voida enää soveltaa toimitettuihin tavaroihin, tavarantoimittajan on ilmoitettava asiasta välittömästi asiakkaalleen.</w:t>
      </w:r>
    </w:p>
    <w:p>
      <w:pPr>
        <w:pStyle w:val="Point1"/>
        <w:rPr>
          <w:noProof/>
        </w:rPr>
      </w:pPr>
      <w:r>
        <w:rPr>
          <w:noProof/>
        </w:rPr>
        <w:t>5.</w:t>
      </w:r>
      <w:r>
        <w:rPr>
          <w:noProof/>
        </w:rPr>
        <w:tab/>
        <w:t>Tämän artiklan 3 ja 4 kohdassa tarkoitetut tavarantoimittajan ilmoitukset on kirjoitettava koneella tai painettava yhdellä tämän sopimuksen kielellä ilmoituksen laativan soveltavan sopimuspuolen kansallisen lainsäädännön mukaisesti, ja siinä on oltava tavarantoimittajan alkuperäinen omakätinen allekirjoitus. Ilmoitus voidaan kirjoittaa myös käsin; siinä tapauksessa se on kirjoitettava musteella painokirjaimin.</w:t>
      </w:r>
    </w:p>
    <w:p>
      <w:pPr>
        <w:pStyle w:val="Point1"/>
        <w:rPr>
          <w:noProof/>
        </w:rPr>
      </w:pPr>
      <w:r>
        <w:rPr>
          <w:noProof/>
        </w:rPr>
        <w:t>6.</w:t>
      </w:r>
      <w:r>
        <w:rPr>
          <w:noProof/>
        </w:rPr>
        <w:tab/>
        <w:t>Ilmoituksen laativan tavarantoimittajan on oltava valmis toimittamaan milloin tahansa ilmoituksen laatineen soveltavan sopimuspuolen tulliviranomaisten pyynnöstä kaikki asiaankuuluvat asiakirjat, joilla todistetaan ilmoituksessa annetut tiedot oikeiksi.</w:t>
      </w:r>
    </w:p>
    <w:p>
      <w:pPr>
        <w:pStyle w:val="Text1"/>
        <w:jc w:val="center"/>
        <w:rPr>
          <w:i/>
          <w:noProof/>
        </w:rPr>
      </w:pPr>
      <w:r>
        <w:rPr>
          <w:i/>
          <w:noProof/>
        </w:rPr>
        <w:t>30 artikla</w:t>
      </w:r>
      <w:r>
        <w:rPr>
          <w:noProof/>
        </w:rPr>
        <w:t xml:space="preserve"> </w:t>
      </w:r>
      <w:r>
        <w:rPr>
          <w:noProof/>
        </w:rPr>
        <w:br/>
      </w:r>
      <w:r>
        <w:rPr>
          <w:b/>
          <w:noProof/>
        </w:rPr>
        <w:t>Euroina ilmaistavat määrät</w:t>
      </w:r>
    </w:p>
    <w:p>
      <w:pPr>
        <w:pStyle w:val="Point1"/>
        <w:rPr>
          <w:noProof/>
        </w:rPr>
      </w:pPr>
      <w:r>
        <w:rPr>
          <w:noProof/>
        </w:rPr>
        <w:t>1.</w:t>
      </w:r>
      <w:r>
        <w:rPr>
          <w:noProof/>
        </w:rPr>
        <w:tab/>
        <w:t>Edellä 18 artiklan 1 kohdan b alakohdan ja 27 artiklan 3 kohdan soveltamiseksi tapauksissa, joissa tuotteet laskutetaan muuna valuuttana kuin euroina, kukin asianomainen maa vahvistaa vuosittain euroina ilmaistavia määriä vastaavat määrät osapuolten kansallisena valuuttana.</w:t>
      </w:r>
    </w:p>
    <w:p>
      <w:pPr>
        <w:pStyle w:val="Point1"/>
        <w:rPr>
          <w:noProof/>
        </w:rPr>
      </w:pPr>
      <w:r>
        <w:rPr>
          <w:noProof/>
        </w:rPr>
        <w:t>2.</w:t>
      </w:r>
      <w:r>
        <w:rPr>
          <w:noProof/>
        </w:rPr>
        <w:tab/>
        <w:t>Lähetykseen sovelletaan 18 artiklan 1 kohdan b alakohtaa ja 27 artiklan 3 kohtaa sen valuutan perusteella, jona kauppalasku on laadittu, asianomaisen maan vahvistaman määrän mukaisesti.</w:t>
      </w:r>
    </w:p>
    <w:p>
      <w:pPr>
        <w:pStyle w:val="Point1"/>
        <w:rPr>
          <w:noProof/>
        </w:rPr>
      </w:pPr>
      <w:r>
        <w:rPr>
          <w:noProof/>
        </w:rPr>
        <w:t>3.</w:t>
      </w:r>
      <w:r>
        <w:rPr>
          <w:noProof/>
        </w:rPr>
        <w:tab/>
        <w:t>Kansallisena valuuttana käytettävät määrät ovat euroina ilmaistujen määrien vasta-arvot kyseisenä valuuttana lokakuun ensimmäisen arkipäivän euron kurssin mukaisesti. Nämä määrät on annettava tiedoksi Euroopan komissiolle viimeistään 15 päivänä lokakuuta, ja niitä sovelletaan seuraavan vuoden 1 päivästä tammikuuta. Euroopan komissio ilmoittaa asiaankuuluvat määrät kaikille asianomaisille maille.</w:t>
      </w:r>
    </w:p>
    <w:p>
      <w:pPr>
        <w:pStyle w:val="Point1"/>
        <w:rPr>
          <w:noProof/>
        </w:rPr>
      </w:pPr>
      <w:r>
        <w:rPr>
          <w:noProof/>
        </w:rPr>
        <w:t>4.</w:t>
      </w:r>
      <w:r>
        <w:rPr>
          <w:noProof/>
        </w:rPr>
        <w:tab/>
        <w:t>Osapuoli voi pyöristää ylöspäin tai alaspäin määrän, joka saadaan muunnettaessa euroina ilmaistava määrä sen kansalliseksi valuutaksi. Pyöristyksen tuloksena saatu määrä voi poiketa muuntamisen tuloksena saadusta määrästä enintään viisi prosenttia. Osapuoli voi pitää euroina ilmaistavan määrän kansallisena valuuttana ilmaistavan vasta-arvon muuttumattomana, jos kyseisen määrän muuntaminen 3 kohdassa määrättynä vuotuisen tarkistuksen ajankohtana ennen mahdollista pyöristystä korottaisi kansallisena valuuttana ilmaistavaa vasta-arvoa alle 15 prosenttia. Kansallisena valuuttana ilmaistava vasta-arvo voidaan pitää samana, jos kyseinen vasta-arvo alenisi muuntamisen tuloksena.</w:t>
      </w:r>
    </w:p>
    <w:p>
      <w:pPr>
        <w:pStyle w:val="Point1"/>
        <w:rPr>
          <w:noProof/>
        </w:rPr>
      </w:pPr>
      <w:r>
        <w:rPr>
          <w:noProof/>
        </w:rPr>
        <w:t>5.</w:t>
      </w:r>
      <w:r>
        <w:rPr>
          <w:noProof/>
        </w:rPr>
        <w:tab/>
        <w:t>Sekakomitea tarkastelee osapuolen pyynnöstä uudelleen euroina ilmaistavia määriä. Tätä uudelleentarkastelua tehdessään sekakomitea harkitsee, onko toivottavaa säilyttää asianomaisten arvorajojen reaalivaikutus entisellään. Tätä tarkoitusta varten se voi päättää muuttaa euroina ilmaistavia määriä.</w:t>
      </w:r>
    </w:p>
    <w:p>
      <w:pPr>
        <w:pStyle w:val="Point1"/>
        <w:rPr>
          <w:noProof/>
        </w:rPr>
      </w:pPr>
    </w:p>
    <w:p>
      <w:pPr>
        <w:pStyle w:val="Point1"/>
        <w:jc w:val="center"/>
        <w:rPr>
          <w:b/>
          <w:noProof/>
        </w:rPr>
      </w:pPr>
      <w:r>
        <w:rPr>
          <w:noProof/>
        </w:rPr>
        <w:t xml:space="preserve">VI OSASTO </w:t>
      </w:r>
      <w:r>
        <w:rPr>
          <w:noProof/>
        </w:rPr>
        <w:br/>
      </w:r>
      <w:r>
        <w:rPr>
          <w:b/>
          <w:noProof/>
        </w:rPr>
        <w:t>YHTEISTYÖN JA ASIAKIRJANÄYTÖN PERIAATTEET</w:t>
      </w:r>
    </w:p>
    <w:p>
      <w:pPr>
        <w:pStyle w:val="Text1"/>
        <w:jc w:val="center"/>
        <w:rPr>
          <w:i/>
          <w:noProof/>
        </w:rPr>
      </w:pPr>
      <w:r>
        <w:rPr>
          <w:i/>
          <w:noProof/>
        </w:rPr>
        <w:t>31 artikla</w:t>
      </w:r>
      <w:r>
        <w:rPr>
          <w:noProof/>
        </w:rPr>
        <w:t xml:space="preserve"> </w:t>
      </w:r>
      <w:r>
        <w:rPr>
          <w:noProof/>
        </w:rPr>
        <w:br/>
      </w:r>
      <w:r>
        <w:rPr>
          <w:b/>
          <w:noProof/>
        </w:rPr>
        <w:t>Asiakirjanäyttö, alkuperäselvitysten ja todistusasiakirjojen säilyttäminen</w:t>
      </w:r>
    </w:p>
    <w:p>
      <w:pPr>
        <w:pStyle w:val="Point1"/>
        <w:rPr>
          <w:noProof/>
        </w:rPr>
      </w:pPr>
      <w:r>
        <w:rPr>
          <w:noProof/>
        </w:rPr>
        <w:t>1.</w:t>
      </w:r>
      <w:r>
        <w:rPr>
          <w:noProof/>
        </w:rPr>
        <w:tab/>
        <w:t>Viejän, joka on laatinut alkuperäilmoituksen tai hakenut EUR.1-tavaratodistusta, on säilytettävä kyseisten alkuperäselvitysten ja kaikkien tuotteen alkuperäasemaa koskevien todistusasiakirjojen paperituloste tai sähköinen versio vähintään kolmen vuoden ajan alkuperäilmoituksen antamis- tai laatimispäivästä.</w:t>
      </w:r>
    </w:p>
    <w:p>
      <w:pPr>
        <w:pStyle w:val="Point1"/>
        <w:rPr>
          <w:noProof/>
        </w:rPr>
      </w:pPr>
      <w:r>
        <w:rPr>
          <w:noProof/>
        </w:rPr>
        <w:t>2.</w:t>
      </w:r>
      <w:r>
        <w:rPr>
          <w:noProof/>
        </w:rPr>
        <w:tab/>
        <w:t>Tavarantoimittajan ilmoituksen laativan tavarantoimittajan on säilytettävä jäljennös ilmoituksesta ja kaikista niistä kauppalaskuista, lähetysluetteloista tai muista kaupallisista asiakirjoista, joihin ilmoitus on liitetty, sekä tämän liitteen 29 artiklan 6 kohdassa tarkoitetut asiakirjat vähintään kolme vuotta.</w:t>
      </w:r>
    </w:p>
    <w:p>
      <w:pPr>
        <w:pStyle w:val="Text2"/>
        <w:rPr>
          <w:noProof/>
        </w:rPr>
      </w:pPr>
      <w:r>
        <w:rPr>
          <w:noProof/>
        </w:rPr>
        <w:t>Tavarantoimittajan, joka laatii tavarantoimittajan pitkäaikaisilmoituksen, on säilytettävä ilmoituksen jäljennös sekä kaikkien siinä mainittuja asianomaiselle asiakkaalle lähetettyjä tavaroita koskevien kauppalaskujen, lähetysluetteloiden ja muiden kaupallisten asiakirjojen jäljennökset sekä 29 artiklan 6 kohdassa tarkoitetut asiakirjat vähintään kolme vuotta. Tämä ajanjakso alkaa tavarantoimittajan pitkäaikaisilmoituksen voimassaolon päättymispäivänä.</w:t>
      </w:r>
    </w:p>
    <w:p>
      <w:pPr>
        <w:pStyle w:val="Point1"/>
        <w:rPr>
          <w:noProof/>
        </w:rPr>
      </w:pPr>
      <w:r>
        <w:rPr>
          <w:noProof/>
        </w:rPr>
        <w:t>3.</w:t>
      </w:r>
      <w:r>
        <w:rPr>
          <w:noProof/>
        </w:rPr>
        <w:tab/>
        <w:t>Tämän artiklan 1 kohtaa sovellettaessa ilmaisu ’alkuperäasemaa koskevat todistusasiakirjat’ kattaa muun muassa seuraavat:</w:t>
      </w:r>
    </w:p>
    <w:p>
      <w:pPr>
        <w:pStyle w:val="Point2"/>
        <w:rPr>
          <w:noProof/>
        </w:rPr>
      </w:pPr>
      <w:r>
        <w:rPr>
          <w:noProof/>
        </w:rPr>
        <w:t>a)</w:t>
      </w:r>
      <w:r>
        <w:rPr>
          <w:noProof/>
        </w:rPr>
        <w:tab/>
        <w:t>esimerkiksi viejän tai tavarantoimittajan tileihin tai sisäiseen kirjanpitoon sisältyvä suora näyttö käsittelyistä, jotka tämä on suorittanut tavaroiden tuottamiseksi;</w:t>
      </w:r>
    </w:p>
    <w:p>
      <w:pPr>
        <w:pStyle w:val="Point2"/>
        <w:rPr>
          <w:noProof/>
        </w:rPr>
      </w:pPr>
      <w:r>
        <w:rPr>
          <w:noProof/>
        </w:rPr>
        <w:t>b)</w:t>
      </w:r>
      <w:r>
        <w:rPr>
          <w:noProof/>
        </w:rPr>
        <w:tab/>
        <w:t>asiakirjat, joilla todistetaan käytettyjen ainesten alkuperäasema ja jotka on annettu tai laadittu asiaankuuluvassa soveltavassa sopimuspuolessa sen kansallisen lainsäädännön mukaisesti;</w:t>
      </w:r>
    </w:p>
    <w:p>
      <w:pPr>
        <w:pStyle w:val="Point2"/>
        <w:rPr>
          <w:noProof/>
        </w:rPr>
      </w:pPr>
      <w:r>
        <w:rPr>
          <w:noProof/>
        </w:rPr>
        <w:t>c)</w:t>
      </w:r>
      <w:r>
        <w:rPr>
          <w:noProof/>
        </w:rPr>
        <w:tab/>
        <w:t>asiakirjat, joilla todistetaan ainesten valmistus tai käsittely asiaankuuluvassa osapuolessa ja jotka on laadittu tai julkaistu kyseisessä osapuolessa sen kansallisen lainsäädännön mukaisesti;</w:t>
      </w:r>
    </w:p>
    <w:p>
      <w:pPr>
        <w:pStyle w:val="Point2"/>
        <w:rPr>
          <w:noProof/>
        </w:rPr>
      </w:pPr>
      <w:r>
        <w:rPr>
          <w:noProof/>
        </w:rPr>
        <w:t>d)</w:t>
      </w:r>
      <w:r>
        <w:rPr>
          <w:noProof/>
        </w:rPr>
        <w:tab/>
        <w:t>alkuperäilmoitukset tai EUR.1-tavaratodistukset, joilla todistetaan käytettyjen ainesten alkuperäasema ja jotka on laadittu tai annettu osapuolissa näiden sääntöjen mukaisesti;</w:t>
      </w:r>
    </w:p>
    <w:p>
      <w:pPr>
        <w:pStyle w:val="Point2"/>
        <w:rPr>
          <w:noProof/>
        </w:rPr>
      </w:pPr>
      <w:r>
        <w:rPr>
          <w:noProof/>
        </w:rPr>
        <w:t>e)</w:t>
      </w:r>
      <w:r>
        <w:rPr>
          <w:noProof/>
        </w:rPr>
        <w:tab/>
        <w:t>osapuolten ulkopuolella 13 ja 14 artiklaa soveltaen suoritettua valmistusta tai käsittelyä koskevat asianmukaiset todisteet, joilla todistetaan näiden artiklojen vaatimusten täyttyminen.</w:t>
      </w:r>
    </w:p>
    <w:p>
      <w:pPr>
        <w:pStyle w:val="Point1"/>
        <w:rPr>
          <w:rFonts w:eastAsia="Times New Roman"/>
          <w:noProof/>
          <w:szCs w:val="24"/>
        </w:rPr>
      </w:pPr>
      <w:r>
        <w:rPr>
          <w:noProof/>
        </w:rPr>
        <w:t>4.</w:t>
      </w:r>
      <w:r>
        <w:rPr>
          <w:noProof/>
        </w:rPr>
        <w:tab/>
        <w:t>EUR.1-tavaratodistuksia antavien viejäosapuolen tulliviranomaisten on säilytettävä 20 artiklan 2 kohdassa tarkoitettu hakemuslomake vähintään kolme vuotta.</w:t>
      </w:r>
    </w:p>
    <w:p>
      <w:pPr>
        <w:pStyle w:val="Point1"/>
        <w:rPr>
          <w:noProof/>
        </w:rPr>
      </w:pPr>
      <w:r>
        <w:rPr>
          <w:noProof/>
        </w:rPr>
        <w:t>5.</w:t>
      </w:r>
      <w:r>
        <w:rPr>
          <w:noProof/>
        </w:rPr>
        <w:tab/>
        <w:t>Tuojaosapuolen tulliviranomaisten on säilytettävä niille toimitetut alkuperäilmoitukset ja EUR.1-tavaratodistukset vähintään kolme vuotta.</w:t>
      </w:r>
    </w:p>
    <w:p>
      <w:pPr>
        <w:pStyle w:val="Point1"/>
        <w:rPr>
          <w:noProof/>
        </w:rPr>
      </w:pPr>
      <w:r>
        <w:rPr>
          <w:noProof/>
        </w:rPr>
        <w:t>6.</w:t>
      </w:r>
      <w:r>
        <w:rPr>
          <w:noProof/>
        </w:rPr>
        <w:tab/>
        <w:t>Tavarantoimittajan ilmoituksia, joilla todistetaan käytetyille aineksille soveltavassa sopimuspuolessa suoritettu valmistus tai käsittely ja jotka on laadittu kyseisessä soveltavassa sopimuspuolessa, on käsiteltävä 18 artiklan 3 kohdassa, 20 artiklan 3 kohdassa ja 29 artiklan 6 kohdassa tarkoitettuna asiakirjana, jota käytetään todisteena siitä, että EUR.1-tavaratodistuksessa tai alkuperäilmoituksessa tarkoitettuja tuotteita voidaan pitää kyseisen soveltavan sopimuspuolen alkuperätuotteina ja että ne täyttävät muut näissä säännöissä asetetut vaatimukset.</w:t>
      </w:r>
    </w:p>
    <w:p>
      <w:pPr>
        <w:pStyle w:val="Text1"/>
        <w:jc w:val="center"/>
        <w:rPr>
          <w:i/>
          <w:noProof/>
        </w:rPr>
      </w:pPr>
      <w:r>
        <w:rPr>
          <w:i/>
          <w:noProof/>
        </w:rPr>
        <w:t>32 artikla</w:t>
      </w:r>
      <w:r>
        <w:rPr>
          <w:noProof/>
        </w:rPr>
        <w:t xml:space="preserve"> </w:t>
      </w:r>
      <w:r>
        <w:rPr>
          <w:noProof/>
        </w:rPr>
        <w:br/>
      </w:r>
      <w:r>
        <w:rPr>
          <w:b/>
          <w:noProof/>
        </w:rPr>
        <w:t>Riitojen ratkaiseminen</w:t>
      </w:r>
    </w:p>
    <w:p>
      <w:pPr>
        <w:pStyle w:val="Text1"/>
        <w:rPr>
          <w:noProof/>
        </w:rPr>
      </w:pPr>
      <w:r>
        <w:rPr>
          <w:noProof/>
        </w:rPr>
        <w:t>Jos 34 ja 35 artiklassa määrätyistä tarkastusmenettelyistä tai lisäyksen tulkinnasta syntyy riita, jota tarkastusta pyytävät tulliviranomaiset ja tarkastuksen tekemisestä vastaavat tulliviranomaiset eivät pysty keskenään sopimaan, asia saatetaan sekakomitean ratkaistavaksi.</w:t>
      </w:r>
    </w:p>
    <w:p>
      <w:pPr>
        <w:pStyle w:val="Text1"/>
        <w:rPr>
          <w:noProof/>
        </w:rPr>
      </w:pPr>
      <w:r>
        <w:rPr>
          <w:noProof/>
        </w:rPr>
        <w:t>Tuojan sekä tuojaosapuolen tulliviranomaisten väliset riidat ratkaistaan aina kyseisen maan lainsäädännön mukaisesti.</w:t>
      </w:r>
    </w:p>
    <w:p>
      <w:pPr>
        <w:pStyle w:val="Text1"/>
        <w:jc w:val="center"/>
        <w:rPr>
          <w:noProof/>
        </w:rPr>
      </w:pPr>
    </w:p>
    <w:p>
      <w:pPr>
        <w:pStyle w:val="Text1"/>
        <w:jc w:val="center"/>
        <w:rPr>
          <w:b/>
          <w:noProof/>
        </w:rPr>
      </w:pPr>
      <w:r>
        <w:rPr>
          <w:noProof/>
        </w:rPr>
        <w:t xml:space="preserve">VII OSASTO </w:t>
      </w:r>
      <w:r>
        <w:rPr>
          <w:noProof/>
        </w:rPr>
        <w:br/>
      </w:r>
      <w:r>
        <w:rPr>
          <w:b/>
          <w:noProof/>
        </w:rPr>
        <w:t>HALLINNOLLINEN YHTEISTYÖ</w:t>
      </w:r>
    </w:p>
    <w:p>
      <w:pPr>
        <w:pStyle w:val="Text1"/>
        <w:jc w:val="center"/>
        <w:rPr>
          <w:i/>
          <w:noProof/>
        </w:rPr>
      </w:pPr>
      <w:r>
        <w:rPr>
          <w:i/>
          <w:noProof/>
        </w:rPr>
        <w:t>33 artikla</w:t>
      </w:r>
      <w:r>
        <w:rPr>
          <w:noProof/>
        </w:rPr>
        <w:t xml:space="preserve"> </w:t>
      </w:r>
      <w:r>
        <w:rPr>
          <w:noProof/>
        </w:rPr>
        <w:br/>
      </w:r>
      <w:r>
        <w:rPr>
          <w:b/>
          <w:noProof/>
        </w:rPr>
        <w:t>Ilmoitukset ja yhteistyö</w:t>
      </w:r>
    </w:p>
    <w:p>
      <w:pPr>
        <w:pStyle w:val="Point1"/>
        <w:rPr>
          <w:noProof/>
        </w:rPr>
      </w:pPr>
      <w:r>
        <w:rPr>
          <w:noProof/>
        </w:rPr>
        <w:t>1.</w:t>
      </w:r>
      <w:r>
        <w:rPr>
          <w:noProof/>
        </w:rPr>
        <w:tab/>
        <w:t>Osapuolten tulliviranomaisten on annettava toisilleen tullitoimipaikkojensa EUR.1-tavaratodistusten antamisessa käyttämien leimasinten leimanäytteet ja valtuutetuille viejille myönnettyjen lupanumeroiden mallit sekä niiden tulliviranomaisten osoitteet, jotka vastaavat kyseisten todistusten ja alkuperäilmoitusten tarkastamisesta.</w:t>
      </w:r>
    </w:p>
    <w:p>
      <w:pPr>
        <w:pStyle w:val="Point1"/>
        <w:rPr>
          <w:noProof/>
        </w:rPr>
      </w:pPr>
      <w:r>
        <w:rPr>
          <w:noProof/>
        </w:rPr>
        <w:t>2.</w:t>
      </w:r>
      <w:r>
        <w:rPr>
          <w:noProof/>
        </w:rPr>
        <w:tab/>
        <w:t>Sen varmistamiseksi, että tätä näitä sääntöjä sovelletaan asianmukaisesti, osapuolet avustavat toisiaan toimivaltaisten tulliviranomaisten välityksellä tarkastaessaan EUR.1-tavaratodistusten, alkuperäilmoitusten, tavarantoimittajan ilmoitusten sekä kyseisissä asiakirjoissa annettujen tietojen oikeellisuutta.</w:t>
      </w:r>
    </w:p>
    <w:p>
      <w:pPr>
        <w:pStyle w:val="Text1"/>
        <w:jc w:val="center"/>
        <w:rPr>
          <w:i/>
          <w:noProof/>
        </w:rPr>
      </w:pPr>
      <w:r>
        <w:rPr>
          <w:i/>
          <w:noProof/>
        </w:rPr>
        <w:t>34 artikla</w:t>
      </w:r>
      <w:r>
        <w:rPr>
          <w:noProof/>
        </w:rPr>
        <w:t xml:space="preserve"> </w:t>
      </w:r>
      <w:r>
        <w:rPr>
          <w:noProof/>
        </w:rPr>
        <w:br/>
      </w:r>
      <w:r>
        <w:rPr>
          <w:b/>
          <w:noProof/>
        </w:rPr>
        <w:t>Alkuperäselvitysten tarkastaminen</w:t>
      </w:r>
    </w:p>
    <w:p>
      <w:pPr>
        <w:pStyle w:val="Point1"/>
        <w:rPr>
          <w:noProof/>
        </w:rPr>
      </w:pPr>
      <w:r>
        <w:rPr>
          <w:noProof/>
        </w:rPr>
        <w:t>1.</w:t>
      </w:r>
      <w:r>
        <w:rPr>
          <w:noProof/>
        </w:rPr>
        <w:tab/>
        <w:t>Alkuperäselvitysten jälkitarkastukset tehdään pistokokein tai aina kun tuojaosapuolen tulliviranomaisilla on perusteltua aihetta epäillä tällaisten asiakirjojen aitoutta, asianomaisten tuotteiden alkuperäasemaa tai näissä säännöissä asetettujen muiden vaatimusten täyttymistä.</w:t>
      </w:r>
    </w:p>
    <w:p>
      <w:pPr>
        <w:pStyle w:val="Point1"/>
        <w:rPr>
          <w:noProof/>
        </w:rPr>
      </w:pPr>
      <w:r>
        <w:rPr>
          <w:noProof/>
        </w:rPr>
        <w:t>2.</w:t>
      </w:r>
      <w:r>
        <w:rPr>
          <w:noProof/>
        </w:rPr>
        <w:tab/>
        <w:t>Kun tuojaosapuolen tulliviranomaiset esittävät jälkitarkastuspyynnön, ne palauttavat viejäosapuolen tulliviranomaisille EUR.1-tavaratodistuksen ja kauppalaskun, jos se on annettu, sekä alkuperäilmoituksen tai kyseisten asiakirjojen jäljennökset ja esittävät tarvittaessa syyt jälkitarkastuspyyntöön. Tarkastuspyynnön tueksi annetaan kaikki asiakirjat ja saadut tiedot, joiden perusteella alkuperäselvityksessä olevia tietoja voidaan epäillä virheellisiksi.</w:t>
      </w:r>
    </w:p>
    <w:p>
      <w:pPr>
        <w:pStyle w:val="Point1"/>
        <w:rPr>
          <w:noProof/>
        </w:rPr>
      </w:pPr>
      <w:r>
        <w:rPr>
          <w:noProof/>
        </w:rPr>
        <w:t>3.</w:t>
      </w:r>
      <w:r>
        <w:rPr>
          <w:noProof/>
        </w:rPr>
        <w:tab/>
        <w:t>Viejäosapuolen tulliviranomaiset tekevät tarkastuksen. Tätä varten niillä on oikeus vaatia näyttöä ja tarkastaa viejän tilejä tai tehdä muita tarpeelliseksi katsomiaan tarkastuksia.</w:t>
      </w:r>
    </w:p>
    <w:p>
      <w:pPr>
        <w:pStyle w:val="Point1"/>
        <w:rPr>
          <w:noProof/>
        </w:rPr>
      </w:pPr>
      <w:r>
        <w:rPr>
          <w:noProof/>
        </w:rPr>
        <w:t>4.</w:t>
      </w:r>
      <w:r>
        <w:rPr>
          <w:noProof/>
        </w:rPr>
        <w:tab/>
        <w:t>Jos tuojaosapuolen tulliviranomaiset päättävät lykätä etuuskohtelun myöntämistä asianomaisille tuotteille tarkastuksen tulosten saamiseen asti, niiden on tarjottava tuojalle mahdollisuutta tavaroiden luovutukseen, jos tarpeellisiksi katsotut varotoimenpiteet toteutetaan.</w:t>
      </w:r>
    </w:p>
    <w:p>
      <w:pPr>
        <w:pStyle w:val="Point1"/>
        <w:rPr>
          <w:noProof/>
        </w:rPr>
      </w:pPr>
      <w:r>
        <w:rPr>
          <w:noProof/>
        </w:rPr>
        <w:t>5.</w:t>
      </w:r>
      <w:r>
        <w:rPr>
          <w:noProof/>
        </w:rPr>
        <w:tab/>
        <w:t>Tarkastuksen tulokset ilmoitetaan tarkastusta pyytäneille tulliviranomaisille mahdollisimman pian. Kyseisistä tuloksista on käytävä selvästi ilmi, ovatko asiakirjat aitoja ja voidaanko asianomaisia tuotteita pitää jonkin osapuolen alkuperätuotteina ja täyttävätkö ne näissä säännöissä asetetut muut vaatimukset.</w:t>
      </w:r>
    </w:p>
    <w:p>
      <w:pPr>
        <w:pStyle w:val="Point1"/>
        <w:rPr>
          <w:noProof/>
        </w:rPr>
      </w:pPr>
      <w:r>
        <w:rPr>
          <w:noProof/>
        </w:rPr>
        <w:t>6.</w:t>
      </w:r>
      <w:r>
        <w:rPr>
          <w:noProof/>
        </w:rPr>
        <w:tab/>
        <w:t>Jos perustellun epäilyn tapauksessa vastausta ei ole saatu kymmenen kuukauden kuluessa tarkastuspyynnön päivämäärästä tai saadussa vastauksessa ei ole riittävästi tietoja sen ratkaisemiseksi, ovatko kyseiset asiakirjat aitoja tai mikä on tuotteiden tosiasiallinen alkuperä, tarkastusta pyytäneet tulliviranomaiset epäävät etuuskohtelun, paitsi poikkeuksellisissa olosuhteissa.</w:t>
      </w:r>
    </w:p>
    <w:p>
      <w:pPr>
        <w:pStyle w:val="Text1"/>
        <w:jc w:val="center"/>
        <w:rPr>
          <w:i/>
          <w:noProof/>
        </w:rPr>
      </w:pPr>
      <w:r>
        <w:rPr>
          <w:i/>
          <w:noProof/>
        </w:rPr>
        <w:t>35 artikla</w:t>
      </w:r>
      <w:r>
        <w:rPr>
          <w:noProof/>
        </w:rPr>
        <w:t xml:space="preserve"> </w:t>
      </w:r>
      <w:r>
        <w:rPr>
          <w:noProof/>
        </w:rPr>
        <w:br/>
      </w:r>
      <w:r>
        <w:rPr>
          <w:b/>
          <w:noProof/>
        </w:rPr>
        <w:t>Tavarantoimittajan ilmoitusten tarkastaminen</w:t>
      </w:r>
    </w:p>
    <w:p>
      <w:pPr>
        <w:pStyle w:val="Point1"/>
        <w:rPr>
          <w:noProof/>
        </w:rPr>
      </w:pPr>
      <w:r>
        <w:rPr>
          <w:noProof/>
        </w:rPr>
        <w:t>1.</w:t>
      </w:r>
      <w:r>
        <w:rPr>
          <w:noProof/>
        </w:rPr>
        <w:tab/>
        <w:t>Tavarantoimittajan ilmoitusten tai tavarantoimittajan pitkäaikaisilmoitusten jälkitarkastus voidaan tehdä pistokokein tai aina, kun sen osapuolen tulliviranomaisilla, jossa nämä ilmoitukset on otettu huomioon EUR.1-tavaratodistuksen antamiseksi tai alkuperäilmoituksen laatimiseksi, on perusteltu syy epäillä kyseisen asiakirjan aitoutta tai siinä annettujen tietojen oikeellisuutta.</w:t>
      </w:r>
    </w:p>
    <w:p>
      <w:pPr>
        <w:pStyle w:val="Point1"/>
        <w:rPr>
          <w:noProof/>
        </w:rPr>
      </w:pPr>
      <w:r>
        <w:rPr>
          <w:noProof/>
        </w:rPr>
        <w:t>2.</w:t>
      </w:r>
      <w:r>
        <w:rPr>
          <w:noProof/>
        </w:rPr>
        <w:tab/>
        <w:t>Sovellettaessa tämän artiklan 1 kohdan määräyksiä tämän artiklan 1 kohdassa tarkoitetun osapuolen tulliviranomaiset palauttavat tavarantoimittajan ilmoituksen tai tavarantoimittajan pitkäaikaisilmoituksen ja siinä tarkoitettuja tavaroita koskevat kauppalaskut, lähetysluettelot tai muut kaupalliset asiakirjat sen soveltavan sopimuspuolen tulliviranomaisille, jossa ilmoitus on laadittu, ja esittävät tarvittaessa sisältöä tai muotoa koskevat syyt tarkastuspyynnölle.</w:t>
      </w:r>
    </w:p>
    <w:p>
      <w:pPr>
        <w:pStyle w:val="Point1"/>
        <w:ind w:firstLine="0"/>
        <w:rPr>
          <w:noProof/>
        </w:rPr>
      </w:pPr>
      <w:r>
        <w:rPr>
          <w:noProof/>
        </w:rPr>
        <w:t>Se toimittaa jälkitarkastuspyynnön tueksi kaikki asiakirjat ja saadut tiedot, joiden perusteella tavarantoimittajan ilmoituksessa tai tavarantoimittajan pitkäaikaisilmoituksessa olevia tietoja voidaan epäillä virheellisiksi.</w:t>
      </w:r>
    </w:p>
    <w:p>
      <w:pPr>
        <w:pStyle w:val="Point1"/>
        <w:rPr>
          <w:noProof/>
        </w:rPr>
      </w:pPr>
      <w:r>
        <w:rPr>
          <w:noProof/>
        </w:rPr>
        <w:t>3.</w:t>
      </w:r>
      <w:r>
        <w:rPr>
          <w:noProof/>
        </w:rPr>
        <w:tab/>
        <w:t>Tarkastuksen suorittavat sen soveltavan sopimuspuolen tulliviranomaiset, jossa tavarantoimittajan ilmoitus tai tavarantoimittajan pitkäaikaisilmoitus on laadittu. Tätä varten sillä on oikeus vaatia todistusaineistoa ja tarkastaa tavarantoimittajan tilit tai tehdä muita tarpeellisiksi katsomiaan tarkastuksia.</w:t>
      </w:r>
    </w:p>
    <w:p>
      <w:pPr>
        <w:pStyle w:val="Point1"/>
        <w:rPr>
          <w:noProof/>
        </w:rPr>
      </w:pPr>
      <w:r>
        <w:rPr>
          <w:noProof/>
        </w:rPr>
        <w:t>4.</w:t>
      </w:r>
      <w:r>
        <w:rPr>
          <w:noProof/>
        </w:rPr>
        <w:tab/>
        <w:t>Tarkastuksen tulokset ilmoitetaan tarkastusta pyytäneille tulliviranomaisille mahdollisimman pian. Näistä tuloksista on käytävä selvästi ilmi, ovatko tavarantoimittajan ilmoituksessa tai tavarantoimittajan pitkäaikaisilmoituksessa olevat tiedot oikein, ja niiden perusteella tulliviranomaisen on voitava määritellä, voidaanko, ja missä määrin, sellainen ilmoitus ottaa huomioon EUR.1-tavaratodistusta annettaessa tai alkuperäilmoitusta laadittaessa.</w:t>
      </w:r>
    </w:p>
    <w:p>
      <w:pPr>
        <w:pStyle w:val="Text1"/>
        <w:jc w:val="center"/>
        <w:rPr>
          <w:i/>
          <w:noProof/>
        </w:rPr>
      </w:pPr>
      <w:r>
        <w:rPr>
          <w:i/>
          <w:noProof/>
        </w:rPr>
        <w:t>36 artikla</w:t>
      </w:r>
      <w:r>
        <w:rPr>
          <w:noProof/>
        </w:rPr>
        <w:t xml:space="preserve"> </w:t>
      </w:r>
      <w:r>
        <w:rPr>
          <w:noProof/>
        </w:rPr>
        <w:br/>
      </w:r>
      <w:r>
        <w:rPr>
          <w:b/>
          <w:iCs/>
          <w:noProof/>
        </w:rPr>
        <w:t>Seuraamukset</w:t>
      </w:r>
    </w:p>
    <w:p>
      <w:pPr>
        <w:pStyle w:val="Text1"/>
        <w:rPr>
          <w:noProof/>
        </w:rPr>
      </w:pPr>
      <w:r>
        <w:rPr>
          <w:noProof/>
        </w:rPr>
        <w:t>Kumpikin osapuoli määrää, että sen näistä säännöistä antaman kansallisen lainsäädännön rikkomisesta langetetaan rikosoikeudellisia, siviilioikeudellisia tai hallinnollisia seuraamuksia.</w:t>
      </w:r>
    </w:p>
    <w:p>
      <w:pPr>
        <w:pStyle w:val="Text1"/>
        <w:rPr>
          <w:noProof/>
        </w:rPr>
      </w:pPr>
    </w:p>
    <w:p>
      <w:pPr>
        <w:pStyle w:val="Text1"/>
        <w:jc w:val="center"/>
        <w:rPr>
          <w:b/>
          <w:noProof/>
        </w:rPr>
      </w:pPr>
      <w:r>
        <w:rPr>
          <w:noProof/>
        </w:rPr>
        <w:t xml:space="preserve">VIII OSASTO </w:t>
      </w:r>
      <w:r>
        <w:rPr>
          <w:noProof/>
        </w:rPr>
        <w:br/>
      </w:r>
      <w:r>
        <w:rPr>
          <w:b/>
          <w:noProof/>
        </w:rPr>
        <w:t>LISÄYKSEN A SOVELTAMINEN</w:t>
      </w:r>
    </w:p>
    <w:p>
      <w:pPr>
        <w:pStyle w:val="Text1"/>
        <w:jc w:val="center"/>
        <w:rPr>
          <w:i/>
          <w:noProof/>
        </w:rPr>
      </w:pPr>
      <w:r>
        <w:rPr>
          <w:i/>
          <w:noProof/>
        </w:rPr>
        <w:t>37 artikla</w:t>
      </w:r>
      <w:r>
        <w:rPr>
          <w:noProof/>
        </w:rPr>
        <w:t xml:space="preserve"> </w:t>
      </w:r>
      <w:r>
        <w:rPr>
          <w:noProof/>
        </w:rPr>
        <w:br/>
      </w:r>
      <w:r>
        <w:rPr>
          <w:b/>
          <w:noProof/>
        </w:rPr>
        <w:t>Euroopan talousalue</w:t>
      </w:r>
    </w:p>
    <w:p>
      <w:pPr>
        <w:autoSpaceDE w:val="0"/>
        <w:autoSpaceDN w:val="0"/>
        <w:ind w:left="720"/>
        <w:rPr>
          <w:noProof/>
        </w:rPr>
      </w:pPr>
      <w:r>
        <w:rPr>
          <w:noProof/>
        </w:rPr>
        <w:t>Euroopan talousalueesta tehdyn sopimuksen pöytäkirjassa 4 tarkoitettuja Euroopan talousalueen (ETA) alkuperätavaroita pidetään Euroopan unionin, Islannin, Liechtensteinin tai Norjan, jäljempänä ’ETA-osapuolet’, alkuperätuotteina, kun ne viedään Euroopan unionista, Islannista, Liechtensteinista tai Norjasta Turkkiin, edellyttäen että näiden sääntöjen perusteella tehtyjä vapaakauppasopimuksia sovelletaan Turkin ja ETA-osapuolten välillä.</w:t>
      </w:r>
    </w:p>
    <w:p>
      <w:pPr>
        <w:autoSpaceDE w:val="0"/>
        <w:autoSpaceDN w:val="0"/>
        <w:rPr>
          <w:noProof/>
        </w:rPr>
      </w:pPr>
    </w:p>
    <w:p>
      <w:pPr>
        <w:pStyle w:val="Text1"/>
        <w:jc w:val="center"/>
        <w:rPr>
          <w:i/>
          <w:noProof/>
        </w:rPr>
      </w:pPr>
      <w:r>
        <w:rPr>
          <w:i/>
          <w:noProof/>
        </w:rPr>
        <w:t>38 artikla</w:t>
      </w:r>
      <w:r>
        <w:rPr>
          <w:noProof/>
        </w:rPr>
        <w:t xml:space="preserve"> </w:t>
      </w:r>
      <w:r>
        <w:rPr>
          <w:noProof/>
        </w:rPr>
        <w:br/>
      </w:r>
      <w:r>
        <w:rPr>
          <w:b/>
          <w:noProof/>
        </w:rPr>
        <w:t>Liechtenstein</w:t>
      </w:r>
    </w:p>
    <w:p>
      <w:pPr>
        <w:autoSpaceDE w:val="0"/>
        <w:autoSpaceDN w:val="0"/>
        <w:ind w:left="850"/>
        <w:rPr>
          <w:noProof/>
        </w:rPr>
      </w:pPr>
      <w:r>
        <w:rPr>
          <w:noProof/>
        </w:rPr>
        <w:t>Liechtensteinista peräisin olevaa tuotetta pidetään Sveitsin ja Liechtensteinin välisen tulliliiton vuoksi Sveitsin alkuperätuotteena, sanotun kuitenkaan rajoittamatta 2 artiklan soveltamista.</w:t>
      </w:r>
    </w:p>
    <w:p>
      <w:pPr>
        <w:pStyle w:val="Text1"/>
        <w:jc w:val="center"/>
        <w:rPr>
          <w:i/>
          <w:noProof/>
        </w:rPr>
      </w:pPr>
      <w:r>
        <w:rPr>
          <w:i/>
          <w:noProof/>
        </w:rPr>
        <w:t>39 artikla</w:t>
      </w:r>
      <w:r>
        <w:rPr>
          <w:noProof/>
        </w:rPr>
        <w:t xml:space="preserve"> </w:t>
      </w:r>
      <w:r>
        <w:rPr>
          <w:noProof/>
        </w:rPr>
        <w:br/>
      </w:r>
      <w:r>
        <w:rPr>
          <w:b/>
          <w:noProof/>
        </w:rPr>
        <w:t>San Marinon tasavalta</w:t>
      </w:r>
    </w:p>
    <w:p>
      <w:pPr>
        <w:pStyle w:val="Text1"/>
        <w:rPr>
          <w:noProof/>
        </w:rPr>
      </w:pPr>
      <w:r>
        <w:rPr>
          <w:noProof/>
        </w:rPr>
        <w:t>Euroopan unionin ja San Marinon tasavallan välisen tulliliiton vuoksi San Marinon tasavallan alkuperätuotetta pidetään Euroopan unionin alkuperätuotteena, sanotun kuitenkaan rajoittamatta 2 artiklan soveltamista.</w:t>
      </w:r>
    </w:p>
    <w:p>
      <w:pPr>
        <w:pStyle w:val="Text1"/>
        <w:jc w:val="center"/>
        <w:rPr>
          <w:i/>
          <w:noProof/>
        </w:rPr>
      </w:pPr>
      <w:r>
        <w:rPr>
          <w:i/>
          <w:noProof/>
        </w:rPr>
        <w:t>40 artikla</w:t>
      </w:r>
      <w:r>
        <w:rPr>
          <w:noProof/>
        </w:rPr>
        <w:t xml:space="preserve"> </w:t>
      </w:r>
      <w:r>
        <w:rPr>
          <w:noProof/>
        </w:rPr>
        <w:br/>
      </w:r>
      <w:r>
        <w:rPr>
          <w:b/>
          <w:noProof/>
        </w:rPr>
        <w:t>Andorran ruhtinaskunta</w:t>
      </w:r>
    </w:p>
    <w:p>
      <w:pPr>
        <w:pStyle w:val="Text1"/>
        <w:rPr>
          <w:noProof/>
        </w:rPr>
      </w:pPr>
      <w:r>
        <w:rPr>
          <w:noProof/>
        </w:rPr>
        <w:t>Euroopan unionin ja Andorran ruhtinaskunnan välisen tulliliiton vuoksi harmonoidun järjestelmän 25–97 ryhmään kuuluvaa Andorran ruhtinaskunnan alkuperätuotetta pidetään Euroopan unionin alkuperätuotteen, sanotun kuitenkaan rajoittamatta 2 artiklan soveltamista.</w:t>
      </w:r>
    </w:p>
    <w:p>
      <w:pPr>
        <w:pStyle w:val="Text1"/>
        <w:jc w:val="center"/>
        <w:rPr>
          <w:i/>
          <w:noProof/>
        </w:rPr>
      </w:pPr>
      <w:r>
        <w:rPr>
          <w:i/>
          <w:noProof/>
        </w:rPr>
        <w:t>41 artikla</w:t>
      </w:r>
      <w:r>
        <w:rPr>
          <w:noProof/>
        </w:rPr>
        <w:t xml:space="preserve"> </w:t>
      </w:r>
      <w:r>
        <w:rPr>
          <w:noProof/>
        </w:rPr>
        <w:br/>
      </w:r>
      <w:r>
        <w:rPr>
          <w:b/>
          <w:noProof/>
        </w:rPr>
        <w:t>Ceuta ja Melilla</w:t>
      </w:r>
    </w:p>
    <w:p>
      <w:pPr>
        <w:pStyle w:val="Point1"/>
        <w:rPr>
          <w:noProof/>
        </w:rPr>
      </w:pPr>
      <w:r>
        <w:rPr>
          <w:noProof/>
        </w:rPr>
        <w:t>1.</w:t>
      </w:r>
      <w:r>
        <w:rPr>
          <w:noProof/>
        </w:rPr>
        <w:tab/>
        <w:t>Näitä sääntöjä sovellettaessa ilmaisu ’Euroopan unioni’ ei sisällä Ceutaa ja Melillaa.</w:t>
      </w:r>
    </w:p>
    <w:p>
      <w:pPr>
        <w:pStyle w:val="Point1"/>
        <w:rPr>
          <w:noProof/>
        </w:rPr>
      </w:pPr>
      <w:r>
        <w:rPr>
          <w:noProof/>
        </w:rPr>
        <w:t>2.</w:t>
      </w:r>
      <w:r>
        <w:rPr>
          <w:noProof/>
        </w:rPr>
        <w:tab/>
        <w:t>Ceutaan ja Melillaan tuotaviin Turkin alkuperätuotteisiin sovelletaan samaa tullikohtelua, jota sovelletaan Euroopan unionin tullialueen alkuperätuotteisiin Espanjan kuningaskunnan ja Portugalin tasavallan Euroopan yhteisöön liittymisestä tehdyn asiakirjan pöytäkirjan n:o 2 ja siihen tehtyjen tarkistusten mukaisesti</w:t>
      </w:r>
      <w:r>
        <w:rPr>
          <w:rStyle w:val="FootnoteReference"/>
          <w:noProof/>
        </w:rPr>
        <w:footnoteReference w:id="6"/>
      </w:r>
      <w:r>
        <w:rPr>
          <w:noProof/>
        </w:rPr>
        <w:t>. Kun Turkki tuo asiaankuuluvan sopimuksen soveltamisalaan kuuluvia Ceutan ja Melillan alkuperätuotteita, se myöntää niille saman tullikohtelun kuin Euroopan unionista tuotaville Euroopan unionin alkuperätuotteille.</w:t>
      </w:r>
    </w:p>
    <w:p>
      <w:pPr>
        <w:ind w:left="1418" w:hanging="567"/>
        <w:rPr>
          <w:noProof/>
        </w:rPr>
      </w:pPr>
      <w:r>
        <w:rPr>
          <w:noProof/>
        </w:rPr>
        <w:t>3.</w:t>
      </w:r>
      <w:r>
        <w:rPr>
          <w:noProof/>
        </w:rPr>
        <w:tab/>
        <w:t>Ceutan ja Melillan alkuperätuotteita koskevaa tämän artiklan 2 kohtaa sovellettaessa näitä sääntöjä sovelletaan soveltuvin osin liitteessä V määrättyjä erityisedellytyksiä noudattaen.</w:t>
      </w:r>
    </w:p>
    <w:p>
      <w:pPr>
        <w:pStyle w:val="Text1"/>
        <w:jc w:val="center"/>
        <w:rPr>
          <w:i/>
          <w:noProof/>
        </w:rPr>
      </w:pPr>
      <w:r>
        <w:rPr>
          <w:noProof/>
        </w:rPr>
        <w:br w:type="page"/>
      </w:r>
      <w:r>
        <w:rPr>
          <w:i/>
          <w:noProof/>
        </w:rPr>
        <w:t>LIITE I</w:t>
      </w:r>
    </w:p>
    <w:p>
      <w:pPr>
        <w:pStyle w:val="Text1"/>
        <w:jc w:val="center"/>
        <w:rPr>
          <w:b/>
          <w:noProof/>
        </w:rPr>
      </w:pPr>
      <w:r>
        <w:rPr>
          <w:b/>
          <w:noProof/>
        </w:rPr>
        <w:t>ALKUHUOMAUTUKSET LIITTEEN II LUETTELOON</w:t>
      </w:r>
    </w:p>
    <w:p>
      <w:pPr>
        <w:pStyle w:val="Text1"/>
        <w:rPr>
          <w:b/>
          <w:noProof/>
        </w:rPr>
      </w:pPr>
      <w:r>
        <w:rPr>
          <w:b/>
          <w:noProof/>
        </w:rPr>
        <w:t>Huomautus 1 – Yleistä</w:t>
      </w:r>
    </w:p>
    <w:p>
      <w:pPr>
        <w:pStyle w:val="Text1"/>
        <w:rPr>
          <w:noProof/>
        </w:rPr>
      </w:pPr>
      <w:r>
        <w:rPr>
          <w:noProof/>
        </w:rPr>
        <w:t>Luettelossa asetetaan edellytykset, jotka kaikkien tuotteiden on täytettävä, jotta niitä voitaisiin pitää lisäyksessä A olevan II osan 4 artiklan mukaisesti riittävästi valmistettuina tai käsiteltyinä. Tuotteesta riippuen sääntöjä on neljä erilaista</w:t>
      </w:r>
    </w:p>
    <w:p>
      <w:pPr>
        <w:pStyle w:val="Point1"/>
        <w:rPr>
          <w:noProof/>
        </w:rPr>
      </w:pPr>
      <w:r>
        <w:rPr>
          <w:noProof/>
        </w:rPr>
        <w:t>a)</w:t>
      </w:r>
      <w:r>
        <w:rPr>
          <w:noProof/>
        </w:rPr>
        <w:tab/>
        <w:t>valmistuksessa tai käsittelyssä ei ylitetä ei-alkuperäainesten enimmäismäärää;</w:t>
      </w:r>
    </w:p>
    <w:p>
      <w:pPr>
        <w:pStyle w:val="Point1"/>
        <w:rPr>
          <w:noProof/>
        </w:rPr>
      </w:pPr>
      <w:r>
        <w:rPr>
          <w:noProof/>
        </w:rPr>
        <w:t>b)</w:t>
      </w:r>
      <w:r>
        <w:rPr>
          <w:noProof/>
        </w:rPr>
        <w:tab/>
        <w:t>valmistuksen tai käsittelyn seurauksena valmistettujen tuotteiden harmonoidun järjestelmän nelinumeroinen nimike muuttuu muuksi kuin käytettyjen ainesten nelinumeroinen nimike tai valmistettujen tuotteiden kuusinumeroinen alanimike muuttuu muuksi kuin käytettyjen ainesten kuusinumeroinen alanimike;</w:t>
      </w:r>
    </w:p>
    <w:p>
      <w:pPr>
        <w:pStyle w:val="Point1"/>
        <w:rPr>
          <w:noProof/>
        </w:rPr>
      </w:pPr>
      <w:r>
        <w:rPr>
          <w:noProof/>
        </w:rPr>
        <w:t>c)</w:t>
      </w:r>
      <w:r>
        <w:rPr>
          <w:noProof/>
        </w:rPr>
        <w:tab/>
        <w:t>erityinen valmistus- tai käsittelytoimi toteutetaan;</w:t>
      </w:r>
    </w:p>
    <w:p>
      <w:pPr>
        <w:pStyle w:val="Point1"/>
        <w:rPr>
          <w:noProof/>
        </w:rPr>
      </w:pPr>
      <w:r>
        <w:rPr>
          <w:noProof/>
        </w:rPr>
        <w:t>d)</w:t>
      </w:r>
      <w:r>
        <w:rPr>
          <w:noProof/>
        </w:rPr>
        <w:tab/>
        <w:t>valmistus tai käsittely tehdään tietyille kokonaan tuotetuille aineksille.</w:t>
      </w:r>
    </w:p>
    <w:p>
      <w:pPr>
        <w:pStyle w:val="Point1"/>
        <w:rPr>
          <w:b/>
          <w:noProof/>
        </w:rPr>
      </w:pPr>
      <w:r>
        <w:rPr>
          <w:b/>
          <w:noProof/>
        </w:rPr>
        <w:t>Huomautus 2 – Luettelon rakenne</w:t>
      </w:r>
    </w:p>
    <w:p>
      <w:pPr>
        <w:pStyle w:val="Point1"/>
        <w:rPr>
          <w:noProof/>
        </w:rPr>
      </w:pPr>
      <w:r>
        <w:rPr>
          <w:noProof/>
        </w:rPr>
        <w:t>2.1.</w:t>
      </w:r>
      <w:r>
        <w:rPr>
          <w:noProof/>
        </w:rPr>
        <w:tab/>
        <w:t>Luettelon kahdessa ensimmäisessä sarakkeessa kuvataan tuotettu tuote. Ensimmäisessä sarakkeessa (1) on harmonoidussa järjestelmässä käytetty nimikkeen tai ryhmän numero ja toisessa sarakkeessa (2) harmonoidussa järjestelmässä tästä nimikkeestä tai ryhmästä käytetty tavaran kuvaus. Jokaista kahdessa ensimmäisessä sarakkeessa olevaa merkintää koskeva sääntö on kolmannessa sarakkeessa (3). Jos ensimmäisen sarakkeen (1) numeron edellä on maininta ”ex”, tämä tarkoittaa, että kolmannen sarakkeen (3) sääntöä sovelletaan ainoastaan toisessa sarakkeessa (2) mainittuun nimikkeen osaan.</w:t>
      </w:r>
    </w:p>
    <w:p>
      <w:pPr>
        <w:pStyle w:val="Point1"/>
        <w:rPr>
          <w:noProof/>
        </w:rPr>
      </w:pPr>
      <w:r>
        <w:rPr>
          <w:noProof/>
        </w:rPr>
        <w:t>2.2.</w:t>
      </w:r>
      <w:r>
        <w:rPr>
          <w:noProof/>
        </w:rPr>
        <w:tab/>
        <w:t>Kun ensimmäisessä sarakkeessa (1) on koottu yhteen useita nimikkeitä tai mainittu ryhmän numero ja toisessa sarakkeessa (2) on tämän vuoksi yleisluonteinen tavaran kuvaus, vastaavaa kolmannen sarakkeen (3) sääntöä sovelletaan kaikkiin niihin tuotteisiin, jotka harmonoidussa järjestelmässä luokitellaan kyseisen ryhmän nimikkeisiin tai johonkin nimikkeistä, jotka on koottu ensimmäiseen sarakkeeseen (1).</w:t>
      </w:r>
    </w:p>
    <w:p>
      <w:pPr>
        <w:pStyle w:val="Point1"/>
        <w:rPr>
          <w:noProof/>
        </w:rPr>
      </w:pPr>
      <w:r>
        <w:rPr>
          <w:noProof/>
        </w:rPr>
        <w:t>2.3.</w:t>
      </w:r>
      <w:r>
        <w:rPr>
          <w:noProof/>
        </w:rPr>
        <w:tab/>
        <w:t>Kun luettelossa on eri sääntöjä, joita sovelletaan samaan nimikkeeseen kuuluviin eri tuotteisiin, jokaisessa luetelmakohdassa on sen nimikkeen osan tavaran kuvaus, jota vastaavat kolmannen sarakkeen (3) säännöt koskevat.</w:t>
      </w:r>
    </w:p>
    <w:p>
      <w:pPr>
        <w:pStyle w:val="Point1"/>
        <w:rPr>
          <w:noProof/>
        </w:rPr>
      </w:pPr>
      <w:r>
        <w:rPr>
          <w:noProof/>
        </w:rPr>
        <w:t>2.4.</w:t>
      </w:r>
      <w:r>
        <w:rPr>
          <w:noProof/>
        </w:rPr>
        <w:tab/>
        <w:t>Kun kolmannessa sarakkeessa (3) on kaksi vaihtoehtoista sääntöä ”tai”-sanalla erotettuina, viejä voi itse valita, kumpaa käyttää.</w:t>
      </w:r>
    </w:p>
    <w:p>
      <w:pPr>
        <w:pStyle w:val="Point1"/>
        <w:rPr>
          <w:b/>
          <w:noProof/>
        </w:rPr>
      </w:pPr>
      <w:r>
        <w:rPr>
          <w:b/>
          <w:noProof/>
        </w:rPr>
        <w:t>Huomautus 3 – Esimerkkejä sääntöjen soveltamisesta</w:t>
      </w:r>
    </w:p>
    <w:p>
      <w:pPr>
        <w:pStyle w:val="Point1"/>
        <w:rPr>
          <w:noProof/>
        </w:rPr>
      </w:pPr>
      <w:r>
        <w:rPr>
          <w:noProof/>
        </w:rPr>
        <w:t>3.1.</w:t>
      </w:r>
      <w:r>
        <w:rPr>
          <w:noProof/>
        </w:rPr>
        <w:tab/>
        <w:t>Lisäyksessä A olevan II osaston 4 artiklan määräyksiä alkuperäaseman saaneista, muiden tuotteiden valmistuksessa käytettävistä tuotteista sovelletaan riippumatta siitä, onko kyseinen asema saatu siinä tehtaassa, jossa nämä tuotteet käytetään, vai jossakin muussa osapuolen tehtaassa.</w:t>
      </w:r>
    </w:p>
    <w:p>
      <w:pPr>
        <w:pStyle w:val="Point1"/>
        <w:rPr>
          <w:noProof/>
        </w:rPr>
      </w:pPr>
      <w:r>
        <w:rPr>
          <w:noProof/>
        </w:rPr>
        <w:t>3.2.</w:t>
      </w:r>
      <w:r>
        <w:rPr>
          <w:noProof/>
        </w:rPr>
        <w:tab/>
        <w:t>Suoritetun valmistuksen tai käsittelyn on tämän lisäyksen II osan 6 artiklan mukaisesti ylitettävä mainitussa artiklassa luetellut toimet. Jos näin ei tapahdu, tavarat eivät täytä tullietuuskohtelun myöntämisen edellytyksiä, vaikka jäljempänä luetellut edellytykset täyttyisivät.</w:t>
      </w:r>
    </w:p>
    <w:p>
      <w:pPr>
        <w:pStyle w:val="Text2"/>
        <w:rPr>
          <w:noProof/>
        </w:rPr>
      </w:pPr>
      <w:r>
        <w:rPr>
          <w:noProof/>
        </w:rPr>
        <w:t>Jollei lisäyksessä A olevan II osan 6 artiklasta muuta johdu, luettelon säännöissä vahvistetaan vaadittavan valmistuksen tai käsittelyn vähimmäismäärä, jonka ylittävä valmistus tai käsittely antaa myös alkuperäaseman; sen sijaan sitä vähäisempi valmistus tai käsittely ei voi antaa alkuperäasemaa.</w:t>
      </w:r>
    </w:p>
    <w:p>
      <w:pPr>
        <w:pStyle w:val="Text2"/>
        <w:rPr>
          <w:noProof/>
        </w:rPr>
      </w:pPr>
      <w:r>
        <w:rPr>
          <w:noProof/>
        </w:rPr>
        <w:t>Jos siis säännössä määrätään, että tietyllä valmistusasteella olevia ei-alkuperäaineksia saadaan käyttää, sitä aiemmalla valmistusasteella olevien tällaisen ainesten käyttö on myös sallittua, mutta sen sijaan myöhemmällä valmistusasteella olevien ainesten käyttö ei ole.</w:t>
      </w:r>
    </w:p>
    <w:p>
      <w:pPr>
        <w:pStyle w:val="Text2"/>
        <w:rPr>
          <w:noProof/>
        </w:rPr>
      </w:pPr>
      <w:r>
        <w:rPr>
          <w:noProof/>
        </w:rPr>
        <w:t>Jos säännössä määrätään, että tietyllä valmistusasteella olevia ei-alkuperäaineksia ei voida käyttää, sitä aiemmalla valmistusasteella olevien tällaisten ainesten käyttö on sallittua, mutta sen sijaan myöhemmällä valmistusasteella olevien ainesten käyttö ei ole.</w:t>
      </w:r>
    </w:p>
    <w:p>
      <w:pPr>
        <w:pStyle w:val="Text2"/>
        <w:rPr>
          <w:noProof/>
        </w:rPr>
      </w:pPr>
      <w:r>
        <w:rPr>
          <w:noProof/>
        </w:rPr>
        <w:t>Esimerkki: kun 19 ryhmää koskevassa luettelon säännössä vaaditaan, että ”nimikkeiden 1101–1108 ei-alkuperäainesten osuus saa olla enintään 20 painoprosenttia”, 10 ryhmän viljojen (aiemman valmistusasteen ainekset) käyttöä (eli tuontia) ei ole rajoitettu.</w:t>
      </w:r>
    </w:p>
    <w:p>
      <w:pPr>
        <w:pStyle w:val="Point1"/>
        <w:rPr>
          <w:noProof/>
        </w:rPr>
      </w:pPr>
      <w:r>
        <w:rPr>
          <w:noProof/>
        </w:rPr>
        <w:t>3.3.</w:t>
      </w:r>
      <w:r>
        <w:rPr>
          <w:noProof/>
        </w:rPr>
        <w:tab/>
        <w:t>Rajoittamatta huomautuksen 3.2 soveltamista, kun säännössä käytetään ilmaisua ”Valmistus minkä tahansa nimikkeen aineksista”, minkä tahansa nimikkeen aineksia voidaan käyttää (myös sellaisia, joiden kuvaus ja nimike ovat samat kuin tuotteella), jollei sääntöön mahdollisesti sisältyvistä erityisrajoituksista muuta johdu.</w:t>
      </w:r>
    </w:p>
    <w:p>
      <w:pPr>
        <w:pStyle w:val="Text2"/>
        <w:rPr>
          <w:noProof/>
        </w:rPr>
      </w:pPr>
      <w:r>
        <w:rPr>
          <w:noProof/>
        </w:rPr>
        <w:t>Ilmaisu ”Valmistus minkä tahansa nimikkeen aineksista, myös muista nimikkeen... aineksista” tai ”Valmistus minkä tahansa nimikkeen aineksista, myös muista samaan nimikkeeseen kuin tuote luokiteltavista aineksista” tarkoittaa kuitenkin, että minkä tahansa nimikkeen aineksia voidaan käyttää paitsi niitä, joiden kuvaus on sama kuin luettelon 2 sarakkeessa oleva tuotteen kuvaus.</w:t>
      </w:r>
    </w:p>
    <w:p>
      <w:pPr>
        <w:pStyle w:val="Point1"/>
        <w:rPr>
          <w:noProof/>
        </w:rPr>
      </w:pPr>
      <w:r>
        <w:rPr>
          <w:noProof/>
        </w:rPr>
        <w:t>3.4.</w:t>
      </w:r>
      <w:r>
        <w:rPr>
          <w:noProof/>
        </w:rPr>
        <w:tab/>
        <w:t>Kun luettelon säännössä määrätään, että tuote voidaan valmistaa useammasta kuin yhdestä aineksesta, tämä tarkoittaa, että yhtä tai useampaa ainesta voidaan käyttää. Se ei tarkoita, että niitä kaikkia olisi käytettävä.</w:t>
      </w:r>
    </w:p>
    <w:p>
      <w:pPr>
        <w:pStyle w:val="Point1"/>
        <w:rPr>
          <w:noProof/>
        </w:rPr>
      </w:pPr>
      <w:r>
        <w:rPr>
          <w:noProof/>
        </w:rPr>
        <w:t>3.5.</w:t>
      </w:r>
      <w:r>
        <w:rPr>
          <w:noProof/>
        </w:rPr>
        <w:tab/>
        <w:t>Kun luettelon säännössä määrätään, että tuote on valmistettava tietystä aineksesta, tämä edellytys ei estä käyttämästä muita aineksia, jotka eivät luonteensa vuoksi voi sitä täyttää.</w:t>
      </w:r>
    </w:p>
    <w:p>
      <w:pPr>
        <w:pStyle w:val="Point1"/>
        <w:rPr>
          <w:noProof/>
        </w:rPr>
      </w:pPr>
      <w:r>
        <w:rPr>
          <w:noProof/>
        </w:rPr>
        <w:t>3.6.</w:t>
      </w:r>
      <w:r>
        <w:rPr>
          <w:noProof/>
        </w:rPr>
        <w:tab/>
        <w:t>Jos luettelon säännössä määrätään kaksi prosenttimäärää enimmäisarvoksi ei</w:t>
      </w:r>
      <w:r>
        <w:rPr>
          <w:noProof/>
        </w:rPr>
        <w:noBreakHyphen/>
        <w:t>alkuperäaineksille, joita voidaan käyttää, näitä prosenttimääriä ei saa laskea yhteen. Toisin sanoen kaikkien käytettyjen ei-alkuperäainesten enimmäisarvo ei saa koskaan olla suurempi kuin korkeampi kyseisistä prosenttimääristä. Lisäksi yksittäisiä prosenttimääriä ei saa ylittää niiden nimenomaisten ainesten osalta, joita ne koskevat.</w:t>
      </w:r>
    </w:p>
    <w:p>
      <w:pPr>
        <w:pStyle w:val="Text1"/>
        <w:rPr>
          <w:b/>
          <w:noProof/>
        </w:rPr>
      </w:pPr>
      <w:r>
        <w:rPr>
          <w:b/>
          <w:noProof/>
        </w:rPr>
        <w:t>Huomautus 4 – Tiettyjä maataloustuotteita koskevat yleiset säännökset</w:t>
      </w:r>
    </w:p>
    <w:p>
      <w:pPr>
        <w:pStyle w:val="Point1"/>
        <w:rPr>
          <w:noProof/>
        </w:rPr>
      </w:pPr>
      <w:r>
        <w:rPr>
          <w:noProof/>
        </w:rPr>
        <w:t>4.1.</w:t>
      </w:r>
      <w:r>
        <w:rPr>
          <w:noProof/>
        </w:rPr>
        <w:tab/>
        <w:t>Osapuolen alueella kasvatettuja tai siellä korjattuja 6, 7, 8, 9, 10 ja 12 ryhmän sekä nimikkeen 2401 maataloustuotteita on kohdeltava kyseisen osapuolen alueen alkuperätuotteina, vaikka ne olisi kasvatettu tuoduista siemenistä, sipuleista, juurakoista, pistokkaista, varttamisoksista, versoista, nupuista tai kasvien muista elävistä osista.</w:t>
      </w:r>
    </w:p>
    <w:p>
      <w:pPr>
        <w:pStyle w:val="Point1"/>
        <w:rPr>
          <w:noProof/>
        </w:rPr>
      </w:pPr>
      <w:r>
        <w:rPr>
          <w:noProof/>
        </w:rPr>
        <w:t>4.2.</w:t>
      </w:r>
      <w:r>
        <w:rPr>
          <w:noProof/>
        </w:rPr>
        <w:tab/>
        <w:t>Jos jonkin tuotteen sisältämään ei-alkuperäsokerin pitoisuuteen sovelletaan rajoituksia, valmiin tuotteen valmistuksessa ja valmiiseen tuotteeseen sisällytettyjen ei-alkuperätuotteiden valmistuksessa käytetyn, nimikkeeseen 1701 (sakkaroosi) tai 1702 (esim. fruktoosi, glukoosi, laktoosi, maltoosi, isoglukoosi ja inverttisokeri) kuuluvan sokerin paino otetaan huomioon tällaisia rajoituksia laskettaessa</w:t>
      </w:r>
    </w:p>
    <w:p>
      <w:pPr>
        <w:pStyle w:val="Text1"/>
        <w:rPr>
          <w:b/>
          <w:noProof/>
        </w:rPr>
      </w:pPr>
      <w:r>
        <w:rPr>
          <w:noProof/>
        </w:rPr>
        <w:br w:type="page"/>
      </w:r>
      <w:r>
        <w:rPr>
          <w:b/>
          <w:noProof/>
        </w:rPr>
        <w:t>Huomautus 5 – Tiettyjä tekstiilituotteita koskeva terminologia</w:t>
      </w:r>
    </w:p>
    <w:p>
      <w:pPr>
        <w:pStyle w:val="Point1"/>
        <w:rPr>
          <w:noProof/>
        </w:rPr>
      </w:pPr>
      <w:r>
        <w:rPr>
          <w:noProof/>
        </w:rPr>
        <w:t>5.1.</w:t>
      </w:r>
      <w:r>
        <w:rPr>
          <w:noProof/>
        </w:rPr>
        <w:tab/>
        <w:t>Luettelossa käytetyllä ilmaisulla ’luonnonkuidut’ tarkoitetaan muita kuituja kuin muunto- ja synteettikuituja. Se rajoittuu kehruuta edeltävillä valmistusasteilla oleviin kuituihin ja siihen kuuluvat myös jätteet ja, jollei toisin mainita, kuidut, jotka on karstattu, kammattu tai muulla tavoin valmistettu, mutta joita ei ole kehrätty.</w:t>
      </w:r>
    </w:p>
    <w:p>
      <w:pPr>
        <w:pStyle w:val="Point1"/>
        <w:rPr>
          <w:noProof/>
        </w:rPr>
      </w:pPr>
      <w:r>
        <w:rPr>
          <w:noProof/>
        </w:rPr>
        <w:t>5.2.</w:t>
      </w:r>
      <w:r>
        <w:rPr>
          <w:noProof/>
        </w:rPr>
        <w:tab/>
        <w:t>Ilmaisuun ’luonnonkuidut’ kuuluvat nimikkeen 0511 jouhi, nimikkeiden 5002 ja 5003 silkki, nimikkeiden 5101–5105 villakuidut ja hieno ja karkea eläimenkarva, nimikkeiden 5201–5203 puuvillakuidut ja nimikkeiden 5301–5305 muut kasvitekstiilikuidut.</w:t>
      </w:r>
    </w:p>
    <w:p>
      <w:pPr>
        <w:pStyle w:val="Point1"/>
        <w:rPr>
          <w:noProof/>
        </w:rPr>
      </w:pPr>
      <w:r>
        <w:rPr>
          <w:noProof/>
        </w:rPr>
        <w:t>5.3.</w:t>
      </w:r>
      <w:r>
        <w:rPr>
          <w:noProof/>
        </w:rPr>
        <w:tab/>
        <w:t>Ilmaisuja ’tekstiilimassa’, ’kemialliset aineet’ ja ’paperinvalmistusaineet’ käytetään luettelossa kuvaamaan 50–63 ryhmään kuulumattomia aineksia, joita voidaan käyttää muunto-, synteetti- tai paperikuitujen tai -lankojen valmistukseen.</w:t>
      </w:r>
    </w:p>
    <w:p>
      <w:pPr>
        <w:pStyle w:val="Point1"/>
        <w:rPr>
          <w:noProof/>
        </w:rPr>
      </w:pPr>
      <w:r>
        <w:rPr>
          <w:noProof/>
        </w:rPr>
        <w:t>5.4.</w:t>
      </w:r>
      <w:r>
        <w:rPr>
          <w:noProof/>
        </w:rPr>
        <w:tab/>
        <w:t>Luettelossa käytettyyn ilmaisuun ’katkotut tekokuidut’ kuuluvat nimikkeiden 5501–5507 synteetti- tai muuntokuitufilamenttitouvi, synteetti- ja muuntokatkokuidut ja niiden jätteet.</w:t>
      </w:r>
    </w:p>
    <w:p>
      <w:pPr>
        <w:pStyle w:val="Point1"/>
        <w:rPr>
          <w:noProof/>
        </w:rPr>
      </w:pPr>
      <w:r>
        <w:rPr>
          <w:noProof/>
        </w:rPr>
        <w:t>5.5.</w:t>
      </w:r>
      <w:r>
        <w:rPr>
          <w:noProof/>
        </w:rPr>
        <w:tab/>
        <w:t>Painaminen (yhdessä kehruun, neulomisen/virkkaamisen, tuftauksen tai nukkaamisen kanssa) määritellään tekniikaksi, jolla tekstiilialustalle annetaan rasteri-, rulla-, digitaalista tai muuta siirtotekniikkaa käyttäen pysyvä objektiivisesti arvioitu funktio, kuten väri, kuvio tai tekninen suorituskyky.</w:t>
      </w:r>
    </w:p>
    <w:p>
      <w:pPr>
        <w:pStyle w:val="Point1"/>
        <w:rPr>
          <w:noProof/>
        </w:rPr>
      </w:pPr>
      <w:r>
        <w:rPr>
          <w:noProof/>
        </w:rPr>
        <w:t>5.6.</w:t>
      </w:r>
      <w:r>
        <w:rPr>
          <w:noProof/>
        </w:rPr>
        <w:tab/>
        <w:t>Painaminen (itsenäisenä toimena) määritellään tekniikaksi, jolla tekstiilialustalle annetaan asteri-, rulla-, digitaalista tai muuta siirtotekniikkaa käyttäen pysyvä objektiivisesti arvioitu funktio, kuten väri, rakenne ja tekninen suorituskyky, ja sille tehdään vähintään kaksi valmistelu- tai viimeistelytoimea (kuten pesu, valkaisu, merserointi, lämpökiinnitys, nukitus, kalanterointi, kutistumisen estävä käsittely, kestoviimeistely, dekatointi, kyllästäminen, parsinta ja noppaus), edellyttäen että käytettyjen ainesten arvo on enintään 50 prosenttia tuotteen noudettuna</w:t>
      </w:r>
      <w:r>
        <w:rPr>
          <w:noProof/>
        </w:rPr>
        <w:noBreakHyphen/>
        <w:t>hinnasta.</w:t>
      </w:r>
    </w:p>
    <w:p>
      <w:pPr>
        <w:pStyle w:val="Text1"/>
        <w:rPr>
          <w:b/>
          <w:noProof/>
        </w:rPr>
      </w:pPr>
      <w:r>
        <w:rPr>
          <w:b/>
          <w:noProof/>
        </w:rPr>
        <w:t>Huomautus 6 – Tekstiiliaineiden sekoituksista valmistettuihin tuotteisiin sovellettavat poikkeamat</w:t>
      </w:r>
    </w:p>
    <w:p>
      <w:pPr>
        <w:pStyle w:val="Point1"/>
        <w:rPr>
          <w:noProof/>
        </w:rPr>
      </w:pPr>
      <w:r>
        <w:rPr>
          <w:noProof/>
        </w:rPr>
        <w:t>6.1.</w:t>
      </w:r>
      <w:r>
        <w:rPr>
          <w:noProof/>
        </w:rPr>
        <w:tab/>
        <w:t>Kun luettelossa mainittuun tuotteeseen liittyy viittaus tähän huomautukseen, luettelon 3 sarakkeessa vahvistettuja edellytyksiä ei sovelleta kyseisen tuotteen valmistuksessa käytettyihin perustekstiiliaineisiin, joiden paino yhteensä on enintään 15 prosenttia kaikkien käytettyjen perustekstiiliaineiden yhteispainosta (katso myös huomautukset 6.3 ja 6.4).</w:t>
      </w:r>
    </w:p>
    <w:p>
      <w:pPr>
        <w:pStyle w:val="Point1"/>
        <w:rPr>
          <w:noProof/>
        </w:rPr>
      </w:pPr>
      <w:r>
        <w:rPr>
          <w:noProof/>
        </w:rPr>
        <w:t>6.2.</w:t>
      </w:r>
      <w:r>
        <w:rPr>
          <w:noProof/>
        </w:rPr>
        <w:tab/>
        <w:t>Huomautuksessa 6.1 mainittua poikkeamaa voidaan kuitenkin soveltaa ainoastaan sekoitetuotteisiin, jotka on tehty kahdesta tai useammasta perustekstiiliaineesta.</w:t>
      </w:r>
    </w:p>
    <w:p>
      <w:pPr>
        <w:pStyle w:val="Text2"/>
        <w:rPr>
          <w:noProof/>
        </w:rPr>
      </w:pPr>
      <w:r>
        <w:rPr>
          <w:noProof/>
        </w:rPr>
        <w:t>Perustekstiiliaineet ovat seuraavat:</w:t>
      </w:r>
    </w:p>
    <w:p>
      <w:pPr>
        <w:pStyle w:val="Tiret2"/>
        <w:numPr>
          <w:ilvl w:val="0"/>
          <w:numId w:val="23"/>
        </w:numPr>
        <w:spacing w:line="360" w:lineRule="auto"/>
        <w:rPr>
          <w:noProof/>
        </w:rPr>
      </w:pPr>
      <w:r>
        <w:rPr>
          <w:noProof/>
        </w:rPr>
        <w:t>silkki,</w:t>
      </w:r>
    </w:p>
    <w:p>
      <w:pPr>
        <w:pStyle w:val="Tiret2"/>
        <w:numPr>
          <w:ilvl w:val="0"/>
          <w:numId w:val="23"/>
        </w:numPr>
        <w:spacing w:line="360" w:lineRule="auto"/>
        <w:rPr>
          <w:noProof/>
        </w:rPr>
      </w:pPr>
      <w:r>
        <w:rPr>
          <w:noProof/>
        </w:rPr>
        <w:t>villa,</w:t>
      </w:r>
    </w:p>
    <w:p>
      <w:pPr>
        <w:pStyle w:val="Tiret2"/>
        <w:numPr>
          <w:ilvl w:val="0"/>
          <w:numId w:val="23"/>
        </w:numPr>
        <w:spacing w:line="360" w:lineRule="auto"/>
        <w:rPr>
          <w:noProof/>
        </w:rPr>
      </w:pPr>
      <w:r>
        <w:rPr>
          <w:noProof/>
        </w:rPr>
        <w:t>karkea eläimenkarva,</w:t>
      </w:r>
    </w:p>
    <w:p>
      <w:pPr>
        <w:pStyle w:val="Tiret2"/>
        <w:numPr>
          <w:ilvl w:val="0"/>
          <w:numId w:val="23"/>
        </w:numPr>
        <w:spacing w:line="360" w:lineRule="auto"/>
        <w:rPr>
          <w:noProof/>
        </w:rPr>
      </w:pPr>
      <w:r>
        <w:rPr>
          <w:noProof/>
        </w:rPr>
        <w:t>hieno eläimenkarva,</w:t>
      </w:r>
    </w:p>
    <w:p>
      <w:pPr>
        <w:pStyle w:val="Tiret2"/>
        <w:numPr>
          <w:ilvl w:val="0"/>
          <w:numId w:val="23"/>
        </w:numPr>
        <w:spacing w:line="360" w:lineRule="auto"/>
        <w:rPr>
          <w:noProof/>
        </w:rPr>
      </w:pPr>
      <w:r>
        <w:rPr>
          <w:noProof/>
        </w:rPr>
        <w:t>jouhet,</w:t>
      </w:r>
    </w:p>
    <w:p>
      <w:pPr>
        <w:pStyle w:val="Tiret2"/>
        <w:numPr>
          <w:ilvl w:val="0"/>
          <w:numId w:val="23"/>
        </w:numPr>
        <w:spacing w:line="360" w:lineRule="auto"/>
        <w:rPr>
          <w:noProof/>
        </w:rPr>
      </w:pPr>
      <w:r>
        <w:rPr>
          <w:noProof/>
        </w:rPr>
        <w:t>puuvilla,</w:t>
      </w:r>
    </w:p>
    <w:p>
      <w:pPr>
        <w:pStyle w:val="Tiret2"/>
        <w:numPr>
          <w:ilvl w:val="0"/>
          <w:numId w:val="23"/>
        </w:numPr>
        <w:spacing w:line="360" w:lineRule="auto"/>
        <w:rPr>
          <w:noProof/>
        </w:rPr>
      </w:pPr>
      <w:r>
        <w:rPr>
          <w:noProof/>
        </w:rPr>
        <w:t>paperinvalmistusaineet ja paperi,</w:t>
      </w:r>
    </w:p>
    <w:p>
      <w:pPr>
        <w:pStyle w:val="Tiret2"/>
        <w:numPr>
          <w:ilvl w:val="0"/>
          <w:numId w:val="23"/>
        </w:numPr>
        <w:spacing w:line="360" w:lineRule="auto"/>
        <w:rPr>
          <w:noProof/>
        </w:rPr>
      </w:pPr>
      <w:r>
        <w:rPr>
          <w:noProof/>
        </w:rPr>
        <w:t>pellava,</w:t>
      </w:r>
    </w:p>
    <w:p>
      <w:pPr>
        <w:pStyle w:val="Tiret2"/>
        <w:numPr>
          <w:ilvl w:val="0"/>
          <w:numId w:val="23"/>
        </w:numPr>
        <w:spacing w:line="360" w:lineRule="auto"/>
        <w:rPr>
          <w:noProof/>
        </w:rPr>
      </w:pPr>
      <w:r>
        <w:rPr>
          <w:noProof/>
        </w:rPr>
        <w:t>hamppu,</w:t>
      </w:r>
    </w:p>
    <w:p>
      <w:pPr>
        <w:pStyle w:val="Tiret2"/>
        <w:numPr>
          <w:ilvl w:val="0"/>
          <w:numId w:val="23"/>
        </w:numPr>
        <w:spacing w:line="360" w:lineRule="auto"/>
        <w:rPr>
          <w:noProof/>
        </w:rPr>
      </w:pPr>
      <w:r>
        <w:rPr>
          <w:noProof/>
        </w:rPr>
        <w:t>juutti ja muut niinitekstiilikuidut,</w:t>
      </w:r>
    </w:p>
    <w:p>
      <w:pPr>
        <w:pStyle w:val="Tiret2"/>
        <w:numPr>
          <w:ilvl w:val="0"/>
          <w:numId w:val="23"/>
        </w:numPr>
        <w:spacing w:line="360" w:lineRule="auto"/>
        <w:rPr>
          <w:noProof/>
        </w:rPr>
      </w:pPr>
      <w:r>
        <w:rPr>
          <w:noProof/>
        </w:rPr>
        <w:t>sisali ja muut Agave-sukuisista kasveista saadut tekstiilikuidut,</w:t>
      </w:r>
    </w:p>
    <w:p>
      <w:pPr>
        <w:pStyle w:val="Tiret2"/>
        <w:numPr>
          <w:ilvl w:val="0"/>
          <w:numId w:val="23"/>
        </w:numPr>
        <w:spacing w:line="360" w:lineRule="auto"/>
        <w:rPr>
          <w:noProof/>
        </w:rPr>
      </w:pPr>
      <w:r>
        <w:rPr>
          <w:noProof/>
        </w:rPr>
        <w:t>kookoskuidut, manilla, rami ja muut kasvitekstiilikuidut,</w:t>
      </w:r>
    </w:p>
    <w:p>
      <w:pPr>
        <w:pStyle w:val="Tiret2"/>
        <w:numPr>
          <w:ilvl w:val="0"/>
          <w:numId w:val="23"/>
        </w:numPr>
        <w:spacing w:line="360" w:lineRule="auto"/>
        <w:rPr>
          <w:noProof/>
        </w:rPr>
      </w:pPr>
      <w:r>
        <w:rPr>
          <w:noProof/>
        </w:rPr>
        <w:t>polypropeenista valmistetut synteettiset filamenttikuidut,</w:t>
      </w:r>
    </w:p>
    <w:p>
      <w:pPr>
        <w:pStyle w:val="Tiret2"/>
        <w:numPr>
          <w:ilvl w:val="0"/>
          <w:numId w:val="23"/>
        </w:numPr>
        <w:spacing w:line="360" w:lineRule="auto"/>
        <w:rPr>
          <w:noProof/>
        </w:rPr>
      </w:pPr>
      <w:r>
        <w:rPr>
          <w:noProof/>
        </w:rPr>
        <w:t>polyesteristä valmistetut synteettiset filamenttikuidut,</w:t>
      </w:r>
    </w:p>
    <w:p>
      <w:pPr>
        <w:pStyle w:val="Tiret2"/>
        <w:numPr>
          <w:ilvl w:val="0"/>
          <w:numId w:val="23"/>
        </w:numPr>
        <w:spacing w:line="360" w:lineRule="auto"/>
        <w:rPr>
          <w:noProof/>
        </w:rPr>
      </w:pPr>
      <w:r>
        <w:rPr>
          <w:noProof/>
        </w:rPr>
        <w:t>polyamidista valmistetut synteettiset filamenttikuidut,</w:t>
      </w:r>
    </w:p>
    <w:p>
      <w:pPr>
        <w:pStyle w:val="Tiret2"/>
        <w:numPr>
          <w:ilvl w:val="0"/>
          <w:numId w:val="23"/>
        </w:numPr>
        <w:spacing w:line="360" w:lineRule="auto"/>
        <w:rPr>
          <w:noProof/>
        </w:rPr>
      </w:pPr>
      <w:r>
        <w:rPr>
          <w:noProof/>
        </w:rPr>
        <w:t>polyakryolonitriilistä valmistetut synteettiset filamenttikuidut,</w:t>
      </w:r>
    </w:p>
    <w:p>
      <w:pPr>
        <w:pStyle w:val="Tiret2"/>
        <w:numPr>
          <w:ilvl w:val="0"/>
          <w:numId w:val="23"/>
        </w:numPr>
        <w:spacing w:line="360" w:lineRule="auto"/>
        <w:rPr>
          <w:noProof/>
        </w:rPr>
      </w:pPr>
      <w:r>
        <w:rPr>
          <w:noProof/>
        </w:rPr>
        <w:t>polyimidistä valmistetut synteettiset filamenttikuidut,</w:t>
      </w:r>
    </w:p>
    <w:p>
      <w:pPr>
        <w:pStyle w:val="Tiret2"/>
        <w:numPr>
          <w:ilvl w:val="0"/>
          <w:numId w:val="23"/>
        </w:numPr>
        <w:spacing w:line="360" w:lineRule="auto"/>
        <w:rPr>
          <w:noProof/>
        </w:rPr>
      </w:pPr>
      <w:r>
        <w:rPr>
          <w:noProof/>
        </w:rPr>
        <w:t>polytetrafluorieteenistä valmistetut synteettiset filamenttikuidut,</w:t>
      </w:r>
    </w:p>
    <w:p>
      <w:pPr>
        <w:pStyle w:val="Tiret2"/>
        <w:numPr>
          <w:ilvl w:val="0"/>
          <w:numId w:val="23"/>
        </w:numPr>
        <w:spacing w:line="360" w:lineRule="auto"/>
        <w:rPr>
          <w:noProof/>
        </w:rPr>
      </w:pPr>
      <w:r>
        <w:rPr>
          <w:noProof/>
        </w:rPr>
        <w:t>poly(fenyleenisulfidista) valmistetut synteettiset filamenttikuidut,</w:t>
      </w:r>
    </w:p>
    <w:p>
      <w:pPr>
        <w:pStyle w:val="Tiret2"/>
        <w:numPr>
          <w:ilvl w:val="0"/>
          <w:numId w:val="23"/>
        </w:numPr>
        <w:spacing w:line="360" w:lineRule="auto"/>
        <w:rPr>
          <w:noProof/>
        </w:rPr>
      </w:pPr>
      <w:r>
        <w:rPr>
          <w:noProof/>
        </w:rPr>
        <w:t>poly(vinyylikloridista) valmistetut synteettiset filamenttikuidut,</w:t>
      </w:r>
    </w:p>
    <w:p>
      <w:pPr>
        <w:pStyle w:val="Tiret2"/>
        <w:numPr>
          <w:ilvl w:val="0"/>
          <w:numId w:val="23"/>
        </w:numPr>
        <w:spacing w:line="360" w:lineRule="auto"/>
        <w:rPr>
          <w:noProof/>
        </w:rPr>
      </w:pPr>
      <w:r>
        <w:rPr>
          <w:noProof/>
        </w:rPr>
        <w:t>muut synteettiset filamenttikuidut,</w:t>
      </w:r>
    </w:p>
    <w:p>
      <w:pPr>
        <w:pStyle w:val="Tiret2"/>
        <w:numPr>
          <w:ilvl w:val="0"/>
          <w:numId w:val="23"/>
        </w:numPr>
        <w:spacing w:line="360" w:lineRule="auto"/>
        <w:rPr>
          <w:noProof/>
        </w:rPr>
      </w:pPr>
      <w:r>
        <w:rPr>
          <w:noProof/>
        </w:rPr>
        <w:t>viskoosista valmistetut muuntofilamenttikuidut,</w:t>
      </w:r>
    </w:p>
    <w:p>
      <w:pPr>
        <w:pStyle w:val="Tiret2"/>
        <w:numPr>
          <w:ilvl w:val="0"/>
          <w:numId w:val="23"/>
        </w:numPr>
        <w:spacing w:line="360" w:lineRule="auto"/>
        <w:rPr>
          <w:noProof/>
        </w:rPr>
      </w:pPr>
      <w:r>
        <w:rPr>
          <w:noProof/>
        </w:rPr>
        <w:t>muut muuntofilamenttikuidut,</w:t>
      </w:r>
    </w:p>
    <w:p>
      <w:pPr>
        <w:pStyle w:val="Tiret2"/>
        <w:numPr>
          <w:ilvl w:val="0"/>
          <w:numId w:val="23"/>
        </w:numPr>
        <w:spacing w:line="360" w:lineRule="auto"/>
        <w:rPr>
          <w:noProof/>
        </w:rPr>
      </w:pPr>
      <w:r>
        <w:rPr>
          <w:noProof/>
        </w:rPr>
        <w:t>sähköä johtavat filamentit,</w:t>
      </w:r>
    </w:p>
    <w:p>
      <w:pPr>
        <w:pStyle w:val="Tiret2"/>
        <w:numPr>
          <w:ilvl w:val="0"/>
          <w:numId w:val="23"/>
        </w:numPr>
        <w:spacing w:line="360" w:lineRule="auto"/>
        <w:rPr>
          <w:noProof/>
        </w:rPr>
      </w:pPr>
      <w:r>
        <w:rPr>
          <w:noProof/>
        </w:rPr>
        <w:t>polypropeenista valmistetut synteettikatkokuidut,</w:t>
      </w:r>
    </w:p>
    <w:p>
      <w:pPr>
        <w:pStyle w:val="Tiret2"/>
        <w:numPr>
          <w:ilvl w:val="0"/>
          <w:numId w:val="23"/>
        </w:numPr>
        <w:spacing w:line="360" w:lineRule="auto"/>
        <w:rPr>
          <w:noProof/>
        </w:rPr>
      </w:pPr>
      <w:r>
        <w:rPr>
          <w:noProof/>
        </w:rPr>
        <w:t>polyesteristä valmistetut synteettikatkokuidut,</w:t>
      </w:r>
    </w:p>
    <w:p>
      <w:pPr>
        <w:pStyle w:val="Tiret2"/>
        <w:numPr>
          <w:ilvl w:val="0"/>
          <w:numId w:val="23"/>
        </w:numPr>
        <w:spacing w:line="360" w:lineRule="auto"/>
        <w:rPr>
          <w:noProof/>
        </w:rPr>
      </w:pPr>
      <w:r>
        <w:rPr>
          <w:noProof/>
        </w:rPr>
        <w:t>polyamidista valmistetut synteettikatkokuidut,</w:t>
      </w:r>
    </w:p>
    <w:p>
      <w:pPr>
        <w:pStyle w:val="Tiret2"/>
        <w:numPr>
          <w:ilvl w:val="0"/>
          <w:numId w:val="23"/>
        </w:numPr>
        <w:spacing w:line="360" w:lineRule="auto"/>
        <w:rPr>
          <w:noProof/>
        </w:rPr>
      </w:pPr>
      <w:r>
        <w:rPr>
          <w:noProof/>
        </w:rPr>
        <w:t>polyakryylinitriilistä valmistetut synteettikatkokuidut,</w:t>
      </w:r>
    </w:p>
    <w:p>
      <w:pPr>
        <w:pStyle w:val="Tiret2"/>
        <w:numPr>
          <w:ilvl w:val="0"/>
          <w:numId w:val="23"/>
        </w:numPr>
        <w:spacing w:line="360" w:lineRule="auto"/>
        <w:rPr>
          <w:noProof/>
        </w:rPr>
      </w:pPr>
      <w:r>
        <w:rPr>
          <w:noProof/>
        </w:rPr>
        <w:t>polyimidistä valmistetut synteettikatkokuidut,</w:t>
      </w:r>
    </w:p>
    <w:p>
      <w:pPr>
        <w:pStyle w:val="Tiret2"/>
        <w:numPr>
          <w:ilvl w:val="0"/>
          <w:numId w:val="23"/>
        </w:numPr>
        <w:spacing w:line="360" w:lineRule="auto"/>
        <w:rPr>
          <w:noProof/>
        </w:rPr>
      </w:pPr>
      <w:r>
        <w:rPr>
          <w:noProof/>
        </w:rPr>
        <w:t>polytetrafluorieteenistä valmistetut synteettikatkokuidut,</w:t>
      </w:r>
    </w:p>
    <w:p>
      <w:pPr>
        <w:pStyle w:val="Tiret2"/>
        <w:numPr>
          <w:ilvl w:val="0"/>
          <w:numId w:val="23"/>
        </w:numPr>
        <w:spacing w:line="360" w:lineRule="auto"/>
        <w:rPr>
          <w:noProof/>
        </w:rPr>
      </w:pPr>
      <w:r>
        <w:rPr>
          <w:noProof/>
        </w:rPr>
        <w:t>poly(fenyleenisulfidista) valmistetut synteettikatkokuidut,</w:t>
      </w:r>
    </w:p>
    <w:p>
      <w:pPr>
        <w:pStyle w:val="Tiret2"/>
        <w:numPr>
          <w:ilvl w:val="0"/>
          <w:numId w:val="23"/>
        </w:numPr>
        <w:spacing w:line="360" w:lineRule="auto"/>
        <w:rPr>
          <w:noProof/>
        </w:rPr>
      </w:pPr>
      <w:r>
        <w:rPr>
          <w:noProof/>
        </w:rPr>
        <w:t>poly(vinyylikloridista) valmistetut synteettikatkokuidut,</w:t>
      </w:r>
    </w:p>
    <w:p>
      <w:pPr>
        <w:pStyle w:val="Tiret2"/>
        <w:numPr>
          <w:ilvl w:val="0"/>
          <w:numId w:val="23"/>
        </w:numPr>
        <w:spacing w:line="360" w:lineRule="auto"/>
        <w:rPr>
          <w:noProof/>
        </w:rPr>
      </w:pPr>
      <w:r>
        <w:rPr>
          <w:noProof/>
        </w:rPr>
        <w:t>muut synteettikatkokuidut,</w:t>
      </w:r>
    </w:p>
    <w:p>
      <w:pPr>
        <w:pStyle w:val="Tiret2"/>
        <w:numPr>
          <w:ilvl w:val="0"/>
          <w:numId w:val="23"/>
        </w:numPr>
        <w:spacing w:line="360" w:lineRule="auto"/>
        <w:rPr>
          <w:noProof/>
        </w:rPr>
      </w:pPr>
      <w:r>
        <w:rPr>
          <w:noProof/>
        </w:rPr>
        <w:t>viskoosista valmistetut muuntokatkokuidut,</w:t>
      </w:r>
    </w:p>
    <w:p>
      <w:pPr>
        <w:pStyle w:val="Tiret2"/>
        <w:numPr>
          <w:ilvl w:val="0"/>
          <w:numId w:val="23"/>
        </w:numPr>
        <w:spacing w:line="360" w:lineRule="auto"/>
        <w:rPr>
          <w:noProof/>
        </w:rPr>
      </w:pPr>
      <w:r>
        <w:rPr>
          <w:noProof/>
        </w:rPr>
        <w:t>muut muuntokatkokuidut,</w:t>
      </w:r>
    </w:p>
    <w:p>
      <w:pPr>
        <w:pStyle w:val="Tiret2"/>
        <w:numPr>
          <w:ilvl w:val="0"/>
          <w:numId w:val="23"/>
        </w:numPr>
        <w:spacing w:line="360" w:lineRule="auto"/>
        <w:rPr>
          <w:noProof/>
        </w:rPr>
      </w:pPr>
      <w:r>
        <w:rPr>
          <w:noProof/>
        </w:rPr>
        <w:t>segmentoitu polyuretaania oleva lanka, jossa on joustavia polyeetterisegmenttejä, myös kierrepäällystetty,</w:t>
      </w:r>
    </w:p>
    <w:p>
      <w:pPr>
        <w:pStyle w:val="Tiret2"/>
        <w:numPr>
          <w:ilvl w:val="0"/>
          <w:numId w:val="23"/>
        </w:numPr>
        <w:spacing w:line="360" w:lineRule="auto"/>
        <w:rPr>
          <w:noProof/>
        </w:rPr>
      </w:pPr>
      <w:r>
        <w:rPr>
          <w:noProof/>
        </w:rPr>
        <w:t>nimikkeen 5605 tuotteet (metalloitu lanka), joissa on kaistaleita, jotka koostuvat enintään 5 mm leveästä kahden muovikelmun väliin joko värittömällä tai värillisellä liimalla kiinnitetystä, alumiinifoliota tai muovikelmua, myös alumiinijauheella peitettyä, olevasta sydämestä,</w:t>
      </w:r>
    </w:p>
    <w:p>
      <w:pPr>
        <w:pStyle w:val="Tiret2"/>
        <w:numPr>
          <w:ilvl w:val="0"/>
          <w:numId w:val="23"/>
        </w:numPr>
        <w:spacing w:line="360" w:lineRule="auto"/>
        <w:rPr>
          <w:noProof/>
        </w:rPr>
      </w:pPr>
      <w:r>
        <w:rPr>
          <w:noProof/>
        </w:rPr>
        <w:t>muut nimikkeen 5605 tuotteet,</w:t>
      </w:r>
    </w:p>
    <w:p>
      <w:pPr>
        <w:pStyle w:val="Tiret2"/>
        <w:numPr>
          <w:ilvl w:val="0"/>
          <w:numId w:val="23"/>
        </w:numPr>
        <w:spacing w:line="360" w:lineRule="auto"/>
        <w:rPr>
          <w:noProof/>
        </w:rPr>
      </w:pPr>
      <w:r>
        <w:rPr>
          <w:noProof/>
        </w:rPr>
        <w:t>lasikuidut,</w:t>
      </w:r>
    </w:p>
    <w:p>
      <w:pPr>
        <w:pStyle w:val="Tiret2"/>
        <w:numPr>
          <w:ilvl w:val="0"/>
          <w:numId w:val="23"/>
        </w:numPr>
        <w:spacing w:line="360" w:lineRule="auto"/>
        <w:rPr>
          <w:noProof/>
        </w:rPr>
      </w:pPr>
      <w:r>
        <w:rPr>
          <w:noProof/>
        </w:rPr>
        <w:t>metallikuidut,</w:t>
      </w:r>
    </w:p>
    <w:p>
      <w:pPr>
        <w:pStyle w:val="Tiret2"/>
        <w:numPr>
          <w:ilvl w:val="0"/>
          <w:numId w:val="23"/>
        </w:numPr>
        <w:spacing w:line="360" w:lineRule="auto"/>
        <w:rPr>
          <w:noProof/>
        </w:rPr>
      </w:pPr>
      <w:r>
        <w:rPr>
          <w:noProof/>
        </w:rPr>
        <w:t>mineraalikuidut.</w:t>
      </w:r>
    </w:p>
    <w:p>
      <w:pPr>
        <w:pStyle w:val="Point1"/>
        <w:rPr>
          <w:noProof/>
        </w:rPr>
      </w:pPr>
      <w:r>
        <w:rPr>
          <w:noProof/>
        </w:rPr>
        <w:t>6.3.</w:t>
      </w:r>
      <w:r>
        <w:rPr>
          <w:noProof/>
        </w:rPr>
        <w:tab/>
        <w:t>Tuotteissa, joissa on ”segmentoitua polyuretaania olevaa lankaa, jossa on joustavia polyeetterisegmenttejä, myös kierrepäällystettyä”, tämä poikkeama on tällaisen langan osalta 20 prosenttia.</w:t>
      </w:r>
    </w:p>
    <w:p>
      <w:pPr>
        <w:pStyle w:val="Point1"/>
        <w:rPr>
          <w:noProof/>
        </w:rPr>
      </w:pPr>
      <w:r>
        <w:rPr>
          <w:noProof/>
        </w:rPr>
        <w:t>6.4.</w:t>
      </w:r>
      <w:r>
        <w:rPr>
          <w:noProof/>
        </w:rPr>
        <w:tab/>
        <w:t>Tuotteissa, joissa on ”kaistaleita, jotka koostuvat enintään 5 mm leveästä kahden muovikelmun väliin joko värittömällä tai värillisellä liimalla kiinnitetystä, alumiinifoliota tai muovikelmua, myös alumiinijauheella peitettyä, olevasta sydämestä”, tämä poikkeama on tällaisen kaistaleen osalta 30 prosenttia.</w:t>
      </w:r>
    </w:p>
    <w:p>
      <w:pPr>
        <w:pStyle w:val="Text1"/>
        <w:rPr>
          <w:b/>
          <w:noProof/>
        </w:rPr>
      </w:pPr>
      <w:r>
        <w:rPr>
          <w:b/>
          <w:noProof/>
        </w:rPr>
        <w:t>Huomautus 7 – Tiettyihin tekstiilituotteisiin sovellettavat muut poikkeamat</w:t>
      </w:r>
    </w:p>
    <w:p>
      <w:pPr>
        <w:pStyle w:val="Point1"/>
        <w:rPr>
          <w:noProof/>
        </w:rPr>
      </w:pPr>
      <w:r>
        <w:rPr>
          <w:noProof/>
        </w:rPr>
        <w:t>7.1.</w:t>
      </w:r>
      <w:r>
        <w:rPr>
          <w:noProof/>
        </w:rPr>
        <w:tab/>
        <w:t>Kun luettelossa on viittaus tähän huomautukseen, sellaisia tekstiiliaineita voidaan käyttää (vuoria ja välivuoria lukuun ottamatta), jotka eivät täytä kyseistä sovitettua tuotetta koskevaa luettelon kolmannen sarakkeen (3) sääntöä, jos ne luokitellaan eri nimikkeeseen kuin tuote ja jos niiden arvo on enintään 15 prosenttia tuotteen noudettuna-hinnasta.</w:t>
      </w:r>
    </w:p>
    <w:p>
      <w:pPr>
        <w:pStyle w:val="Point1"/>
        <w:rPr>
          <w:noProof/>
        </w:rPr>
      </w:pPr>
      <w:r>
        <w:rPr>
          <w:noProof/>
        </w:rPr>
        <w:t>7.2.</w:t>
      </w:r>
      <w:r>
        <w:rPr>
          <w:noProof/>
        </w:rPr>
        <w:tab/>
        <w:t>Aineksia, joita ei luokitella 50–63 ryhmään, voidaan käyttää vapaasti tekstiilituotteiden valmistuksessa riippumatta siitä, sisältävätkö ne tekstiiliainetta, sanotun kuitenkaan rajoittamatta huomautuksen 6.3 soveltamista.</w:t>
      </w:r>
    </w:p>
    <w:p>
      <w:pPr>
        <w:pStyle w:val="Point1"/>
        <w:rPr>
          <w:noProof/>
        </w:rPr>
      </w:pPr>
      <w:r>
        <w:rPr>
          <w:noProof/>
        </w:rPr>
        <w:t>7.3.</w:t>
      </w:r>
      <w:r>
        <w:rPr>
          <w:noProof/>
        </w:rPr>
        <w:tab/>
        <w:t>Kun prosenttisääntöä sovelletaan, käytettyjen ei-alkuperäainesten arvoa laskettaessa on otettava huomioon sellaisten ainesten arvo, joita ei luokitella 50–63 ryhmään.</w:t>
      </w:r>
    </w:p>
    <w:p>
      <w:pPr>
        <w:pStyle w:val="Point1"/>
        <w:rPr>
          <w:b/>
          <w:noProof/>
        </w:rPr>
      </w:pPr>
      <w:r>
        <w:rPr>
          <w:b/>
          <w:noProof/>
        </w:rPr>
        <w:t>Huomautus 8 – Tiettyjen käsittelyjen määritelmä ja tietyille 27 ryhmän tuotteille tehdyt yksinkertaiset toiminnot</w:t>
      </w:r>
    </w:p>
    <w:p>
      <w:pPr>
        <w:pStyle w:val="Point1"/>
        <w:rPr>
          <w:noProof/>
        </w:rPr>
      </w:pPr>
      <w:r>
        <w:rPr>
          <w:noProof/>
        </w:rPr>
        <w:t>8.1.</w:t>
      </w:r>
      <w:r>
        <w:rPr>
          <w:noProof/>
        </w:rPr>
        <w:tab/>
        <w:t>Nimikkeissä ex 2707 ja 2713 ilmaisu ’tietty käsittely’ tarkoittaa seuraavia toimia:</w:t>
      </w:r>
    </w:p>
    <w:p>
      <w:pPr>
        <w:pStyle w:val="Point2"/>
        <w:rPr>
          <w:noProof/>
        </w:rPr>
      </w:pPr>
      <w:r>
        <w:rPr>
          <w:noProof/>
        </w:rPr>
        <w:t>a)</w:t>
      </w:r>
      <w:r>
        <w:rPr>
          <w:noProof/>
        </w:rPr>
        <w:tab/>
        <w:t>tyhjötislaus;</w:t>
      </w:r>
    </w:p>
    <w:p>
      <w:pPr>
        <w:pStyle w:val="Point2"/>
        <w:rPr>
          <w:noProof/>
        </w:rPr>
      </w:pPr>
      <w:r>
        <w:rPr>
          <w:noProof/>
        </w:rPr>
        <w:t>b)</w:t>
      </w:r>
      <w:r>
        <w:rPr>
          <w:noProof/>
        </w:rPr>
        <w:tab/>
        <w:t>toistotislaus perusteellisen jakotislausmenetelmän avulla;</w:t>
      </w:r>
    </w:p>
    <w:p>
      <w:pPr>
        <w:pStyle w:val="Point2"/>
        <w:rPr>
          <w:noProof/>
        </w:rPr>
      </w:pPr>
      <w:r>
        <w:rPr>
          <w:noProof/>
        </w:rPr>
        <w:t>c)</w:t>
      </w:r>
      <w:r>
        <w:rPr>
          <w:noProof/>
        </w:rPr>
        <w:tab/>
        <w:t>krakkaus;</w:t>
      </w:r>
    </w:p>
    <w:p>
      <w:pPr>
        <w:pStyle w:val="Point2"/>
        <w:rPr>
          <w:noProof/>
        </w:rPr>
      </w:pPr>
      <w:r>
        <w:rPr>
          <w:noProof/>
        </w:rPr>
        <w:t>d)</w:t>
      </w:r>
      <w:r>
        <w:rPr>
          <w:noProof/>
        </w:rPr>
        <w:tab/>
        <w:t>reformointi;</w:t>
      </w:r>
    </w:p>
    <w:p>
      <w:pPr>
        <w:pStyle w:val="Point2"/>
        <w:rPr>
          <w:noProof/>
        </w:rPr>
      </w:pPr>
      <w:r>
        <w:rPr>
          <w:noProof/>
        </w:rPr>
        <w:t>e)</w:t>
      </w:r>
      <w:r>
        <w:rPr>
          <w:noProof/>
        </w:rPr>
        <w:tab/>
        <w:t>uuttaminen valikoivien liuottimien avulla;</w:t>
      </w:r>
    </w:p>
    <w:p>
      <w:pPr>
        <w:pStyle w:val="Point2"/>
        <w:rPr>
          <w:noProof/>
        </w:rPr>
      </w:pPr>
      <w:r>
        <w:rPr>
          <w:noProof/>
        </w:rPr>
        <w:t>f)</w:t>
      </w:r>
      <w:r>
        <w:rPr>
          <w:noProof/>
        </w:rPr>
        <w:tab/>
        <w:t>käsittely, jossa yhdistyvät kaikki seuraavat toiminnot: käsittely tiivistetyllä rikkihapolla, oleumilla tai rikkitrioksidilla; neutralointi emäksisillä aineilla; värinpoisto ja puhdistus luonnostaan aktiivisilla maalajeilla, aktivoiduilla maalajeilla, aktiivihiilellä tai bauksiitilla;</w:t>
      </w:r>
    </w:p>
    <w:p>
      <w:pPr>
        <w:pStyle w:val="Point2"/>
        <w:rPr>
          <w:noProof/>
        </w:rPr>
      </w:pPr>
      <w:r>
        <w:rPr>
          <w:noProof/>
        </w:rPr>
        <w:t>g)</w:t>
      </w:r>
      <w:r>
        <w:rPr>
          <w:noProof/>
        </w:rPr>
        <w:tab/>
        <w:t>polymerointi;</w:t>
      </w:r>
    </w:p>
    <w:p>
      <w:pPr>
        <w:pStyle w:val="Point2"/>
        <w:rPr>
          <w:noProof/>
        </w:rPr>
      </w:pPr>
      <w:r>
        <w:rPr>
          <w:noProof/>
        </w:rPr>
        <w:t>h)</w:t>
      </w:r>
      <w:r>
        <w:rPr>
          <w:noProof/>
        </w:rPr>
        <w:tab/>
        <w:t>alkylointi;</w:t>
      </w:r>
    </w:p>
    <w:p>
      <w:pPr>
        <w:pStyle w:val="Point2"/>
        <w:rPr>
          <w:noProof/>
        </w:rPr>
      </w:pPr>
      <w:r>
        <w:rPr>
          <w:noProof/>
        </w:rPr>
        <w:t>i)</w:t>
      </w:r>
      <w:r>
        <w:rPr>
          <w:noProof/>
        </w:rPr>
        <w:tab/>
        <w:t>isomerointi.</w:t>
      </w:r>
    </w:p>
    <w:p>
      <w:pPr>
        <w:pStyle w:val="Point2"/>
        <w:rPr>
          <w:noProof/>
        </w:rPr>
      </w:pPr>
      <w:r>
        <w:rPr>
          <w:noProof/>
        </w:rPr>
        <w:t>8.2.</w:t>
      </w:r>
      <w:r>
        <w:rPr>
          <w:noProof/>
        </w:rPr>
        <w:tab/>
        <w:t>Nimikkeissä 2710, 2711 ja 2712 ilmaisu ’tietty käsittely’ tarkoittaa seuraavia toimia:</w:t>
      </w:r>
    </w:p>
    <w:p>
      <w:pPr>
        <w:pStyle w:val="Point2"/>
        <w:rPr>
          <w:noProof/>
        </w:rPr>
      </w:pPr>
      <w:r>
        <w:rPr>
          <w:noProof/>
        </w:rPr>
        <w:t>a)</w:t>
      </w:r>
      <w:r>
        <w:rPr>
          <w:noProof/>
        </w:rPr>
        <w:tab/>
        <w:t>tyhjötislaus;</w:t>
      </w:r>
    </w:p>
    <w:p>
      <w:pPr>
        <w:pStyle w:val="Point2"/>
        <w:rPr>
          <w:noProof/>
        </w:rPr>
      </w:pPr>
      <w:r>
        <w:rPr>
          <w:noProof/>
        </w:rPr>
        <w:t>b)</w:t>
      </w:r>
      <w:r>
        <w:rPr>
          <w:noProof/>
        </w:rPr>
        <w:tab/>
        <w:t>toistotislaus perusteellisen jakotislausmenetelmän avulla;</w:t>
      </w:r>
    </w:p>
    <w:p>
      <w:pPr>
        <w:pStyle w:val="Point2"/>
        <w:rPr>
          <w:noProof/>
        </w:rPr>
      </w:pPr>
      <w:r>
        <w:rPr>
          <w:noProof/>
        </w:rPr>
        <w:t>c)</w:t>
      </w:r>
      <w:r>
        <w:rPr>
          <w:noProof/>
        </w:rPr>
        <w:tab/>
        <w:t>krakkaus;</w:t>
      </w:r>
    </w:p>
    <w:p>
      <w:pPr>
        <w:pStyle w:val="Point2"/>
        <w:rPr>
          <w:noProof/>
        </w:rPr>
      </w:pPr>
      <w:r>
        <w:rPr>
          <w:noProof/>
        </w:rPr>
        <w:t>d)</w:t>
      </w:r>
      <w:r>
        <w:rPr>
          <w:noProof/>
        </w:rPr>
        <w:tab/>
        <w:t>reformointi;</w:t>
      </w:r>
    </w:p>
    <w:p>
      <w:pPr>
        <w:pStyle w:val="Point2"/>
        <w:rPr>
          <w:noProof/>
        </w:rPr>
      </w:pPr>
      <w:r>
        <w:rPr>
          <w:noProof/>
        </w:rPr>
        <w:t>e)</w:t>
      </w:r>
      <w:r>
        <w:rPr>
          <w:noProof/>
        </w:rPr>
        <w:tab/>
        <w:t>uuttaminen valikoivien liuottimien avulla;</w:t>
      </w:r>
    </w:p>
    <w:p>
      <w:pPr>
        <w:pStyle w:val="Point2"/>
        <w:rPr>
          <w:noProof/>
        </w:rPr>
      </w:pPr>
      <w:r>
        <w:rPr>
          <w:noProof/>
        </w:rPr>
        <w:t>f)</w:t>
      </w:r>
      <w:r>
        <w:rPr>
          <w:noProof/>
        </w:rPr>
        <w:tab/>
        <w:t>käsittely, jossa yhdistyvät kaikki seuraavat toiminnot: käsittely tiivistetyllä rikkihapolla, oleumilla tai rikkitrioksidilla; neutralointi emäksisillä aineilla; värinpoisto ja puhdistus luonnostaan aktiivisilla maalajeilla, aktivoiduilla maalajeilla, aktiivihiilellä tai bauksiitilla;</w:t>
      </w:r>
    </w:p>
    <w:p>
      <w:pPr>
        <w:pStyle w:val="Point2"/>
        <w:rPr>
          <w:noProof/>
        </w:rPr>
      </w:pPr>
      <w:r>
        <w:rPr>
          <w:noProof/>
        </w:rPr>
        <w:t>g)</w:t>
      </w:r>
      <w:r>
        <w:rPr>
          <w:noProof/>
        </w:rPr>
        <w:tab/>
        <w:t>polymerointi;</w:t>
      </w:r>
    </w:p>
    <w:p>
      <w:pPr>
        <w:pStyle w:val="Point2"/>
        <w:rPr>
          <w:noProof/>
        </w:rPr>
      </w:pPr>
      <w:r>
        <w:rPr>
          <w:noProof/>
        </w:rPr>
        <w:t>h)</w:t>
      </w:r>
      <w:r>
        <w:rPr>
          <w:noProof/>
        </w:rPr>
        <w:tab/>
        <w:t>alkylointi;</w:t>
      </w:r>
    </w:p>
    <w:p>
      <w:pPr>
        <w:pStyle w:val="Point2"/>
        <w:rPr>
          <w:noProof/>
        </w:rPr>
      </w:pPr>
      <w:r>
        <w:rPr>
          <w:noProof/>
        </w:rPr>
        <w:t>i)</w:t>
      </w:r>
      <w:r>
        <w:rPr>
          <w:noProof/>
        </w:rPr>
        <w:tab/>
        <w:t>isomerointi;</w:t>
      </w:r>
    </w:p>
    <w:p>
      <w:pPr>
        <w:pStyle w:val="Point2"/>
        <w:rPr>
          <w:noProof/>
        </w:rPr>
      </w:pPr>
      <w:r>
        <w:rPr>
          <w:noProof/>
        </w:rPr>
        <w:t>j)</w:t>
      </w:r>
      <w:r>
        <w:rPr>
          <w:noProof/>
        </w:rPr>
        <w:tab/>
        <w:t>ainoastaan nimikkeen ex 2710 raskasöljyjen osalta rikinpoisto vedyn avulla, jonka tuloksena valmistettujen tuotteiden rikkipitoisuus vähenee vähintään 85 prosenttia (ASTM D 1266–59 T -menetelmä);</w:t>
      </w:r>
    </w:p>
    <w:p>
      <w:pPr>
        <w:pStyle w:val="Point2"/>
        <w:rPr>
          <w:noProof/>
        </w:rPr>
      </w:pPr>
      <w:r>
        <w:rPr>
          <w:noProof/>
        </w:rPr>
        <w:t>k)</w:t>
      </w:r>
      <w:r>
        <w:rPr>
          <w:noProof/>
        </w:rPr>
        <w:tab/>
        <w:t>ainoastaan nimikkeeseen 2710 kuuluvien tuotteiden osalta parafiinin poisto muulla käsittelyllä kuin suodattamalla;</w:t>
      </w:r>
    </w:p>
    <w:p>
      <w:pPr>
        <w:pStyle w:val="Point2"/>
        <w:rPr>
          <w:noProof/>
        </w:rPr>
      </w:pPr>
      <w:r>
        <w:rPr>
          <w:noProof/>
        </w:rPr>
        <w:t>l)</w:t>
      </w:r>
      <w:r>
        <w:rPr>
          <w:noProof/>
        </w:rPr>
        <w:tab/>
        <w:t>ainoastaan nimikkeen ex 2710 raskasöljyjen osalta vetykäsittely yli 20 baarin paineessa ja yli 250 °C:n lämpötilassa katalysaattoria käyttäen, muussa kuin rikinpoistotarkoituksessa, kun vety on aktiivisena aineena kemiallisessa reaktiossa. Nimikkeen ex 2710 voiteluöljyjen jatkokäsittelyä vedyn avulla (esimerkiksi vedyn avulla tapahtuva viimeistely eli ”hydrofinishing” tai värinpoisto) erityisesti värin tai stabiliteetin parantamiseksi ei kuitenkaan pidetä tiettynä käsittelynä;</w:t>
      </w:r>
    </w:p>
    <w:p>
      <w:pPr>
        <w:pStyle w:val="Point2"/>
        <w:rPr>
          <w:noProof/>
        </w:rPr>
      </w:pPr>
      <w:r>
        <w:rPr>
          <w:noProof/>
        </w:rPr>
        <w:t>m)</w:t>
      </w:r>
      <w:r>
        <w:rPr>
          <w:noProof/>
        </w:rPr>
        <w:tab/>
        <w:t>ainoastaan nimikkeen ex 2710 polttoöljyjen osalta ilmatislaus, jos alle 30 tilavuusprosenttia näistä tuotteista (hävikki mukaan lukien) tislautuu 300 °C:n lämpötilassa ASTM D 86 -menetelmän avulla määritettynä;</w:t>
      </w:r>
    </w:p>
    <w:p>
      <w:pPr>
        <w:pStyle w:val="Point2"/>
        <w:rPr>
          <w:noProof/>
        </w:rPr>
      </w:pPr>
      <w:r>
        <w:rPr>
          <w:noProof/>
        </w:rPr>
        <w:t>n)</w:t>
      </w:r>
      <w:r>
        <w:rPr>
          <w:noProof/>
        </w:rPr>
        <w:tab/>
        <w:t>ainoastaan nimikkeen ex 2710 raskasöljyjen, lukuun ottamatta kaasuöljyjä ja polttoöljyjä, osalta käsittely suurtaajuudella toimivan sähköisen huiskupurkauksen avulla;</w:t>
      </w:r>
    </w:p>
    <w:p>
      <w:pPr>
        <w:pStyle w:val="Point2"/>
        <w:rPr>
          <w:noProof/>
        </w:rPr>
      </w:pPr>
      <w:r>
        <w:rPr>
          <w:noProof/>
        </w:rPr>
        <w:t>o)</w:t>
      </w:r>
      <w:r>
        <w:rPr>
          <w:noProof/>
        </w:rPr>
        <w:tab/>
        <w:t>ainoastaan nimikkeen ex 2712 raakatavaroiden (lukuun ottamatta vaseliinia, otsokeriittia, ruskohiilivahaa, turvevahaa ja alle 0,75 painoprosenttia öljyä sisältävää parafiinia) osalta rasvanpoisto kiteyttämällä jakotislausmenetelmän avulla.</w:t>
      </w:r>
    </w:p>
    <w:p>
      <w:pPr>
        <w:pStyle w:val="Point2"/>
        <w:rPr>
          <w:i/>
          <w:noProof/>
        </w:rPr>
      </w:pPr>
      <w:r>
        <w:rPr>
          <w:noProof/>
        </w:rPr>
        <w:t>8.3.</w:t>
      </w:r>
      <w:r>
        <w:rPr>
          <w:noProof/>
        </w:rPr>
        <w:tab/>
        <w:t>Nimikkeissä ex 2707 ja 2713 yksinkertaiset toimet, kuten puhdistus, dekantointi, suolan poisto, veden erotus, suodatus, värjäys, merkintä ja rikkipitoisuuden lisääminen sekoittamalla rikkipitoisuudeltaan erilaisia tuotteita taikka näiden toimien tai niitä vastaavien toimien yhdistelmät, eivät anna alkuperäasemaa.</w:t>
      </w:r>
    </w:p>
    <w:p>
      <w:pPr>
        <w:pStyle w:val="Text1"/>
        <w:rPr>
          <w:b/>
          <w:noProof/>
        </w:rPr>
      </w:pPr>
      <w:r>
        <w:rPr>
          <w:b/>
          <w:noProof/>
        </w:rPr>
        <w:t xml:space="preserve">Huomautus 9 – Tiettyjen käsittelyjen määritelmä ja tietyille tuotteille tehdyt yksinkertaiset toiminnot </w:t>
      </w:r>
    </w:p>
    <w:p>
      <w:pPr>
        <w:pStyle w:val="Point1"/>
        <w:rPr>
          <w:noProof/>
        </w:rPr>
      </w:pPr>
      <w:r>
        <w:rPr>
          <w:noProof/>
        </w:rPr>
        <w:t>Huomautus 9.1:</w:t>
      </w:r>
      <w:r>
        <w:rPr>
          <w:noProof/>
        </w:rPr>
        <w:tab/>
        <w:t>Osapuolessa soluviljelmiä käyttämällä saatuja 30 ryhmän tuotteita pidetään kyseisen osapuolen alkuperätuotteina. Ilmaisulla ’soluviljely’ tarkoitetaan ihmisen, eläimen ja kasvin solujen viljelyä valvotuissa olosuhteissa (lämpötila, kasvualusta, kaasuseos, pH jne. on määritelty) elävän organismin ulkopuolella.</w:t>
      </w:r>
    </w:p>
    <w:p>
      <w:pPr>
        <w:pStyle w:val="Point1"/>
        <w:rPr>
          <w:noProof/>
        </w:rPr>
      </w:pPr>
      <w:r>
        <w:rPr>
          <w:noProof/>
        </w:rPr>
        <w:t>Huomautus 9.2:</w:t>
      </w:r>
      <w:r>
        <w:rPr>
          <w:noProof/>
        </w:rPr>
        <w:tab/>
        <w:t>Käymällä osapuolessa saatuja 29 ryhmän (lukuun ottamatta nimikkeitä 2905 43–2905 44), 30, 32 ja 33 ryhmän (lukuun ottamatta nimikkeitä 3302 10 ja 3301), 34 ja 35 ryhmän (lukuun ottamatta nimikkeitä 3501, 3502 11–3502 19, 3502 20 ja 3505), 36, 37 ja 38 ryhmän (lukuun ottamatta nimikkeitä 3809 10, 3823, 3824 60 ja 3826) sekä 39 ryhmän (lukuun ottamatta nimikkeitä 3916–3926) tuotteita pidetään kyseisen osapuolen alkuperätuotteina. Ilmaisulla ’käyminen’ tarkoitetaan bioteknistä prosessia, jossa käytetään ihmisten, eläinten tai kasvien soluja taikka bakteereita, hiivoja, sieniä tai entsyymejä 29–39 ryhmän tuotteiden tuottamiseksi.</w:t>
      </w:r>
    </w:p>
    <w:p>
      <w:pPr>
        <w:pStyle w:val="Point1"/>
        <w:rPr>
          <w:noProof/>
        </w:rPr>
      </w:pPr>
      <w:r>
        <w:rPr>
          <w:noProof/>
        </w:rPr>
        <w:t>Huomautus 9.3:</w:t>
      </w:r>
      <w:r>
        <w:rPr>
          <w:noProof/>
        </w:rPr>
        <w:tab/>
        <w:t>Seuraavia toimia pidetään 4 artiklan 1 kohdan mukaisesti riittävinä 28 ja 29 ryhmän (lukuun ottamatta nimikkeitä 2905 43–2905 44), 30, 32 ja 33 ryhmän (lukuun ottamatta nimikkeitä 3302 10 ja 3301) 34 ja 35 ryhmän (lukuun ottamatta nimikkeitä 3501, 3502 11–3502 19, 3502 20 ja 3505), 36, 37 ja 38 ryhmän (lukuun ottamatta nimikkeitä 3809 10, 3823, 3824 60 ja 3826) sekä 39 ryhmän (lukuun ottamatta nimikkeitä 3916–3926) tuotteille:</w:t>
      </w:r>
    </w:p>
    <w:p>
      <w:pPr>
        <w:pStyle w:val="Tiret2"/>
        <w:numPr>
          <w:ilvl w:val="0"/>
          <w:numId w:val="23"/>
        </w:numPr>
        <w:spacing w:line="360" w:lineRule="auto"/>
        <w:rPr>
          <w:noProof/>
        </w:rPr>
      </w:pPr>
      <w:r>
        <w:rPr>
          <w:noProof/>
        </w:rPr>
        <w:t>Kemiallinen reaktio: Ilmaisulla ’kemiallinen reaktio’ tarkoitetaan (myös biokemiallista) prosessia, jossa syntyy uusi molekyyli siten, että atomienväliset sidokset katkeavat ja muodostuu uusia sidoksia tai atomien avaruusjärjestys molekyylissä muuttuu. Kemiallinen reaktio voidaan ilmaista ”CAS-numeron” muutoksella.</w:t>
      </w:r>
    </w:p>
    <w:p>
      <w:pPr>
        <w:pStyle w:val="Text3"/>
        <w:rPr>
          <w:noProof/>
        </w:rPr>
      </w:pPr>
      <w:r>
        <w:rPr>
          <w:noProof/>
        </w:rPr>
        <w:t>Seuraavat prosessit olisi jätettävä huomiotta alkuperää määritettäessä: a) veteen tai muihin liuottimiin liuottaminen; b) liuottimien, myös liuotinveden, poistaminen; tai c) kideveden lisääminen tai poistaminen. Edellä määritellyn kemiallisen reaktion katsotaan antavan alkuperäaseman.</w:t>
      </w:r>
    </w:p>
    <w:p>
      <w:pPr>
        <w:pStyle w:val="Tiret2"/>
        <w:numPr>
          <w:ilvl w:val="0"/>
          <w:numId w:val="23"/>
        </w:numPr>
        <w:spacing w:line="360" w:lineRule="auto"/>
        <w:rPr>
          <w:noProof/>
        </w:rPr>
      </w:pPr>
      <w:r>
        <w:rPr>
          <w:noProof/>
        </w:rPr>
        <w:t>Seokset ja sekoitukset: Ainesten tarkoituksellista ja mittasuhteiden osalta kontrolloitua toimea (myös dispergointi), ei kuitenkaan laimentimen lisääminen, ennalta määritettyjen eritelmien mukaisesti siten, että saadaan tuote, jonka fysikaaliset tai kemialliset ominaisuudet ovat merkitykselliset tuotteen tarkoituksen tai käytön kannalta ja eroavat tuotantopanoksista, pidetään alkuperäaseman antavana.</w:t>
      </w:r>
    </w:p>
    <w:p>
      <w:pPr>
        <w:pStyle w:val="Tiret2"/>
        <w:numPr>
          <w:ilvl w:val="0"/>
          <w:numId w:val="23"/>
        </w:numPr>
        <w:spacing w:line="360" w:lineRule="auto"/>
        <w:rPr>
          <w:noProof/>
        </w:rPr>
      </w:pPr>
      <w:r>
        <w:rPr>
          <w:noProof/>
        </w:rPr>
        <w:t>Puhdistus: Puhdistuksen katsotaan antavan alkuperäaseman, jos puhdistus tapahtuu toisen tai kummankin osapuolen alueella ja johtaa siihen, että jokin seuraavista arviointiperusteista täyttyy:</w:t>
      </w:r>
    </w:p>
    <w:p>
      <w:pPr>
        <w:pStyle w:val="Point3"/>
        <w:rPr>
          <w:noProof/>
        </w:rPr>
      </w:pPr>
      <w:r>
        <w:rPr>
          <w:noProof/>
        </w:rPr>
        <w:t>a)</w:t>
      </w:r>
      <w:r>
        <w:rPr>
          <w:noProof/>
        </w:rPr>
        <w:tab/>
        <w:t>tavaran puhdistaminen johtaa siihen, että vähintään 80 prosenttia sen epäpuhtauspitoisuudesta poistuu; tai</w:t>
      </w:r>
    </w:p>
    <w:p>
      <w:pPr>
        <w:pStyle w:val="Point3"/>
        <w:rPr>
          <w:noProof/>
        </w:rPr>
      </w:pPr>
      <w:r>
        <w:rPr>
          <w:noProof/>
        </w:rPr>
        <w:t>b)</w:t>
      </w:r>
      <w:r>
        <w:rPr>
          <w:noProof/>
        </w:rPr>
        <w:tab/>
        <w:t>epäpuhtauksien väheneminen tai poistuminen johtaa siihen, että tavara soveltuu yhteen tai useampaan seuraavista käyttötarkoituksista:</w:t>
      </w:r>
    </w:p>
    <w:p>
      <w:pPr>
        <w:pStyle w:val="Point4"/>
        <w:rPr>
          <w:noProof/>
        </w:rPr>
      </w:pPr>
      <w:r>
        <w:rPr>
          <w:noProof/>
        </w:rPr>
        <w:t>i)</w:t>
      </w:r>
      <w:r>
        <w:rPr>
          <w:noProof/>
        </w:rPr>
        <w:tab/>
        <w:t>lääkeaine taikka lääkkeenkaltainen, kosmeettinen, eläinlääketieteellinen tai elintarvikelaatuinen aine;</w:t>
      </w:r>
    </w:p>
    <w:p>
      <w:pPr>
        <w:pStyle w:val="Point4"/>
        <w:rPr>
          <w:noProof/>
        </w:rPr>
      </w:pPr>
      <w:r>
        <w:rPr>
          <w:noProof/>
        </w:rPr>
        <w:t>(ii)</w:t>
      </w:r>
      <w:r>
        <w:rPr>
          <w:noProof/>
        </w:rPr>
        <w:tab/>
        <w:t>analyyttiseen käyttöön taikka taudinmääritys- tai laboratoriokäyttöön tarkoitettu kemiallinen tuote tai reagenssi;</w:t>
      </w:r>
    </w:p>
    <w:p>
      <w:pPr>
        <w:pStyle w:val="Point4"/>
        <w:rPr>
          <w:noProof/>
        </w:rPr>
      </w:pPr>
      <w:r>
        <w:rPr>
          <w:noProof/>
        </w:rPr>
        <w:t>(iii)</w:t>
      </w:r>
      <w:r>
        <w:rPr>
          <w:noProof/>
        </w:rPr>
        <w:tab/>
        <w:t>mikroelektroniikassa käytettävä osa tai komponentti;</w:t>
      </w:r>
    </w:p>
    <w:p>
      <w:pPr>
        <w:pStyle w:val="Point4"/>
        <w:rPr>
          <w:noProof/>
        </w:rPr>
      </w:pPr>
      <w:r>
        <w:rPr>
          <w:noProof/>
        </w:rPr>
        <w:t>(iv)</w:t>
      </w:r>
      <w:r>
        <w:rPr>
          <w:noProof/>
        </w:rPr>
        <w:tab/>
        <w:t>erityinen optinen käyttötarkoitus;</w:t>
      </w:r>
    </w:p>
    <w:p>
      <w:pPr>
        <w:pStyle w:val="Point4"/>
        <w:rPr>
          <w:noProof/>
        </w:rPr>
      </w:pPr>
      <w:r>
        <w:rPr>
          <w:noProof/>
        </w:rPr>
        <w:t>(v)</w:t>
      </w:r>
      <w:r>
        <w:rPr>
          <w:noProof/>
        </w:rPr>
        <w:tab/>
        <w:t>biotekninen käyttö (esimerkiksi solujen viljelyssä, geeniteknologiassa tai katalysaattorina);</w:t>
      </w:r>
    </w:p>
    <w:p>
      <w:pPr>
        <w:pStyle w:val="Point4"/>
        <w:rPr>
          <w:noProof/>
        </w:rPr>
      </w:pPr>
      <w:r>
        <w:rPr>
          <w:noProof/>
        </w:rPr>
        <w:t>(vi)</w:t>
      </w:r>
      <w:r>
        <w:rPr>
          <w:noProof/>
        </w:rPr>
        <w:tab/>
        <w:t>erotusprosessissa käytettävä kantaja-aine; tai</w:t>
      </w:r>
    </w:p>
    <w:p>
      <w:pPr>
        <w:pStyle w:val="Point4"/>
        <w:rPr>
          <w:noProof/>
        </w:rPr>
      </w:pPr>
      <w:r>
        <w:rPr>
          <w:noProof/>
        </w:rPr>
        <w:t>(vii)</w:t>
      </w:r>
      <w:r>
        <w:rPr>
          <w:noProof/>
        </w:rPr>
        <w:tab/>
        <w:t>laadultaan ydintekniseen käyttöön sopiva käyttötarkoitus.</w:t>
      </w:r>
    </w:p>
    <w:p>
      <w:pPr>
        <w:pStyle w:val="Tiret2"/>
        <w:numPr>
          <w:ilvl w:val="0"/>
          <w:numId w:val="23"/>
        </w:numPr>
        <w:spacing w:line="360" w:lineRule="auto"/>
        <w:rPr>
          <w:noProof/>
        </w:rPr>
      </w:pPr>
      <w:r>
        <w:rPr>
          <w:noProof/>
        </w:rPr>
        <w:t>Hiukkaskoon muutos: Alkuperäasema myönnetään tavaralle, jolle on toteutettu tarkoituksellinen ja kontrolloitu toimi (ei kuitenkaan pelkkä murskaaminen tai puristaminen) sen hiukkaskoon muuttamiseksi, minkä tuloksena saadaan tavara, jolla on tuloksena olevan tavaran kannalta merkittäväksi katsottava määritelty hiukkaskoko, hiukkaskokojakauma tai pinta-ala ja jonka fyysiset tai kemialliset ominaisuudet poikkeavat tuotantopanosten ominaisuuksista.</w:t>
      </w:r>
    </w:p>
    <w:p>
      <w:pPr>
        <w:pStyle w:val="Tiret2"/>
        <w:numPr>
          <w:ilvl w:val="0"/>
          <w:numId w:val="23"/>
        </w:numPr>
        <w:spacing w:line="360" w:lineRule="auto"/>
        <w:rPr>
          <w:noProof/>
        </w:rPr>
      </w:pPr>
      <w:r>
        <w:rPr>
          <w:noProof/>
        </w:rPr>
        <w:t>Standardiainekset: Standardiainekset (mukaan lukien standardiliuokset) ovat valmisteita, jotka soveltuvat analyyttisiin tarkoituksiin taikka kalibrointi- tai viitekäyttötarkoituksiin ja joiden täsmälliset puhtausasteet ja määräsuhteet valmistaja on todentanut. Standardiaineisten tuotannon katsotaan antavan alkuperäaseman.</w:t>
      </w:r>
    </w:p>
    <w:p>
      <w:pPr>
        <w:rPr>
          <w:noProof/>
        </w:rPr>
      </w:pPr>
    </w:p>
    <w:p>
      <w:pPr>
        <w:pStyle w:val="Tiret2"/>
        <w:numPr>
          <w:ilvl w:val="0"/>
          <w:numId w:val="23"/>
        </w:numPr>
        <w:spacing w:line="360" w:lineRule="auto"/>
        <w:rPr>
          <w:noProof/>
        </w:rPr>
      </w:pPr>
      <w:r>
        <w:rPr>
          <w:noProof/>
        </w:rPr>
        <w:t>Isomeerien erottaminen: Isomeerien eristämisen tai erottamisen isomeerien seoksesta katsotaan antavan alkuperäaseman.</w:t>
      </w:r>
    </w:p>
    <w:p>
      <w:pPr>
        <w:pStyle w:val="Text1"/>
        <w:rPr>
          <w:noProof/>
          <w:lang w:eastAsia="en-GB"/>
        </w:rPr>
        <w:sectPr>
          <w:footnotePr>
            <w:numRestart w:val="eachPage"/>
          </w:footnotePr>
          <w:pgSz w:w="11906" w:h="16838" w:code="9"/>
          <w:pgMar w:top="1134" w:right="1134" w:bottom="1134" w:left="1134" w:header="567" w:footer="567" w:gutter="0"/>
          <w:cols w:space="709"/>
          <w:docGrid w:linePitch="326"/>
        </w:sectPr>
      </w:pPr>
    </w:p>
    <w:p>
      <w:pPr>
        <w:pStyle w:val="Text1"/>
        <w:jc w:val="center"/>
        <w:rPr>
          <w:i/>
          <w:noProof/>
        </w:rPr>
      </w:pPr>
      <w:r>
        <w:rPr>
          <w:i/>
          <w:noProof/>
        </w:rPr>
        <w:t>LIITE II</w:t>
      </w:r>
    </w:p>
    <w:p>
      <w:pPr>
        <w:pStyle w:val="Text1"/>
        <w:jc w:val="center"/>
        <w:rPr>
          <w:b/>
          <w:noProof/>
        </w:rPr>
      </w:pPr>
      <w:r>
        <w:rPr>
          <w:b/>
          <w:noProof/>
        </w:rPr>
        <w:t>LUETTELO EI-ALKUPERÄAINEKSIIN SOVELLETTAVASTA VALMISTUKSESTA TAI KÄSITTELYSTÄ, JOKA ON TEHTÄVÄ, JOTTA VALMISTETTU TUOTE VOI SAADA ALKUPERÄASEMAN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6"/>
        <w:gridCol w:w="6576"/>
        <w:gridCol w:w="6576"/>
      </w:tblGrid>
      <w:tr>
        <w:trPr>
          <w:cantSplit/>
          <w:trHeight w:val="20"/>
          <w:tblHeader/>
        </w:trPr>
        <w:tc>
          <w:tcPr>
            <w:tcW w:w="1606" w:type="dxa"/>
            <w:tcBorders>
              <w:left w:val="single" w:sz="4" w:space="0" w:color="auto"/>
              <w:bottom w:val="nil"/>
            </w:tcBorders>
            <w:shd w:val="clear" w:color="auto" w:fill="auto"/>
            <w:vAlign w:val="center"/>
          </w:tcPr>
          <w:p>
            <w:pPr>
              <w:spacing w:before="60" w:after="60"/>
              <w:jc w:val="center"/>
              <w:rPr>
                <w:rFonts w:asciiTheme="majorBidi" w:hAnsiTheme="majorBidi"/>
                <w:noProof/>
              </w:rPr>
            </w:pPr>
            <w:r>
              <w:rPr>
                <w:rFonts w:asciiTheme="majorBidi" w:hAnsiTheme="majorBidi"/>
                <w:bCs/>
                <w:noProof/>
                <w:szCs w:val="20"/>
              </w:rPr>
              <w:t>Nimike</w:t>
            </w:r>
          </w:p>
        </w:tc>
        <w:tc>
          <w:tcPr>
            <w:tcW w:w="6576" w:type="dxa"/>
            <w:tcBorders>
              <w:bottom w:val="nil"/>
            </w:tcBorders>
            <w:shd w:val="clear" w:color="auto" w:fill="auto"/>
            <w:vAlign w:val="center"/>
          </w:tcPr>
          <w:p>
            <w:pPr>
              <w:spacing w:before="60" w:after="60"/>
              <w:jc w:val="center"/>
              <w:rPr>
                <w:rFonts w:asciiTheme="majorBidi" w:hAnsiTheme="majorBidi" w:cstheme="minorBidi"/>
                <w:noProof/>
                <w:sz w:val="22"/>
              </w:rPr>
            </w:pPr>
            <w:r>
              <w:rPr>
                <w:rFonts w:asciiTheme="majorBidi" w:hAnsiTheme="majorBidi"/>
                <w:noProof/>
              </w:rPr>
              <w:t>Tuotteen kuvaus</w:t>
            </w:r>
          </w:p>
        </w:tc>
        <w:tc>
          <w:tcPr>
            <w:tcW w:w="6576" w:type="dxa"/>
            <w:tcBorders>
              <w:bottom w:val="nil"/>
              <w:right w:val="single" w:sz="4" w:space="0" w:color="auto"/>
            </w:tcBorders>
            <w:shd w:val="clear" w:color="auto" w:fill="FFFFFF" w:themeFill="background1"/>
            <w:vAlign w:val="center"/>
          </w:tcPr>
          <w:p>
            <w:pPr>
              <w:spacing w:before="60" w:after="60"/>
              <w:ind w:left="113" w:hanging="113"/>
              <w:jc w:val="center"/>
              <w:rPr>
                <w:rFonts w:asciiTheme="majorBidi" w:hAnsiTheme="majorBidi" w:cstheme="minorBidi"/>
                <w:noProof/>
                <w:sz w:val="22"/>
              </w:rPr>
            </w:pPr>
            <w:r>
              <w:rPr>
                <w:noProof/>
              </w:rPr>
              <w:t>Ei</w:t>
            </w:r>
            <w:r>
              <w:rPr>
                <w:noProof/>
              </w:rPr>
              <w:noBreakHyphen/>
              <w:t>alkuperäainesten valmistus tai käsittely, joka antaa alkuperäaseman</w:t>
            </w:r>
          </w:p>
        </w:tc>
      </w:tr>
      <w:tr>
        <w:trPr>
          <w:cantSplit/>
          <w:trHeight w:val="20"/>
          <w:tblHeader/>
        </w:trPr>
        <w:tc>
          <w:tcPr>
            <w:tcW w:w="1606" w:type="dxa"/>
            <w:tcBorders>
              <w:top w:val="nil"/>
              <w:left w:val="single" w:sz="4" w:space="0" w:color="auto"/>
            </w:tcBorders>
            <w:shd w:val="clear" w:color="auto" w:fill="auto"/>
            <w:vAlign w:val="center"/>
          </w:tcPr>
          <w:p>
            <w:pPr>
              <w:spacing w:before="60" w:after="60"/>
              <w:jc w:val="center"/>
              <w:rPr>
                <w:rFonts w:asciiTheme="majorBidi" w:hAnsiTheme="majorBidi"/>
                <w:noProof/>
              </w:rPr>
            </w:pPr>
            <w:r>
              <w:rPr>
                <w:rFonts w:asciiTheme="majorBidi" w:hAnsiTheme="majorBidi"/>
                <w:noProof/>
              </w:rPr>
              <w:t>(1)</w:t>
            </w:r>
          </w:p>
        </w:tc>
        <w:tc>
          <w:tcPr>
            <w:tcW w:w="6576" w:type="dxa"/>
            <w:tcBorders>
              <w:top w:val="nil"/>
            </w:tcBorders>
            <w:shd w:val="clear" w:color="auto" w:fill="auto"/>
            <w:vAlign w:val="center"/>
          </w:tcPr>
          <w:p>
            <w:pPr>
              <w:spacing w:before="60" w:after="60"/>
              <w:jc w:val="center"/>
              <w:rPr>
                <w:rFonts w:asciiTheme="majorBidi" w:hAnsiTheme="majorBidi" w:cstheme="minorBidi"/>
                <w:noProof/>
              </w:rPr>
            </w:pPr>
            <w:r>
              <w:rPr>
                <w:rFonts w:asciiTheme="majorBidi" w:hAnsiTheme="majorBidi"/>
                <w:noProof/>
              </w:rPr>
              <w:t>(2)</w:t>
            </w:r>
          </w:p>
        </w:tc>
        <w:tc>
          <w:tcPr>
            <w:tcW w:w="6576" w:type="dxa"/>
            <w:tcBorders>
              <w:top w:val="nil"/>
              <w:right w:val="single" w:sz="4" w:space="0" w:color="auto"/>
            </w:tcBorders>
            <w:vAlign w:val="center"/>
          </w:tcPr>
          <w:p>
            <w:pPr>
              <w:spacing w:before="60" w:after="60"/>
              <w:jc w:val="center"/>
              <w:rPr>
                <w:rFonts w:asciiTheme="majorBidi" w:hAnsiTheme="majorBidi" w:cstheme="minorBidi"/>
                <w:noProof/>
              </w:rPr>
            </w:pPr>
            <w:r>
              <w:rPr>
                <w:rFonts w:asciiTheme="majorBidi" w:hAnsiTheme="majorBidi"/>
                <w:noProof/>
              </w:rPr>
              <w:t>(3)</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1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Elävät eläimet</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Kaikkien 1 ryhmän eläinten on oltava kokonaan tuotettuja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2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Liha ja muut syötävät eläimenosat</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tämän ryhmän tuotteisiin sisältyvä liha ja kaikki niihin sisältyvät syötävät eläimenosat ovat kokonaan tuotettuja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3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Kalat sekä äyriäiset, nilviäiset ja muut vedessä elävät selkärangattomat</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3 ryhmän ainekset ovat kokonaan tuotettuja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br w:type="page"/>
              <w:t>4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Maito ja meijerituotteet; linnunmunat; luonnonhunaja; muualle kuulumattomat eläinperäiset syötävät tuotteet</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4 ryhmän ainekset ovat kokonaan tuotettuja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5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Muualle kuulumattomat muut eläinperäiset tuotteet;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0511 91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Syötäväksi kelpaamaton mäti ja maiti</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Mäti ja maiti ovat kokonaan tuotettuja</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6 ryhmä</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Elävät puut ja muut elävät kasvit; sipulit, juuret ja niiden kaltaiset tuotteet; leikkokukat ja leikkovihreä</w:t>
            </w:r>
          </w:p>
        </w:tc>
        <w:tc>
          <w:tcPr>
            <w:tcW w:w="6576" w:type="dxa"/>
            <w:tcBorders>
              <w:top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6 ryhmän ainekset ovat kokonaan tuotettuja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7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Kasvikset sekä tietyt syötävät kasvit, juuret ja mukulat</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7 ryhmän ainekset ovat kokonaan tuotettuja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8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Syötävät hedelmät ja pähkinät; sitrushedelmien ja melonin kuoret</w:t>
            </w:r>
          </w:p>
        </w:tc>
        <w:tc>
          <w:tcPr>
            <w:tcW w:w="6576" w:type="dxa"/>
            <w:tcBorders>
              <w:right w:val="single" w:sz="4" w:space="0" w:color="auto"/>
            </w:tcBorders>
          </w:tcPr>
          <w:p>
            <w:pPr>
              <w:spacing w:before="60" w:after="60"/>
              <w:ind w:left="-3" w:firstLine="3"/>
              <w:rPr>
                <w:rFonts w:asciiTheme="majorBidi" w:hAnsiTheme="majorBidi" w:cstheme="minorBidi"/>
                <w:noProof/>
                <w:sz w:val="22"/>
              </w:rPr>
            </w:pPr>
            <w:r>
              <w:rPr>
                <w:rFonts w:asciiTheme="majorBidi" w:hAnsiTheme="majorBidi"/>
                <w:noProof/>
              </w:rPr>
              <w:t>Valmistus, jossa kaikki käytetyt 8 ryhmän hedelmät ja pähkinät sekä sitrushedelmien ja melonin kuoret ovat kokonaan tuotettuja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9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Kahvi, tee, mate ja mausteet</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10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Viljat</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10 ryhmän ainekset ovat kokonaan tuotettuja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11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Myllyteollisuustuotteet; maltaat; tärkkelys; inuliini; vehnägluteeni</w:t>
            </w:r>
          </w:p>
        </w:tc>
        <w:tc>
          <w:tcPr>
            <w:tcW w:w="6576" w:type="dxa"/>
            <w:tcBorders>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8, 10 ja 11 ryhmän, nimikkeiden 0701, 0714, 2302 ja 2303 sekä alanimikkeen 0710 10 ainekset ovat kokonaan tuotettuja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12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Öljysiemenet ja -hedelmät; erinäiset siemenet ja hedelmät; teollisuus- ja lääkekasvit; oljet ja kasvirehu</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13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Kumilakat; kumit, hartsit ja muut kasvimehut ja -uutteet;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1302</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Pektiiniaineet, pektinaatit ja pektaatit</w:t>
            </w:r>
          </w:p>
        </w:tc>
        <w:tc>
          <w:tcPr>
            <w:tcW w:w="6576" w:type="dxa"/>
            <w:tcBorders>
              <w:top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 ja käytetyn sokerin paino on enintään 40 % valmiin tuotteen painosta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14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Kasviperäiset punonta- ja palmikointiaineet; muualle kuulumattomat kasvituotteet</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15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Eläin- ja kasvirasvat ja -öljyt sekä niiden pilkkoutumistuotteet; valmistetut ravintorasvat; eläin- ja kasvivahat;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1504 –1506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Kala- ja merinisäkäsrasvat ja -öljyt sekä niiden jakeet; villarasva ja siitä saadut rasva-aineet (myös lanoliini); muut eläinrasvat ja -öljyt sekä niiden jakeet, myös puhdistetut, mutta kemiallisesti muuntamattomat: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1508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Maapähkinäöljy ja sen jakeet, myös puhdistetut, mutta kemiallisesti muuntamattomat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alanimikkeen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1509 ja 1510</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Oliiviöljy ja sen jakeet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kasviainesten on oltava kokonaan tuotettuja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1511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Palmuöljy ja sen jakeet, myös puhdistetut, mutta kemiallisesti muuntamattomat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alanimikkeen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Ex 1512</w:t>
            </w:r>
          </w:p>
        </w:tc>
        <w:tc>
          <w:tcPr>
            <w:tcW w:w="6576" w:type="dxa"/>
            <w:tcBorders>
              <w:top w:val="single" w:sz="4" w:space="0" w:color="auto"/>
              <w:bottom w:val="nil"/>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Auringonkukkaöljyt ja niiden jakeet</w:t>
            </w:r>
          </w:p>
        </w:tc>
        <w:tc>
          <w:tcPr>
            <w:tcW w:w="6576" w:type="dxa"/>
            <w:tcBorders>
              <w:top w:val="single" w:sz="4" w:space="0" w:color="auto"/>
              <w:bottom w:val="nil"/>
              <w:right w:val="single" w:sz="4" w:space="0" w:color="auto"/>
            </w:tcBorders>
          </w:tcPr>
          <w:p>
            <w:pPr>
              <w:spacing w:before="60" w:after="60"/>
              <w:rPr>
                <w:rFonts w:asciiTheme="majorBidi" w:eastAsia="Times New Roman" w:hAnsiTheme="majorBidi" w:cstheme="majorBidi"/>
                <w:noProof/>
                <w:szCs w:val="24"/>
                <w:lang w:eastAsia="en-GB"/>
              </w:rPr>
            </w:pPr>
          </w:p>
        </w:tc>
      </w:tr>
      <w:tr>
        <w:trPr>
          <w:cantSplit/>
          <w:trHeight w:val="20"/>
        </w:trPr>
        <w:tc>
          <w:tcPr>
            <w:tcW w:w="1606" w:type="dxa"/>
            <w:vMerge w:val="restart"/>
            <w:tcBorders>
              <w:top w:val="single" w:sz="4" w:space="0" w:color="auto"/>
              <w:left w:val="single" w:sz="4" w:space="0" w:color="auto"/>
              <w:bottom w:val="nil"/>
            </w:tcBorders>
            <w:shd w:val="clear" w:color="auto" w:fill="auto"/>
          </w:tcPr>
          <w:p>
            <w:pPr>
              <w:spacing w:before="60" w:after="60"/>
              <w:rPr>
                <w:rFonts w:asciiTheme="majorBidi" w:hAnsiTheme="majorBidi"/>
                <w:noProof/>
              </w:rPr>
            </w:pPr>
          </w:p>
        </w:tc>
        <w:tc>
          <w:tcPr>
            <w:tcW w:w="6576" w:type="dxa"/>
            <w:tcBorders>
              <w:top w:val="nil"/>
              <w:bottom w:val="nil"/>
            </w:tcBorders>
            <w:shd w:val="clear" w:color="auto" w:fill="auto"/>
          </w:tcPr>
          <w:p>
            <w:pPr>
              <w:spacing w:before="60" w:after="60"/>
              <w:rPr>
                <w:rFonts w:asciiTheme="majorBidi" w:hAnsiTheme="majorBidi"/>
                <w:noProof/>
              </w:rPr>
            </w:pPr>
            <w:r>
              <w:rPr>
                <w:rFonts w:asciiTheme="majorBidi" w:hAnsiTheme="majorBidi"/>
                <w:noProof/>
              </w:rPr>
              <w:t>- muuhun tekniseen tai teolliseen käyttöön kuin elintarvikkeiden valmistukseen tarkoitetut</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Valmistus minkä tahansa muun kuin tuotteen oman nimikkeen aineksista</w:t>
            </w:r>
          </w:p>
        </w:tc>
      </w:tr>
      <w:tr>
        <w:trPr>
          <w:cantSplit/>
          <w:trHeight w:val="20"/>
        </w:trPr>
        <w:tc>
          <w:tcPr>
            <w:tcW w:w="1606" w:type="dxa"/>
            <w:vMerge/>
            <w:tcBorders>
              <w:left w:val="single" w:sz="4" w:space="0" w:color="auto"/>
              <w:bottom w:val="single" w:sz="4" w:space="0" w:color="auto"/>
            </w:tcBorders>
            <w:shd w:val="clear" w:color="auto" w:fill="auto"/>
          </w:tcPr>
          <w:p>
            <w:pPr>
              <w:spacing w:before="60" w:after="60"/>
              <w:rPr>
                <w:rFonts w:asciiTheme="majorBidi" w:eastAsia="Times New Roman" w:hAnsiTheme="majorBidi" w:cstheme="majorBidi"/>
                <w:noProof/>
                <w:szCs w:val="24"/>
                <w:lang w:eastAsia="en-GB"/>
              </w:rPr>
            </w:pPr>
          </w:p>
        </w:tc>
        <w:tc>
          <w:tcPr>
            <w:tcW w:w="6576" w:type="dxa"/>
            <w:tcBorders>
              <w:top w:val="nil"/>
              <w:bottom w:val="single" w:sz="4" w:space="0" w:color="auto"/>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 muut</w:t>
            </w:r>
          </w:p>
        </w:tc>
        <w:tc>
          <w:tcPr>
            <w:tcW w:w="6576" w:type="dxa"/>
            <w:tcBorders>
              <w:top w:val="nil"/>
              <w:bottom w:val="single" w:sz="4" w:space="0" w:color="auto"/>
              <w:right w:val="single" w:sz="4" w:space="0" w:color="auto"/>
            </w:tcBorders>
          </w:tcPr>
          <w:p>
            <w:pPr>
              <w:spacing w:before="60" w:after="60"/>
              <w:rPr>
                <w:rFonts w:asciiTheme="majorBidi" w:eastAsia="Times New Roman" w:hAnsiTheme="majorBidi" w:cstheme="majorBidi"/>
                <w:noProof/>
                <w:szCs w:val="24"/>
              </w:rPr>
            </w:pPr>
            <w:r>
              <w:rPr>
                <w:rFonts w:asciiTheme="majorBidi" w:hAnsiTheme="majorBidi"/>
                <w:noProof/>
                <w:szCs w:val="24"/>
              </w:rPr>
              <w:t>Valmistus, jossa kaikkien käytettyjen kasviainesten on oltava kokonaan tuotettuja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1515</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Muut kasvirasvat ja rasvaiset kasviöljyt (myös jojobaöljy) sekä niiden jakeet, myös puhdistetut, mutta kemiallisesti muuntamattomat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alanimikkeen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1516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Kalarasvat ja -öljyt sekä niiden jakeet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1520</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Raaka glyseroli; glyserolivesi ja -lipeä</w:t>
            </w:r>
          </w:p>
        </w:tc>
        <w:tc>
          <w:tcPr>
            <w:tcW w:w="6576" w:type="dxa"/>
            <w:tcBorders>
              <w:top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16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Lihasta, kalasta, äyriäisistä, nilviäisistä tai muista vedessä elävistä selkärangattomista valmistetut tuotteet</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 käytetyt 2, 3 ja 16 ryhmän ainekset ovat kokonaan tuotettuja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17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Sokeri ja sokerivalmisteet;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vMerge w:val="restart"/>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1702</w:t>
            </w:r>
          </w:p>
        </w:tc>
        <w:tc>
          <w:tcPr>
            <w:tcW w:w="6576" w:type="dxa"/>
            <w:tcBorders>
              <w:top w:val="single" w:sz="4" w:space="0" w:color="auto"/>
              <w:bottom w:val="nil"/>
            </w:tcBorders>
            <w:shd w:val="clear" w:color="auto" w:fill="auto"/>
          </w:tcPr>
          <w:p>
            <w:pPr>
              <w:spacing w:before="60" w:after="60"/>
              <w:rPr>
                <w:rFonts w:asciiTheme="majorBidi" w:hAnsiTheme="majorBidi"/>
                <w:noProof/>
              </w:rPr>
            </w:pPr>
            <w:r>
              <w:rPr>
                <w:rFonts w:asciiTheme="majorBidi" w:hAnsiTheme="majorBidi"/>
                <w:noProof/>
              </w:rPr>
              <w:t>Muut sokerit, myös kemiallisesti puhdas laktoosi, maltoosi, glukoosi ja fruktoosi (levuloosi), jähmeät; lisättyä maku- tai väriainetta sisältämättömät sokerisiirapit; keinotekoinen hunaja, myös luonnonhunajan kanssa sekoitettuna; sokeriväri:</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vMerge/>
            <w:tcBorders>
              <w:top w:val="single" w:sz="4" w:space="0" w:color="auto"/>
              <w:left w:val="single" w:sz="4" w:space="0" w:color="auto"/>
            </w:tcBorders>
            <w:shd w:val="clear" w:color="auto" w:fill="auto"/>
          </w:tcPr>
          <w:p>
            <w:pPr>
              <w:spacing w:before="60" w:after="60"/>
              <w:rPr>
                <w:rFonts w:asciiTheme="majorBidi" w:eastAsia="Times New Roman" w:hAnsiTheme="majorBidi" w:cstheme="majorBidi"/>
                <w:noProof/>
                <w:szCs w:val="24"/>
                <w:lang w:eastAsia="en-GB"/>
              </w:rPr>
            </w:pPr>
          </w:p>
        </w:tc>
        <w:tc>
          <w:tcPr>
            <w:tcW w:w="6576" w:type="dxa"/>
            <w:tcBorders>
              <w:top w:val="nil"/>
              <w:bottom w:val="nil"/>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 kemiallisesti puhdas maltoosi ja fruktoosi</w:t>
            </w:r>
          </w:p>
        </w:tc>
        <w:tc>
          <w:tcPr>
            <w:tcW w:w="6576" w:type="dxa"/>
            <w:tcBorders>
              <w:top w:val="nil"/>
              <w:bottom w:val="nil"/>
              <w:right w:val="single" w:sz="4" w:space="0" w:color="auto"/>
            </w:tcBorders>
          </w:tcPr>
          <w:p>
            <w:pPr>
              <w:spacing w:before="60" w:after="60"/>
              <w:rPr>
                <w:rFonts w:asciiTheme="majorBidi" w:eastAsia="Times New Roman" w:hAnsiTheme="majorBidi" w:cstheme="majorBidi"/>
                <w:noProof/>
                <w:szCs w:val="24"/>
              </w:rPr>
            </w:pPr>
            <w:r>
              <w:rPr>
                <w:rFonts w:asciiTheme="majorBidi" w:hAnsiTheme="majorBidi"/>
                <w:noProof/>
                <w:szCs w:val="24"/>
              </w:rPr>
              <w:t>Valmistus minkä tahansa nimikkeen aineksista, myös muista nimikkeen 1702 aineksista</w:t>
            </w:r>
          </w:p>
        </w:tc>
      </w:tr>
      <w:tr>
        <w:trPr>
          <w:cantSplit/>
          <w:trHeight w:val="20"/>
        </w:trPr>
        <w:tc>
          <w:tcPr>
            <w:tcW w:w="1606" w:type="dxa"/>
            <w:vMerge/>
            <w:tcBorders>
              <w:left w:val="single" w:sz="4" w:space="0" w:color="auto"/>
              <w:bottom w:val="single" w:sz="4" w:space="0" w:color="auto"/>
            </w:tcBorders>
            <w:shd w:val="clear" w:color="auto" w:fill="auto"/>
          </w:tcPr>
          <w:p>
            <w:pPr>
              <w:spacing w:before="60" w:after="60"/>
              <w:rPr>
                <w:rFonts w:asciiTheme="majorBidi" w:hAnsiTheme="majorBidi"/>
                <w:noProof/>
              </w:rPr>
            </w:pPr>
          </w:p>
        </w:tc>
        <w:tc>
          <w:tcPr>
            <w:tcW w:w="6576" w:type="dxa"/>
            <w:tcBorders>
              <w:top w:val="nil"/>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ind w:left="-13" w:firstLine="13"/>
              <w:rPr>
                <w:rFonts w:asciiTheme="majorBidi" w:hAnsiTheme="majorBidi" w:cstheme="minorBidi"/>
                <w:noProof/>
                <w:sz w:val="22"/>
              </w:rPr>
            </w:pPr>
            <w:r>
              <w:rPr>
                <w:rFonts w:asciiTheme="majorBidi" w:hAnsiTheme="majorBidi"/>
                <w:noProof/>
              </w:rPr>
              <w:t>Valmistus minkä tahansa muun kuin tuotteen oman nimikkeen aineksista, ja käytettyjen nimikkeiden 1101–1108, 1701 ja 1703 ainesten paino on enintään 30 %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1704</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Kaakaota sisältämättömät sokerivalmisteet (myös valkosuklaa)</w:t>
            </w:r>
          </w:p>
        </w:tc>
        <w:tc>
          <w:tcPr>
            <w:tcW w:w="6576" w:type="dxa"/>
            <w:tcBorders>
              <w:top w:val="single" w:sz="4" w:space="0" w:color="auto"/>
              <w:bottom w:val="single" w:sz="4" w:space="0" w:color="auto"/>
              <w:right w:val="single" w:sz="4" w:space="0" w:color="auto"/>
            </w:tcBorders>
          </w:tcPr>
          <w:p>
            <w:pPr>
              <w:spacing w:before="60" w:after="60"/>
              <w:ind w:firstLine="3"/>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paino on enintään 40 % valmiin tuotteen painosta</w:t>
            </w:r>
          </w:p>
          <w:p>
            <w:pPr>
              <w:spacing w:before="60" w:after="60"/>
              <w:ind w:firstLine="3"/>
              <w:rPr>
                <w:rFonts w:asciiTheme="majorBidi" w:hAnsiTheme="majorBidi" w:cstheme="minorBidi"/>
                <w:noProof/>
                <w:sz w:val="22"/>
              </w:rPr>
            </w:pPr>
            <w:r>
              <w:rPr>
                <w:rFonts w:asciiTheme="majorBidi" w:hAnsiTheme="majorBidi"/>
                <w:noProof/>
              </w:rPr>
              <w:t>tai</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arvo on enintään 30 % tuotteen noudettuna</w:t>
            </w:r>
            <w:r>
              <w:rPr>
                <w:rFonts w:asciiTheme="majorBidi" w:hAnsiTheme="majorBidi"/>
                <w:noProof/>
              </w:rPr>
              <w:noBreakHyphen/>
              <w:t>hinnasta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18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Kaakao ja kaakaovalmisteet; lukuun ottamatta seuraavia:</w:t>
            </w:r>
          </w:p>
        </w:tc>
        <w:tc>
          <w:tcPr>
            <w:tcW w:w="6576" w:type="dxa"/>
            <w:tcBorders>
              <w:bottom w:val="single" w:sz="4" w:space="0" w:color="auto"/>
              <w:right w:val="single" w:sz="4" w:space="0" w:color="auto"/>
            </w:tcBorders>
          </w:tcPr>
          <w:p>
            <w:pPr>
              <w:spacing w:before="60" w:after="60"/>
              <w:ind w:firstLine="3"/>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1806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Suklaa ja muut kaakaota sisältävät elintarvikevalmisteet; lukuun ottamatta seuraavia:</w:t>
            </w:r>
          </w:p>
        </w:tc>
        <w:tc>
          <w:tcPr>
            <w:tcW w:w="6576" w:type="dxa"/>
            <w:tcBorders>
              <w:top w:val="single" w:sz="4" w:space="0" w:color="auto"/>
              <w:bottom w:val="single" w:sz="4" w:space="0" w:color="auto"/>
              <w:right w:val="single" w:sz="4" w:space="0" w:color="auto"/>
            </w:tcBorders>
          </w:tcPr>
          <w:p>
            <w:pPr>
              <w:spacing w:before="60" w:after="60"/>
              <w:ind w:firstLine="3"/>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paino on enintään 40 % valmiin tuotteen painosta</w:t>
            </w:r>
          </w:p>
          <w:p>
            <w:pPr>
              <w:spacing w:before="60" w:after="60"/>
              <w:ind w:firstLine="3"/>
              <w:rPr>
                <w:rFonts w:asciiTheme="majorBidi" w:hAnsiTheme="majorBidi"/>
                <w:noProof/>
              </w:rPr>
            </w:pPr>
            <w:r>
              <w:rPr>
                <w:rFonts w:asciiTheme="majorBidi" w:hAnsiTheme="majorBidi"/>
                <w:noProof/>
              </w:rPr>
              <w:t>tai</w:t>
            </w:r>
          </w:p>
          <w:p>
            <w:pPr>
              <w:spacing w:before="60" w:after="60"/>
              <w:ind w:left="567" w:hanging="564"/>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arvo on enintään 30 %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szCs w:val="24"/>
              </w:rPr>
              <w:t>1806 10</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Kaakaojauhe, lisättyä sokeria tai muuta makeutusainetta sisältävä</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vMerge w:val="restart"/>
            <w:tcBorders>
              <w:top w:val="single" w:sz="4" w:space="0" w:color="auto"/>
              <w:left w:val="single" w:sz="4" w:space="0" w:color="auto"/>
              <w:bottom w:val="nil"/>
            </w:tcBorders>
            <w:shd w:val="clear" w:color="auto" w:fill="auto"/>
          </w:tcPr>
          <w:p>
            <w:pPr>
              <w:pageBreakBefore/>
              <w:spacing w:before="60" w:after="60"/>
              <w:rPr>
                <w:rFonts w:asciiTheme="majorBidi" w:hAnsiTheme="majorBidi"/>
                <w:noProof/>
              </w:rPr>
            </w:pPr>
            <w:r>
              <w:rPr>
                <w:rFonts w:asciiTheme="majorBidi" w:hAnsiTheme="majorBidi"/>
                <w:noProof/>
              </w:rPr>
              <w:t>1901</w:t>
            </w:r>
          </w:p>
        </w:tc>
        <w:tc>
          <w:tcPr>
            <w:tcW w:w="6576" w:type="dxa"/>
            <w:tcBorders>
              <w:top w:val="single" w:sz="4" w:space="0" w:color="auto"/>
              <w:bottom w:val="nil"/>
            </w:tcBorders>
            <w:shd w:val="clear" w:color="auto" w:fill="auto"/>
          </w:tcPr>
          <w:p>
            <w:pPr>
              <w:spacing w:before="60" w:after="60"/>
              <w:rPr>
                <w:rFonts w:asciiTheme="majorBidi" w:hAnsiTheme="majorBidi"/>
                <w:noProof/>
              </w:rPr>
            </w:pPr>
            <w:r>
              <w:rPr>
                <w:rFonts w:asciiTheme="majorBidi" w:hAnsiTheme="majorBidi"/>
                <w:noProof/>
              </w:rPr>
              <w:t>Mallasuute; muualle kuulumattomat hienoista tai karkeista jauhoista, tärkkelyksestä tai mallasuutteesta tehdyt elintarvikevalmisteet, joissa ei ole lainkaan kaakaota tai joissa sitä on vähemmän kuin 40 painoprosenttia täysin rasvattomasta aineesta laskettuna; muualle kuulumattomat nimikkeiden 0401–0404 tuotteista tehdyt elintarvikevalmisteet, joissa ei ole lainkaan kaakaota tai joissa sitä on vähemmän kuin 5 painoprosenttia täysin rasvattomasta aineesta laskettuna</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vMerge/>
            <w:tcBorders>
              <w:left w:val="single" w:sz="4" w:space="0" w:color="auto"/>
              <w:bottom w:val="nil"/>
            </w:tcBorders>
            <w:shd w:val="clear" w:color="auto" w:fill="auto"/>
          </w:tcPr>
          <w:p>
            <w:pPr>
              <w:spacing w:before="60" w:after="60"/>
              <w:rPr>
                <w:rFonts w:asciiTheme="majorBidi" w:hAnsiTheme="majorBidi"/>
                <w:noProof/>
              </w:rPr>
            </w:pPr>
          </w:p>
        </w:tc>
        <w:tc>
          <w:tcPr>
            <w:tcW w:w="6576" w:type="dxa"/>
            <w:tcBorders>
              <w:top w:val="nil"/>
              <w:bottom w:val="nil"/>
            </w:tcBorders>
            <w:shd w:val="clear" w:color="auto" w:fill="auto"/>
          </w:tcPr>
          <w:p>
            <w:pPr>
              <w:spacing w:before="60" w:after="60"/>
              <w:rPr>
                <w:rFonts w:asciiTheme="majorBidi" w:hAnsiTheme="majorBidi"/>
                <w:noProof/>
              </w:rPr>
            </w:pPr>
            <w:r>
              <w:rPr>
                <w:rFonts w:asciiTheme="majorBidi" w:hAnsiTheme="majorBidi"/>
                <w:noProof/>
              </w:rPr>
              <w:t>- mallasuute;</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szCs w:val="24"/>
              </w:rPr>
              <w:t>Valmistus 10 ryhmän viljasta</w:t>
            </w:r>
          </w:p>
        </w:tc>
      </w:tr>
      <w:tr>
        <w:trPr>
          <w:cantSplit/>
          <w:trHeight w:val="20"/>
        </w:trPr>
        <w:tc>
          <w:tcPr>
            <w:tcW w:w="1606" w:type="dxa"/>
            <w:vMerge/>
            <w:tcBorders>
              <w:left w:val="single" w:sz="4" w:space="0" w:color="auto"/>
              <w:bottom w:val="single" w:sz="4" w:space="0" w:color="auto"/>
            </w:tcBorders>
            <w:shd w:val="clear" w:color="auto" w:fill="auto"/>
          </w:tcPr>
          <w:p>
            <w:pPr>
              <w:spacing w:before="60" w:after="60"/>
              <w:rPr>
                <w:rFonts w:asciiTheme="majorBidi" w:eastAsia="Times New Roman" w:hAnsiTheme="majorBidi" w:cstheme="majorBidi"/>
                <w:noProof/>
                <w:szCs w:val="24"/>
                <w:lang w:eastAsia="en-GB"/>
              </w:rPr>
            </w:pPr>
          </w:p>
        </w:tc>
        <w:tc>
          <w:tcPr>
            <w:tcW w:w="6576" w:type="dxa"/>
            <w:tcBorders>
              <w:top w:val="nil"/>
              <w:bottom w:val="single" w:sz="4" w:space="0" w:color="auto"/>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 muut</w:t>
            </w:r>
          </w:p>
        </w:tc>
        <w:tc>
          <w:tcPr>
            <w:tcW w:w="6576" w:type="dxa"/>
            <w:tcBorders>
              <w:top w:val="nil"/>
              <w:bottom w:val="single" w:sz="4" w:space="0" w:color="auto"/>
              <w:right w:val="single" w:sz="4" w:space="0" w:color="auto"/>
            </w:tcBorders>
          </w:tcPr>
          <w:p>
            <w:pPr>
              <w:spacing w:before="60" w:after="60"/>
              <w:ind w:firstLine="3"/>
              <w:rPr>
                <w:rFonts w:asciiTheme="majorBidi" w:eastAsia="Times New Roman" w:hAnsiTheme="majorBidi" w:cstheme="majorBidi"/>
                <w:noProof/>
                <w:szCs w:val="24"/>
              </w:rPr>
            </w:pPr>
            <w:r>
              <w:rPr>
                <w:rFonts w:asciiTheme="majorBidi" w:hAnsiTheme="majorBidi"/>
                <w:noProof/>
                <w:szCs w:val="24"/>
              </w:rPr>
              <w:t>Valmistus minkä tahansa muun kuin tuotteen oman nimikkeen aineksista, ja käytetyn sokerin ja käytettyjen 4 ryhmän ainesten erillispaino on enintään 40 %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1902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Makaronivalmisteet, kuten spagetti, makaroni, nuudelit, lasagne, gnocchi, ravioli ja cannelloni, myös kypsennetyt tai (lihalla tai muulla aineella) täytetyt tai muulla tavalla valmistetut; couscous, myös valmistettu</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käytettyjen nimikkeiden 1006 ja 1101–1108 ainesten paino on enintään 20 % valmiin tuotteen painosta, ja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käytettyjen 2, 3 ja 16 ryhmän ainesten paino on enintään 20 %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1903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Tapioka ja tärkkelyksestä valmistetut tapiokankorvikkeet, hiutaleina, jyvinä, helmisuurimoina, seulomisjääminä tai niiden kaltaisessa muodossa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 paitsi nimikkeen 1108 perunatärkkelyksestä</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1904</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Viljasta tai viljatuotteista paisuttamalla tai paahtamalla saadut elintarvikevalmisteet (esim. maissihiutaleet); vilja (ei kuitenkaan maissi) jyvinä tai jyväsinä tai hiutaleina tai muulla tavalla valmistettuina jyvinä tai jyväsinä (lukuun ottamatta jauhoja ja rouheita), esikypsennetty tai muulla tavalla valmistettu, muualle kuulumattomat</w:t>
            </w:r>
          </w:p>
        </w:tc>
        <w:tc>
          <w:tcPr>
            <w:tcW w:w="6576" w:type="dxa"/>
            <w:tcBorders>
              <w:top w:val="single" w:sz="4" w:space="0" w:color="auto"/>
              <w:bottom w:val="single" w:sz="4" w:space="0" w:color="auto"/>
              <w:right w:val="single" w:sz="4" w:space="0" w:color="auto"/>
            </w:tcBorders>
          </w:tcPr>
          <w:p>
            <w:pPr>
              <w:spacing w:before="60" w:after="60"/>
              <w:ind w:firstLine="3"/>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käytettyjen nimikkeiden 1006 ja 1101–1108 ainesten paino on enintään 20 % valmiin tuotteen painosta, ja</w:t>
            </w:r>
          </w:p>
          <w:p>
            <w:pPr>
              <w:spacing w:before="60" w:after="60"/>
              <w:ind w:left="567" w:hanging="564"/>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paino on enintään 40 %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1905</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Ruokaleipä, kakut ja leivokset, keksit ja pikkuleivät (biscuits) sekä muut leipomatuotteet, myös jos niissä on kaakaota; ehtoollisleipä, tyhjät oblaattikapselit, jollaiset soveltuvat farmaseuttiseen käyttöön, sinettiöylätit, riisipaperi ja niiden kaltaiset tuotteet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käytettyjen nimikkeiden 1006 ja 1101–1108 ainesten paino on enintään 20 % valmiin tuotteen painosta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20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Kasviksista, hedelmistä, pähkinöistä tai muista kasvinosista valmistetut tuotteet;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2002 ja 2003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Muulla tavalla kuin etikan tai etikkahapon avulla valmistetut tai säilötyt tomaatit, sienet ja multasienet (tryffelit)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kaikki käytetyt 7 ryhmän ainekset ovat kokonaan tuotettuja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2006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Sokerilla säilötyt (valellut, lasitetut tai kandeeratut) kasvikset, hedelmät, pähkinät, hedelmänkuoret ja muut kasvinosat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2007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Keittämällä valmistetut hillot, hedelmähyytelöt, marmelaatit, hedelmä- ja pähkinäsoseet sekä hedelmä- ja pähkinäpastat, myös lisättyä sokeria tai muuta makeutusainetta sisältävät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2008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Tuotteet, lukuun ottamatta seuraavia:</w:t>
            </w:r>
          </w:p>
          <w:p>
            <w:pPr>
              <w:spacing w:before="60" w:after="60"/>
              <w:rPr>
                <w:rFonts w:asciiTheme="majorBidi" w:hAnsiTheme="majorBidi" w:cstheme="minorBidi"/>
                <w:noProof/>
                <w:sz w:val="22"/>
              </w:rPr>
            </w:pPr>
            <w:r>
              <w:rPr>
                <w:rFonts w:asciiTheme="majorBidi" w:hAnsiTheme="majorBidi"/>
                <w:noProof/>
              </w:rPr>
              <w:t>- pähkinät, lisättyä sokeria tai alkoholia sisältämättömät</w:t>
            </w:r>
          </w:p>
          <w:p>
            <w:pPr>
              <w:spacing w:before="60" w:after="60"/>
              <w:rPr>
                <w:rFonts w:asciiTheme="majorBidi" w:hAnsiTheme="majorBidi" w:cstheme="minorBidi"/>
                <w:noProof/>
                <w:sz w:val="22"/>
              </w:rPr>
            </w:pPr>
            <w:r>
              <w:rPr>
                <w:rFonts w:asciiTheme="majorBidi" w:hAnsiTheme="majorBidi"/>
                <w:noProof/>
              </w:rPr>
              <w:t>- maapähkinävoi; viljaan perustuvat sekoitukset; palmunsydämet; maissi</w:t>
            </w:r>
          </w:p>
          <w:p>
            <w:pPr>
              <w:spacing w:before="60" w:after="60"/>
              <w:rPr>
                <w:rFonts w:asciiTheme="majorBidi" w:hAnsiTheme="majorBidi" w:cstheme="minorBidi"/>
                <w:noProof/>
                <w:sz w:val="22"/>
              </w:rPr>
            </w:pPr>
            <w:r>
              <w:rPr>
                <w:rFonts w:asciiTheme="majorBidi" w:hAnsiTheme="majorBidi"/>
                <w:noProof/>
              </w:rPr>
              <w:t>- hedelmät ja pähkinät, muulla tavalla kypsennetyt kuin vedessä tai höyryssä keitetyt, lisättyä sokeria sisältämättömät, jäädytetyt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2009</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Käymättömät ja lisättyä alkoholia sisältämättömät hedelmämehut, myös rypälemehu (grape must) ja kasvismehut, myös lisättyä sokeria tai muuta makeutusainetta sisältävät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21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Erinäiset elintarvikevalmisteet;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vMerge w:val="restart"/>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2103</w:t>
            </w:r>
          </w:p>
        </w:tc>
        <w:tc>
          <w:tcPr>
            <w:tcW w:w="6576" w:type="dxa"/>
            <w:tcBorders>
              <w:top w:val="single" w:sz="4" w:space="0" w:color="auto"/>
              <w:bottom w:val="nil"/>
            </w:tcBorders>
            <w:shd w:val="clear" w:color="auto" w:fill="auto"/>
          </w:tcPr>
          <w:p>
            <w:pPr>
              <w:spacing w:before="60" w:after="60"/>
              <w:rPr>
                <w:rFonts w:asciiTheme="majorBidi" w:hAnsiTheme="majorBidi" w:cstheme="minorBidi"/>
                <w:noProof/>
                <w:sz w:val="22"/>
              </w:rPr>
            </w:pPr>
            <w:r>
              <w:rPr>
                <w:rFonts w:asciiTheme="majorBidi" w:hAnsiTheme="majorBidi"/>
                <w:noProof/>
              </w:rPr>
              <w:t>- kastikkeet ja valmisteet niitä varten; maustamisvalmisteita olevat sekoitukset</w:t>
            </w:r>
          </w:p>
        </w:tc>
        <w:tc>
          <w:tcPr>
            <w:tcW w:w="6576" w:type="dxa"/>
            <w:tcBorders>
              <w:top w:val="single" w:sz="4" w:space="0" w:color="auto"/>
              <w:bottom w:val="nil"/>
              <w:right w:val="single" w:sz="4" w:space="0" w:color="auto"/>
            </w:tcBorders>
          </w:tcPr>
          <w:p>
            <w:pPr>
              <w:spacing w:before="60" w:after="60"/>
              <w:ind w:left="-13" w:firstLine="13"/>
              <w:rPr>
                <w:rFonts w:asciiTheme="majorBidi" w:hAnsiTheme="majorBidi" w:cstheme="minorBidi"/>
                <w:noProof/>
                <w:sz w:val="22"/>
              </w:rPr>
            </w:pPr>
            <w:r>
              <w:rPr>
                <w:rFonts w:asciiTheme="majorBidi" w:hAnsiTheme="majorBidi"/>
                <w:noProof/>
              </w:rPr>
              <w:t>Valmistus minkä tahansa muun kuin tuotteen oman nimikkeen aineksista Sinappijauhoa tai valmistettua sinappia voidaan kuitenkin käyttää</w:t>
            </w:r>
          </w:p>
        </w:tc>
      </w:tr>
      <w:tr>
        <w:trPr>
          <w:cantSplit/>
          <w:trHeight w:val="20"/>
        </w:trPr>
        <w:tc>
          <w:tcPr>
            <w:tcW w:w="1606" w:type="dxa"/>
            <w:vMerge/>
            <w:tcBorders>
              <w:left w:val="single" w:sz="4" w:space="0" w:color="auto"/>
              <w:bottom w:val="single" w:sz="4" w:space="0" w:color="auto"/>
            </w:tcBorders>
            <w:shd w:val="clear" w:color="auto" w:fill="auto"/>
          </w:tcPr>
          <w:p>
            <w:pPr>
              <w:spacing w:before="60" w:after="60"/>
              <w:rPr>
                <w:rFonts w:asciiTheme="majorBidi" w:hAnsiTheme="majorBidi"/>
                <w:noProof/>
              </w:rPr>
            </w:pPr>
          </w:p>
        </w:tc>
        <w:tc>
          <w:tcPr>
            <w:tcW w:w="6576" w:type="dxa"/>
            <w:tcBorders>
              <w:top w:val="nil"/>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 sinappijauho ja valmistettu sinappi</w:t>
            </w:r>
          </w:p>
        </w:tc>
        <w:tc>
          <w:tcPr>
            <w:tcW w:w="6576" w:type="dxa"/>
            <w:tcBorders>
              <w:top w:val="nil"/>
              <w:bottom w:val="single" w:sz="4" w:space="0" w:color="auto"/>
              <w:right w:val="single" w:sz="4" w:space="0" w:color="auto"/>
            </w:tcBorders>
          </w:tcPr>
          <w:p>
            <w:pPr>
              <w:spacing w:before="60" w:after="60"/>
              <w:ind w:left="-13" w:firstLine="13"/>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2105</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Jäätelö, mehujää ja niiden kaltaiset jäädytetyt valmisteet, myös kaakaota sisältävät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ja käytettyjen 4 ryhmän ainesten erillispaino on enintään 40 % valmiin tuotteen painosta</w:t>
            </w:r>
          </w:p>
          <w:p>
            <w:pPr>
              <w:spacing w:before="60" w:after="60"/>
              <w:rPr>
                <w:rFonts w:asciiTheme="majorBidi" w:hAnsiTheme="majorBidi" w:cstheme="minorBidi"/>
                <w:noProof/>
                <w:sz w:val="22"/>
              </w:rPr>
            </w:pPr>
            <w:r>
              <w:rPr>
                <w:rFonts w:asciiTheme="majorBidi" w:hAnsiTheme="majorBidi"/>
                <w:noProof/>
              </w:rPr>
              <w:t>ja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ja käytettyjen 4 ryhmän ainesten yhteispaino on enintään 60 %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2106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Muualle kuulumattomat elintarvikevalmisteet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käytetyn sokerin paino on enintään 40 % valmiin tuotteen painosta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22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Juomat, väkevät alkoholijuomat ja etikka; lukuun ottamatta seuraavia:</w:t>
            </w:r>
          </w:p>
        </w:tc>
        <w:tc>
          <w:tcPr>
            <w:tcW w:w="6576" w:type="dxa"/>
            <w:tcBorders>
              <w:bottom w:val="single" w:sz="4" w:space="0" w:color="auto"/>
              <w:right w:val="single" w:sz="4" w:space="0" w:color="auto"/>
            </w:tcBorders>
          </w:tcPr>
          <w:p>
            <w:pPr>
              <w:spacing w:before="60" w:after="60"/>
              <w:ind w:left="-13" w:firstLine="13"/>
              <w:rPr>
                <w:rFonts w:asciiTheme="majorBidi" w:hAnsiTheme="majorBidi" w:cstheme="minorBidi"/>
                <w:noProof/>
                <w:sz w:val="22"/>
              </w:rPr>
            </w:pPr>
            <w:r>
              <w:rPr>
                <w:rFonts w:asciiTheme="majorBidi" w:hAnsiTheme="majorBidi"/>
                <w:noProof/>
              </w:rPr>
              <w:t>Valmistus minkä tahansa muun kuin tuotteen oman nimikkeen aineksista, kaikki käytetyt alanimikkeiden 0806 10, 2009 61 ja 2009 69 ainekset ovat kokonaan tuotettuja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2202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Vesi, myös kivennäisvesi ja hiilihapotettu vesi, lisättyä sokeria tai muuta makeutusainetta sisältävä tai maustettu, ja muut alkoholittomat juomat, ei kuitenkaan nimikkeen 2009 hedelmä- ja kasvismehut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2207 ja 2208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Denaturoimaton etyylialkoholi (etanoli), alkoholipitoisuus suurempi tai pienempi kuin 80 tilavuusprosenttia; väkevät alkoholijuomat, liköörit ja muut alkoholipitoiset juomat</w:t>
            </w:r>
          </w:p>
        </w:tc>
        <w:tc>
          <w:tcPr>
            <w:tcW w:w="6576" w:type="dxa"/>
            <w:tcBorders>
              <w:top w:val="single" w:sz="4" w:space="0" w:color="auto"/>
              <w:bottom w:val="single" w:sz="4" w:space="0" w:color="auto"/>
              <w:right w:val="single" w:sz="4" w:space="0" w:color="auto"/>
            </w:tcBorders>
          </w:tcPr>
          <w:p>
            <w:pPr>
              <w:spacing w:before="60" w:after="60"/>
              <w:ind w:left="-25" w:firstLine="3"/>
              <w:rPr>
                <w:rFonts w:asciiTheme="majorBidi" w:hAnsiTheme="majorBidi" w:cstheme="minorBidi"/>
                <w:noProof/>
                <w:sz w:val="22"/>
              </w:rPr>
            </w:pPr>
            <w:r>
              <w:rPr>
                <w:rFonts w:asciiTheme="majorBidi" w:hAnsiTheme="majorBidi"/>
                <w:noProof/>
              </w:rPr>
              <w:t>Valmistus minkä tahansa muun kuin nimikkeen 2207 tai 2208 aineksista, kaikki käytetyt alanimikkeiden 0806 10, 2009 61 ja 2009 69 ainekset ovat kokonaan tuotettuja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23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Elintarviketeollisuuden jätetuotteet ja jätteet; valmistettu rehu;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2309</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Valmisteet, jollaisia käytetään eläinten ruokintaan</w:t>
            </w:r>
          </w:p>
        </w:tc>
        <w:tc>
          <w:tcPr>
            <w:tcW w:w="6576" w:type="dxa"/>
            <w:tcBorders>
              <w:top w:val="single" w:sz="4" w:space="0" w:color="auto"/>
              <w:bottom w:val="single" w:sz="4" w:space="0" w:color="auto"/>
              <w:right w:val="single" w:sz="4" w:space="0" w:color="auto"/>
            </w:tcBorders>
          </w:tcPr>
          <w:p>
            <w:pPr>
              <w:spacing w:before="60" w:after="60"/>
              <w:ind w:left="113" w:hanging="113"/>
              <w:rPr>
                <w:rFonts w:asciiTheme="majorBidi" w:hAnsiTheme="majorBidi" w:cstheme="minorBidi"/>
                <w:noProof/>
                <w:sz w:val="22"/>
              </w:rPr>
            </w:pPr>
            <w:r>
              <w:rPr>
                <w:rFonts w:asciiTheme="majorBidi" w:hAnsiTheme="majorBidi"/>
                <w:noProof/>
              </w:rPr>
              <w:t>Valmistus, jossa: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kaikkien käytettyjen 2 ja 3 ryhmän ainesten on oltava kokonaan tuotettuja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käytettyjen 10 ja 11 ryhmän sekä nimikkeiden 2302 ja 2303 ainesten paino on enintään 20 % valmiin tuotteen painosta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ja käytettyjen 4 ryhmän ainesten erillispaino on enintään 40 % valmiin tuotteen painosta, ja</w:t>
            </w:r>
          </w:p>
          <w:p>
            <w:pPr>
              <w:spacing w:before="60" w:after="60"/>
              <w:ind w:left="567" w:hanging="567"/>
              <w:rPr>
                <w:rFonts w:asciiTheme="majorBidi" w:hAnsiTheme="majorBidi"/>
                <w:noProof/>
              </w:rPr>
            </w:pPr>
            <w:r>
              <w:rPr>
                <w:rFonts w:asciiTheme="majorBidi" w:hAnsiTheme="majorBidi"/>
                <w:noProof/>
                <w:szCs w:val="24"/>
              </w:rPr>
              <w:t>–</w:t>
            </w:r>
            <w:r>
              <w:rPr>
                <w:noProof/>
              </w:rPr>
              <w:tab/>
            </w:r>
            <w:r>
              <w:rPr>
                <w:rFonts w:asciiTheme="majorBidi" w:hAnsiTheme="majorBidi"/>
                <w:noProof/>
              </w:rPr>
              <w:t>käytetyn sokerin ja käytettyjen 4 ryhmän ainesten yhteispaino on enintään 50 % valmiin tuotteen 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24 ryhmä</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Tupakka ja valmistetut tupakankorvikkeet; lukuun ottamatta seuraavia: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nimikkeen aineksista, ja käytettyjen nimikkeen 2401 ainesten paino on enintään 30 % käytettyjen 24 ryhmän ainesten yhteispainosta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2401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Valmistamaton tupakka; tupakanjätteet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 käytetyt 2401 ryhmän ainekset ovat kokonaan tuotettuja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2402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Savukkeet, tupakasta tai tupakankorvikkeista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ja alanimikkeen 2403 19 piippu- ja savuketupakasta, ja vähintään 10 painoprosenttia kaikista käytetyistä nimikkeen 2401 aineksista on kokonaan tuotettuja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Ex 2403</w:t>
            </w:r>
          </w:p>
        </w:tc>
        <w:tc>
          <w:tcPr>
            <w:tcW w:w="6576" w:type="dxa"/>
            <w:tcBorders>
              <w:top w:val="single" w:sz="4" w:space="0" w:color="auto"/>
              <w:bottom w:val="single" w:sz="4" w:space="0" w:color="auto"/>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Tuotteet, jotka on tarkoitettu hengitettäviksi sisään kuumennettuina tai muulla tavoin ilman polttamista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eastAsia="Times New Roman" w:hAnsiTheme="majorBidi" w:cstheme="majorBidi"/>
                <w:noProof/>
                <w:szCs w:val="24"/>
              </w:rPr>
            </w:pPr>
            <w:r>
              <w:rPr>
                <w:rFonts w:asciiTheme="majorBidi" w:hAnsiTheme="majorBidi"/>
                <w:noProof/>
                <w:szCs w:val="24"/>
              </w:rPr>
              <w:t>Valmistus minkä tahansa muun kuin tuotteen oman nimikkeen aineksista, ja vähintään 10 painoprosenttia kaikista käytetyistä nimikkeen 2401 aineksista on kokonaan tuotettuja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25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Suola; rikki; maa- ja kivilajit; kipsi, kalkki ja sementti;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70 prosenttia tuotteen noudettuna-hinnasta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Ex 2519</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Murskattu luonnon magnesiumkarbonaatti (magnesiitti) ilmanpitävissä astioissa ja magnesiumoksidi, myös puhdas, ei kuitenkaan sulatettu magnesiumoksidi (magnesia) tai perkipoltettu (sintrattu) magnesiumoksidi</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Luonnon magnesiumkarbonaattia (magnesiittia) voidaan kuitenkin käyttää</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26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Malmit, kuona ja tuhka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27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Kivennäispolttoaineet, kivennäisöljyt ja niiden tislaustuotteet; bitumiset aineet; kivennäisvahat;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2707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Korkean lämpötilan kivihiilitervasta tislaamalla saatujen kivennäisöljyjen kaltaiset öljyt, joissa aromaattisten aineosien paino ylittää muiden kuin aromaattisten aineosien painon ja joista 250 °C:seen tislattaessa tislautuu yli 65 tilavuusprosenttia (myös bensiini- ja bentsoliseokset), moottori- tai muuna polttoaineena käytettävät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b/>
                <w:bCs/>
                <w:noProof/>
                <w:vertAlign w:val="superscript"/>
              </w:rPr>
              <w:t>1</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Muut toimet, joissa kaikki käytetyt ainekset luokitellaan eri nimikkeeseen kuin tuote. Sellaisia aineksia, jotka kuuluvat samaan nimikkeeseen kuin tuote, voidaan kuitenkin käyttää, jos niiden yhteisarvo on enintään 50 %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2710</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Maaöljyt ja bitumisista kivennäisistä saadut öljyt, muut kuin raa’at; muualle kuulumattomat valmisteet, joissa on perusaineosana maaöljyjä tai bitumisista kivennäisistä saatuja öljyjä vähintään 70 painoprosenttia; jäteöljyt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b/>
                <w:bCs/>
                <w:noProof/>
                <w:vertAlign w:val="superscript"/>
              </w:rPr>
              <w:t>1</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noProof/>
                <w:sz w:val="20"/>
              </w:rPr>
            </w:pPr>
            <w:r>
              <w:rPr>
                <w:rFonts w:asciiTheme="majorBidi" w:hAnsiTheme="majorBidi"/>
                <w:noProof/>
              </w:rPr>
              <w:t>Muut toimet, joissa kaikki käytetyt ainekset luokitellaan eri nimikkeeseen kuin tuote. Sellaisia aineksia, jotka kuuluvat samaan nimikkeeseen kuin tuote, voidaan kuitenkin käyttää, jos niiden yhteisarvo on enintään 50 %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2711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Maaöljykaasut ja muut kaasumaiset hiilivedyt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b/>
                <w:bCs/>
                <w:noProof/>
                <w:vertAlign w:val="superscript"/>
              </w:rPr>
              <w:t>1</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Muut toimet, joissa kaikki käytetyt ainekset luokitellaan eri nimikkeeseen kuin tuote. Sellaisia aineksia, jotka kuuluvat samaan nimikkeeseen kuin tuote, voidaan kuitenkin käyttää, jos niiden yhteisarvo on enintään 50 %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2712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Vaseliini; parafiini, mikrokiteinen maaöljyvaha, puristettu parafiini (slack wax), otsokeriitti, ruskohiilivaha, turvevaha ja muut kivennäisvahat sekä niiden kaltaiset synteettisesti tai muulla menetelmällä valmistetut tuotteet, myös värjätyt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b/>
                <w:bCs/>
                <w:noProof/>
                <w:vertAlign w:val="superscript"/>
              </w:rPr>
              <w:t>1</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Muut toimet, joissa kaikki käytetyt ainekset luokitellaan eri nimikkeeseen kuin tuote. Sellaisia aineksia, jotka kuuluvat samaan nimikkeeseen kuin tuote, voidaan kuitenkin käyttää, jos niiden yhteisarvo on enintään 50 %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2713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Maaöljykoksi, maaöljybitumi ja muut maaöljyjen tai bitumisista kivennäisistä saatujen öljyjen jätetuotteet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b/>
                <w:bCs/>
                <w:noProof/>
                <w:vertAlign w:val="superscript"/>
              </w:rPr>
              <w:t>1</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Muut toimet, joissa kaikki käytetyt ainekset luokitellaan eri nimikkeeseen kuin tuote. Sellaisia aineksia, jotka kuuluvat samaan nimikkeeseen kuin tuote, voidaan kuitenkin käyttää, jos niiden yhteisarvo on enintään 50 % tuotteen noudettuna</w:t>
            </w:r>
            <w:r>
              <w:rPr>
                <w:rFonts w:asciiTheme="majorBidi" w:hAnsiTheme="majorBidi"/>
                <w:noProof/>
              </w:rPr>
              <w:noBreakHyphen/>
              <w:t>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28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Epäorgaaniset kemikaalit; jalometallien, harvinaisten maametallien, radioaktiivisten alkuaineiden ja isotooppien orgaaniset ja epäorgaaniset yhdisteet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29 ryhmä</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Orgaaniset kemikaalit; lukuun ottamatta seuraavia: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2901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Asykliset hiilivedyt, moottori- tai muuna polttoaineena käytettävät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noProof/>
                <w:szCs w:val="24"/>
              </w:rPr>
              <w:t>(</w:t>
            </w:r>
            <w:r>
              <w:rPr>
                <w:rFonts w:asciiTheme="majorBidi" w:hAnsiTheme="majorBidi"/>
                <w:b/>
                <w:noProof/>
                <w:vertAlign w:val="superscript"/>
              </w:rPr>
              <w:t>1</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50 %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2902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Syklaanit ja sykleenit (muut kuin atsuleenit), bentseeni, tolueeni ja ksyleenit, moottori- tai muuna polttoaineena käytettävät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Puhdistustoimet ja/tai yksi tai useampi tietty käsittely</w:t>
            </w:r>
            <w:r>
              <w:rPr>
                <w:rFonts w:asciiTheme="majorBidi" w:hAnsiTheme="majorBidi"/>
                <w:noProof/>
                <w:szCs w:val="24"/>
              </w:rPr>
              <w:t>(</w:t>
            </w:r>
            <w:r>
              <w:rPr>
                <w:rFonts w:asciiTheme="majorBidi" w:hAnsiTheme="majorBidi"/>
                <w:b/>
                <w:noProof/>
                <w:vertAlign w:val="superscript"/>
              </w:rPr>
              <w:t>1</w:t>
            </w:r>
            <w:r>
              <w:rPr>
                <w:rFonts w:asciiTheme="majorBidi" w:hAnsiTheme="majorBidi"/>
                <w:noProof/>
              </w:rPr>
              <w:t>)</w:t>
            </w:r>
            <w:r>
              <w:rPr>
                <w:noProof/>
              </w:rPr>
              <w:t xml:space="preserve"> </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50 % tuotteen noudettuna-hinnasta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Ex 2905</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Tämän nimikkeen alkoholien ja etanolin metallialkoholaatit</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nimikkeen aineksista, myös muista nimikkeen 2905 aineksista. Tämän nimikkeen metallialkoholaatteja voidaan kuitenkin käyttää, jos niiden yhteisarvo on enintään 20 prosenttia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30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Farmaseuttiset tuotteet</w:t>
            </w:r>
          </w:p>
        </w:tc>
        <w:tc>
          <w:tcPr>
            <w:tcW w:w="6576" w:type="dxa"/>
            <w:tcBorders>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minkä tahansa nimikkeen aineksista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31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Lannoitteet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32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Parkitus- tai väriuutteet; tanniinit ja niiden johdannaiset; värit, pigmentit ja muut väriaineet; maalit ja lakat; kitti sekä muut täyte- ja tiivistystahnat; painovärit, musta ja tussi</w:t>
            </w:r>
          </w:p>
        </w:tc>
        <w:tc>
          <w:tcPr>
            <w:tcW w:w="6576" w:type="dxa"/>
            <w:tcBorders>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33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Haihtuvat öljyt ja resinoidit; hajuste-, kosmeettiset ja toalettivalmisteet</w:t>
            </w:r>
          </w:p>
        </w:tc>
        <w:tc>
          <w:tcPr>
            <w:tcW w:w="6576" w:type="dxa"/>
            <w:tcBorders>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34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Saippua ja suopa, orgaaniset pinta-aktiiviset aineet, pesuvalmisteet, voiteluvalmisteet, teko-vahat, valmistetut vahat, kiillotus-, hankaus- ja puhdistusvalmisteet, kynttilät ja niiden kaltaiset tuotteet, muovailumassat, ”hammasvahat” ja kipsiin perustuvat hammas lääkinnässä käytettävät valmisteet</w:t>
            </w:r>
          </w:p>
        </w:tc>
        <w:tc>
          <w:tcPr>
            <w:tcW w:w="6576" w:type="dxa"/>
            <w:tcBorders>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35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Valkuaisaineet; modifioidut tärkkelykset; liimat ja liisterit; entsyymit</w:t>
            </w:r>
          </w:p>
        </w:tc>
        <w:tc>
          <w:tcPr>
            <w:tcW w:w="6576" w:type="dxa"/>
            <w:tcBorders>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40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36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Räjähdysaineet; pyrotekniset tuotteet; tulitikut; pyroforiset seokset; helposti syttyvät aineet</w:t>
            </w:r>
          </w:p>
        </w:tc>
        <w:tc>
          <w:tcPr>
            <w:tcW w:w="6576" w:type="dxa"/>
            <w:tcBorders>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37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Valokuvaus- ja elokuvausvalmisteet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38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Erinäiset kemialliset tuotteet;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nil"/>
            </w:tcBorders>
            <w:shd w:val="clear" w:color="auto" w:fill="auto"/>
          </w:tcPr>
          <w:p>
            <w:pPr>
              <w:spacing w:before="60" w:after="60"/>
              <w:rPr>
                <w:rFonts w:asciiTheme="majorBidi" w:hAnsiTheme="majorBidi"/>
                <w:noProof/>
              </w:rPr>
            </w:pPr>
            <w:r>
              <w:rPr>
                <w:rFonts w:asciiTheme="majorBidi" w:hAnsiTheme="majorBidi"/>
                <w:noProof/>
                <w:szCs w:val="24"/>
              </w:rPr>
              <w:t>Ex 3811</w:t>
            </w:r>
          </w:p>
        </w:tc>
        <w:tc>
          <w:tcPr>
            <w:tcW w:w="6576" w:type="dxa"/>
            <w:tcBorders>
              <w:top w:val="single" w:sz="4" w:space="0" w:color="auto"/>
              <w:bottom w:val="nil"/>
            </w:tcBorders>
            <w:shd w:val="clear" w:color="auto" w:fill="auto"/>
          </w:tcPr>
          <w:p>
            <w:pPr>
              <w:spacing w:before="60" w:after="60"/>
              <w:rPr>
                <w:rFonts w:asciiTheme="majorBidi" w:hAnsiTheme="majorBidi" w:cstheme="minorBidi"/>
                <w:noProof/>
                <w:sz w:val="22"/>
              </w:rPr>
            </w:pPr>
            <w:r>
              <w:rPr>
                <w:rFonts w:asciiTheme="majorBidi" w:hAnsiTheme="majorBidi"/>
                <w:noProof/>
              </w:rPr>
              <w:t>Nakutusta, hapettumista, hartsiutumista tai syöpymistä estävät valmisteet, viskositeettia parantavat valmisteet ja muut kivennäisöljyjen (myös bensiinin) ja muiden nesteiden, joita käytetään samaan tarkoitukseen kuin kivennäisöljyjä, lisäainevalmisteet;</w:t>
            </w:r>
          </w:p>
        </w:tc>
        <w:tc>
          <w:tcPr>
            <w:tcW w:w="6576" w:type="dxa"/>
            <w:tcBorders>
              <w:top w:val="single" w:sz="4" w:space="0" w:color="auto"/>
              <w:bottom w:val="nil"/>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tc>
      </w:tr>
      <w:tr>
        <w:trPr>
          <w:cantSplit/>
          <w:trHeight w:val="20"/>
        </w:trPr>
        <w:tc>
          <w:tcPr>
            <w:tcW w:w="1606" w:type="dxa"/>
            <w:tcBorders>
              <w:top w:val="nil"/>
              <w:left w:val="single" w:sz="4" w:space="0" w:color="auto"/>
              <w:bottom w:val="single" w:sz="4" w:space="0" w:color="auto"/>
            </w:tcBorders>
            <w:shd w:val="clear" w:color="auto" w:fill="auto"/>
          </w:tcPr>
          <w:p>
            <w:pPr>
              <w:spacing w:before="60" w:after="60"/>
              <w:rPr>
                <w:rFonts w:asciiTheme="majorBidi" w:hAnsiTheme="majorBidi"/>
                <w:noProof/>
              </w:rPr>
            </w:pPr>
          </w:p>
        </w:tc>
        <w:tc>
          <w:tcPr>
            <w:tcW w:w="6576" w:type="dxa"/>
            <w:tcBorders>
              <w:top w:val="nil"/>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 voiteluöljyjen lisäainevalmisteet, joissa on maaöljyjä tai bitumisista kivennäisistä saatuja öljyjä</w:t>
            </w:r>
          </w:p>
        </w:tc>
        <w:tc>
          <w:tcPr>
            <w:tcW w:w="6576" w:type="dxa"/>
            <w:tcBorders>
              <w:top w:val="nil"/>
              <w:bottom w:val="single" w:sz="4" w:space="0" w:color="auto"/>
              <w:right w:val="single" w:sz="4" w:space="0" w:color="auto"/>
            </w:tcBorders>
            <w:shd w:val="clear" w:color="auto" w:fill="auto"/>
          </w:tcPr>
          <w:p>
            <w:pPr>
              <w:spacing w:before="60" w:after="60"/>
              <w:rPr>
                <w:rFonts w:asciiTheme="majorBidi" w:hAnsiTheme="majorBidi" w:cstheme="minorBidi"/>
                <w:noProof/>
                <w:sz w:val="22"/>
                <w:vertAlign w:val="superscript"/>
              </w:rPr>
            </w:pPr>
            <w:r>
              <w:rPr>
                <w:rFonts w:asciiTheme="majorBidi" w:hAnsiTheme="majorBidi"/>
                <w:noProof/>
              </w:rPr>
              <w:t>Valmistus, jossa kaikkien käytettyjen nimikkeen 3811 ainesten arvo on enintään 50 prosenttia tuotteen noudettuna-hinnasta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ex 3824 99 ja ex 3826 00</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Biodiesel</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biodiesel saadaan transesteröimällä ja/tai esteröimällä tai vetykäsittelyllä</w:t>
            </w:r>
            <w:r>
              <w:rPr>
                <w:rFonts w:asciiTheme="majorBidi" w:hAnsiTheme="majorBidi"/>
                <w:noProof/>
              </w:rPr>
              <w:noBreakHyphen/>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39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Muovi ja muovitavarat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Tietty käsittely</w:t>
            </w:r>
            <w:r>
              <w:rPr>
                <w:rFonts w:asciiTheme="majorBidi" w:hAnsiTheme="majorBidi"/>
                <w:noProof/>
                <w:vertAlign w:val="superscript"/>
              </w:rPr>
              <w:t>(4)</w:t>
            </w:r>
          </w:p>
          <w:p>
            <w:pPr>
              <w:spacing w:before="60" w:after="60"/>
              <w:rPr>
                <w:rFonts w:asciiTheme="majorBidi" w:hAnsiTheme="majorBidi"/>
                <w:noProof/>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Sellaisia aineksia, jotka kuuluvat samaan nimikkeeseen kuin tuote, voidaan kuitenkin käyttää, jos niiden yhteisarvo on enintään 20 %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40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Kumi ja kumitavarat;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szCs w:val="24"/>
              </w:rPr>
              <w:t>Ex 4012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Uudelleen pinnoitetut pneumaattiset ulkorenkaat, umpikumirenkaat tai joustorenkaat, kumia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Käytettyjen renkaiden uudelleen pinnoittaminen</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41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Raakavuodat ja -nahat (muut kuin turkisnahat) sekä muokattu nahka;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4104–4106</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Parkitut tai viimeistelemättömät vuodat ja nahat, villa- tai karvapeitteettömät, myös halkaistut, mutta ei enempää valmistetut</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Esiparkitun nahan jälkiparkitus</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42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Nahkatavarat; satula- ja valjasteokset; matkatarvikkeet, käsilaukut ja niiden kaltaiset säilytysesineet; suolesta (ei kuitenkaan silkkitoukan gutista) valmistetut tavarat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43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Turkisnahat ja tekoturkikset; niistä valmistetut tavarat;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nil"/>
            </w:tcBorders>
            <w:shd w:val="clear" w:color="auto" w:fill="auto"/>
          </w:tcPr>
          <w:p>
            <w:pPr>
              <w:spacing w:before="60" w:after="60"/>
              <w:rPr>
                <w:rFonts w:asciiTheme="majorBidi" w:hAnsiTheme="majorBidi"/>
                <w:noProof/>
              </w:rPr>
            </w:pPr>
            <w:r>
              <w:rPr>
                <w:rFonts w:asciiTheme="majorBidi" w:hAnsiTheme="majorBidi"/>
                <w:noProof/>
              </w:rPr>
              <w:t>Ex 4302</w:t>
            </w:r>
          </w:p>
        </w:tc>
        <w:tc>
          <w:tcPr>
            <w:tcW w:w="6576" w:type="dxa"/>
            <w:tcBorders>
              <w:top w:val="single" w:sz="4" w:space="0" w:color="auto"/>
              <w:bottom w:val="nil"/>
            </w:tcBorders>
            <w:shd w:val="clear" w:color="auto" w:fill="auto"/>
          </w:tcPr>
          <w:p>
            <w:pPr>
              <w:spacing w:before="60" w:after="60"/>
              <w:rPr>
                <w:rFonts w:asciiTheme="majorBidi" w:hAnsiTheme="majorBidi" w:cstheme="minorBidi"/>
                <w:noProof/>
                <w:sz w:val="22"/>
              </w:rPr>
            </w:pPr>
            <w:r>
              <w:rPr>
                <w:rFonts w:asciiTheme="majorBidi" w:hAnsiTheme="majorBidi"/>
                <w:noProof/>
              </w:rPr>
              <w:t>Parkitut tai muokatut turkisnahat, yhdistetyt:</w:t>
            </w:r>
          </w:p>
        </w:tc>
        <w:tc>
          <w:tcPr>
            <w:tcW w:w="6576" w:type="dxa"/>
            <w:tcBorders>
              <w:top w:val="single" w:sz="4" w:space="0" w:color="auto"/>
              <w:bottom w:val="nil"/>
              <w:right w:val="single" w:sz="4" w:space="0" w:color="auto"/>
            </w:tcBorders>
            <w:shd w:val="clear" w:color="auto" w:fill="auto"/>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shd w:val="clear" w:color="auto" w:fill="auto"/>
          </w:tcPr>
          <w:p>
            <w:pPr>
              <w:spacing w:before="60" w:after="60"/>
              <w:rPr>
                <w:rFonts w:asciiTheme="majorBidi" w:hAnsiTheme="majorBidi"/>
                <w:noProof/>
              </w:rPr>
            </w:pPr>
          </w:p>
        </w:tc>
        <w:tc>
          <w:tcPr>
            <w:tcW w:w="6576" w:type="dxa"/>
            <w:tcBorders>
              <w:top w:val="nil"/>
              <w:bottom w:val="nil"/>
            </w:tcBorders>
            <w:shd w:val="clear" w:color="auto" w:fill="auto"/>
          </w:tcPr>
          <w:p>
            <w:pPr>
              <w:spacing w:before="60" w:after="60"/>
              <w:rPr>
                <w:rFonts w:asciiTheme="majorBidi" w:hAnsiTheme="majorBidi"/>
                <w:noProof/>
              </w:rPr>
            </w:pPr>
            <w:r>
              <w:rPr>
                <w:rFonts w:asciiTheme="majorBidi" w:hAnsiTheme="majorBidi"/>
                <w:noProof/>
              </w:rPr>
              <w:t>- levyt, ristit ja niiden kaltaiset muodot</w:t>
            </w:r>
          </w:p>
        </w:tc>
        <w:tc>
          <w:tcPr>
            <w:tcW w:w="6576" w:type="dxa"/>
            <w:tcBorders>
              <w:top w:val="nil"/>
              <w:bottom w:val="nil"/>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Yhdistämättömien parkittujen tai muokattujen turkisnahkojen valkaisu tai värjäys leikkuun ja yhdistämisen lisäksi</w:t>
            </w:r>
            <w:r>
              <w:rPr>
                <w:rFonts w:asciiTheme="majorBidi" w:hAnsiTheme="majorBidi"/>
                <w:noProof/>
              </w:rPr>
              <w:noBreakHyphen/>
            </w:r>
          </w:p>
        </w:tc>
      </w:tr>
      <w:tr>
        <w:trPr>
          <w:cantSplit/>
          <w:trHeight w:val="20"/>
        </w:trPr>
        <w:tc>
          <w:tcPr>
            <w:tcW w:w="1606" w:type="dxa"/>
            <w:tcBorders>
              <w:top w:val="nil"/>
              <w:left w:val="single" w:sz="4" w:space="0" w:color="auto"/>
              <w:bottom w:val="single" w:sz="4" w:space="0" w:color="auto"/>
            </w:tcBorders>
            <w:shd w:val="clear" w:color="auto" w:fill="auto"/>
          </w:tcPr>
          <w:p>
            <w:pPr>
              <w:spacing w:before="60" w:after="60"/>
              <w:rPr>
                <w:rFonts w:asciiTheme="majorBidi" w:hAnsiTheme="majorBidi"/>
                <w:noProof/>
              </w:rPr>
            </w:pPr>
          </w:p>
        </w:tc>
        <w:tc>
          <w:tcPr>
            <w:tcW w:w="6576" w:type="dxa"/>
            <w:tcBorders>
              <w:top w:val="nil"/>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yhdistämättömistä parkituista tai muokatuista turkisnahoista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4303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Vaatteet, vaatetustarvikkeet ja muut turkisnahasta valmistetut tavarat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4302 yhdistämättömistä parkituista tai muokatuista turkisnahoista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44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Puu ja puusta valmistetut tavarat; puuhiili;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4407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Puu, sahattu tai veistetty (chipped) pituussuunnassa, tasoleikattu tai viiluksi sorvattu, paksuus suurempi kuin 6 mm, höylätty, hiottu tai sormijatkettu</w:t>
            </w:r>
            <w:r>
              <w:rPr>
                <w:rFonts w:asciiTheme="majorBidi" w:hAnsiTheme="majorBidi"/>
                <w:noProof/>
              </w:rPr>
              <w:noBreakHyphen/>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Höylääminen, hiominen tai päistä jatkaminen</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4408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Viilut vanerointia (myös kerrostettua puuta tasoleikkaamalla saadut), ristiinliimattua vaneria tai niiden kaltaista kerrostettua puuta varten ja muu puu, sahattu pituussuunnassa, tasoleikattu tai viiluksi sorvattu, myös höylätty, hiottu, saumattu tai päistään jatkettu, paksuus enintään 6 mm</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Saumaaminen, höylääminen, hiominen tai päistä jatkaminen</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4410–ex 4413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Muotolista ja -lauta, myös muotoiltu jalkalista ja niiden kaltainen muotolauta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Muotolistaksi tai -laudaksi työstäminen</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4415</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Puiset pakkauslaatikot, -rasiat, -häkit, -pytyt ja niiden kaltaiset päällykset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määräkokoon leikkaamattomista laudoista</w:t>
            </w:r>
          </w:p>
        </w:tc>
      </w:tr>
      <w:tr>
        <w:trPr>
          <w:cantSplit/>
          <w:trHeight w:val="20"/>
        </w:trPr>
        <w:tc>
          <w:tcPr>
            <w:tcW w:w="1606" w:type="dxa"/>
            <w:tcBorders>
              <w:top w:val="single" w:sz="4" w:space="0" w:color="auto"/>
              <w:left w:val="single" w:sz="4" w:space="0" w:color="auto"/>
              <w:bottom w:val="nil"/>
            </w:tcBorders>
            <w:shd w:val="clear" w:color="auto" w:fill="auto"/>
          </w:tcPr>
          <w:p>
            <w:pPr>
              <w:pageBreakBefore/>
              <w:spacing w:before="60" w:after="60"/>
              <w:rPr>
                <w:rFonts w:asciiTheme="majorBidi" w:hAnsiTheme="majorBidi"/>
                <w:noProof/>
              </w:rPr>
            </w:pPr>
            <w:r>
              <w:rPr>
                <w:rFonts w:asciiTheme="majorBidi" w:hAnsiTheme="majorBidi"/>
                <w:noProof/>
              </w:rPr>
              <w:t>Ex 4418</w:t>
            </w:r>
          </w:p>
        </w:tc>
        <w:tc>
          <w:tcPr>
            <w:tcW w:w="6576" w:type="dxa"/>
            <w:tcBorders>
              <w:top w:val="single" w:sz="4" w:space="0" w:color="auto"/>
              <w:bottom w:val="nil"/>
            </w:tcBorders>
            <w:shd w:val="clear" w:color="auto" w:fill="auto"/>
          </w:tcPr>
          <w:p>
            <w:pPr>
              <w:spacing w:before="60" w:after="60"/>
              <w:rPr>
                <w:rFonts w:asciiTheme="majorBidi" w:hAnsiTheme="majorBidi"/>
                <w:noProof/>
              </w:rPr>
            </w:pPr>
            <w:r>
              <w:rPr>
                <w:rFonts w:asciiTheme="majorBidi" w:hAnsiTheme="majorBidi"/>
                <w:noProof/>
              </w:rPr>
              <w:t>- puiset rakennuspuusepän ja kirvesmiehen tuotteet</w:t>
            </w:r>
          </w:p>
        </w:tc>
        <w:tc>
          <w:tcPr>
            <w:tcW w:w="6576" w:type="dxa"/>
            <w:tcBorders>
              <w:top w:val="single" w:sz="4" w:space="0" w:color="auto"/>
              <w:bottom w:val="nil"/>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Puisia solulevyjä, kattopäreitä ja -paanuja voidaan kuitenkin käyttää</w:t>
            </w:r>
          </w:p>
        </w:tc>
      </w:tr>
      <w:tr>
        <w:trPr>
          <w:cantSplit/>
          <w:trHeight w:val="20"/>
        </w:trPr>
        <w:tc>
          <w:tcPr>
            <w:tcW w:w="1606" w:type="dxa"/>
            <w:tcBorders>
              <w:top w:val="nil"/>
              <w:left w:val="single" w:sz="4" w:space="0" w:color="auto"/>
              <w:bottom w:val="single" w:sz="4" w:space="0" w:color="auto"/>
            </w:tcBorders>
            <w:shd w:val="clear" w:color="auto" w:fill="auto"/>
          </w:tcPr>
          <w:p>
            <w:pPr>
              <w:spacing w:before="60" w:after="60"/>
              <w:rPr>
                <w:rFonts w:asciiTheme="majorBidi" w:hAnsiTheme="majorBidi"/>
                <w:noProof/>
              </w:rPr>
            </w:pPr>
          </w:p>
        </w:tc>
        <w:tc>
          <w:tcPr>
            <w:tcW w:w="6576" w:type="dxa"/>
            <w:tcBorders>
              <w:top w:val="nil"/>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 muotolista ja -lauta</w:t>
            </w:r>
          </w:p>
        </w:tc>
        <w:tc>
          <w:tcPr>
            <w:tcW w:w="6576" w:type="dxa"/>
            <w:tcBorders>
              <w:top w:val="nil"/>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Muotolistaksi tai -laudaksi työstäminen</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Ex 4421</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Tulitikkutikut; jalkineiden puunaulat</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nimikkeen puusta paitsi nimikkeen 4409 puulangasta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45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Korkki ja korkkitavarat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46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Oljesta, espartosta tai muista punonta- tai palmikointiaineista valmistetut tavarat; kori- ja punontateokset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47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Puusta tai muusta kuituisesta selluloosa-aineesta valmistettu massa; keräyspaperi, -kartonki ja -pahvi (-jäte)</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48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Paperi, kartonki ja pahvi; paperimassa-, paperi-, kartonki- ja pahvitavarat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49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Kirjat, sanomalehdet, kuvat ja muut painotuotteet; käsikirjoitukset, konekirjoitukset ja työpiirustukset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br w:type="page"/>
              <w:t>ex 50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Silkki;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Ex 5003</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Silkkijätteet (myös kelauskelvottomat kokongit, lankajätteet ja garnetoidut jätteet ja lumput), karstatut tai kammatut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Silkkijätteiden karstaus tai kampaus</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5004 – ex 5006</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Silkkilanka ja silkkijätteistä kehrätty lanka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Luonnonkuitujen kehruu</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Jatkuvan tekokuitufilamentin suulakepuristus yhdessä kehruun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Jatkuvan tekokuitufilamentin suulakepuristus yhdessä kiertämisen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5007</w:t>
            </w:r>
          </w:p>
        </w:tc>
        <w:tc>
          <w:tcPr>
            <w:tcW w:w="6576" w:type="dxa"/>
            <w:tcBorders>
              <w:top w:val="single" w:sz="4" w:space="0" w:color="auto"/>
              <w:bottom w:val="single" w:sz="4" w:space="0" w:color="auto"/>
            </w:tcBorders>
          </w:tcPr>
          <w:p>
            <w:pPr>
              <w:spacing w:before="60" w:after="60"/>
              <w:rPr>
                <w:rFonts w:asciiTheme="majorBidi" w:hAnsiTheme="majorBidi" w:cstheme="minorBidi"/>
                <w:b/>
                <w:noProof/>
                <w:sz w:val="22"/>
              </w:rPr>
            </w:pPr>
            <w:r>
              <w:rPr>
                <w:rFonts w:asciiTheme="majorBidi" w:hAnsiTheme="majorBidi"/>
                <w:noProof/>
              </w:rPr>
              <w:t>Kudotut silkki- ja silkkijätekankaat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Tekokuitufilamenttilangan suulakepuristus yhdessä kutomisen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Kiertäminen tai mekaaninen toimi yhdessä kutomisen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Kutominen yhdessä värjäämisen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Langan värjääminen yhdessä kutomisen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Kutominen yhdessä painamisen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b/>
                <w:noProof/>
                <w:sz w:val="22"/>
              </w:rPr>
            </w:pPr>
            <w:r>
              <w:rPr>
                <w:rFonts w:asciiTheme="majorBidi" w:hAnsiTheme="majorBidi"/>
                <w:noProof/>
              </w:rPr>
              <w:t>Painaminen (itsenäisenä toimena)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51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Villa sekä hieno ja karkea eläimenkarva; jouhilanka ja jouhesta kudotut kankaat;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tcPr>
          <w:p>
            <w:pPr>
              <w:spacing w:before="20" w:after="20"/>
              <w:rPr>
                <w:rFonts w:asciiTheme="majorBidi" w:hAnsiTheme="majorBidi"/>
                <w:noProof/>
              </w:rPr>
            </w:pPr>
            <w:r>
              <w:rPr>
                <w:rFonts w:asciiTheme="majorBidi" w:hAnsiTheme="majorBidi"/>
                <w:noProof/>
              </w:rPr>
              <w:t>5106–5110</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Lanka villaa, hienoa tai karkeaa eläimenkarvaa tai jouhta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spacing w:before="20" w:after="20"/>
              <w:rPr>
                <w:rFonts w:asciiTheme="majorBidi" w:hAnsiTheme="majorBidi"/>
                <w:noProof/>
              </w:rPr>
            </w:pPr>
            <w:r>
              <w:rPr>
                <w:rFonts w:asciiTheme="majorBidi" w:hAnsiTheme="majorBidi"/>
                <w:noProof/>
              </w:rPr>
              <w:t>5111–5113</w:t>
            </w:r>
          </w:p>
        </w:tc>
        <w:tc>
          <w:tcPr>
            <w:tcW w:w="6576" w:type="dxa"/>
            <w:tcBorders>
              <w:top w:val="single" w:sz="4" w:space="0" w:color="auto"/>
              <w:bottom w:val="single" w:sz="4" w:space="0" w:color="auto"/>
            </w:tcBorders>
          </w:tcPr>
          <w:p>
            <w:pPr>
              <w:spacing w:before="20" w:after="20"/>
              <w:rPr>
                <w:rFonts w:asciiTheme="majorBidi" w:hAnsiTheme="majorBidi"/>
                <w:noProof/>
              </w:rPr>
            </w:pPr>
            <w:r>
              <w:rPr>
                <w:rFonts w:asciiTheme="majorBidi" w:hAnsiTheme="majorBidi"/>
                <w:noProof/>
              </w:rPr>
              <w:t>Kudotut kankaat, villaa, hienoa tai karkeaa eläimenkarvaa tai jouhta: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värjäämisen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52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Puuvilla;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tcPr>
          <w:p>
            <w:pPr>
              <w:spacing w:before="20" w:after="20"/>
              <w:rPr>
                <w:rFonts w:asciiTheme="majorBidi" w:hAnsiTheme="majorBidi"/>
                <w:noProof/>
              </w:rPr>
            </w:pPr>
            <w:r>
              <w:rPr>
                <w:rFonts w:asciiTheme="majorBidi" w:hAnsiTheme="majorBidi"/>
                <w:noProof/>
              </w:rPr>
              <w:t>5204–5207</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Puuvillalanka ja puuvillaompelulanka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Luonnonkuitujen kehruu</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Tekokuitujen suulakepuristus yhdessä kehruun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20" w:after="20"/>
              <w:rPr>
                <w:rFonts w:asciiTheme="majorBidi" w:hAnsiTheme="majorBidi"/>
                <w:noProof/>
              </w:rPr>
            </w:pPr>
            <w:r>
              <w:rPr>
                <w:rFonts w:asciiTheme="majorBidi" w:hAnsiTheme="majorBidi"/>
                <w:noProof/>
              </w:rPr>
              <w:t>5208–5212</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Kudotut puuvillakankaat</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tai mekaaninen toimi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b/>
                <w:i/>
                <w:noProof/>
                <w:sz w:val="22"/>
              </w:rPr>
            </w:pPr>
            <w:r>
              <w:rPr>
                <w:rFonts w:asciiTheme="majorBidi" w:hAnsiTheme="majorBidi"/>
                <w:noProof/>
              </w:rPr>
              <w:t>Kutominen yhdessä värjäämisen tai päällystämisen tai laminoinnin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53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Muut kasvitekstiilikuidut; paperilanka ja kudotut paperilankakankaat; lukuun ottamatta seuraavia:</w:t>
            </w:r>
          </w:p>
        </w:tc>
        <w:tc>
          <w:tcPr>
            <w:tcW w:w="6576" w:type="dxa"/>
            <w:tcBorders>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tcPr>
          <w:p>
            <w:pPr>
              <w:spacing w:before="20" w:after="20"/>
              <w:rPr>
                <w:rFonts w:asciiTheme="majorBidi" w:hAnsiTheme="majorBidi"/>
                <w:noProof/>
              </w:rPr>
            </w:pPr>
            <w:r>
              <w:rPr>
                <w:rFonts w:asciiTheme="majorBidi" w:hAnsiTheme="majorBidi"/>
                <w:noProof/>
              </w:rPr>
              <w:t>5306–5308</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Lanka muista kasvitekstiilikuiduista;</w:t>
            </w:r>
          </w:p>
          <w:p>
            <w:pPr>
              <w:spacing w:before="20" w:after="20"/>
              <w:rPr>
                <w:rFonts w:asciiTheme="majorBidi" w:hAnsiTheme="majorBidi" w:cstheme="minorBidi"/>
                <w:noProof/>
                <w:sz w:val="22"/>
              </w:rPr>
            </w:pPr>
            <w:r>
              <w:rPr>
                <w:rFonts w:asciiTheme="majorBidi" w:hAnsiTheme="majorBidi"/>
                <w:noProof/>
              </w:rPr>
              <w:t>paperilanka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20" w:after="20"/>
              <w:rPr>
                <w:rFonts w:asciiTheme="majorBidi" w:hAnsiTheme="majorBidi"/>
                <w:noProof/>
              </w:rPr>
            </w:pPr>
            <w:r>
              <w:rPr>
                <w:rFonts w:asciiTheme="majorBidi" w:hAnsiTheme="majorBidi"/>
                <w:noProof/>
              </w:rPr>
              <w:t>5309–5311</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Kudotut kankaat, muista kasvitekstiilikuiduista valmistetut; kudotut paperilankakankaat</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b/>
                <w:i/>
                <w:noProof/>
                <w:sz w:val="22"/>
              </w:rPr>
            </w:pPr>
            <w:r>
              <w:rPr>
                <w:rFonts w:asciiTheme="majorBidi" w:hAnsiTheme="majorBidi"/>
                <w:noProof/>
              </w:rPr>
              <w:t>Kutominen yhdessä värjäämisen tai päällystämisen tai laminoinnin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20" w:after="20"/>
              <w:rPr>
                <w:rFonts w:asciiTheme="majorBidi" w:hAnsiTheme="majorBidi"/>
                <w:noProof/>
              </w:rPr>
            </w:pPr>
            <w:r>
              <w:rPr>
                <w:rFonts w:asciiTheme="majorBidi" w:hAnsiTheme="majorBidi"/>
                <w:noProof/>
              </w:rPr>
              <w:t>5401–5406</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Lanka, monofilamenttilanka ja ompelulanka, tekokuitufilamenttia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20" w:after="20"/>
              <w:rPr>
                <w:rFonts w:asciiTheme="majorBidi" w:hAnsiTheme="majorBidi"/>
                <w:noProof/>
              </w:rPr>
            </w:pPr>
            <w:r>
              <w:rPr>
                <w:rFonts w:asciiTheme="majorBidi" w:hAnsiTheme="majorBidi"/>
                <w:noProof/>
              </w:rPr>
              <w:t>5407 ja 5408</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Kudotut kankaat, tekokuitufilamenttilankaa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tai mekaaninen toimi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i/>
                <w:noProof/>
                <w:sz w:val="22"/>
              </w:rPr>
            </w:pPr>
            <w:r>
              <w:rPr>
                <w:rFonts w:asciiTheme="majorBidi" w:hAnsiTheme="majorBidi"/>
                <w:noProof/>
              </w:rPr>
              <w:t>Kutominen yhdessä värjäämisen tai päällystämisen tai laminoinnin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5501–5507</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Katkotut tekokuidut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Tekokuitujen suulakepuristus</w:t>
            </w:r>
          </w:p>
        </w:tc>
      </w:tr>
      <w:tr>
        <w:trPr>
          <w:cantSplit/>
          <w:trHeight w:val="20"/>
        </w:trPr>
        <w:tc>
          <w:tcPr>
            <w:tcW w:w="1606" w:type="dxa"/>
            <w:tcBorders>
              <w:top w:val="single" w:sz="4" w:space="0" w:color="auto"/>
              <w:left w:val="single" w:sz="4" w:space="0" w:color="auto"/>
              <w:bottom w:val="single" w:sz="4" w:space="0" w:color="auto"/>
            </w:tcBorders>
          </w:tcPr>
          <w:p>
            <w:pPr>
              <w:spacing w:before="20" w:after="20"/>
              <w:rPr>
                <w:rFonts w:asciiTheme="majorBidi" w:hAnsiTheme="majorBidi"/>
                <w:noProof/>
              </w:rPr>
            </w:pPr>
            <w:r>
              <w:rPr>
                <w:rFonts w:asciiTheme="majorBidi" w:hAnsiTheme="majorBidi"/>
                <w:noProof/>
              </w:rPr>
              <w:t>5508–5511</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Lanka ja ompelulanka, katkottua tekokuitua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20" w:after="20"/>
              <w:rPr>
                <w:rFonts w:asciiTheme="majorBidi" w:hAnsiTheme="majorBidi"/>
                <w:noProof/>
              </w:rPr>
            </w:pPr>
            <w:r>
              <w:rPr>
                <w:rFonts w:asciiTheme="majorBidi" w:hAnsiTheme="majorBidi"/>
                <w:noProof/>
              </w:rPr>
              <w:t>5512–5516</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Kudotut kankaat, katkottua tekokuitua: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tai mekaaninen toimi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värjäämisen tai päällystämisen tai laminoinnin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56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Vanu, huopa ja kuitukangas; erikoislangat; side- ja purjelanka, nuora ja köysi; sekä niistä valmistetut tavarat; lukuun ottamatta seuraavia:</w:t>
            </w:r>
          </w:p>
        </w:tc>
        <w:tc>
          <w:tcPr>
            <w:tcW w:w="6576" w:type="dxa"/>
            <w:tcBorders>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Luonnonkuitujen kehruu</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Tekokuitujen suulakepuristus yhdessä kehruun kanssa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5601</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Vanu, tekstiiliainetta, ja siitä valmistetut tavarat; tekstiilikuidut, joiden pituus on enintään 5 mm (flokki), tekstiilinöyhtä ja -nypyt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Luonnonkuitujen kehruu</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Tekokuitujen suulakepuristus yhdessä kehruun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Nukkaaminen yhdessä värjäämisen tai painamisen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b/>
                <w:i/>
                <w:noProof/>
                <w:sz w:val="22"/>
              </w:rPr>
            </w:pPr>
            <w:r>
              <w:rPr>
                <w:rFonts w:asciiTheme="majorBidi" w:hAnsiTheme="majorBidi"/>
                <w:noProof/>
              </w:rPr>
              <w:t>Päällystäminen, nukkaaminen, laminointi tai metallointi vähintään kahden muun pääasiallisen valmistelu- tai viimeistelytoimen kanssa (kuten kalanterointi, kutistumisen estävä käsittely, lämpökiinnitys, kestoviimeistely), edellyttäen että kaikkien käytettyjen ainesten arvo on enintään 50 % tuotteen noudettuna-hinnasta</w:t>
            </w:r>
          </w:p>
        </w:tc>
      </w:tr>
      <w:tr>
        <w:trPr>
          <w:cantSplit/>
          <w:trHeight w:val="20"/>
        </w:trPr>
        <w:tc>
          <w:tcPr>
            <w:tcW w:w="1606" w:type="dxa"/>
            <w:tcBorders>
              <w:top w:val="single" w:sz="4" w:space="0" w:color="auto"/>
              <w:left w:val="single" w:sz="4" w:space="0" w:color="auto"/>
              <w:bottom w:val="nil"/>
            </w:tcBorders>
          </w:tcPr>
          <w:p>
            <w:pPr>
              <w:pageBreakBefore/>
              <w:spacing w:before="60" w:after="60"/>
              <w:rPr>
                <w:rFonts w:asciiTheme="majorBidi" w:hAnsiTheme="majorBidi"/>
                <w:noProof/>
              </w:rPr>
            </w:pPr>
            <w:r>
              <w:rPr>
                <w:rFonts w:asciiTheme="majorBidi" w:hAnsiTheme="majorBidi"/>
                <w:noProof/>
              </w:rPr>
              <w:t>5602</w:t>
            </w:r>
          </w:p>
        </w:tc>
        <w:tc>
          <w:tcPr>
            <w:tcW w:w="6576" w:type="dxa"/>
            <w:tcBorders>
              <w:top w:val="single" w:sz="4" w:space="0" w:color="auto"/>
              <w:bottom w:val="nil"/>
            </w:tcBorders>
          </w:tcPr>
          <w:p>
            <w:pPr>
              <w:spacing w:before="60" w:after="60"/>
              <w:rPr>
                <w:rFonts w:asciiTheme="majorBidi" w:hAnsiTheme="majorBidi" w:cstheme="minorBidi"/>
                <w:noProof/>
                <w:sz w:val="22"/>
              </w:rPr>
            </w:pPr>
            <w:r>
              <w:rPr>
                <w:rFonts w:asciiTheme="majorBidi" w:hAnsiTheme="majorBidi"/>
                <w:noProof/>
              </w:rPr>
              <w:t>Huopa, myös kyllästetty, päällystetty, peitetty tai kerrostettu:</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neulahuopa</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Tekokuitujen suulakepuristus yhdessä kankaan valmistamisen kanssa</w:t>
            </w:r>
          </w:p>
          <w:p>
            <w:pPr>
              <w:spacing w:before="60" w:after="60"/>
              <w:rPr>
                <w:rFonts w:asciiTheme="majorBidi" w:hAnsiTheme="majorBidi" w:cstheme="minorBidi"/>
                <w:noProof/>
                <w:sz w:val="22"/>
              </w:rPr>
            </w:pPr>
            <w:r>
              <w:rPr>
                <w:rFonts w:asciiTheme="majorBidi" w:hAnsiTheme="majorBidi"/>
                <w:noProof/>
              </w:rPr>
              <w:t>Kuitenkin</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nimikkeen 5402 polypropeenifilamenttia,</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nimikkeen 5503 tai 5506 polypropeenikuituja, tai</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nimikkeen 5501 polypropeenifilamenttitouvia,</w:t>
            </w:r>
          </w:p>
          <w:p>
            <w:pPr>
              <w:spacing w:before="60" w:after="60"/>
              <w:rPr>
                <w:rFonts w:asciiTheme="majorBidi" w:hAnsiTheme="majorBidi" w:cstheme="minorBidi"/>
                <w:noProof/>
                <w:sz w:val="22"/>
              </w:rPr>
            </w:pPr>
            <w:r>
              <w:rPr>
                <w:rFonts w:asciiTheme="majorBidi" w:hAnsiTheme="majorBidi"/>
                <w:noProof/>
              </w:rPr>
              <w:t>joissa jokainen yksittäinen filamentti tai kuitu on alle 9 desitexiä, voidaan käyttää, jos niiden yhteisarvo on enintään 40 % tuotteen noudettuna-hinnasta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Kuitukankaan valmistaminen, kun kyseessä on luonnonkuiduista tehty huopa</w:t>
            </w:r>
          </w:p>
        </w:tc>
      </w:tr>
      <w:tr>
        <w:trPr>
          <w:cantSplit/>
          <w:trHeight w:val="20"/>
        </w:trPr>
        <w:tc>
          <w:tcPr>
            <w:tcW w:w="1606" w:type="dxa"/>
            <w:tcBorders>
              <w:top w:val="nil"/>
              <w:left w:val="single" w:sz="4" w:space="0" w:color="auto"/>
              <w:bottom w:val="single" w:sz="4" w:space="0" w:color="auto"/>
            </w:tcBorders>
          </w:tcPr>
          <w:p>
            <w:pPr>
              <w:pageBreakBefore/>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Tekokuitujen suulakepuristus yhdessä kankaan valmistamisen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Kuitukankaan valmistaminen, kun kyseessä on luonnonkuiduista tehty muu huopa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5603</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Kuitukangas, myös kyllästetty, päällystetty, peitetty tai kerrostettu:</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5603 11 – 5603 14</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Kuitukangas, myös kyllästetty, päällystetty, peitetty tai kerrostettu</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w:t>
            </w:r>
          </w:p>
          <w:p>
            <w:pPr>
              <w:spacing w:before="60" w:after="60"/>
              <w:rPr>
                <w:rFonts w:asciiTheme="majorBidi" w:eastAsia="Times New Roman" w:hAnsiTheme="majorBidi" w:cstheme="majorBidi"/>
                <w:noProof/>
              </w:rPr>
            </w:pPr>
            <w:r>
              <w:rPr>
                <w:rFonts w:asciiTheme="majorBidi" w:hAnsiTheme="majorBidi"/>
                <w:noProof/>
              </w:rPr>
              <w:t>–</w:t>
            </w:r>
            <w:r>
              <w:rPr>
                <w:noProof/>
              </w:rPr>
              <w:tab/>
            </w:r>
            <w:r>
              <w:rPr>
                <w:rFonts w:asciiTheme="majorBidi" w:hAnsiTheme="majorBidi"/>
                <w:noProof/>
              </w:rPr>
              <w:t>suunnatuista tai satunnaisesti suuntautuneista filamenteista</w:t>
            </w:r>
          </w:p>
          <w:p>
            <w:pPr>
              <w:spacing w:before="60" w:after="60"/>
              <w:rPr>
                <w:rFonts w:asciiTheme="majorBidi" w:hAnsiTheme="majorBidi" w:cstheme="minorBidi"/>
                <w:noProof/>
                <w:sz w:val="22"/>
              </w:rPr>
            </w:pPr>
            <w:r>
              <w:rPr>
                <w:rFonts w:asciiTheme="majorBidi" w:hAnsiTheme="majorBidi"/>
                <w:noProof/>
              </w:rPr>
              <w:t>tai</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luonnollisista tai ihmisen tuottamista aineista tai polymeereistä,</w:t>
            </w:r>
          </w:p>
          <w:p>
            <w:pPr>
              <w:spacing w:before="60" w:after="60"/>
              <w:rPr>
                <w:rFonts w:asciiTheme="majorBidi" w:hAnsiTheme="majorBidi" w:cstheme="minorBidi"/>
                <w:noProof/>
                <w:sz w:val="22"/>
              </w:rPr>
            </w:pPr>
            <w:r>
              <w:rPr>
                <w:rFonts w:asciiTheme="majorBidi" w:hAnsiTheme="majorBidi"/>
                <w:noProof/>
              </w:rPr>
              <w:t>jota seuraa molemmissa tapauksissa kuitukankaaseen liittäminen</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5603 91 – 5603 94</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Kuitukangas, myös kyllästetty, päällystetty, peitetty tai kerrostettu, muusta kuin tekokuitufilamentista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w:t>
            </w:r>
          </w:p>
          <w:p>
            <w:pPr>
              <w:spacing w:before="60" w:after="60"/>
              <w:rPr>
                <w:rFonts w:asciiTheme="majorBidi" w:hAnsiTheme="majorBidi"/>
                <w:noProof/>
              </w:rPr>
            </w:pPr>
            <w:r>
              <w:rPr>
                <w:rFonts w:asciiTheme="majorBidi" w:hAnsiTheme="majorBidi"/>
                <w:noProof/>
              </w:rPr>
              <w:t>–</w:t>
            </w:r>
            <w:r>
              <w:rPr>
                <w:noProof/>
              </w:rPr>
              <w:tab/>
            </w:r>
            <w:r>
              <w:rPr>
                <w:rFonts w:asciiTheme="majorBidi" w:hAnsiTheme="majorBidi"/>
                <w:noProof/>
              </w:rPr>
              <w:t>suunnatuista tai satunnaisesti suuntautuneista katkokuiduista</w:t>
            </w:r>
          </w:p>
          <w:p>
            <w:pPr>
              <w:spacing w:before="60" w:after="60"/>
              <w:rPr>
                <w:rFonts w:asciiTheme="majorBidi" w:hAnsiTheme="majorBidi" w:cstheme="minorBidi"/>
                <w:noProof/>
                <w:sz w:val="22"/>
              </w:rPr>
            </w:pPr>
            <w:r>
              <w:rPr>
                <w:rFonts w:asciiTheme="majorBidi" w:hAnsiTheme="majorBidi"/>
                <w:noProof/>
              </w:rPr>
              <w:t>ja/tai</w:t>
            </w:r>
          </w:p>
          <w:p>
            <w:pPr>
              <w:spacing w:before="60" w:after="60"/>
              <w:rPr>
                <w:rFonts w:asciiTheme="majorBidi" w:hAnsiTheme="majorBidi"/>
                <w:noProof/>
              </w:rPr>
            </w:pPr>
            <w:r>
              <w:rPr>
                <w:rFonts w:asciiTheme="majorBidi" w:hAnsiTheme="majorBidi"/>
                <w:noProof/>
              </w:rPr>
              <w:t>–</w:t>
            </w:r>
            <w:r>
              <w:rPr>
                <w:noProof/>
              </w:rPr>
              <w:tab/>
            </w:r>
            <w:r>
              <w:rPr>
                <w:rFonts w:asciiTheme="majorBidi" w:hAnsiTheme="majorBidi"/>
                <w:noProof/>
              </w:rPr>
              <w:t>luonnollisista tai ihmisen tuottamista silvotuista langoista,</w:t>
            </w:r>
          </w:p>
          <w:p>
            <w:pPr>
              <w:spacing w:before="60" w:after="60"/>
              <w:rPr>
                <w:rFonts w:asciiTheme="majorBidi" w:hAnsiTheme="majorBidi" w:cstheme="minorBidi"/>
                <w:noProof/>
                <w:sz w:val="22"/>
              </w:rPr>
            </w:pPr>
            <w:r>
              <w:rPr>
                <w:rFonts w:asciiTheme="majorBidi" w:hAnsiTheme="majorBidi"/>
                <w:noProof/>
              </w:rPr>
              <w:t>jota seuraa molemmissa tapauksissa kuitukankaaseen liittäminen</w:t>
            </w:r>
          </w:p>
        </w:tc>
      </w:tr>
      <w:tr>
        <w:trPr>
          <w:cantSplit/>
          <w:trHeight w:val="20"/>
        </w:trPr>
        <w:tc>
          <w:tcPr>
            <w:tcW w:w="1606" w:type="dxa"/>
            <w:tcBorders>
              <w:top w:val="single" w:sz="4" w:space="0" w:color="auto"/>
              <w:left w:val="single" w:sz="4" w:space="0" w:color="auto"/>
              <w:bottom w:val="nil"/>
            </w:tcBorders>
          </w:tcPr>
          <w:p>
            <w:pPr>
              <w:spacing w:before="60" w:after="60"/>
              <w:rPr>
                <w:rFonts w:asciiTheme="majorBidi" w:hAnsiTheme="majorBidi"/>
                <w:noProof/>
              </w:rPr>
            </w:pPr>
            <w:r>
              <w:rPr>
                <w:rFonts w:asciiTheme="majorBidi" w:hAnsiTheme="majorBidi"/>
                <w:noProof/>
              </w:rPr>
              <w:t>5604</w:t>
            </w:r>
          </w:p>
        </w:tc>
        <w:tc>
          <w:tcPr>
            <w:tcW w:w="6576" w:type="dxa"/>
            <w:tcBorders>
              <w:top w:val="single" w:sz="4" w:space="0" w:color="auto"/>
              <w:bottom w:val="nil"/>
            </w:tcBorders>
          </w:tcPr>
          <w:p>
            <w:pPr>
              <w:spacing w:before="60" w:after="60"/>
              <w:rPr>
                <w:rFonts w:asciiTheme="majorBidi" w:hAnsiTheme="majorBidi" w:cstheme="minorBidi"/>
                <w:noProof/>
                <w:sz w:val="22"/>
              </w:rPr>
            </w:pPr>
            <w:r>
              <w:rPr>
                <w:rFonts w:asciiTheme="majorBidi" w:hAnsiTheme="majorBidi"/>
                <w:noProof/>
              </w:rPr>
              <w:t>Yksinkertainen tai kerrattu kumilanka, tekstiilillä päällystetty; tekstiililangat ja nimikkeen 5404 tai 5405 kaistaleet ja niiden kaltaiset tuotteet, muovilla tai kumilla kyllästetyt, päällystetyt tai peitetyt tai kumi- tai muovivaippaiset:</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20" w:after="20"/>
              <w:rPr>
                <w:rFonts w:asciiTheme="majorBidi" w:hAnsiTheme="majorBidi"/>
                <w:noProof/>
              </w:rPr>
            </w:pPr>
            <w:r>
              <w:rPr>
                <w:rFonts w:asciiTheme="majorBidi" w:hAnsiTheme="majorBidi"/>
                <w:noProof/>
              </w:rPr>
              <w:t>- yksinkertainen tai kerrattu kumilanka, tekstiilillä päällystetty</w:t>
            </w:r>
          </w:p>
        </w:tc>
        <w:tc>
          <w:tcPr>
            <w:tcW w:w="6576" w:type="dxa"/>
            <w:tcBorders>
              <w:top w:val="nil"/>
              <w:bottom w:val="nil"/>
              <w:right w:val="single" w:sz="4" w:space="0" w:color="auto"/>
            </w:tcBorders>
          </w:tcPr>
          <w:p>
            <w:pPr>
              <w:spacing w:before="20" w:after="20"/>
              <w:rPr>
                <w:rFonts w:asciiTheme="majorBidi" w:hAnsiTheme="majorBidi" w:cstheme="minorBidi"/>
                <w:b/>
                <w:noProof/>
                <w:sz w:val="22"/>
              </w:rPr>
            </w:pPr>
            <w:r>
              <w:rPr>
                <w:rFonts w:asciiTheme="majorBidi" w:hAnsiTheme="majorBidi"/>
                <w:noProof/>
              </w:rPr>
              <w:t>Valmistus yksinkertaisesta tai kerratusta tekstiilillä päällystämättömästä kumilangasta</w:t>
            </w:r>
          </w:p>
        </w:tc>
      </w:tr>
      <w:tr>
        <w:trPr>
          <w:cantSplit/>
          <w:trHeight w:val="20"/>
        </w:trPr>
        <w:tc>
          <w:tcPr>
            <w:tcW w:w="1606" w:type="dxa"/>
            <w:tcBorders>
              <w:top w:val="nil"/>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20" w:after="2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5605</w:t>
            </w:r>
          </w:p>
        </w:tc>
        <w:tc>
          <w:tcPr>
            <w:tcW w:w="6576" w:type="dxa"/>
            <w:tcBorders>
              <w:top w:val="single" w:sz="4" w:space="0" w:color="auto"/>
              <w:bottom w:val="single" w:sz="4" w:space="0" w:color="auto"/>
            </w:tcBorders>
          </w:tcPr>
          <w:p>
            <w:pPr>
              <w:spacing w:before="20" w:after="20"/>
              <w:rPr>
                <w:rFonts w:asciiTheme="majorBidi" w:hAnsiTheme="majorBidi" w:cstheme="minorBidi"/>
                <w:noProof/>
                <w:sz w:val="22"/>
              </w:rPr>
            </w:pPr>
            <w:r>
              <w:rPr>
                <w:rFonts w:asciiTheme="majorBidi" w:hAnsiTheme="majorBidi"/>
                <w:noProof/>
              </w:rPr>
              <w:t>Metalloitu lanka, myös kierrepäällystetty, eli tekstiililanka tai nimikkeen 5404 tai 5405 kaistaleet ja niiden kaltaiset tuotteet, jotka on yhdistetty lankana, kaistaleena tai jauheena olevaan metalliin tai päällystetty metallilla</w:t>
            </w:r>
          </w:p>
        </w:tc>
        <w:tc>
          <w:tcPr>
            <w:tcW w:w="6576" w:type="dxa"/>
            <w:tcBorders>
              <w:top w:val="single" w:sz="4" w:space="0" w:color="auto"/>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minkä tahansa mekaanisen toimen kanssa</w:t>
            </w:r>
          </w:p>
        </w:tc>
      </w:tr>
      <w:tr>
        <w:trPr>
          <w:cantSplit/>
          <w:trHeight w:val="20"/>
        </w:trPr>
        <w:tc>
          <w:tcPr>
            <w:tcW w:w="1606" w:type="dxa"/>
            <w:tcBorders>
              <w:top w:val="single" w:sz="4" w:space="0" w:color="auto"/>
              <w:left w:val="single" w:sz="4" w:space="0" w:color="auto"/>
            </w:tcBorders>
          </w:tcPr>
          <w:p>
            <w:pPr>
              <w:spacing w:before="60" w:after="60"/>
              <w:rPr>
                <w:rFonts w:asciiTheme="majorBidi" w:hAnsiTheme="majorBidi"/>
                <w:noProof/>
              </w:rPr>
            </w:pPr>
            <w:r>
              <w:rPr>
                <w:rFonts w:asciiTheme="majorBidi" w:hAnsiTheme="majorBidi"/>
                <w:noProof/>
              </w:rPr>
              <w:t>5606</w:t>
            </w:r>
          </w:p>
        </w:tc>
        <w:tc>
          <w:tcPr>
            <w:tcW w:w="6576" w:type="dxa"/>
            <w:tcBorders>
              <w:top w:val="single" w:sz="4" w:space="0" w:color="auto"/>
            </w:tcBorders>
          </w:tcPr>
          <w:p>
            <w:pPr>
              <w:spacing w:before="20" w:after="20"/>
              <w:rPr>
                <w:rFonts w:asciiTheme="majorBidi" w:hAnsiTheme="majorBidi" w:cstheme="minorBidi"/>
                <w:noProof/>
                <w:sz w:val="22"/>
              </w:rPr>
            </w:pPr>
            <w:r>
              <w:rPr>
                <w:rFonts w:asciiTheme="majorBidi" w:hAnsiTheme="majorBidi"/>
                <w:noProof/>
              </w:rPr>
              <w:t>Kierrepäällystetty lanka sekä kierrepäällystetyt nimikkeen 5404 tai 5405 kaistaleet ja niiden kaltaiset tuotteet (muut kuin nimikkeen 5605 tuotteet ja kierrepäällystetty jouhilanka); chenillelanka (myös flokki-chenillelanka); chainettelanka</w:t>
            </w:r>
            <w:r>
              <w:rPr>
                <w:rFonts w:asciiTheme="majorBidi" w:hAnsiTheme="majorBidi"/>
                <w:noProof/>
              </w:rPr>
              <w:noBreakHyphen/>
            </w:r>
          </w:p>
        </w:tc>
        <w:tc>
          <w:tcPr>
            <w:tcW w:w="6576" w:type="dxa"/>
            <w:tcBorders>
              <w:top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yhdessä kierrepäällystämisen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Luonnon- ja/tai katkottujen tekokuitujen kehruu</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Nukkaaminen yhdessä värjäämisen kanssa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57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Matot ja muut lattianpäällysteet, tekstiiliainetta</w:t>
            </w:r>
          </w:p>
        </w:tc>
        <w:tc>
          <w:tcPr>
            <w:tcW w:w="6576" w:type="dxa"/>
            <w:tcBorders>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tai tuftauksen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tai tuftauksen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Valmistus kookoskuitu- tai sisallangasta tai juuttilangasta taikka klassisesta renkaasta kehrätystä viskoosilangasta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Tuftaus yhdessä värjäämisen tai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i/>
                <w:noProof/>
                <w:sz w:val="22"/>
              </w:rPr>
            </w:pPr>
            <w:r>
              <w:rPr>
                <w:rFonts w:asciiTheme="majorBidi" w:hAnsiTheme="majorBidi"/>
                <w:noProof/>
              </w:rPr>
              <w:t>Nukkaaminen yhdessä värjäämisen tai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neulaamisen kaltaisten kuitukangastekniikoiden kanssa</w:t>
            </w:r>
          </w:p>
          <w:p>
            <w:pPr>
              <w:spacing w:before="20" w:after="20"/>
              <w:rPr>
                <w:rFonts w:asciiTheme="majorBidi" w:hAnsiTheme="majorBidi"/>
                <w:noProof/>
              </w:rPr>
            </w:pPr>
            <w:r>
              <w:rPr>
                <w:rFonts w:asciiTheme="majorBidi" w:hAnsiTheme="majorBidi"/>
                <w:noProof/>
              </w:rPr>
              <w:t>Juuttikangasta voidaan käyttää pohjana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58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Kudotut erikoiskankaat; tuftatut tekstiilikankaat; pitsit; kuvakudokset; koristepunokset; koruompelukset; lukuun ottamatta seuraavia:</w:t>
            </w:r>
          </w:p>
        </w:tc>
        <w:tc>
          <w:tcPr>
            <w:tcW w:w="6576" w:type="dxa"/>
            <w:tcBorders>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tai tuftauksen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kutomisen tai tuftauksen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värjäämisen, nukkaamisen, päällystämisen, kerrostamisen tai metalloinnin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Tuftaus yhdessä värjäämisen tai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Nukkaaminen yhdessä värjäämisen tai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Kutominen yhdessä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5805</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Käsin kudotut kuvakudokset (kuten gobeliinit, flander-, aubusson-, beauvais- ja niiden kaltaiset kudokset) ja käsin neulatyönä (esim. petit point- tai ristipistoilla) kirjotut kuvakudokset, myös sovitetut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5810</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Koruompelukset metritavarana, kaistaleina tai koristekuvioina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Koruompeleminen, jossa kaikkien käytettyjen muiden kuin tuotteen oman nimikkeen ainesten arvo on enintään 50 % tuotteen noudettuna-hinnasta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5901</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Liimalla tai tärkkelyspitoisella aineella päällystetyt tekstiilikankaat, jollaisia käytetään kirjankansien päällystämiseen tai sen kaltaiseen tarkoitukseen; kuultokangas; maalausta varten käsitellyt kankaat; jäykistekangas (buckram) ja sen kaltaiset jäykistetyt tekstiilikankaat, jollaisia käytetään hatunrunkoihin</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Kutominen yhdessä värjäämisen, nukkaamisen, päällystämisen, kerrostamisen tai metalloinnin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Nukkaaminen yhdessä värjäämisen tai painamisen kanssa</w:t>
            </w:r>
          </w:p>
        </w:tc>
      </w:tr>
      <w:tr>
        <w:trPr>
          <w:cantSplit/>
          <w:trHeight w:val="20"/>
        </w:trPr>
        <w:tc>
          <w:tcPr>
            <w:tcW w:w="1606" w:type="dxa"/>
            <w:tcBorders>
              <w:top w:val="single" w:sz="4" w:space="0" w:color="auto"/>
              <w:left w:val="single" w:sz="4" w:space="0" w:color="auto"/>
              <w:bottom w:val="nil"/>
            </w:tcBorders>
          </w:tcPr>
          <w:p>
            <w:pPr>
              <w:spacing w:before="60" w:after="60"/>
              <w:rPr>
                <w:rFonts w:asciiTheme="majorBidi" w:hAnsiTheme="majorBidi"/>
                <w:noProof/>
              </w:rPr>
            </w:pPr>
            <w:r>
              <w:rPr>
                <w:rFonts w:asciiTheme="majorBidi" w:hAnsiTheme="majorBidi"/>
                <w:noProof/>
              </w:rPr>
              <w:t>5902</w:t>
            </w:r>
          </w:p>
        </w:tc>
        <w:tc>
          <w:tcPr>
            <w:tcW w:w="6576" w:type="dxa"/>
            <w:tcBorders>
              <w:top w:val="single" w:sz="4" w:space="0" w:color="auto"/>
              <w:bottom w:val="nil"/>
            </w:tcBorders>
          </w:tcPr>
          <w:p>
            <w:pPr>
              <w:spacing w:before="60" w:after="60"/>
              <w:rPr>
                <w:rFonts w:asciiTheme="majorBidi" w:hAnsiTheme="majorBidi" w:cstheme="minorBidi"/>
                <w:noProof/>
                <w:sz w:val="22"/>
              </w:rPr>
            </w:pPr>
            <w:r>
              <w:rPr>
                <w:rFonts w:asciiTheme="majorBidi" w:hAnsiTheme="majorBidi"/>
                <w:noProof/>
              </w:rPr>
              <w:t>Kordikangas ulkorenkaita varten, nailonia tai muuta polyamidia, polyesteriä tai viskoosia olevasta erikoislujasta langasta valmistettu</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cstheme="minorBidi"/>
                <w:noProof/>
                <w:sz w:val="22"/>
              </w:rPr>
            </w:pPr>
            <w:r>
              <w:rPr>
                <w:rFonts w:asciiTheme="majorBidi" w:hAnsiTheme="majorBidi"/>
                <w:noProof/>
              </w:rPr>
              <w:t>- jossa on enintään 90 painoprosenttia tekstiiliainetta</w:t>
            </w:r>
          </w:p>
        </w:tc>
        <w:tc>
          <w:tcPr>
            <w:tcW w:w="6576" w:type="dxa"/>
            <w:tcBorders>
              <w:top w:val="nil"/>
              <w:bottom w:val="nil"/>
              <w:right w:val="single" w:sz="4" w:space="0" w:color="auto"/>
            </w:tcBorders>
          </w:tcPr>
          <w:p>
            <w:pPr>
              <w:spacing w:before="60" w:after="60"/>
              <w:rPr>
                <w:rFonts w:asciiTheme="majorBidi" w:hAnsiTheme="majorBidi" w:cstheme="minorBidi"/>
                <w:noProof/>
                <w:sz w:val="22"/>
              </w:rPr>
            </w:pPr>
            <w:r>
              <w:rPr>
                <w:rFonts w:asciiTheme="majorBidi" w:hAnsiTheme="majorBidi"/>
                <w:noProof/>
              </w:rPr>
              <w:t>Kutominen</w:t>
            </w:r>
          </w:p>
        </w:tc>
      </w:tr>
      <w:tr>
        <w:trPr>
          <w:cantSplit/>
          <w:trHeight w:val="20"/>
        </w:trPr>
        <w:tc>
          <w:tcPr>
            <w:tcW w:w="1606" w:type="dxa"/>
            <w:tcBorders>
              <w:top w:val="nil"/>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cstheme="minorBidi"/>
                <w:noProof/>
                <w:sz w:val="22"/>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Tekokuitujen suulakepuristus yhdessä kehruun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5903</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Muovilla kyllästetyt, päällystetyt, peitetyt tai kerrostetut tekstiilikankaat, muut kuin nimikkeeseen 5902 kuuluvat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Kutominen yhdessä kyllästämisen, päällystämisen, peittämisen, kerrostamisen tai metalloinnin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Kutominen yhdessä painamisen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5904</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Linoleumi, myös määrämuotoiseksi leikattu; lattianpäällysteet, joissa on tekstiiliainepohjalla muu päällyste- tai peitekerros, myös määrämuotoisiksi leikatut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värjäämisen päällystämisen, kerrostamisen tai metalloinnin kanssa</w:t>
            </w:r>
          </w:p>
          <w:p>
            <w:pPr>
              <w:spacing w:before="60" w:after="60"/>
              <w:rPr>
                <w:rFonts w:asciiTheme="majorBidi" w:hAnsiTheme="majorBidi" w:cstheme="minorBidi"/>
                <w:noProof/>
                <w:sz w:val="22"/>
              </w:rPr>
            </w:pPr>
            <w:r>
              <w:rPr>
                <w:rFonts w:asciiTheme="majorBidi" w:hAnsiTheme="majorBidi"/>
                <w:noProof/>
              </w:rPr>
              <w:t>Juuttikangasta voidaan käyttää pohjana</w:t>
            </w:r>
          </w:p>
        </w:tc>
      </w:tr>
      <w:tr>
        <w:trPr>
          <w:cantSplit/>
          <w:trHeight w:val="20"/>
        </w:trPr>
        <w:tc>
          <w:tcPr>
            <w:tcW w:w="1606" w:type="dxa"/>
            <w:tcBorders>
              <w:top w:val="single" w:sz="4" w:space="0" w:color="auto"/>
              <w:left w:val="single" w:sz="4" w:space="0" w:color="auto"/>
              <w:bottom w:val="nil"/>
            </w:tcBorders>
          </w:tcPr>
          <w:p>
            <w:pPr>
              <w:spacing w:before="60" w:after="60"/>
              <w:rPr>
                <w:rFonts w:asciiTheme="majorBidi" w:hAnsiTheme="majorBidi"/>
                <w:noProof/>
              </w:rPr>
            </w:pPr>
            <w:r>
              <w:rPr>
                <w:rFonts w:asciiTheme="majorBidi" w:hAnsiTheme="majorBidi"/>
                <w:noProof/>
              </w:rPr>
              <w:t>5905</w:t>
            </w:r>
          </w:p>
        </w:tc>
        <w:tc>
          <w:tcPr>
            <w:tcW w:w="6576" w:type="dxa"/>
            <w:tcBorders>
              <w:top w:val="single" w:sz="4" w:space="0" w:color="auto"/>
              <w:bottom w:val="nil"/>
            </w:tcBorders>
          </w:tcPr>
          <w:p>
            <w:pPr>
              <w:spacing w:before="60" w:after="60"/>
              <w:rPr>
                <w:rFonts w:asciiTheme="majorBidi" w:eastAsia="Times New Roman" w:hAnsiTheme="majorBidi" w:cstheme="majorBidi"/>
                <w:noProof/>
              </w:rPr>
            </w:pPr>
            <w:r>
              <w:rPr>
                <w:rFonts w:asciiTheme="majorBidi" w:hAnsiTheme="majorBidi"/>
                <w:noProof/>
              </w:rPr>
              <w:t>Seinänpäällysteet, tekstiiliainetta</w:t>
            </w:r>
          </w:p>
          <w:p>
            <w:pPr>
              <w:spacing w:before="60" w:after="60"/>
              <w:rPr>
                <w:rFonts w:asciiTheme="majorBidi" w:hAnsiTheme="majorBidi"/>
                <w:noProof/>
              </w:rPr>
            </w:pPr>
            <w:r>
              <w:rPr>
                <w:rFonts w:asciiTheme="majorBidi" w:hAnsiTheme="majorBidi"/>
                <w:noProof/>
              </w:rPr>
              <w:t>- kumilla, muovilla tai muilla aineilla kyllästetyt, päällystetyt, peitetyt tai kerrostetut</w:t>
            </w:r>
          </w:p>
        </w:tc>
        <w:tc>
          <w:tcPr>
            <w:tcW w:w="6576" w:type="dxa"/>
            <w:tcBorders>
              <w:top w:val="single" w:sz="4" w:space="0" w:color="auto"/>
              <w:bottom w:val="nil"/>
              <w:right w:val="single" w:sz="4" w:space="0" w:color="auto"/>
            </w:tcBorders>
          </w:tcPr>
          <w:p>
            <w:pPr>
              <w:spacing w:before="60" w:after="60"/>
              <w:rPr>
                <w:rFonts w:asciiTheme="majorBidi" w:hAnsiTheme="majorBidi" w:cstheme="minorBidi"/>
                <w:noProof/>
                <w:sz w:val="22"/>
              </w:rPr>
            </w:pPr>
            <w:r>
              <w:rPr>
                <w:rFonts w:asciiTheme="majorBidi" w:hAnsiTheme="majorBidi"/>
                <w:noProof/>
              </w:rPr>
              <w:t>Kutominen, neulominen tai kuitukankaan valmistaminen yhdessä kyllästämisen, päällystämisen, peittämisen, kerrostamisen tai metalloinnin kanssa</w:t>
            </w:r>
          </w:p>
        </w:tc>
      </w:tr>
      <w:tr>
        <w:trPr>
          <w:cantSplit/>
          <w:trHeight w:val="20"/>
        </w:trPr>
        <w:tc>
          <w:tcPr>
            <w:tcW w:w="1606" w:type="dxa"/>
            <w:tcBorders>
              <w:top w:val="nil"/>
              <w:left w:val="single" w:sz="4" w:space="0" w:color="auto"/>
              <w:bottom w:val="single" w:sz="4" w:space="0" w:color="auto"/>
            </w:tcBorders>
          </w:tcPr>
          <w:p>
            <w:pPr>
              <w:pageBreakBefore/>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Tekokuitufilamenttilangan suulakepuristus yhdessä kutomisen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Kutominen, neulominen tai kuitukankaan valmistaminen yhdessä värjäämisen, päällystämisen tai kerrostamisen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Kutominen yhdessä painamisen kanssa</w:t>
            </w:r>
          </w:p>
          <w:p>
            <w:pPr>
              <w:spacing w:before="60" w:after="60"/>
              <w:rPr>
                <w:rFonts w:asciiTheme="majorBidi" w:eastAsia="Times New Roman" w:hAnsiTheme="majorBidi" w:cstheme="maj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tcBorders>
              <w:top w:val="single" w:sz="4" w:space="0" w:color="auto"/>
              <w:left w:val="single" w:sz="4" w:space="0" w:color="auto"/>
              <w:bottom w:val="nil"/>
            </w:tcBorders>
          </w:tcPr>
          <w:p>
            <w:pPr>
              <w:pageBreakBefore/>
              <w:spacing w:before="60" w:after="60"/>
              <w:rPr>
                <w:rFonts w:asciiTheme="majorBidi" w:hAnsiTheme="majorBidi"/>
                <w:noProof/>
              </w:rPr>
            </w:pPr>
            <w:r>
              <w:rPr>
                <w:rFonts w:asciiTheme="majorBidi" w:hAnsiTheme="majorBidi"/>
                <w:noProof/>
              </w:rPr>
              <w:t>5906</w:t>
            </w:r>
          </w:p>
        </w:tc>
        <w:tc>
          <w:tcPr>
            <w:tcW w:w="6576" w:type="dxa"/>
            <w:tcBorders>
              <w:top w:val="single" w:sz="4" w:space="0" w:color="auto"/>
              <w:bottom w:val="nil"/>
            </w:tcBorders>
          </w:tcPr>
          <w:p>
            <w:pPr>
              <w:spacing w:before="60" w:after="60"/>
              <w:rPr>
                <w:rFonts w:asciiTheme="majorBidi" w:eastAsia="Times New Roman" w:hAnsiTheme="majorBidi" w:cstheme="majorBidi"/>
                <w:b/>
                <w:noProof/>
              </w:rPr>
            </w:pPr>
            <w:r>
              <w:rPr>
                <w:rFonts w:asciiTheme="majorBidi" w:hAnsiTheme="majorBidi"/>
                <w:noProof/>
              </w:rPr>
              <w:t>Kumilla käsitellyt tekstiilikankaat, muut kuin nimikkeeseen 5902 kuuluvat:</w:t>
            </w:r>
          </w:p>
          <w:p>
            <w:pPr>
              <w:spacing w:before="60" w:after="60"/>
              <w:rPr>
                <w:rFonts w:asciiTheme="majorBidi" w:hAnsiTheme="majorBidi"/>
                <w:b/>
                <w:noProof/>
              </w:rPr>
            </w:pPr>
            <w:r>
              <w:rPr>
                <w:rFonts w:asciiTheme="majorBidi" w:hAnsiTheme="majorBidi"/>
                <w:noProof/>
              </w:rPr>
              <w:t>- neulokset</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r>
              <w:rPr>
                <w:noProof/>
              </w:rPr>
              <w:t xml:space="preserve"> </w:t>
            </w:r>
            <w:r>
              <w:rPr>
                <w:noProof/>
              </w:rPr>
              <w:br/>
            </w: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 ja/tai katkottujen tekokuitujen kehruu yhdessä neulomisen/virkkaamisen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Tekokuitufilamenttilangan suulakepuristus yhdessä neulomisen/virkkaamisen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Neulominen tai virkkaaminen yhdessä kumilla käsittelemisen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Kumilla käsitteleminen vähintään kahden muun pääasiallisen valmistelu- tai viimeistelytoimen kanssa (kuten kalanterointi, kutistumisen estävä käsittely, lämpökiinnitys, kestoviimeistely), edellyttäen että kaikkien käytettyjen ainesten arvo on enintään 50 % tuotteen noudettuna</w:t>
            </w:r>
            <w:r>
              <w:rPr>
                <w:rFonts w:asciiTheme="majorBidi" w:hAnsiTheme="majorBidi"/>
                <w:noProof/>
              </w:rPr>
              <w:noBreakHyphen/>
              <w:t>hinnasta</w:t>
            </w: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muut synteettikuitufilamenttilangasta valmistetut kankaat, joissa on yli 90 painoprosenttia tekstiiliainetta</w:t>
            </w:r>
          </w:p>
        </w:tc>
        <w:tc>
          <w:tcPr>
            <w:tcW w:w="6576" w:type="dxa"/>
            <w:tcBorders>
              <w:top w:val="nil"/>
              <w:bottom w:val="nil"/>
              <w:right w:val="single" w:sz="4" w:space="0" w:color="auto"/>
            </w:tcBorders>
          </w:tcPr>
          <w:p>
            <w:pPr>
              <w:spacing w:before="60" w:after="60"/>
              <w:rPr>
                <w:rFonts w:asciiTheme="majorBidi" w:hAnsiTheme="majorBidi" w:cstheme="minorBidi"/>
                <w:noProof/>
                <w:sz w:val="22"/>
              </w:rPr>
            </w:pPr>
            <w:r>
              <w:rPr>
                <w:rFonts w:asciiTheme="majorBidi" w:hAnsiTheme="majorBidi"/>
                <w:noProof/>
              </w:rPr>
              <w:t>Tekokuitujen suulakepuristus yhdessä kehruun kanssa</w:t>
            </w:r>
          </w:p>
        </w:tc>
      </w:tr>
      <w:tr>
        <w:trPr>
          <w:cantSplit/>
          <w:trHeight w:val="20"/>
        </w:trPr>
        <w:tc>
          <w:tcPr>
            <w:tcW w:w="1606" w:type="dxa"/>
            <w:tcBorders>
              <w:top w:val="nil"/>
              <w:left w:val="single" w:sz="4" w:space="0" w:color="auto"/>
              <w:bottom w:val="single" w:sz="4" w:space="0" w:color="auto"/>
            </w:tcBorders>
          </w:tcPr>
          <w:p>
            <w:pPr>
              <w:pageBreakBefore/>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Kutominen, neulominen tai kuitukankaan valmistaminen yhdessä värjäämisen tai päällystämisen / kumilla käsittelemisen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Langan värjääminen yhdessä kutomisen, neulomisen tai kuitukangasprosessin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b/>
                <w:i/>
                <w:noProof/>
                <w:sz w:val="22"/>
              </w:rPr>
            </w:pPr>
            <w:r>
              <w:rPr>
                <w:rFonts w:asciiTheme="majorBidi" w:hAnsiTheme="majorBidi"/>
                <w:noProof/>
              </w:rPr>
              <w:t>Kumilla käsitteleminen vähintään kahden muun pääasiallisen valmistelu- tai viimeistelytoimen kanssa (kuten kalanterointi, kutistumisen estävä käsittely, lämpökiinnitys, kestoviimeistely), edellyttäen että kaikkien käytettyjen ainesten arvo on enintään 50 %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5907</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Muulla tavalla kyllästetyt, päällystetyt tai peitetyt tekstiilikankaat; teatterikulissiksi, studion taustakankaaksi tai sen kaltaista tarkoitusta varten maalattu kangas</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Kutominen, neulominen tai kuitukankaan valmistaminen yhdessä värjäämisen, painamisen päällystämisen, kyllästämisen tai peittämisen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Nukkaaminen yhdessä värjäämisen tai painamisen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Painaminen (itsenäisenä toimena)</w:t>
            </w:r>
          </w:p>
        </w:tc>
      </w:tr>
      <w:tr>
        <w:trPr>
          <w:cantSplit/>
          <w:trHeight w:val="20"/>
        </w:trPr>
        <w:tc>
          <w:tcPr>
            <w:tcW w:w="1606" w:type="dxa"/>
            <w:vMerge w:val="restart"/>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5908</w:t>
            </w:r>
          </w:p>
        </w:tc>
        <w:tc>
          <w:tcPr>
            <w:tcW w:w="6576" w:type="dxa"/>
            <w:tcBorders>
              <w:top w:val="single" w:sz="4" w:space="0" w:color="auto"/>
              <w:bottom w:val="nil"/>
            </w:tcBorders>
          </w:tcPr>
          <w:p>
            <w:pPr>
              <w:spacing w:before="60" w:after="60"/>
              <w:rPr>
                <w:rFonts w:asciiTheme="majorBidi" w:hAnsiTheme="majorBidi" w:cstheme="minorBidi"/>
                <w:b/>
                <w:noProof/>
                <w:sz w:val="22"/>
              </w:rPr>
            </w:pPr>
            <w:r>
              <w:rPr>
                <w:rFonts w:asciiTheme="majorBidi" w:hAnsiTheme="majorBidi"/>
                <w:noProof/>
              </w:rPr>
              <w:t>Lampun-, kamiinan-, sytyttimen-, kynttilän- ja niiden kaltaisten tavaroiden sydämet, tekstiili-aineesta kudotut, palmikoidut, punotut tai neulotut; hehkusukat ja pyöröneulottu hehkusukkakangas, myös kyllästetyt:</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vMerge/>
            <w:tcBorders>
              <w:top w:val="single" w:sz="4" w:space="0" w:color="auto"/>
              <w:left w:val="single" w:sz="4" w:space="0" w:color="auto"/>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kyllästetyt hehkusukat</w:t>
            </w:r>
          </w:p>
        </w:tc>
        <w:tc>
          <w:tcPr>
            <w:tcW w:w="6576" w:type="dxa"/>
            <w:tcBorders>
              <w:top w:val="nil"/>
              <w:bottom w:val="nil"/>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pyöröneulotusta/virkatusta hehkusukkakankaasta</w:t>
            </w:r>
          </w:p>
        </w:tc>
      </w:tr>
      <w:tr>
        <w:trPr>
          <w:cantSplit/>
          <w:trHeight w:val="20"/>
        </w:trPr>
        <w:tc>
          <w:tcPr>
            <w:tcW w:w="1606" w:type="dxa"/>
            <w:vMerge/>
            <w:tcBorders>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cstheme="minorBidi"/>
                <w:b/>
                <w: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tcBorders>
          </w:tcPr>
          <w:p>
            <w:pPr>
              <w:spacing w:before="60" w:after="60"/>
              <w:rPr>
                <w:rFonts w:asciiTheme="majorBidi" w:hAnsiTheme="majorBidi"/>
                <w:noProof/>
              </w:rPr>
            </w:pPr>
            <w:r>
              <w:rPr>
                <w:rFonts w:asciiTheme="majorBidi" w:hAnsiTheme="majorBidi"/>
                <w:noProof/>
              </w:rPr>
              <w:t>5909–5911</w:t>
            </w:r>
          </w:p>
        </w:tc>
        <w:tc>
          <w:tcPr>
            <w:tcW w:w="6576" w:type="dxa"/>
            <w:tcBorders>
              <w:top w:val="single" w:sz="4" w:space="0" w:color="auto"/>
            </w:tcBorders>
          </w:tcPr>
          <w:p>
            <w:pPr>
              <w:spacing w:before="60" w:after="60"/>
              <w:rPr>
                <w:rFonts w:asciiTheme="majorBidi" w:hAnsiTheme="majorBidi" w:cstheme="minorBidi"/>
                <w:noProof/>
                <w:sz w:val="22"/>
              </w:rPr>
            </w:pPr>
            <w:r>
              <w:rPr>
                <w:rFonts w:asciiTheme="majorBidi" w:hAnsiTheme="majorBidi"/>
                <w:noProof/>
              </w:rPr>
              <w:t>Tekstiilituotteet ja -tavarat, jollaiset soveltuvat teknisiin tarkoituksiin:</w:t>
            </w:r>
          </w:p>
        </w:tc>
        <w:tc>
          <w:tcPr>
            <w:tcW w:w="6576" w:type="dxa"/>
            <w:tcBorders>
              <w:top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kutomisen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Tekokuitujen suulakepuristus yhdessä kehruun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i/>
                <w:noProof/>
                <w:sz w:val="22"/>
              </w:rPr>
            </w:pPr>
            <w:r>
              <w:rPr>
                <w:rFonts w:asciiTheme="majorBidi" w:hAnsiTheme="majorBidi"/>
                <w:noProof/>
              </w:rPr>
              <w:t>Kutominen yhdessä värjäämisen tai päällystämisen tai laminoinnin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Päällystäminen, nukkaaminen, laminointi tai metallointi vähintään kahden muun pääasiallisen valmistelu- tai viimeistelytoimen kanssa (kuten kalanterointi, kutistumisen estävä käsittely, lämpökiinnitys, kestoviimeistely), edellyttäen että kaikkien käytettyjen ainesten arvo on enintään 50 % tuotteen noudettuna</w:t>
            </w:r>
            <w:r>
              <w:rPr>
                <w:rFonts w:asciiTheme="majorBidi" w:hAnsiTheme="majorBidi"/>
                <w:noProof/>
              </w:rPr>
              <w:noBreakHyphen/>
              <w:t>hinnasta</w:t>
            </w:r>
          </w:p>
        </w:tc>
      </w:tr>
      <w:tr>
        <w:trPr>
          <w:cantSplit/>
          <w:trHeight w:val="20"/>
        </w:trPr>
        <w:tc>
          <w:tcPr>
            <w:tcW w:w="1606" w:type="dxa"/>
            <w:tcBorders>
              <w:left w:val="single" w:sz="4" w:space="0" w:color="auto"/>
            </w:tcBorders>
          </w:tcPr>
          <w:p>
            <w:pPr>
              <w:pageBreakBefore/>
              <w:spacing w:before="60" w:after="60"/>
              <w:rPr>
                <w:rFonts w:asciiTheme="majorBidi" w:hAnsiTheme="majorBidi"/>
                <w:noProof/>
              </w:rPr>
            </w:pPr>
            <w:r>
              <w:rPr>
                <w:rFonts w:asciiTheme="majorBidi" w:hAnsiTheme="majorBidi"/>
                <w:noProof/>
              </w:rPr>
              <w:t xml:space="preserve">60 ryhmä </w:t>
            </w:r>
          </w:p>
        </w:tc>
        <w:tc>
          <w:tcPr>
            <w:tcW w:w="6576" w:type="dxa"/>
            <w:tcBorders>
              <w:bottom w:val="single" w:sz="4" w:space="0" w:color="auto"/>
            </w:tcBorders>
          </w:tcPr>
          <w:p>
            <w:pPr>
              <w:spacing w:before="20" w:after="20"/>
              <w:rPr>
                <w:rFonts w:asciiTheme="majorBidi" w:hAnsiTheme="majorBidi" w:cstheme="minorBidi"/>
                <w:noProof/>
                <w:sz w:val="22"/>
              </w:rPr>
            </w:pPr>
            <w:r>
              <w:rPr>
                <w:rFonts w:asciiTheme="majorBidi" w:hAnsiTheme="majorBidi"/>
                <w:noProof/>
              </w:rPr>
              <w:t>Neulokset</w:t>
            </w:r>
          </w:p>
        </w:tc>
        <w:tc>
          <w:tcPr>
            <w:tcW w:w="6576" w:type="dxa"/>
            <w:tcBorders>
              <w:bottom w:val="single" w:sz="4" w:space="0" w:color="auto"/>
              <w:right w:val="single" w:sz="4" w:space="0" w:color="auto"/>
            </w:tcBorders>
          </w:tcPr>
          <w:p>
            <w:pPr>
              <w:spacing w:before="20" w:after="2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20" w:after="20"/>
              <w:rPr>
                <w:rFonts w:asciiTheme="majorBidi" w:hAnsiTheme="majorBidi" w:cstheme="minorBidi"/>
                <w:noProof/>
                <w:sz w:val="22"/>
              </w:rPr>
            </w:pPr>
            <w:r>
              <w:rPr>
                <w:rFonts w:asciiTheme="majorBidi" w:hAnsiTheme="majorBidi"/>
                <w:noProof/>
              </w:rPr>
              <w:t>Luonnon- ja/tai katkottujen tekokuitujen kehruu yhdessä neulomisen/virkkaamisen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Tekokuitufilamenttilangan suulakepuristus yhdessä neulomisen/virkkaamisen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Neulominen/virkkaaminen yhdessä värjäämisen, nukkaamisen, päällystämisen, kerrostamisen tai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Nukkaaminen yhdessä värjäämisen tai painamisen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Langan värjääminen yhdessä neulomisen/virkkaamisen kanssa</w:t>
            </w:r>
          </w:p>
          <w:p>
            <w:pPr>
              <w:spacing w:before="20" w:after="20"/>
              <w:rPr>
                <w:rFonts w:asciiTheme="majorBidi" w:hAnsiTheme="majorBidi" w:cstheme="minorBidi"/>
                <w:noProof/>
                <w:sz w:val="22"/>
              </w:rPr>
            </w:pPr>
            <w:r>
              <w:rPr>
                <w:rFonts w:asciiTheme="majorBidi" w:hAnsiTheme="majorBidi"/>
                <w:noProof/>
              </w:rPr>
              <w:t>tai</w:t>
            </w:r>
          </w:p>
          <w:p>
            <w:pPr>
              <w:spacing w:before="20" w:after="20"/>
              <w:rPr>
                <w:rFonts w:asciiTheme="majorBidi" w:hAnsiTheme="majorBidi" w:cstheme="minorBidi"/>
                <w:noProof/>
                <w:sz w:val="22"/>
              </w:rPr>
            </w:pPr>
            <w:r>
              <w:rPr>
                <w:rFonts w:asciiTheme="majorBidi" w:hAnsiTheme="majorBidi"/>
                <w:noProof/>
              </w:rPr>
              <w:t>Kiertäminen tai teksturointi yhdessä neulomisen/virkkaamisen kanssa, jos käytettyjen kiertämättömien/teksturoimattomien lankojen arvo on enintään 50 % tuotteen noudettuna-hinnasta</w:t>
            </w:r>
          </w:p>
        </w:tc>
      </w:tr>
      <w:tr>
        <w:trPr>
          <w:cantSplit/>
          <w:trHeight w:val="20"/>
        </w:trPr>
        <w:tc>
          <w:tcPr>
            <w:tcW w:w="1606" w:type="dxa"/>
            <w:vMerge w:val="restart"/>
            <w:tcBorders>
              <w:left w:val="single" w:sz="4" w:space="0" w:color="auto"/>
            </w:tcBorders>
          </w:tcPr>
          <w:p>
            <w:pPr>
              <w:pageBreakBefore/>
              <w:spacing w:before="60" w:after="60"/>
              <w:rPr>
                <w:rFonts w:asciiTheme="majorBidi" w:hAnsiTheme="majorBidi"/>
                <w:noProof/>
              </w:rPr>
            </w:pPr>
            <w:r>
              <w:rPr>
                <w:rFonts w:asciiTheme="majorBidi" w:hAnsiTheme="majorBidi"/>
                <w:noProof/>
              </w:rPr>
              <w:t>61 ryhmä</w:t>
            </w:r>
          </w:p>
        </w:tc>
        <w:tc>
          <w:tcPr>
            <w:tcW w:w="6576" w:type="dxa"/>
            <w:tcBorders>
              <w:bottom w:val="nil"/>
            </w:tcBorders>
          </w:tcPr>
          <w:p>
            <w:pPr>
              <w:spacing w:before="60" w:after="60"/>
              <w:rPr>
                <w:rFonts w:asciiTheme="majorBidi" w:hAnsiTheme="majorBidi" w:cstheme="minorBidi"/>
                <w:noProof/>
                <w:sz w:val="22"/>
              </w:rPr>
            </w:pPr>
            <w:r>
              <w:rPr>
                <w:rFonts w:asciiTheme="majorBidi" w:hAnsiTheme="majorBidi"/>
                <w:noProof/>
              </w:rPr>
              <w:t>Vaatteet ja vaatetustarvikkeet, neulosta:</w:t>
            </w:r>
          </w:p>
        </w:tc>
        <w:tc>
          <w:tcPr>
            <w:tcW w:w="6576" w:type="dxa"/>
            <w:tcBorders>
              <w:bottom w:val="nil"/>
              <w:right w:val="single" w:sz="4" w:space="0" w:color="auto"/>
            </w:tcBorders>
          </w:tcPr>
          <w:p>
            <w:pPr>
              <w:spacing w:before="60" w:after="60"/>
              <w:rPr>
                <w:rFonts w:asciiTheme="majorBidi" w:hAnsiTheme="majorBidi"/>
                <w:noProof/>
              </w:rPr>
            </w:pPr>
          </w:p>
        </w:tc>
      </w:tr>
      <w:tr>
        <w:trPr>
          <w:cantSplit/>
          <w:trHeight w:val="20"/>
        </w:trPr>
        <w:tc>
          <w:tcPr>
            <w:tcW w:w="1606" w:type="dxa"/>
            <w:vMerge/>
            <w:tcBorders>
              <w:left w:val="single" w:sz="4" w:space="0" w:color="auto"/>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cstheme="minorBidi"/>
                <w:noProof/>
                <w:sz w:val="22"/>
              </w:rPr>
            </w:pPr>
            <w:r>
              <w:rPr>
                <w:rFonts w:asciiTheme="majorBidi" w:hAnsiTheme="majorBidi"/>
                <w:noProof/>
              </w:rPr>
              <w:t>- kahdesta tai useammasta määrämuotoon leikatusta tai suoraan määrämuotoon neulotusta neuloskappaleesta yhteen ompelemalla tai muuten yhdistämällä valmistetut</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Neulominen tai virkkaaminen yhdessä kankaan sovittamisen, mukaan lukien leikkaaminen, kanssa</w:t>
            </w:r>
          </w:p>
        </w:tc>
      </w:tr>
      <w:tr>
        <w:trPr>
          <w:cantSplit/>
          <w:trHeight w:val="20"/>
        </w:trPr>
        <w:tc>
          <w:tcPr>
            <w:tcW w:w="1606" w:type="dxa"/>
            <w:vMerge/>
            <w:tcBorders>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cstheme="minorBidi"/>
                <w:noProof/>
                <w:sz w:val="22"/>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Luonnon- ja/tai katkottujen tekokuitujen kehruu yhdessä neulomisen tai virkkaamisen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Tekokuitufilamenttilangan suulakepuristus yhdessä neulomisen tai virkkaamisen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Neulominen ja sovittaminen yhtenä toimena</w:t>
            </w:r>
          </w:p>
        </w:tc>
      </w:tr>
      <w:tr>
        <w:trPr>
          <w:cantSplit/>
          <w:trHeight w:val="20"/>
        </w:trPr>
        <w:tc>
          <w:tcPr>
            <w:tcW w:w="1606" w:type="dxa"/>
            <w:tcBorders>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62 ryhmä</w:t>
            </w:r>
          </w:p>
        </w:tc>
        <w:tc>
          <w:tcPr>
            <w:tcW w:w="6576" w:type="dxa"/>
            <w:tcBorders>
              <w:bottom w:val="single" w:sz="4" w:space="0" w:color="auto"/>
            </w:tcBorders>
          </w:tcPr>
          <w:p>
            <w:pPr>
              <w:spacing w:before="60" w:after="60"/>
              <w:rPr>
                <w:rFonts w:asciiTheme="majorBidi" w:hAnsiTheme="majorBidi" w:cstheme="minorBidi"/>
                <w:noProof/>
                <w:sz w:val="22"/>
              </w:rPr>
            </w:pPr>
            <w:r>
              <w:rPr>
                <w:rFonts w:asciiTheme="majorBidi" w:hAnsiTheme="majorBidi"/>
                <w:noProof/>
              </w:rPr>
              <w:t>Vaatteet ja vaatetustarvikkeet, muuta kuin neulosta; lukuun ottamatta seuraavia:</w:t>
            </w:r>
          </w:p>
        </w:tc>
        <w:tc>
          <w:tcPr>
            <w:tcW w:w="6576" w:type="dxa"/>
            <w:tcBorders>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Kankaan sovittaminen, mukaan lukien leikkaaminen, jota edeltää painaminen (itsenäisenä toimena)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lang w:val="fr-FR"/>
              </w:rPr>
            </w:pPr>
            <w:r>
              <w:rPr>
                <w:noProof/>
                <w:lang w:val="fr-FR"/>
              </w:rPr>
              <w:t>ex 6202, ex 6204, ex 6206, ex 6209 ja ex 6211</w:t>
            </w:r>
          </w:p>
        </w:tc>
        <w:tc>
          <w:tcPr>
            <w:tcW w:w="6576" w:type="dxa"/>
            <w:tcBorders>
              <w:top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Naisten ja tyttöjen vaatteet ja vauvanvaatteet ja vauvanvaatetustarvikkeet, koruommellut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koruompelemattomasta kankaasta, jos käytetyn koruompelemattoman kankaan arvo on enintään 40 prosenttia tuotteen noudettuna</w:t>
            </w:r>
            <w:r>
              <w:rPr>
                <w:rFonts w:asciiTheme="majorBidi" w:hAnsiTheme="majorBidi"/>
                <w:noProof/>
              </w:rPr>
              <w:noBreakHyphen/>
              <w:t>hinnasta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noProof/>
              </w:rPr>
              <w:t>ex 6210 ja ex 6216</w:t>
            </w:r>
          </w:p>
        </w:tc>
        <w:tc>
          <w:tcPr>
            <w:tcW w:w="6576" w:type="dxa"/>
            <w:tcBorders>
              <w:top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Tulensuojavarusteet, aluminoidulla polyesterikalvolla päällystettyä kangasta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Päällystäminen tai kerrostaminen, edellyttäen että käytetyn päällystämättömän tai laminoidun kankaan arvo ei ylitä 40 % tuotteen noudettuna-hinnasta, yhdessä sovittamisen, mukaan lukien leikkaaminen,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Ex 6212</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Rintaliivit, lantioliivit, korsetit, housunkannattimet, sukanpitimet, sukkanauhat ja niiden kaltaiset tavarat sekä niiden osat, neulosta, kahdesta tai useammasta määrämuotoon leikatusta tai suoraan määrämuotoon neulotusta neuloskappaleesta yhteen ompelemalla tai muuten yhdistämällä valmistetut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Neulominen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vertAlign w:val="superscript"/>
              </w:rPr>
            </w:pPr>
            <w:r>
              <w:rPr>
                <w:rFonts w:asciiTheme="majorBidi" w:hAnsiTheme="majorBidi"/>
                <w:noProof/>
              </w:rPr>
              <w:t>Kankaan sovittaminen, mukaan lukien leikkaaminen, jota edeltää painaminen (itsenäisenä toimena)</w:t>
            </w:r>
          </w:p>
        </w:tc>
      </w:tr>
      <w:tr>
        <w:trPr>
          <w:cantSplit/>
          <w:trHeight w:val="20"/>
        </w:trPr>
        <w:tc>
          <w:tcPr>
            <w:tcW w:w="1606" w:type="dxa"/>
            <w:tcBorders>
              <w:top w:val="single" w:sz="4" w:space="0" w:color="auto"/>
              <w:left w:val="single" w:sz="4" w:space="0" w:color="auto"/>
              <w:bottom w:val="nil"/>
            </w:tcBorders>
          </w:tcPr>
          <w:p>
            <w:pPr>
              <w:spacing w:before="60" w:after="60"/>
              <w:rPr>
                <w:rFonts w:asciiTheme="majorBidi" w:hAnsiTheme="majorBidi"/>
                <w:noProof/>
              </w:rPr>
            </w:pPr>
            <w:r>
              <w:rPr>
                <w:rFonts w:asciiTheme="majorBidi" w:hAnsiTheme="majorBidi"/>
                <w:noProof/>
              </w:rPr>
              <w:t>6213 ja 6214</w:t>
            </w:r>
          </w:p>
        </w:tc>
        <w:tc>
          <w:tcPr>
            <w:tcW w:w="6576" w:type="dxa"/>
            <w:tcBorders>
              <w:top w:val="single" w:sz="4" w:space="0" w:color="auto"/>
              <w:bottom w:val="nil"/>
            </w:tcBorders>
          </w:tcPr>
          <w:p>
            <w:pPr>
              <w:spacing w:before="60" w:after="60"/>
              <w:rPr>
                <w:rFonts w:asciiTheme="majorBidi" w:hAnsiTheme="majorBidi" w:cstheme="minorBidi"/>
                <w:noProof/>
                <w:sz w:val="22"/>
              </w:rPr>
            </w:pPr>
            <w:r>
              <w:rPr>
                <w:rFonts w:asciiTheme="majorBidi" w:hAnsiTheme="majorBidi"/>
                <w:noProof/>
              </w:rPr>
              <w:t>Nenäliinat ja taskuliinat, hartiahuivit, kaulaliinat ja muut huivit, mantiljat, hunnut ja niiden kaltaiset tavarat</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koruommellut</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koruompelemattomasta kankaasta, jos käytetyn koruompelemattoman kankaan arvo on enintään 40 prosenttia tuotteen noudettuna</w:t>
            </w:r>
            <w:r>
              <w:rPr>
                <w:rFonts w:asciiTheme="majorBidi" w:hAnsiTheme="majorBidi"/>
                <w:noProof/>
              </w:rPr>
              <w:noBreakHyphen/>
              <w:t>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Kankaan sovittaminen, mukaan lukien leikkaaminen,</w:t>
            </w:r>
          </w:p>
          <w:p>
            <w:pPr>
              <w:spacing w:before="60" w:after="60"/>
              <w:rPr>
                <w:rFonts w:asciiTheme="majorBidi" w:hAnsiTheme="majorBidi" w:cstheme="minorBidi"/>
                <w:noProof/>
                <w:sz w:val="22"/>
              </w:rPr>
            </w:pPr>
            <w:r>
              <w:rPr>
                <w:rFonts w:asciiTheme="majorBidi" w:hAnsiTheme="majorBidi"/>
                <w:noProof/>
              </w:rPr>
              <w:t>jota edeltää painaminen (itsenäisenä toimena)</w:t>
            </w:r>
          </w:p>
        </w:tc>
      </w:tr>
      <w:tr>
        <w:trPr>
          <w:cantSplit/>
          <w:trHeight w:val="20"/>
        </w:trPr>
        <w:tc>
          <w:tcPr>
            <w:tcW w:w="1606" w:type="dxa"/>
            <w:tcBorders>
              <w:top w:val="nil"/>
              <w:left w:val="single" w:sz="4" w:space="0" w:color="auto"/>
              <w:bottom w:val="single" w:sz="4" w:space="0" w:color="auto"/>
            </w:tcBorders>
          </w:tcPr>
          <w:p>
            <w:pPr>
              <w:pageBreakBefore/>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Sovittaminen, jota edeltää painaminen (itsenäisenä toimena)</w:t>
            </w:r>
          </w:p>
        </w:tc>
      </w:tr>
      <w:tr>
        <w:trPr>
          <w:cantSplit/>
          <w:trHeight w:val="20"/>
        </w:trPr>
        <w:tc>
          <w:tcPr>
            <w:tcW w:w="1606" w:type="dxa"/>
            <w:tcBorders>
              <w:top w:val="single" w:sz="4" w:space="0" w:color="auto"/>
              <w:left w:val="single" w:sz="4" w:space="0" w:color="auto"/>
              <w:bottom w:val="nil"/>
            </w:tcBorders>
          </w:tcPr>
          <w:p>
            <w:pPr>
              <w:spacing w:before="60" w:after="60"/>
              <w:rPr>
                <w:rFonts w:asciiTheme="majorBidi" w:hAnsiTheme="majorBidi"/>
                <w:noProof/>
              </w:rPr>
            </w:pPr>
            <w:r>
              <w:rPr>
                <w:rFonts w:asciiTheme="majorBidi" w:hAnsiTheme="majorBidi"/>
                <w:noProof/>
              </w:rPr>
              <w:t>6217</w:t>
            </w:r>
          </w:p>
        </w:tc>
        <w:tc>
          <w:tcPr>
            <w:tcW w:w="6576" w:type="dxa"/>
            <w:tcBorders>
              <w:top w:val="single" w:sz="4" w:space="0" w:color="auto"/>
              <w:bottom w:val="nil"/>
            </w:tcBorders>
          </w:tcPr>
          <w:p>
            <w:pPr>
              <w:spacing w:before="60" w:after="60"/>
              <w:rPr>
                <w:rFonts w:asciiTheme="majorBidi" w:hAnsiTheme="majorBidi" w:cstheme="minorBidi"/>
                <w:noProof/>
                <w:sz w:val="22"/>
              </w:rPr>
            </w:pPr>
            <w:r>
              <w:rPr>
                <w:rFonts w:asciiTheme="majorBidi" w:hAnsiTheme="majorBidi"/>
                <w:noProof/>
              </w:rPr>
              <w:t>Muut sovitetut vaatetustarvikkeet; vaatteiden ja vaatetustarvikkeiden osat, muut kuin nimikkeeseen 6212 kuuluvat</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koruommellut</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koruompelemattomasta kankaasta, jos käytetyn koruompelemattoman kankaan arvo on enintään 40 prosenttia tuotteen noudettuna</w:t>
            </w:r>
            <w:r>
              <w:rPr>
                <w:rFonts w:asciiTheme="majorBidi" w:hAnsiTheme="majorBidi"/>
                <w:noProof/>
              </w:rPr>
              <w:noBreakHyphen/>
              <w:t>hinnasta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Sovittaminen, jota edeltää painaminen (itsenäisenä toimena)</w:t>
            </w:r>
          </w:p>
        </w:tc>
      </w:tr>
      <w:tr>
        <w:trPr>
          <w:cantSplit/>
          <w:trHeight w:val="20"/>
        </w:trPr>
        <w:tc>
          <w:tcPr>
            <w:tcW w:w="1606" w:type="dxa"/>
            <w:tcBorders>
              <w:top w:val="nil"/>
              <w:left w:val="single" w:sz="4" w:space="0" w:color="auto"/>
              <w:bottom w:val="nil"/>
            </w:tcBorders>
          </w:tcPr>
          <w:p>
            <w:pPr>
              <w:pageBreakBefore/>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tulensuojavarusteet, aluminoidulla polyesterikalvolla päällystettyä kangasta</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Päällystäminen tai kerrostaminen, edellyttäen että käytetyn päällystämättömän tai laminoidun kankaan arvo ei ylitä 40 % tuotteen noudettuna-hinnasta, yhdessä sovittamisen, mukaan lukien leikkaaminen, kanssa</w:t>
            </w: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cstheme="minorBidi"/>
                <w:noProof/>
                <w:sz w:val="22"/>
              </w:rPr>
            </w:pPr>
            <w:r>
              <w:rPr>
                <w:rFonts w:asciiTheme="majorBidi" w:hAnsiTheme="majorBidi"/>
                <w:noProof/>
              </w:rPr>
              <w:t>- välivuorit kauluksia ja kalvosimia varten, määrämuotoon leikatut</w:t>
            </w:r>
          </w:p>
        </w:tc>
        <w:tc>
          <w:tcPr>
            <w:tcW w:w="6576" w:type="dxa"/>
            <w:tcBorders>
              <w:top w:val="nil"/>
              <w:bottom w:val="nil"/>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minkä tahansa muun kuin tuotteen oman nimikkeen aineksista, ja</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jossa kaikkien käytettyjen ainesten arvo on enintään 40 % tuotteen noudettuna-hinnasta</w:t>
            </w:r>
          </w:p>
        </w:tc>
      </w:tr>
      <w:tr>
        <w:trPr>
          <w:cantSplit/>
          <w:trHeight w:val="20"/>
        </w:trPr>
        <w:tc>
          <w:tcPr>
            <w:tcW w:w="1606" w:type="dxa"/>
            <w:tcBorders>
              <w:top w:val="nil"/>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ex 63 ryhmä</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Muut sovitetut tekstiilitavarat; sarjat; käytetyt vaatteet ja muut käytetyt tekstiilitavarat, jalkineet ja päähineet; lumput; lukuun ottamatta seuraavia: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nil"/>
            </w:tcBorders>
          </w:tcPr>
          <w:p>
            <w:pPr>
              <w:pageBreakBefore/>
              <w:spacing w:before="60" w:after="60"/>
              <w:rPr>
                <w:rFonts w:asciiTheme="majorBidi" w:hAnsiTheme="majorBidi"/>
                <w:noProof/>
              </w:rPr>
            </w:pPr>
            <w:r>
              <w:rPr>
                <w:rFonts w:asciiTheme="majorBidi" w:hAnsiTheme="majorBidi"/>
                <w:noProof/>
              </w:rPr>
              <w:t>6301–6304</w:t>
            </w:r>
          </w:p>
        </w:tc>
        <w:tc>
          <w:tcPr>
            <w:tcW w:w="6576" w:type="dxa"/>
            <w:tcBorders>
              <w:bottom w:val="nil"/>
            </w:tcBorders>
          </w:tcPr>
          <w:p>
            <w:pPr>
              <w:spacing w:before="60" w:after="60"/>
              <w:rPr>
                <w:rFonts w:asciiTheme="majorBidi" w:hAnsiTheme="majorBidi" w:cstheme="minorBidi"/>
                <w:b/>
                <w:i/>
                <w:noProof/>
                <w:sz w:val="22"/>
              </w:rPr>
            </w:pPr>
            <w:r>
              <w:rPr>
                <w:rFonts w:asciiTheme="majorBidi" w:hAnsiTheme="majorBidi"/>
                <w:noProof/>
              </w:rPr>
              <w:t>Vuode- ja matkahuovat, vuodeliinavaatteet jne.; verhot jne.; muut sisustustavarat:</w:t>
            </w:r>
          </w:p>
        </w:tc>
        <w:tc>
          <w:tcPr>
            <w:tcW w:w="6576" w:type="dxa"/>
            <w:tcBorders>
              <w:bottom w:val="nil"/>
              <w:right w:val="single" w:sz="4" w:space="0" w:color="auto"/>
            </w:tcBorders>
          </w:tcPr>
          <w:p>
            <w:pPr>
              <w:spacing w:before="60" w:after="60"/>
              <w:rPr>
                <w:rFonts w:asciiTheme="majorBidi" w:hAnsiTheme="majorBidi"/>
                <w:noProof/>
              </w:rPr>
            </w:pPr>
            <w:r>
              <w:rPr>
                <w:rFonts w:asciiTheme="majorBidi" w:hAnsiTheme="majorBidi"/>
                <w:noProof/>
              </w:rPr>
              <w:t xml:space="preserve"> </w:t>
            </w: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highlight w:val="yellow"/>
              </w:rPr>
            </w:pPr>
            <w:r>
              <w:rPr>
                <w:rFonts w:asciiTheme="majorBidi" w:hAnsiTheme="majorBidi"/>
                <w:noProof/>
              </w:rPr>
              <w:t>- huopaa, kuitukangasta</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p>
          <w:p>
            <w:pPr>
              <w:spacing w:before="60" w:after="60"/>
              <w:rPr>
                <w:rFonts w:asciiTheme="majorBidi" w:hAnsiTheme="majorBidi" w:cstheme="minorBidi"/>
                <w:noProof/>
                <w:sz w:val="22"/>
                <w:highlight w:val="yellow"/>
              </w:rPr>
            </w:pPr>
            <w:r>
              <w:rPr>
                <w:rFonts w:asciiTheme="majorBidi" w:hAnsiTheme="majorBidi"/>
                <w:noProof/>
              </w:rPr>
              <w:t>Kuitukankaan valmistaminen yhdessä kankaan sovittamisen, mukaan lukien leikkaaminen, kanssa</w:t>
            </w: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cstheme="minorBidi"/>
                <w:noProof/>
                <w:sz w:val="22"/>
              </w:rPr>
            </w:pPr>
            <w:r>
              <w:rPr>
                <w:rFonts w:asciiTheme="majorBidi" w:hAnsiTheme="majorBidi"/>
                <w:noProof/>
              </w:rPr>
              <w:t>- muut</w:t>
            </w:r>
          </w:p>
        </w:tc>
        <w:tc>
          <w:tcPr>
            <w:tcW w:w="6576" w:type="dxa"/>
            <w:tcBorders>
              <w:top w:val="nil"/>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noProof/>
              </w:rPr>
            </w:pPr>
            <w:r>
              <w:rPr>
                <w:rFonts w:asciiTheme="majorBidi" w:hAnsiTheme="majorBidi"/>
                <w:noProof/>
              </w:rPr>
              <w:t>- - koruommellut</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tai neulominen/virkkaaminen yhdessä kankaan sovittamisen, mukaan lukien leikkaaminen, kanssa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koruompelemattomasta kankaasta (muusta kuin neuloksesta), jos käytetyn koruompelemattoman kankaan arvo on enintään 40 % tuotteen noudettuna-hinnasta</w:t>
            </w:r>
          </w:p>
        </w:tc>
      </w:tr>
      <w:tr>
        <w:trPr>
          <w:cantSplit/>
          <w:trHeight w:val="20"/>
        </w:trPr>
        <w:tc>
          <w:tcPr>
            <w:tcW w:w="1606" w:type="dxa"/>
            <w:tcBorders>
              <w:top w:val="nil"/>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noProof/>
              </w:rPr>
            </w:pPr>
            <w:r>
              <w:rPr>
                <w:rFonts w:asciiTheme="majorBidi" w:hAnsiTheme="majorBidi"/>
                <w:noProof/>
              </w:rPr>
              <w:t>- -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tai neulominen/virkkaaminen yhdessä kankaan sovittamisen, mukaan lukien leikkaaminen, kanssa</w:t>
            </w:r>
          </w:p>
        </w:tc>
      </w:tr>
      <w:tr>
        <w:trPr>
          <w:cantSplit/>
          <w:trHeight w:val="20"/>
        </w:trPr>
        <w:tc>
          <w:tcPr>
            <w:tcW w:w="1606" w:type="dxa"/>
            <w:tcBorders>
              <w:top w:val="single" w:sz="4" w:space="0" w:color="auto"/>
              <w:left w:val="single" w:sz="4" w:space="0" w:color="auto"/>
              <w:bottom w:val="single" w:sz="4" w:space="0" w:color="auto"/>
            </w:tcBorders>
          </w:tcPr>
          <w:p>
            <w:pPr>
              <w:pageBreakBefore/>
              <w:spacing w:before="60" w:after="60"/>
              <w:rPr>
                <w:rFonts w:asciiTheme="majorBidi" w:hAnsiTheme="majorBidi"/>
                <w:noProof/>
              </w:rPr>
            </w:pPr>
            <w:r>
              <w:rPr>
                <w:rFonts w:asciiTheme="majorBidi" w:hAnsiTheme="majorBidi"/>
                <w:noProof/>
              </w:rPr>
              <w:t>6305</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Säkit ja pussit, jollaisia käytetään tavaroiden pakkaamiseen</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 Tekokuitujen suulakepuristus tai luonnon- ja/tai katkottujen tekokuitujen kehruu yhdessä kutomisen tai neulomisen ja kankaan sovittamisen, mukaan lukien leikkaaminen, kanssa</w:t>
            </w:r>
          </w:p>
        </w:tc>
      </w:tr>
      <w:tr>
        <w:trPr>
          <w:cantSplit/>
          <w:trHeight w:val="20"/>
        </w:trPr>
        <w:tc>
          <w:tcPr>
            <w:tcW w:w="1606" w:type="dxa"/>
            <w:tcBorders>
              <w:top w:val="single" w:sz="4" w:space="0" w:color="auto"/>
              <w:left w:val="single" w:sz="4" w:space="0" w:color="auto"/>
              <w:bottom w:val="nil"/>
            </w:tcBorders>
          </w:tcPr>
          <w:p>
            <w:pPr>
              <w:spacing w:before="60" w:after="60"/>
              <w:rPr>
                <w:rFonts w:asciiTheme="majorBidi" w:hAnsiTheme="majorBidi"/>
                <w:noProof/>
              </w:rPr>
            </w:pPr>
            <w:r>
              <w:rPr>
                <w:rFonts w:asciiTheme="majorBidi" w:hAnsiTheme="majorBidi"/>
                <w:noProof/>
              </w:rPr>
              <w:t>6306</w:t>
            </w:r>
          </w:p>
        </w:tc>
        <w:tc>
          <w:tcPr>
            <w:tcW w:w="6576" w:type="dxa"/>
            <w:tcBorders>
              <w:top w:val="single" w:sz="4" w:space="0" w:color="auto"/>
              <w:bottom w:val="nil"/>
            </w:tcBorders>
          </w:tcPr>
          <w:p>
            <w:pPr>
              <w:spacing w:before="60" w:after="60"/>
              <w:rPr>
                <w:rFonts w:asciiTheme="majorBidi" w:hAnsiTheme="majorBidi" w:cstheme="minorBidi"/>
                <w:noProof/>
                <w:sz w:val="22"/>
              </w:rPr>
            </w:pPr>
            <w:r>
              <w:rPr>
                <w:rFonts w:asciiTheme="majorBidi" w:hAnsiTheme="majorBidi"/>
                <w:noProof/>
              </w:rPr>
              <w:t>Tavarapeitteet, ulkokaihtimet ja aurinkokatokset; teltat; purjeet veneitä, purjelautoja tai maakulkuneuvoja varten; leirintävarusteet:</w:t>
            </w:r>
          </w:p>
        </w:tc>
        <w:tc>
          <w:tcPr>
            <w:tcW w:w="6576" w:type="dxa"/>
            <w:tcBorders>
              <w:top w:val="single" w:sz="4" w:space="0" w:color="auto"/>
              <w:bottom w:val="nil"/>
              <w:right w:val="single" w:sz="4" w:space="0" w:color="auto"/>
            </w:tcBorders>
          </w:tcPr>
          <w:p>
            <w:pPr>
              <w:spacing w:before="60" w:after="60"/>
              <w:rPr>
                <w:rFonts w:asciiTheme="majorBidi" w:hAnsiTheme="majorBidi"/>
                <w:noProof/>
              </w:rPr>
            </w:pPr>
          </w:p>
        </w:tc>
      </w:tr>
      <w:tr>
        <w:trPr>
          <w:cantSplit/>
          <w:trHeight w:val="20"/>
        </w:trPr>
        <w:tc>
          <w:tcPr>
            <w:tcW w:w="1606" w:type="dxa"/>
            <w:tcBorders>
              <w:top w:val="nil"/>
              <w:left w:val="single" w:sz="4" w:space="0" w:color="auto"/>
              <w:bottom w:val="nil"/>
            </w:tcBorders>
          </w:tcPr>
          <w:p>
            <w:pPr>
              <w:spacing w:before="60" w:after="60"/>
              <w:rPr>
                <w:rFonts w:asciiTheme="majorBidi" w:hAnsiTheme="majorBidi"/>
                <w:noProof/>
              </w:rPr>
            </w:pPr>
          </w:p>
        </w:tc>
        <w:tc>
          <w:tcPr>
            <w:tcW w:w="6576" w:type="dxa"/>
            <w:tcBorders>
              <w:top w:val="nil"/>
              <w:bottom w:val="nil"/>
            </w:tcBorders>
          </w:tcPr>
          <w:p>
            <w:pPr>
              <w:spacing w:before="60" w:after="60"/>
              <w:rPr>
                <w:rFonts w:asciiTheme="majorBidi" w:hAnsiTheme="majorBidi" w:cstheme="minorBidi"/>
                <w:noProof/>
                <w:sz w:val="22"/>
              </w:rPr>
            </w:pPr>
            <w:r>
              <w:rPr>
                <w:rFonts w:asciiTheme="majorBidi" w:hAnsiTheme="majorBidi"/>
                <w:noProof/>
              </w:rPr>
              <w:t>- kuitukangasta</w:t>
            </w:r>
          </w:p>
        </w:tc>
        <w:tc>
          <w:tcPr>
            <w:tcW w:w="6576" w:type="dxa"/>
            <w:tcBorders>
              <w:top w:val="nil"/>
              <w:bottom w:val="nil"/>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Kuitukankaan valmistaminen yhdessä kankaan sovittamisen, mukaan lukien leikkaaminen, kanssa</w:t>
            </w:r>
          </w:p>
        </w:tc>
      </w:tr>
      <w:tr>
        <w:trPr>
          <w:cantSplit/>
          <w:trHeight w:val="20"/>
        </w:trPr>
        <w:tc>
          <w:tcPr>
            <w:tcW w:w="1606" w:type="dxa"/>
            <w:tcBorders>
              <w:top w:val="nil"/>
              <w:left w:val="single" w:sz="4" w:space="0" w:color="auto"/>
              <w:bottom w:val="single" w:sz="4" w:space="0" w:color="auto"/>
            </w:tcBorders>
          </w:tcPr>
          <w:p>
            <w:pPr>
              <w:spacing w:before="60" w:after="60"/>
              <w:rPr>
                <w:rFonts w:asciiTheme="majorBidi" w:hAnsiTheme="majorBidi"/>
                <w:noProof/>
              </w:rPr>
            </w:pPr>
          </w:p>
        </w:tc>
        <w:tc>
          <w:tcPr>
            <w:tcW w:w="6576" w:type="dxa"/>
            <w:tcBorders>
              <w:top w:val="nil"/>
              <w:bottom w:val="single" w:sz="4" w:space="0" w:color="auto"/>
            </w:tcBorders>
          </w:tcPr>
          <w:p>
            <w:pPr>
              <w:spacing w:before="60" w:after="60"/>
              <w:rPr>
                <w:rFonts w:asciiTheme="majorBidi" w:hAnsiTheme="majorBidi" w:cstheme="minorBidi"/>
                <w:noProof/>
                <w:sz w:val="22"/>
              </w:rPr>
            </w:pPr>
            <w:r>
              <w:rPr>
                <w:rFonts w:asciiTheme="majorBidi" w:hAnsiTheme="majorBidi"/>
                <w:noProof/>
              </w:rPr>
              <w:t>- muut</w:t>
            </w:r>
          </w:p>
        </w:tc>
        <w:tc>
          <w:tcPr>
            <w:tcW w:w="6576" w:type="dxa"/>
            <w:tcBorders>
              <w:top w:val="nil"/>
              <w:bottom w:val="single" w:sz="4" w:space="0" w:color="auto"/>
              <w:right w:val="single" w:sz="4" w:space="0" w:color="auto"/>
            </w:tcBorders>
          </w:tcPr>
          <w:p>
            <w:pPr>
              <w:spacing w:before="60" w:after="60"/>
              <w:rPr>
                <w:rFonts w:asciiTheme="majorBidi" w:hAnsiTheme="majorBidi"/>
                <w:noProof/>
              </w:rPr>
            </w:pPr>
            <w:r>
              <w:rPr>
                <w:rFonts w:asciiTheme="majorBidi" w:hAnsiTheme="majorBidi"/>
                <w:noProof/>
              </w:rPr>
              <w:t>(</w:t>
            </w:r>
            <w:r>
              <w:rPr>
                <w:rFonts w:asciiTheme="majorBidi" w:hAnsiTheme="majorBidi"/>
                <w:b/>
                <w:bCs/>
                <w:noProof/>
                <w:vertAlign w:val="superscript"/>
              </w:rPr>
              <w:t>2</w:t>
            </w:r>
            <w:r>
              <w:rPr>
                <w:rFonts w:asciiTheme="majorBidi" w:hAnsiTheme="majorBidi"/>
                <w:noProof/>
              </w:rPr>
              <w:t>)(</w:t>
            </w:r>
            <w:r>
              <w:rPr>
                <w:rFonts w:asciiTheme="majorBidi" w:hAnsiTheme="majorBidi"/>
                <w:b/>
                <w:bCs/>
                <w:noProof/>
                <w:vertAlign w:val="superscript"/>
              </w:rPr>
              <w:t>3</w:t>
            </w:r>
            <w:r>
              <w:rPr>
                <w:rFonts w:asciiTheme="majorBidi" w:hAnsiTheme="majorBidi"/>
                <w:noProof/>
              </w:rPr>
              <w:t>)</w:t>
            </w:r>
          </w:p>
          <w:p>
            <w:pPr>
              <w:spacing w:before="60" w:after="60"/>
              <w:rPr>
                <w:rFonts w:asciiTheme="majorBidi" w:hAnsiTheme="majorBidi" w:cstheme="minorBidi"/>
                <w:noProof/>
                <w:sz w:val="22"/>
              </w:rPr>
            </w:pPr>
            <w:r>
              <w:rPr>
                <w:rFonts w:asciiTheme="majorBidi" w:hAnsiTheme="majorBidi"/>
                <w:noProof/>
              </w:rPr>
              <w:t>Kutominen yhdessä kankaan sovittamisen, mukaan lukien leikkaaminen, kanssa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6307</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Muut sovitetut tavarat, myös vaatteiden leikkuukaavat</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40 prosenttia tuotteen noudettuna-hinnasta</w:t>
            </w:r>
          </w:p>
        </w:tc>
      </w:tr>
      <w:tr>
        <w:trPr>
          <w:cantSplit/>
          <w:trHeight w:val="20"/>
        </w:trPr>
        <w:tc>
          <w:tcPr>
            <w:tcW w:w="1606" w:type="dxa"/>
            <w:tcBorders>
              <w:top w:val="single" w:sz="4" w:space="0" w:color="auto"/>
              <w:left w:val="single" w:sz="4" w:space="0" w:color="auto"/>
              <w:bottom w:val="single" w:sz="4" w:space="0" w:color="auto"/>
            </w:tcBorders>
          </w:tcPr>
          <w:p>
            <w:pPr>
              <w:spacing w:before="60" w:after="60"/>
              <w:rPr>
                <w:rFonts w:asciiTheme="majorBidi" w:hAnsiTheme="majorBidi"/>
                <w:noProof/>
              </w:rPr>
            </w:pPr>
            <w:r>
              <w:rPr>
                <w:rFonts w:asciiTheme="majorBidi" w:hAnsiTheme="majorBidi"/>
                <w:noProof/>
              </w:rPr>
              <w:t>6308</w:t>
            </w:r>
          </w:p>
        </w:tc>
        <w:tc>
          <w:tcPr>
            <w:tcW w:w="6576" w:type="dxa"/>
            <w:tcBorders>
              <w:top w:val="single" w:sz="4" w:space="0" w:color="auto"/>
              <w:bottom w:val="single" w:sz="4" w:space="0" w:color="auto"/>
            </w:tcBorders>
          </w:tcPr>
          <w:p>
            <w:pPr>
              <w:spacing w:before="60" w:after="60"/>
              <w:rPr>
                <w:rFonts w:asciiTheme="majorBidi" w:hAnsiTheme="majorBidi" w:cstheme="minorBidi"/>
                <w:noProof/>
                <w:sz w:val="22"/>
              </w:rPr>
            </w:pPr>
            <w:r>
              <w:rPr>
                <w:rFonts w:asciiTheme="majorBidi" w:hAnsiTheme="majorBidi"/>
                <w:noProof/>
              </w:rPr>
              <w:t>Sarjat, joissa on kudottua kangasta ja lankaa (ja joissa voi olla myös tarvikkeita), mattojen, kuvakudosten, koruommeltujen pöytäliinojen tai lautasliinojen tai niiden kaltaisten tekstiilitavaroiden valmistusta varten, vähittäismyyntipakkauksissa</w:t>
            </w:r>
          </w:p>
        </w:tc>
        <w:tc>
          <w:tcPr>
            <w:tcW w:w="6576" w:type="dxa"/>
            <w:tcBorders>
              <w:top w:val="single" w:sz="4" w:space="0" w:color="auto"/>
              <w:bottom w:val="single" w:sz="4" w:space="0" w:color="auto"/>
              <w:right w:val="single" w:sz="4" w:space="0" w:color="auto"/>
            </w:tcBorders>
          </w:tcPr>
          <w:p>
            <w:pPr>
              <w:spacing w:before="60" w:after="60"/>
              <w:rPr>
                <w:rFonts w:asciiTheme="majorBidi" w:hAnsiTheme="majorBidi" w:cstheme="minorBidi"/>
                <w:noProof/>
                <w:sz w:val="22"/>
              </w:rPr>
            </w:pPr>
            <w:r>
              <w:rPr>
                <w:rFonts w:asciiTheme="majorBidi" w:hAnsiTheme="majorBidi"/>
                <w:noProof/>
              </w:rPr>
              <w:t>Jokaisen sarjaan kuuluvan tavaran on täytettävä se sääntö, jota siihen sovellettaisiin erillisenä sarjaan kuulumattomana tavarana. Ei-alkuperätuotteita voi kuitenkin sisältyä sarjaan, jos niiden yhteisarvo on enintään 15 % sarjan noudettuna</w:t>
            </w:r>
            <w:r>
              <w:rPr>
                <w:rFonts w:asciiTheme="majorBidi" w:hAnsiTheme="majorBidi"/>
                <w:noProof/>
              </w:rPr>
              <w:noBreakHyphen/>
              <w:t>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64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Jalkineet, nilkkaimet ja niiden kaltaiset tavarat; niiden osat;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nimikkeen aineksista paitsi nimikkeen 6406 kokoonpannuista päällisistä, jotka on kiinnitetty sisäpohjiin tai muihin pohjan osiin</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6406</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Jalkineiden osat (mukaan lukien päälliset, myös jos ne on kiinnitetty muihin pohjiin kuin ulkopohjiin); irtopohjat, kantapäätyynyt ja niiden kaltaiset tavarat;</w:t>
            </w:r>
            <w:r>
              <w:rPr>
                <w:rFonts w:asciiTheme="majorBidi" w:hAnsiTheme="majorBidi"/>
                <w:noProof/>
              </w:rPr>
              <w:noBreakHyphen/>
              <w:t xml:space="preserve"> nilkkaimet, säärystimet ja niiden kaltaiset tavarat sekä niiden osat</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65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Päähineet ja niiden osat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66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Sateenvarjot, päivänvarjot, kävelykepit, istuinkepit, ruoskat, ratsupiiskat sekä niiden osat: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67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Valmistetut höyhenet ja untuvat sekä höyhenistä tai untuvista valmistetut tavarat; tekokukat; hiuksista valmistetut 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68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Kivestä, kipsistä, sementistä, asbestista, kiilteestä tai niiden kaltaisesta aineesta valmistetut 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70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69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Keraamiset tuotteet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70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Lasi ja lasitavarat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7010</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Lasiset pullot, myös koripullot, tölkit, ruukut, ampullit ja muut astiat, jollaisia käytetään tavaroiden kuljetukseen tai pakkaamiseen; lasiset säilöntätölkit; lasiset tulpat, kannet ja muut sulkimet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Lasiesineiden hiominen, jos hiomattomien lasiesineiden yhteisarvo on enintään 50 %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7013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Lasiesineet, jollaisia käytetään pöytä-, keittiö-, toaletti- tai toimistoesineinä, sisäkoristeluun tai sen kaltaiseen tarkoitukseen (muut kuin nimikkeeseen 7010 tai 7018 kuuluvat)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71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Luonnonhelmet tai viljellyt helmet, jalo- tai puolijalokivet, jalometallit, jalometallilla pleteroidut metallit ja näistä valmistetut tavarat; epäaidot korut; metallirahat;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ind w:left="-3" w:firstLine="3"/>
              <w:rPr>
                <w:rFonts w:asciiTheme="majorBidi" w:hAnsiTheme="majorBidi" w:cstheme="minorBidi"/>
                <w:noProof/>
                <w:sz w:val="22"/>
              </w:rPr>
            </w:pPr>
            <w:r>
              <w:rPr>
                <w:rFonts w:asciiTheme="majorBidi" w:hAnsiTheme="majorBidi"/>
                <w:noProof/>
              </w:rPr>
              <w:t>Valmistus, jossa kaikkien käytettyjen ainesten arvo on enintään 70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7102, ex 7103 ja ex 7104</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Luonnonjalo- ja puolijalokivet ja synteettiset tai rekonstruoidut jalo- ja puolijalokivet, valmistetut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alanimikkeen aineksista</w:t>
            </w:r>
          </w:p>
        </w:tc>
      </w:tr>
      <w:tr>
        <w:trPr>
          <w:cantSplit/>
          <w:trHeight w:val="20"/>
        </w:trPr>
        <w:tc>
          <w:tcPr>
            <w:tcW w:w="1606" w:type="dxa"/>
            <w:vMerge w:val="restart"/>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7106, 7108 ja 7110</w:t>
            </w:r>
          </w:p>
        </w:tc>
        <w:tc>
          <w:tcPr>
            <w:tcW w:w="6576" w:type="dxa"/>
            <w:tcBorders>
              <w:top w:val="single" w:sz="4" w:space="0" w:color="auto"/>
              <w:bottom w:val="nil"/>
            </w:tcBorders>
            <w:shd w:val="clear" w:color="auto" w:fill="auto"/>
          </w:tcPr>
          <w:p>
            <w:pPr>
              <w:spacing w:before="60" w:after="60"/>
              <w:rPr>
                <w:rFonts w:asciiTheme="majorBidi" w:hAnsiTheme="majorBidi" w:cstheme="minorBidi"/>
                <w:noProof/>
                <w:sz w:val="22"/>
              </w:rPr>
            </w:pPr>
            <w:r>
              <w:rPr>
                <w:rFonts w:asciiTheme="majorBidi" w:hAnsiTheme="majorBidi"/>
                <w:noProof/>
              </w:rPr>
              <w:t>Jalometallit</w:t>
            </w:r>
          </w:p>
        </w:tc>
        <w:tc>
          <w:tcPr>
            <w:tcW w:w="6576" w:type="dxa"/>
            <w:vMerge w:val="restart"/>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nimikkeeseen 7106, 7108 tai 7110 kuulumattomista aineksista, tai</w:t>
            </w:r>
          </w:p>
          <w:p>
            <w:pPr>
              <w:spacing w:before="60" w:after="60"/>
              <w:rPr>
                <w:rFonts w:asciiTheme="majorBidi" w:hAnsiTheme="majorBidi" w:cstheme="minorBidi"/>
                <w:noProof/>
                <w:sz w:val="22"/>
              </w:rPr>
            </w:pPr>
            <w:r>
              <w:rPr>
                <w:rFonts w:asciiTheme="majorBidi" w:hAnsiTheme="majorBidi"/>
                <w:noProof/>
              </w:rPr>
              <w:t>nimikkeen 7106, 7108 tai 7110 jalometallien elektrolyyttinen, terminen tai kemiallinen erottaminen, tai</w:t>
            </w:r>
          </w:p>
          <w:p>
            <w:pPr>
              <w:spacing w:before="60" w:after="60"/>
              <w:rPr>
                <w:rFonts w:asciiTheme="majorBidi" w:hAnsiTheme="majorBidi" w:cstheme="minorBidi"/>
                <w:noProof/>
                <w:sz w:val="22"/>
              </w:rPr>
            </w:pPr>
            <w:r>
              <w:rPr>
                <w:rFonts w:asciiTheme="majorBidi" w:hAnsiTheme="majorBidi"/>
                <w:noProof/>
              </w:rPr>
              <w:t>nimikkeen 7106, 7108 tai 7110 jalometallien sulattaminen ja/tai seostaminen toistensa tai epäjalojen metallien kanssa, tai puhdistaminen</w:t>
            </w:r>
          </w:p>
        </w:tc>
      </w:tr>
      <w:tr>
        <w:trPr>
          <w:cantSplit/>
          <w:trHeight w:val="20"/>
        </w:trPr>
        <w:tc>
          <w:tcPr>
            <w:tcW w:w="1606" w:type="dxa"/>
            <w:vMerge/>
            <w:tcBorders>
              <w:left w:val="single" w:sz="4" w:space="0" w:color="auto"/>
            </w:tcBorders>
            <w:shd w:val="clear" w:color="auto" w:fill="auto"/>
          </w:tcPr>
          <w:p>
            <w:pPr>
              <w:spacing w:before="60" w:after="60"/>
              <w:rPr>
                <w:rFonts w:asciiTheme="majorBidi" w:hAnsiTheme="majorBidi"/>
                <w:noProof/>
              </w:rPr>
            </w:pPr>
          </w:p>
        </w:tc>
        <w:tc>
          <w:tcPr>
            <w:tcW w:w="6576" w:type="dxa"/>
            <w:tcBorders>
              <w:top w:val="nil"/>
              <w:bottom w:val="nil"/>
            </w:tcBorders>
            <w:shd w:val="clear" w:color="auto" w:fill="auto"/>
          </w:tcPr>
          <w:p>
            <w:pPr>
              <w:spacing w:before="60" w:after="60"/>
              <w:rPr>
                <w:rFonts w:asciiTheme="majorBidi" w:hAnsiTheme="majorBidi"/>
                <w:noProof/>
              </w:rPr>
            </w:pPr>
            <w:r>
              <w:rPr>
                <w:rFonts w:asciiTheme="majorBidi" w:hAnsiTheme="majorBidi"/>
                <w:noProof/>
              </w:rPr>
              <w:t>- muokkaamattomat</w:t>
            </w:r>
          </w:p>
        </w:tc>
        <w:tc>
          <w:tcPr>
            <w:tcW w:w="6576" w:type="dxa"/>
            <w:vMerge/>
            <w:tcBorders>
              <w:bottom w:val="nil"/>
              <w:right w:val="single" w:sz="4" w:space="0" w:color="auto"/>
            </w:tcBorders>
            <w:shd w:val="clear" w:color="auto" w:fill="auto"/>
          </w:tcPr>
          <w:p>
            <w:pPr>
              <w:spacing w:before="60" w:after="60"/>
              <w:rPr>
                <w:rFonts w:asciiTheme="majorBidi" w:hAnsiTheme="majorBidi" w:cstheme="minorBidi"/>
                <w:noProof/>
                <w:sz w:val="22"/>
              </w:rPr>
            </w:pPr>
          </w:p>
        </w:tc>
      </w:tr>
      <w:tr>
        <w:trPr>
          <w:cantSplit/>
          <w:trHeight w:val="20"/>
        </w:trPr>
        <w:tc>
          <w:tcPr>
            <w:tcW w:w="1606" w:type="dxa"/>
            <w:vMerge/>
            <w:tcBorders>
              <w:left w:val="single" w:sz="4" w:space="0" w:color="auto"/>
              <w:bottom w:val="single" w:sz="4" w:space="0" w:color="auto"/>
            </w:tcBorders>
            <w:shd w:val="clear" w:color="auto" w:fill="auto"/>
          </w:tcPr>
          <w:p>
            <w:pPr>
              <w:spacing w:before="60" w:after="60"/>
              <w:rPr>
                <w:rFonts w:asciiTheme="majorBidi" w:hAnsiTheme="majorBidi"/>
                <w:noProof/>
              </w:rPr>
            </w:pPr>
          </w:p>
        </w:tc>
        <w:tc>
          <w:tcPr>
            <w:tcW w:w="6576" w:type="dxa"/>
            <w:tcBorders>
              <w:top w:val="nil"/>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 puolivalmisteina tai jauheena</w:t>
            </w:r>
          </w:p>
        </w:tc>
        <w:tc>
          <w:tcPr>
            <w:tcW w:w="6576" w:type="dxa"/>
            <w:tcBorders>
              <w:top w:val="nil"/>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muokkaamattomista jalometalleista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7107, ex 7109 ja ex 7111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Jalometallilla pleteroidut metallit, puolivalmisteina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muokkaamattomista jalometalleilla pleteroiduista metalleista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72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Rauta ja teräs;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7207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Välituotteet, rautaa tai seostamatonta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7201, 7202, 7203, 7204 tai 7205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7208–7212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Levyvalmisteet, rautaa tai seostamatonta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7207 välituotteista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7213–7216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Levyvalmisteet, tangot ja profiilit, rautaa tai seostamatonta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7206 valanteista tai muista alkumuodoista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7217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Lanka, rautaa tai seostamatonta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7207 välituotteista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7218 91 ja 7218 99</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Välituotteet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7201, 7202, 7203, 7204 tai 7205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7219–7222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Levyvalmisteet, tangot ja profiilit, ruostumatonta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7218 valanteista tai muista alkumuodoista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7223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Lanka, ruostumatonta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7218 välituotteista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7224 90</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Välituotteet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7201, 7202, 7203, 7204 tai 7205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7225–7228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Levyvalmisteet, kuumavalssatut tangot, säännöttömästi kiepitetyt; profiilit, muuta seosterästä; ontot poratangot, seosterästä tai seostamatonta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7206, 7218 tai 7224 valanteista tai muista alkumuodoista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7229</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Lanka, muuta seosterästä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7224 välituotteista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73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Rauta- ja terästavarat;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szCs w:val="24"/>
              </w:rPr>
              <w:t>Ex 7301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Ponttirauta</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7207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7302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Rautatie- tai raitiotieradan rakennusosat, rautaa tai terästä, kuten kiskot, johtokiskot, hammaskiskot, vaihteenkielet, risteyskappaleet, vaihdetangot ja muut raideristeyksien tai -vaihteiden osat, ratapölkyt, sidekiskot, kiskontuolit ja niiden kiilat, aluslaatat, puristuslaatat, liukulaatat, sideraudat ja muut kiskojen asentamiseen, liittämiseen tai kiinnittämiseen käytettävät erityistavarat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7206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7304, 7305 ja 7306</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Putket ja profiiliputket, rautaa tai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nimikkeen 7206–7212 ja 7218 tai 7224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szCs w:val="24"/>
              </w:rPr>
              <w:t>Ex 7307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Putkien liitos- ja muut osat, ruostumatonta terästä (ISO n:o X5CrNiMo 1712), useista osista koostuvat</w:t>
            </w:r>
          </w:p>
        </w:tc>
        <w:tc>
          <w:tcPr>
            <w:tcW w:w="6576" w:type="dxa"/>
            <w:tcBorders>
              <w:top w:val="single" w:sz="4" w:space="0" w:color="auto"/>
              <w:bottom w:val="single" w:sz="4" w:space="0" w:color="auto"/>
              <w:right w:val="single" w:sz="4" w:space="0" w:color="auto"/>
            </w:tcBorders>
            <w:shd w:val="clear" w:color="auto" w:fill="auto"/>
          </w:tcPr>
          <w:p>
            <w:pPr>
              <w:spacing w:before="60" w:after="60"/>
              <w:ind w:firstLine="3"/>
              <w:rPr>
                <w:rFonts w:asciiTheme="majorBidi" w:hAnsiTheme="majorBidi" w:cstheme="minorBidi"/>
                <w:noProof/>
                <w:sz w:val="22"/>
              </w:rPr>
            </w:pPr>
            <w:r>
              <w:rPr>
                <w:rFonts w:asciiTheme="majorBidi" w:hAnsiTheme="majorBidi"/>
                <w:noProof/>
              </w:rPr>
              <w:t>Taottujen teelmien sorvaaminen, poraus, väljentäminen, kierteittäminen, purseenpoisto ja hiekkapuhallus, jos käytettyjen teelmien yhteisarvo on enintään 35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7308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Rakenteet (ei kuitenkaan nimikkeen 9406 tehdasvalmisteiset rakennukset) ja rakenteiden osat (esim. sillat ja siltaelementit, sulkuportit, tornit, ristikkomastot, katot, kattorakenteet, ovet, ikkunat, ovenkarmit, ikkunankehykset ja -karmit, kynnykset, ikkunaluukut, portit, kaiteet ja pylväät), rautaa tai terästä; levyt, tangot, profiilit, putket ja niiden kaltaiset tavarat, rakenteissa käytettäviksi valmistetut, rautaa tai terästä</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Nimikkeen 7301 hitsattuja profiileja ei kuitenkaan voida käyttää</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szCs w:val="24"/>
              </w:rPr>
              <w:t>Ex 7315</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Lumi- ja muut liukuesteketjut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nimikkeen 7315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74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Kupari ja kuparitavarat;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i/>
                <w:noProof/>
                <w:sz w:val="22"/>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7403</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Puhdistettu kupari ja kupariseokset, muokkaamattomat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7408</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Kuparilanka</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minkä tahansa muun kuin tuotteen oman nimikkeen aineksista, ja</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jossa kaikkien käytettyjen ainesten arvo on enintään 50 % tuotteen noudettuna</w:t>
            </w:r>
            <w:r>
              <w:rPr>
                <w:rFonts w:asciiTheme="majorBidi" w:hAnsiTheme="majorBidi"/>
                <w:noProof/>
              </w:rPr>
              <w:noBreakHyphen/>
              <w:t>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75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Nikkeli ja nikkelitavarat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76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Alumiini ja alumiinitavarat;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minkä tahansa muun kuin tuotteen oman nimikkeen aineksista, ja</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jossa kaikkien käytettyjen ainesten arvo on enintään 50 %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7601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Muokkaamaton alumiini</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minkä tahansa muun kuin tuotteen oman nimikkeen aineksista, ja</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jossa kaikkien käytettyjen ainesten arvo on enintään 50 % tuotteen noudettuna-hinnasta</w:t>
            </w:r>
          </w:p>
          <w:p>
            <w:pPr>
              <w:spacing w:before="60" w:after="60"/>
              <w:rPr>
                <w:rFonts w:asciiTheme="majorBidi" w:hAnsiTheme="majorBidi" w:cstheme="majorBidi"/>
                <w:noProof/>
                <w:szCs w:val="24"/>
              </w:rPr>
            </w:pPr>
            <w:r>
              <w:rPr>
                <w:rFonts w:asciiTheme="majorBidi" w:hAnsiTheme="majorBidi"/>
                <w:noProof/>
                <w:szCs w:val="24"/>
              </w:rPr>
              <w:t>tai</w:t>
            </w:r>
          </w:p>
          <w:p>
            <w:pPr>
              <w:spacing w:before="60" w:after="60"/>
              <w:rPr>
                <w:rFonts w:asciiTheme="majorBidi" w:hAnsiTheme="majorBidi" w:cstheme="minorBidi"/>
                <w:noProof/>
                <w:sz w:val="22"/>
              </w:rPr>
            </w:pPr>
            <w:r>
              <w:rPr>
                <w:rFonts w:asciiTheme="majorBidi" w:hAnsiTheme="majorBidi"/>
                <w:noProof/>
              </w:rPr>
              <w:t>valmistus seostamattomasta alumiinista tai alumiinijätteistä ja -romusta termisen tai elektrolyyttisen käsittelyn avulla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7602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Alumiinijätteet ja -romu</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noProof/>
              </w:rPr>
            </w:pPr>
            <w:r>
              <w:rPr>
                <w:rFonts w:asciiTheme="majorBidi" w:hAnsiTheme="majorBidi"/>
                <w:noProof/>
              </w:rPr>
              <w:t>Valmistus minkä tahansa muun kuin tuotteen oman nimikkeen aineksista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szCs w:val="24"/>
              </w:rPr>
              <w:t>Ex 7616</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Alumiinitavarat, ei kuitenkaan metallikangas, ristikko, aitaus-, betoni- ja muut verkot ja niiden kaltaiset alumiinilangasta valmistetut tavarat (myös päättömät nauhat), eikä alumiinileikkoverkko</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minkä tahansa muun kuin tuotteen oman nimikkeen aineksista. Alumiinilangasta valmistettua metallikangasta, ristikkoa, aitaus-, betoni- ja muuta verkkoa tai niiden kaltaisia tavaroita (myös päättömiä kankaita) sekä alumiinileikkoverkkoa voidaan kuitenkin käyttää; ja</w:t>
            </w:r>
          </w:p>
          <w:p>
            <w:pPr>
              <w:spacing w:before="60" w:after="60"/>
              <w:ind w:left="567" w:hanging="567"/>
              <w:rPr>
                <w:rFonts w:asciiTheme="majorBidi" w:hAnsiTheme="majorBidi"/>
                <w:i/>
                <w:noProof/>
              </w:rPr>
            </w:pPr>
            <w:r>
              <w:rPr>
                <w:rFonts w:asciiTheme="majorBidi" w:hAnsiTheme="majorBidi"/>
                <w:noProof/>
              </w:rPr>
              <w:t>–</w:t>
            </w:r>
            <w:r>
              <w:rPr>
                <w:noProof/>
              </w:rPr>
              <w:tab/>
            </w:r>
            <w:r>
              <w:rPr>
                <w:rFonts w:asciiTheme="majorBidi" w:hAnsiTheme="majorBidi"/>
                <w:noProof/>
              </w:rPr>
              <w:t>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78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Lyijy ja lyijytavarat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79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Sinkki ja sinkkitavarat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80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Tina ja tinatavarat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81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Muut epäjalot metallit; kermetit; niistä valmistetut tavarat</w:t>
            </w:r>
          </w:p>
        </w:tc>
        <w:tc>
          <w:tcPr>
            <w:tcW w:w="6576" w:type="dxa"/>
            <w:tcBorders>
              <w:bottom w:val="single" w:sz="4" w:space="0" w:color="auto"/>
              <w:right w:val="single" w:sz="4" w:space="0" w:color="auto"/>
            </w:tcBorders>
            <w:shd w:val="clear" w:color="auto" w:fill="auto"/>
          </w:tcPr>
          <w:p>
            <w:pPr>
              <w:spacing w:before="60" w:after="60"/>
              <w:ind w:left="-13" w:firstLine="13"/>
              <w:rPr>
                <w:rFonts w:asciiTheme="majorBidi" w:hAnsiTheme="majorBidi" w:cstheme="minorBidi"/>
                <w:noProof/>
                <w:sz w:val="22"/>
              </w:rPr>
            </w:pPr>
            <w:r>
              <w:rPr>
                <w:rFonts w:asciiTheme="majorBidi" w:hAnsiTheme="majorBidi"/>
                <w:noProof/>
              </w:rPr>
              <w:t>Valmistus minkä tahansa nimikkeen aineksista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82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Työkalut ja -välineet sekä veitset, lusikat ja haarukat, epäjaloa metallia; niiden epäjaloa metallia olevat osat;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8206</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Sarjoiksi vähittäismyyntiä varten pakatut, kahteen tai useampaan nimikkeistä 8202–8205 kuuluvat työkalut</w:t>
            </w:r>
          </w:p>
        </w:tc>
        <w:tc>
          <w:tcPr>
            <w:tcW w:w="6576" w:type="dxa"/>
            <w:tcBorders>
              <w:top w:val="single" w:sz="4" w:space="0" w:color="auto"/>
              <w:right w:val="single" w:sz="4" w:space="0" w:color="auto"/>
            </w:tcBorders>
            <w:shd w:val="clear" w:color="auto" w:fill="auto"/>
          </w:tcPr>
          <w:p>
            <w:pPr>
              <w:spacing w:before="60" w:after="60"/>
              <w:ind w:left="-25" w:firstLine="3"/>
              <w:rPr>
                <w:rFonts w:asciiTheme="majorBidi" w:hAnsiTheme="majorBidi" w:cstheme="minorBidi"/>
                <w:noProof/>
                <w:sz w:val="22"/>
              </w:rPr>
            </w:pPr>
            <w:r>
              <w:rPr>
                <w:rFonts w:asciiTheme="majorBidi" w:hAnsiTheme="majorBidi"/>
                <w:noProof/>
              </w:rPr>
              <w:t>Valmistus minkä tahansa nimikkeen aineksista paitsi nimikkeiden 8202–8205 aineksista Nimikkeiden 8202–8205 työkaluja voi kuitenkin sisältyä sarjaan, jos niiden yhteisarvo on enintään 15 % sarjan noudettuna-hinnasta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83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Erinäiset epäjalosta metallista valmistetut tavarat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84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Ydinreaktorit, höyrykattilat, koneet ja mekaaniset laitteet; niiden osat;</w:t>
            </w:r>
            <w:r>
              <w:rPr>
                <w:rFonts w:asciiTheme="majorBidi" w:hAnsiTheme="majorBidi"/>
                <w:noProof/>
                <w:szCs w:val="24"/>
              </w:rPr>
              <w:t xml:space="preserve">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8407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Kipinäsytytteiset iskumäntä- tai kiertomäntämoottorit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8408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Puristussytytteiset mäntämoottorit (diesel- tai puolidieselmoottorit)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b/>
                <w:noProof/>
                <w:sz w:val="20"/>
              </w:rPr>
            </w:pPr>
            <w:r>
              <w:rPr>
                <w:rFonts w:asciiTheme="majorBidi" w:hAnsiTheme="majorBidi"/>
                <w:noProof/>
              </w:rPr>
              <w:t>8425–8430</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Taljat ja muut väkipyörästöt; vintturit, muut kuin kippikauhavintturit; nostoruuvit ja väkivivut</w:t>
            </w:r>
          </w:p>
          <w:p>
            <w:pPr>
              <w:spacing w:before="60" w:after="60"/>
              <w:rPr>
                <w:rFonts w:asciiTheme="majorBidi" w:hAnsiTheme="majorBidi" w:cstheme="minorBidi"/>
                <w:noProof/>
                <w:sz w:val="22"/>
              </w:rPr>
            </w:pPr>
            <w:r>
              <w:rPr>
                <w:rFonts w:asciiTheme="majorBidi" w:hAnsiTheme="majorBidi"/>
                <w:noProof/>
              </w:rPr>
              <w:t>Laivojen nostopuomit; nostokurjet, myös kaapelinosturit; liikkuvat portaalinosturit, haaratrukit ja nosturitrukit</w:t>
            </w:r>
          </w:p>
          <w:p>
            <w:pPr>
              <w:spacing w:before="60" w:after="60"/>
              <w:rPr>
                <w:rFonts w:asciiTheme="majorBidi" w:hAnsiTheme="majorBidi" w:cstheme="minorBidi"/>
                <w:noProof/>
                <w:sz w:val="22"/>
              </w:rPr>
            </w:pPr>
            <w:r>
              <w:rPr>
                <w:rFonts w:asciiTheme="majorBidi" w:hAnsiTheme="majorBidi"/>
                <w:noProof/>
              </w:rPr>
              <w:t>Haarukkatrukit; muut trukit, joissa on nosto- tai käsittelylaitteet</w:t>
            </w:r>
          </w:p>
          <w:p>
            <w:pPr>
              <w:spacing w:before="60" w:after="60"/>
              <w:rPr>
                <w:rFonts w:asciiTheme="majorBidi" w:hAnsiTheme="majorBidi" w:cstheme="minorBidi"/>
                <w:noProof/>
                <w:sz w:val="22"/>
              </w:rPr>
            </w:pPr>
            <w:r>
              <w:rPr>
                <w:rFonts w:asciiTheme="majorBidi" w:hAnsiTheme="majorBidi"/>
                <w:noProof/>
              </w:rPr>
              <w:t>Muut nosto-, käsittely-, lastaus- tai purkauskoneet ja -laitteet (esim. hissit, liukuportaat, kuljettimet ja ilmaköysiradat):</w:t>
            </w:r>
          </w:p>
          <w:p>
            <w:pPr>
              <w:spacing w:before="60" w:after="60"/>
              <w:rPr>
                <w:rFonts w:asciiTheme="majorBidi" w:hAnsiTheme="majorBidi" w:cstheme="minorBidi"/>
                <w:noProof/>
                <w:sz w:val="22"/>
              </w:rPr>
            </w:pPr>
            <w:r>
              <w:rPr>
                <w:rFonts w:asciiTheme="majorBidi" w:hAnsiTheme="majorBidi"/>
                <w:noProof/>
              </w:rPr>
              <w:t>Itseliikkuvat puskutraktorit (bulldozerit ja angledozerit), tiehöylät, raappauskoneet, kaivinkoneet, kauhakuormaajat, maantiivistyskoneet ja tiejyrät</w:t>
            </w:r>
          </w:p>
          <w:p>
            <w:pPr>
              <w:spacing w:before="60" w:after="60"/>
              <w:rPr>
                <w:rFonts w:asciiTheme="majorBidi" w:hAnsiTheme="majorBidi" w:cstheme="minorBidi"/>
                <w:noProof/>
                <w:sz w:val="20"/>
              </w:rPr>
            </w:pPr>
            <w:r>
              <w:rPr>
                <w:rFonts w:asciiTheme="majorBidi" w:hAnsiTheme="majorBidi"/>
                <w:noProof/>
              </w:rPr>
              <w:t>Muut maan, kivennäisten tai malmien siirto-, höyläys-, tasoitus-, raappaus-, kaivin-, tiivistys-, junttaus-, louhinta- tai porauskoneet ja -laitteet; paalujuntat ja paalunylösvetäjät; lumiaurat ja lumilingot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8431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8444–8447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Koneet tekstiilitekokuitujen suulakepuristamista, venytystä, teksturoimista tai katkomista varten</w:t>
            </w:r>
          </w:p>
          <w:p>
            <w:pPr>
              <w:spacing w:before="60" w:after="60"/>
              <w:rPr>
                <w:rFonts w:asciiTheme="majorBidi" w:hAnsiTheme="majorBidi" w:cstheme="minorBidi"/>
                <w:noProof/>
                <w:sz w:val="22"/>
              </w:rPr>
            </w:pPr>
            <w:r>
              <w:rPr>
                <w:rFonts w:asciiTheme="majorBidi" w:hAnsiTheme="majorBidi"/>
                <w:noProof/>
              </w:rPr>
              <w:t>Tekstiilikuitujen käsittelykoneet; kehruu-, kertaus- tai kiertämiskoneet sekä muut tekstiililankojen valmistuskoneet ja -laitteet; tekstiililankojen vyyhteämis-, kelaus- tai puolauskoneet (myös kuteenpuolaajat) sekä koneet tekstiililangan käsittelemiseksi nimikkeiden 8446 ja 8447 koneita varten</w:t>
            </w:r>
          </w:p>
          <w:p>
            <w:pPr>
              <w:spacing w:before="60" w:after="60"/>
              <w:rPr>
                <w:rFonts w:asciiTheme="majorBidi" w:hAnsiTheme="majorBidi" w:cstheme="minorBidi"/>
                <w:noProof/>
                <w:sz w:val="22"/>
              </w:rPr>
            </w:pPr>
            <w:r>
              <w:rPr>
                <w:rFonts w:asciiTheme="majorBidi" w:hAnsiTheme="majorBidi"/>
                <w:noProof/>
              </w:rPr>
              <w:t>Kutomakoneet (myös kangaspuut):</w:t>
            </w:r>
          </w:p>
          <w:p>
            <w:pPr>
              <w:spacing w:before="60" w:after="60"/>
              <w:rPr>
                <w:rFonts w:asciiTheme="majorBidi" w:hAnsiTheme="majorBidi" w:cstheme="minorBidi"/>
                <w:noProof/>
                <w:sz w:val="22"/>
              </w:rPr>
            </w:pPr>
            <w:r>
              <w:rPr>
                <w:rFonts w:asciiTheme="majorBidi" w:hAnsiTheme="majorBidi"/>
                <w:noProof/>
              </w:rPr>
              <w:t>Neulekoneet, ommelkangaskoneet ja koneet kierrepäällystetyn langan, tyllin, pitsin, koruompeleiden, nauhojen, punosten tai verkon valmistusta varten sekä tuftauskoneet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8448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8456–8465</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Mitä tahansa ainetta työstävät koneet, jotka irrottavat ainetta</w:t>
            </w:r>
          </w:p>
          <w:p>
            <w:pPr>
              <w:spacing w:before="60" w:after="60"/>
              <w:rPr>
                <w:rFonts w:asciiTheme="majorBidi" w:hAnsiTheme="majorBidi" w:cstheme="minorBidi"/>
                <w:noProof/>
                <w:sz w:val="22"/>
              </w:rPr>
            </w:pPr>
            <w:r>
              <w:rPr>
                <w:rFonts w:asciiTheme="majorBidi" w:hAnsiTheme="majorBidi"/>
                <w:noProof/>
              </w:rPr>
              <w:t>Työstökeskukset, yksikkörakenteiset koneet (yksiasemaiset työstöyksiköt) ja moniasemaiset transferkoneet, metallin työstöön</w:t>
            </w:r>
          </w:p>
          <w:p>
            <w:pPr>
              <w:spacing w:before="60" w:after="60"/>
              <w:rPr>
                <w:rFonts w:asciiTheme="majorBidi" w:hAnsiTheme="majorBidi" w:cstheme="minorBidi"/>
                <w:noProof/>
                <w:sz w:val="22"/>
              </w:rPr>
            </w:pPr>
            <w:r>
              <w:rPr>
                <w:rFonts w:asciiTheme="majorBidi" w:hAnsiTheme="majorBidi"/>
                <w:noProof/>
              </w:rPr>
              <w:t>Lastuavat sorvit metallin työstöön</w:t>
            </w:r>
          </w:p>
          <w:p>
            <w:pPr>
              <w:spacing w:before="60" w:after="60"/>
              <w:rPr>
                <w:rFonts w:asciiTheme="majorBidi" w:hAnsiTheme="majorBidi" w:cstheme="minorBidi"/>
                <w:noProof/>
                <w:sz w:val="22"/>
              </w:rPr>
            </w:pPr>
            <w:r>
              <w:rPr>
                <w:rFonts w:asciiTheme="majorBidi" w:hAnsiTheme="majorBidi"/>
                <w:noProof/>
              </w:rPr>
              <w:t>Työstökoneet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8466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8470–8472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Laskukoneet ja taskukokoiset tietojen tallennus-, toisto- ja näyttölaitteet, joissa on laskutoimintoja; kirjanpitokoneet, postin frankeerauskoneet, lippukoneet ja sen kaltaiset koneet, joissa on laskulaite; rekisteröivät kassakoneet</w:t>
            </w:r>
          </w:p>
          <w:p>
            <w:pPr>
              <w:spacing w:before="60" w:after="60"/>
              <w:rPr>
                <w:rFonts w:asciiTheme="majorBidi" w:hAnsiTheme="majorBidi" w:cstheme="minorBidi"/>
                <w:noProof/>
                <w:sz w:val="22"/>
              </w:rPr>
            </w:pPr>
            <w:r>
              <w:rPr>
                <w:rFonts w:asciiTheme="majorBidi" w:hAnsiTheme="majorBidi"/>
                <w:noProof/>
              </w:rPr>
              <w:t>Automaattiset tietojenkäsittelykoneet ja niiden yksiköt; magneettimerkkien lukijat ja optiset lukijat, koneet tietojen siirtämistä varten tietovälineelle koodimuodossa ja koneet tällaisten tietojen käsittelemistä varten</w:t>
            </w:r>
          </w:p>
          <w:p>
            <w:pPr>
              <w:spacing w:before="60" w:after="60"/>
              <w:rPr>
                <w:rFonts w:asciiTheme="majorBidi" w:hAnsiTheme="majorBidi" w:cstheme="minorBidi"/>
                <w:noProof/>
                <w:sz w:val="22"/>
              </w:rPr>
            </w:pPr>
            <w:r>
              <w:rPr>
                <w:rFonts w:asciiTheme="majorBidi" w:hAnsiTheme="majorBidi"/>
                <w:noProof/>
              </w:rPr>
              <w:t>Muut toimistokoneet ja -laitteet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8473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85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Sähkökoneet ja -laitteet sekä niiden osat; äänen tallennus- tai toistolaitteet, televisiokuvan tai -äänen tallennus- tai toistolaitteet sekä tällaisten tavaroiden osat ja tarvikkeet;</w:t>
            </w:r>
            <w:r>
              <w:rPr>
                <w:rFonts w:asciiTheme="majorBidi" w:hAnsiTheme="majorBidi"/>
                <w:noProof/>
                <w:szCs w:val="24"/>
              </w:rPr>
              <w:t xml:space="preserve">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8501–8502</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Sähkömoottorit ja -generaattorit</w:t>
            </w:r>
          </w:p>
          <w:p>
            <w:pPr>
              <w:spacing w:before="60" w:after="60"/>
              <w:rPr>
                <w:rFonts w:asciiTheme="majorBidi" w:hAnsiTheme="majorBidi" w:cstheme="minorBidi"/>
                <w:noProof/>
                <w:sz w:val="22"/>
              </w:rPr>
            </w:pPr>
            <w:r>
              <w:rPr>
                <w:rFonts w:asciiTheme="majorBidi" w:hAnsiTheme="majorBidi"/>
                <w:noProof/>
              </w:rPr>
              <w:t>Sähkögeneraattoriyhdistelmät ja pyörivät sähkömuuttajat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8503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8519, 8521</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Äänen tallennus- tai toistolaitteet</w:t>
            </w:r>
          </w:p>
          <w:p>
            <w:pPr>
              <w:spacing w:before="60" w:after="60"/>
              <w:rPr>
                <w:rFonts w:asciiTheme="majorBidi" w:hAnsiTheme="majorBidi" w:cstheme="minorBidi"/>
                <w:noProof/>
                <w:sz w:val="22"/>
              </w:rPr>
            </w:pPr>
            <w:r>
              <w:rPr>
                <w:rFonts w:asciiTheme="majorBidi" w:hAnsiTheme="majorBidi"/>
                <w:noProof/>
              </w:rPr>
              <w:t>Videosignaalien tallennus- tai toistolaitteet, myös samaan ulkokuoreen yhdistetyin videovirittimin</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8522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8525–8528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Yleisradio- tai televisiolähettimet, televisiokamerat, digitaalikamerat ja videokameranauhurit</w:t>
            </w:r>
          </w:p>
          <w:p>
            <w:pPr>
              <w:spacing w:before="60" w:after="60"/>
              <w:rPr>
                <w:rFonts w:asciiTheme="majorBidi" w:hAnsiTheme="majorBidi" w:cstheme="minorBidi"/>
                <w:noProof/>
                <w:sz w:val="22"/>
              </w:rPr>
            </w:pPr>
            <w:r>
              <w:rPr>
                <w:rFonts w:asciiTheme="majorBidi" w:hAnsiTheme="majorBidi"/>
                <w:noProof/>
              </w:rPr>
              <w:t>Tutkalaitteet, radionavigointilaitteet ja radiokauko-ohjauslaitteet</w:t>
            </w:r>
          </w:p>
          <w:p>
            <w:pPr>
              <w:spacing w:before="60" w:after="60"/>
              <w:rPr>
                <w:rFonts w:asciiTheme="majorBidi" w:hAnsiTheme="majorBidi" w:cstheme="minorBidi"/>
                <w:noProof/>
                <w:sz w:val="22"/>
              </w:rPr>
            </w:pPr>
            <w:r>
              <w:rPr>
                <w:rFonts w:asciiTheme="majorBidi" w:hAnsiTheme="majorBidi"/>
                <w:noProof/>
              </w:rPr>
              <w:t>Yleisradiovastaanottimet</w:t>
            </w:r>
          </w:p>
          <w:p>
            <w:pPr>
              <w:spacing w:before="60" w:after="60"/>
              <w:rPr>
                <w:rFonts w:asciiTheme="majorBidi" w:hAnsiTheme="majorBidi" w:cstheme="minorBidi"/>
                <w:noProof/>
                <w:sz w:val="22"/>
              </w:rPr>
            </w:pPr>
            <w:r>
              <w:rPr>
                <w:rFonts w:asciiTheme="majorBidi" w:hAnsiTheme="majorBidi"/>
                <w:noProof/>
              </w:rPr>
              <w:t>Monitorit ja projektorit, joissa ei ole yhteenrakennettua televisiovastaanotinta; televisiovastaanottimet, videosignaalien tallennus- tai toistolaitteet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8529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8535–8537</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Sähkölaitteet sähkövirtapiirin kytkemistä, katkaisemista tai suojaamista varten tai siihen liittämistä varten; liittimet valokuituja, valokuitukimppuja tai valokaapeleita varten; taulut, paneelit, konsolit, pöydät, kaapit ja muut alustat, sähköistä ohjausta tai sähkönjakelua varten</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ja nimikkeen 8538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8542 31 – 8542 39</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Integroidut monoliittipiirit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Diffuusio, jossa integroidut piirit muodostuvat puolijohdealustalle sopivan seostusaineen selektiivisellä käytöllä, myös jos kokoaminen ja/tai testaus suoritetaan muualla kuin osapuolessa</w:t>
            </w:r>
            <w:r>
              <w:rPr>
                <w:rFonts w:asciiTheme="majorBidi" w:hAnsiTheme="majorBidi"/>
                <w:noProof/>
              </w:rPr>
              <w:noBreakHyphen/>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8544–8548</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Eristetyt johtimet, kaapelit (ja muut eristetyt sähköjohtimet, optiset kuitukaapelit)</w:t>
            </w:r>
          </w:p>
          <w:p>
            <w:pPr>
              <w:spacing w:before="60" w:after="60"/>
              <w:rPr>
                <w:rFonts w:asciiTheme="majorBidi" w:hAnsiTheme="majorBidi" w:cstheme="minorBidi"/>
                <w:noProof/>
                <w:sz w:val="22"/>
              </w:rPr>
            </w:pPr>
            <w:r>
              <w:rPr>
                <w:rFonts w:asciiTheme="majorBidi" w:hAnsiTheme="majorBidi"/>
                <w:noProof/>
              </w:rPr>
              <w:t>Hiilielektrodit, hiiliharjat, lampunhiilet, paristohiilet ja muut grafiitista tai muusta hiilestä valmistetut tavarat, jollaisia käytetään sähkötarkoituksiin</w:t>
            </w:r>
          </w:p>
          <w:p>
            <w:pPr>
              <w:spacing w:before="60" w:after="60"/>
              <w:rPr>
                <w:rFonts w:asciiTheme="majorBidi" w:hAnsiTheme="majorBidi" w:cstheme="minorBidi"/>
                <w:noProof/>
                <w:sz w:val="22"/>
              </w:rPr>
            </w:pPr>
            <w:r>
              <w:rPr>
                <w:rFonts w:asciiTheme="majorBidi" w:hAnsiTheme="majorBidi"/>
                <w:noProof/>
              </w:rPr>
              <w:t>Mitä ainetta tahansa olevat sähköeristimet</w:t>
            </w:r>
          </w:p>
          <w:p>
            <w:pPr>
              <w:spacing w:before="60" w:after="60"/>
              <w:rPr>
                <w:rFonts w:asciiTheme="majorBidi" w:hAnsiTheme="majorBidi" w:cstheme="minorBidi"/>
                <w:noProof/>
                <w:sz w:val="22"/>
              </w:rPr>
            </w:pPr>
            <w:r>
              <w:rPr>
                <w:rFonts w:asciiTheme="majorBidi" w:hAnsiTheme="majorBidi"/>
                <w:noProof/>
              </w:rPr>
              <w:t>Sähkökoneiden tai -laitteiden eristystarvikkeet, sähköjohdinputket ja niiden liitoskappaleet, epäjaloa metallia, eristysaineella vuoratut</w:t>
            </w:r>
          </w:p>
          <w:p>
            <w:pPr>
              <w:spacing w:before="60" w:after="60"/>
              <w:rPr>
                <w:rFonts w:asciiTheme="majorBidi" w:hAnsiTheme="majorBidi" w:cstheme="minorBidi"/>
                <w:noProof/>
                <w:sz w:val="22"/>
              </w:rPr>
            </w:pPr>
            <w:r>
              <w:rPr>
                <w:rFonts w:asciiTheme="majorBidi" w:hAnsiTheme="majorBidi"/>
                <w:noProof/>
              </w:rPr>
              <w:t>Galvaanisten parien, galvaanisten paristojen ja sähköakkujen jätteet ja romu; loppuunkäytetyt galvaaniset parit ja paristot sekä loppuunkäytetyt sähköakut; koneiden ja laitteiden sähköosat, muualle tähän ryhmään kuulumattomat</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86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Rautatieveturit, raitiomoottorivaunut ja muu liikkuva kalusto sekä niiden osat; rautatie- ja raitiotieradan varusteet ja kiinteät laitteet sekä niiden osat; kaikenlaiset mekaaniset (myös sähkömekaaniset) liikennemerkinantolaitteet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ex 87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Kuljetusvälineet ja kulkuneuvot, muut kuin rautatien tai raitiotien liikkuvaan kalustoon kuuluvat, sekä niiden osat ja tarvikkeet;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45 prosenttia tuotteen noudettuna-hinnasta</w:t>
            </w:r>
          </w:p>
        </w:tc>
      </w:tr>
      <w:tr>
        <w:trPr>
          <w:cantSplit/>
          <w:trHeight w:val="20"/>
        </w:trPr>
        <w:tc>
          <w:tcPr>
            <w:tcW w:w="1606" w:type="dxa"/>
            <w:tcBorders>
              <w:top w:val="single" w:sz="4" w:space="0" w:color="auto"/>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8708</w:t>
            </w:r>
          </w:p>
        </w:tc>
        <w:tc>
          <w:tcPr>
            <w:tcW w:w="6576" w:type="dxa"/>
            <w:tcBorders>
              <w:top w:val="single" w:sz="4" w:space="0" w:color="auto"/>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Nimikkeiden 8701–8705 kulkuneuvojen osat ja tarvikkeet</w:t>
            </w:r>
          </w:p>
        </w:tc>
        <w:tc>
          <w:tcPr>
            <w:tcW w:w="6576" w:type="dxa"/>
            <w:tcBorders>
              <w:top w:val="single" w:sz="4" w:space="0" w:color="auto"/>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tcBorders>
            <w:shd w:val="clear" w:color="auto" w:fill="auto"/>
          </w:tcPr>
          <w:p>
            <w:pPr>
              <w:spacing w:before="60" w:after="60"/>
              <w:rPr>
                <w:rFonts w:asciiTheme="majorBidi" w:hAnsiTheme="majorBidi"/>
                <w:noProof/>
              </w:rPr>
            </w:pPr>
            <w:r>
              <w:rPr>
                <w:rFonts w:asciiTheme="majorBidi" w:hAnsiTheme="majorBidi"/>
                <w:noProof/>
              </w:rPr>
              <w:t>8711</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Moottoripyörät (myös mopot) ja apumoottorilla varustetut polkupyörät, myös sivuvaunuineen; sivuvaunut</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88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Ilma-alukset, avaruusalukset sekä niiden osat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89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Alukset ja uivat rakenteet</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 nimikkeen 8906 alusten runkoja ei kuitenkaan voida käyttää</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40 prosenttia tuotteen noudettuna-hinnasta</w:t>
            </w:r>
          </w:p>
        </w:tc>
      </w:tr>
      <w:tr>
        <w:trPr>
          <w:cantSplit/>
          <w:trHeight w:val="20"/>
        </w:trPr>
        <w:tc>
          <w:tcPr>
            <w:tcW w:w="1606" w:type="dxa"/>
            <w:tcBorders>
              <w:left w:val="single" w:sz="4" w:space="0" w:color="auto"/>
              <w:bottom w:val="single" w:sz="4" w:space="0" w:color="auto"/>
            </w:tcBorders>
            <w:shd w:val="clear" w:color="auto" w:fill="auto"/>
          </w:tcPr>
          <w:p>
            <w:pPr>
              <w:spacing w:before="60" w:after="60"/>
              <w:rPr>
                <w:rFonts w:asciiTheme="majorBidi" w:hAnsiTheme="majorBidi"/>
                <w:noProof/>
              </w:rPr>
            </w:pPr>
            <w:r>
              <w:rPr>
                <w:rFonts w:asciiTheme="majorBidi" w:hAnsiTheme="majorBidi"/>
                <w:noProof/>
              </w:rPr>
              <w:t>ex 90 ryhmä</w:t>
            </w:r>
          </w:p>
        </w:tc>
        <w:tc>
          <w:tcPr>
            <w:tcW w:w="6576" w:type="dxa"/>
            <w:tcBorders>
              <w:bottom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Optiset, valokuvaus-, elokuva-, mittaus-, tarkistus-, tarkkuus-, lääketieteelliset tai kirurgiset kojeet ja laitteet; niiden osat ja tarvikkeet;</w:t>
            </w:r>
            <w:r>
              <w:rPr>
                <w:rFonts w:asciiTheme="majorBidi" w:hAnsiTheme="majorBidi"/>
                <w:noProof/>
                <w:szCs w:val="24"/>
              </w:rPr>
              <w:t xml:space="preserve"> lukuun ottamatta seuraavia:</w:t>
            </w:r>
          </w:p>
        </w:tc>
        <w:tc>
          <w:tcPr>
            <w:tcW w:w="6576" w:type="dxa"/>
            <w:tcBorders>
              <w:bottom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top w:val="single" w:sz="4" w:space="0" w:color="auto"/>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9001 50</w:t>
            </w:r>
          </w:p>
        </w:tc>
        <w:tc>
          <w:tcPr>
            <w:tcW w:w="6576" w:type="dxa"/>
            <w:tcBorders>
              <w:top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Silmälasilinssit, muuta ainesta kuin lasia</w:t>
            </w:r>
          </w:p>
        </w:tc>
        <w:tc>
          <w:tcPr>
            <w:tcW w:w="6576" w:type="dxa"/>
            <w:tcBorders>
              <w:top w:val="single" w:sz="4" w:space="0" w:color="auto"/>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suoritetaan jokin seuraavista toimista:</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puolivalmiin linssin pintakäsittely valmiiksi silmälasin linssiksi, jolla on optinen korjaava voimakkuus ja joka on tarkoitettu istutettavaksi silmälaseihin</w:t>
            </w:r>
          </w:p>
          <w:p>
            <w:pPr>
              <w:spacing w:before="60" w:after="60"/>
              <w:ind w:left="567" w:hanging="567"/>
              <w:rPr>
                <w:rFonts w:asciiTheme="majorBidi" w:hAnsiTheme="majorBidi"/>
                <w:noProof/>
              </w:rPr>
            </w:pPr>
            <w:r>
              <w:rPr>
                <w:rFonts w:asciiTheme="majorBidi" w:hAnsiTheme="majorBidi"/>
                <w:noProof/>
              </w:rPr>
              <w:t>–</w:t>
            </w:r>
            <w:r>
              <w:rPr>
                <w:noProof/>
              </w:rPr>
              <w:tab/>
            </w:r>
            <w:r>
              <w:rPr>
                <w:rFonts w:asciiTheme="majorBidi" w:hAnsiTheme="majorBidi"/>
                <w:noProof/>
              </w:rPr>
              <w:t>linssin päällystäminen asianmukaisilla käsittelyillä näön parantamiseksi ja käyttäjän suojelun varmistamiseksi</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0"/>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91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Kellot ja niiden osat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40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92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Soittimet; niiden osat ja tarvikkeet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93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Aseet ja ampumatarvikkeet; niiden osat ja tarvikkeet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94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Huonekalut; vuoteiden joustinpohjat ja vuodevarusteet, kuten patjat ja tyynyt, sekä niiden kaltaiset pehmustetut sisustustavarat; valaisimet ja valaistusvarusteet, muualle kuulumattomat; valokilvet ja niiden kaltaiset tavarat; tehdasvalmisteiset rakennukset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95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Lelut, pelit ja urheiluvälineet; niiden osat ja tarvikkeet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pageBreakBefore/>
              <w:spacing w:before="60" w:after="60"/>
              <w:rPr>
                <w:rFonts w:asciiTheme="majorBidi" w:hAnsiTheme="majorBidi"/>
                <w:noProof/>
              </w:rPr>
            </w:pPr>
            <w:r>
              <w:rPr>
                <w:rFonts w:asciiTheme="majorBidi" w:hAnsiTheme="majorBidi"/>
                <w:noProof/>
              </w:rPr>
              <w:t>96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Erinäiset tavarat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p>
            <w:pPr>
              <w:spacing w:before="60" w:after="60"/>
              <w:rPr>
                <w:rFonts w:asciiTheme="majorBidi" w:hAnsiTheme="majorBidi" w:cstheme="minorBidi"/>
                <w:noProof/>
                <w:sz w:val="22"/>
              </w:rPr>
            </w:pPr>
            <w:r>
              <w:rPr>
                <w:rFonts w:asciiTheme="majorBidi" w:hAnsiTheme="majorBidi"/>
                <w:noProof/>
              </w:rPr>
              <w:t>tai</w:t>
            </w:r>
          </w:p>
          <w:p>
            <w:pPr>
              <w:spacing w:before="60" w:after="60"/>
              <w:rPr>
                <w:rFonts w:asciiTheme="majorBidi" w:hAnsiTheme="majorBidi" w:cstheme="minorBidi"/>
                <w:noProof/>
                <w:sz w:val="22"/>
              </w:rPr>
            </w:pPr>
            <w:r>
              <w:rPr>
                <w:rFonts w:asciiTheme="majorBidi" w:hAnsiTheme="majorBidi"/>
                <w:noProof/>
              </w:rPr>
              <w:t>Valmistus, jossa kaikkien käytettyjen ainesten arvo on enintään 50 prosenttia tuotteen noudettuna-hinnasta</w:t>
            </w:r>
          </w:p>
        </w:tc>
      </w:tr>
      <w:tr>
        <w:trPr>
          <w:cantSplit/>
          <w:trHeight w:val="20"/>
        </w:trPr>
        <w:tc>
          <w:tcPr>
            <w:tcW w:w="1606" w:type="dxa"/>
            <w:tcBorders>
              <w:left w:val="single" w:sz="4" w:space="0" w:color="auto"/>
            </w:tcBorders>
            <w:shd w:val="clear" w:color="auto" w:fill="auto"/>
          </w:tcPr>
          <w:p>
            <w:pPr>
              <w:spacing w:before="60" w:after="60"/>
              <w:rPr>
                <w:rFonts w:asciiTheme="majorBidi" w:hAnsiTheme="majorBidi"/>
                <w:noProof/>
              </w:rPr>
            </w:pPr>
            <w:r>
              <w:rPr>
                <w:rFonts w:asciiTheme="majorBidi" w:hAnsiTheme="majorBidi"/>
                <w:noProof/>
              </w:rPr>
              <w:t>97 ryhmä</w:t>
            </w:r>
          </w:p>
        </w:tc>
        <w:tc>
          <w:tcPr>
            <w:tcW w:w="6576" w:type="dxa"/>
            <w:shd w:val="clear" w:color="auto" w:fill="auto"/>
          </w:tcPr>
          <w:p>
            <w:pPr>
              <w:spacing w:before="60" w:after="60"/>
              <w:rPr>
                <w:rFonts w:asciiTheme="majorBidi" w:hAnsiTheme="majorBidi" w:cstheme="minorBidi"/>
                <w:noProof/>
                <w:sz w:val="22"/>
              </w:rPr>
            </w:pPr>
            <w:r>
              <w:rPr>
                <w:rFonts w:asciiTheme="majorBidi" w:hAnsiTheme="majorBidi"/>
                <w:noProof/>
              </w:rPr>
              <w:t>Taideteokset, kokoelmaesineet ja antiikkiesineet</w:t>
            </w:r>
          </w:p>
        </w:tc>
        <w:tc>
          <w:tcPr>
            <w:tcW w:w="6576" w:type="dxa"/>
            <w:tcBorders>
              <w:right w:val="single" w:sz="4" w:space="0" w:color="auto"/>
            </w:tcBorders>
            <w:shd w:val="clear" w:color="auto" w:fill="auto"/>
          </w:tcPr>
          <w:p>
            <w:pPr>
              <w:spacing w:before="60" w:after="60"/>
              <w:rPr>
                <w:rFonts w:asciiTheme="majorBidi" w:hAnsiTheme="majorBidi" w:cstheme="minorBidi"/>
                <w:noProof/>
                <w:sz w:val="22"/>
              </w:rPr>
            </w:pPr>
            <w:r>
              <w:rPr>
                <w:rFonts w:asciiTheme="majorBidi" w:hAnsiTheme="majorBidi"/>
                <w:noProof/>
              </w:rPr>
              <w:t>Valmistus minkä tahansa muun kuin tuotteen oman nimikkeen aineksista</w:t>
            </w:r>
          </w:p>
        </w:tc>
      </w:tr>
    </w:tbl>
    <w:p>
      <w:pPr>
        <w:pStyle w:val="Text1"/>
        <w:rPr>
          <w:noProof/>
        </w:rPr>
      </w:pPr>
      <w:r>
        <w:rPr>
          <w:noProof/>
        </w:rPr>
        <w:t>________________</w:t>
      </w:r>
    </w:p>
    <w:p>
      <w:pPr>
        <w:pStyle w:val="Point1"/>
        <w:spacing w:before="60" w:after="60"/>
        <w:ind w:left="1418"/>
        <w:rPr>
          <w:noProof/>
          <w:sz w:val="20"/>
          <w:szCs w:val="20"/>
        </w:rPr>
      </w:pPr>
      <w:r>
        <w:rPr>
          <w:b/>
          <w:bCs/>
          <w:noProof/>
          <w:sz w:val="20"/>
          <w:szCs w:val="20"/>
          <w:vertAlign w:val="superscript"/>
        </w:rPr>
        <w:t>(1)</w:t>
      </w:r>
      <w:r>
        <w:rPr>
          <w:noProof/>
        </w:rPr>
        <w:tab/>
      </w:r>
      <w:r>
        <w:rPr>
          <w:noProof/>
          <w:sz w:val="20"/>
        </w:rPr>
        <w:t>Katso ”tiettyä käsittelyä” koskevat erityisedellytykset alkuhuomautuksissa 8.1–8.3</w:t>
      </w:r>
    </w:p>
    <w:p>
      <w:pPr>
        <w:pStyle w:val="Point1"/>
        <w:spacing w:before="60" w:after="60"/>
        <w:ind w:left="1418"/>
        <w:rPr>
          <w:noProof/>
          <w:sz w:val="20"/>
          <w:szCs w:val="20"/>
        </w:rPr>
      </w:pPr>
      <w:r>
        <w:rPr>
          <w:b/>
          <w:bCs/>
          <w:noProof/>
          <w:sz w:val="20"/>
          <w:szCs w:val="20"/>
          <w:vertAlign w:val="superscript"/>
        </w:rPr>
        <w:t>(2)</w:t>
      </w:r>
      <w:r>
        <w:rPr>
          <w:noProof/>
        </w:rPr>
        <w:tab/>
      </w:r>
      <w:r>
        <w:rPr>
          <w:noProof/>
          <w:sz w:val="20"/>
          <w:szCs w:val="20"/>
        </w:rPr>
        <w:t>Katso tekstiiliaineiden sekoituksista valmistettuja tuotteita koskevat erityisedellytykset alkuhuomautuksessa 6.</w:t>
      </w:r>
    </w:p>
    <w:p>
      <w:pPr>
        <w:pStyle w:val="Point1"/>
        <w:spacing w:before="60" w:after="60"/>
        <w:ind w:left="1418"/>
        <w:rPr>
          <w:noProof/>
          <w:sz w:val="20"/>
          <w:szCs w:val="20"/>
        </w:rPr>
      </w:pPr>
      <w:r>
        <w:rPr>
          <w:b/>
          <w:bCs/>
          <w:noProof/>
          <w:sz w:val="20"/>
          <w:szCs w:val="20"/>
          <w:vertAlign w:val="superscript"/>
        </w:rPr>
        <w:t>(3)</w:t>
      </w:r>
      <w:r>
        <w:rPr>
          <w:noProof/>
        </w:rPr>
        <w:tab/>
      </w:r>
      <w:r>
        <w:rPr>
          <w:noProof/>
          <w:sz w:val="20"/>
          <w:szCs w:val="20"/>
        </w:rPr>
        <w:t>Katso alkuhuomautus 7.</w:t>
      </w:r>
    </w:p>
    <w:p>
      <w:pPr>
        <w:pStyle w:val="Point1"/>
        <w:spacing w:before="60" w:after="60"/>
        <w:ind w:left="1418"/>
        <w:rPr>
          <w:noProof/>
          <w:sz w:val="20"/>
          <w:szCs w:val="20"/>
        </w:rPr>
      </w:pPr>
      <w:r>
        <w:rPr>
          <w:b/>
          <w:bCs/>
          <w:noProof/>
          <w:sz w:val="20"/>
          <w:szCs w:val="20"/>
          <w:vertAlign w:val="superscript"/>
        </w:rPr>
        <w:t>(4)</w:t>
      </w:r>
      <w:r>
        <w:rPr>
          <w:noProof/>
        </w:rPr>
        <w:tab/>
      </w:r>
      <w:r>
        <w:rPr>
          <w:noProof/>
          <w:sz w:val="20"/>
          <w:szCs w:val="20"/>
        </w:rPr>
        <w:t>Katso alkuhuomautus 9.</w:t>
      </w:r>
    </w:p>
    <w:p>
      <w:pPr>
        <w:pStyle w:val="Point1"/>
        <w:spacing w:before="60" w:after="60"/>
        <w:ind w:left="0" w:firstLine="0"/>
        <w:rPr>
          <w:b/>
          <w:bCs/>
          <w:noProof/>
          <w:sz w:val="20"/>
          <w:szCs w:val="20"/>
          <w:vertAlign w:val="superscript"/>
          <w:lang w:eastAsia="en-GB"/>
        </w:rPr>
      </w:pPr>
    </w:p>
    <w:p>
      <w:pPr>
        <w:pStyle w:val="Point1"/>
        <w:spacing w:before="60" w:after="60"/>
        <w:ind w:left="1418"/>
        <w:rPr>
          <w:b/>
          <w:bCs/>
          <w:noProof/>
          <w:sz w:val="20"/>
          <w:szCs w:val="20"/>
          <w:vertAlign w:val="superscript"/>
          <w:lang w:eastAsia="en-GB"/>
        </w:rPr>
        <w:sectPr>
          <w:headerReference w:type="default" r:id="rId18"/>
          <w:footerReference w:type="default" r:id="rId19"/>
          <w:headerReference w:type="first" r:id="rId20"/>
          <w:footerReference w:type="first" r:id="rId21"/>
          <w:footnotePr>
            <w:numRestart w:val="eachPage"/>
          </w:footnotePr>
          <w:endnotePr>
            <w:numFmt w:val="decimal"/>
            <w:numRestart w:val="eachSect"/>
          </w:endnotePr>
          <w:pgSz w:w="16838" w:h="11906" w:orient="landscape"/>
          <w:pgMar w:top="1134" w:right="1134" w:bottom="1134" w:left="1134" w:header="567" w:footer="567" w:gutter="0"/>
          <w:cols w:space="709"/>
          <w:docGrid w:linePitch="326"/>
        </w:sectPr>
      </w:pPr>
    </w:p>
    <w:p>
      <w:pPr>
        <w:pStyle w:val="Text1"/>
        <w:jc w:val="center"/>
        <w:rPr>
          <w:i/>
          <w:noProof/>
        </w:rPr>
      </w:pPr>
      <w:r>
        <w:rPr>
          <w:i/>
          <w:noProof/>
        </w:rPr>
        <w:t>LIITE III</w:t>
      </w:r>
    </w:p>
    <w:p>
      <w:pPr>
        <w:pStyle w:val="Text1"/>
        <w:jc w:val="center"/>
        <w:rPr>
          <w:b/>
          <w:noProof/>
        </w:rPr>
      </w:pPr>
      <w:r>
        <w:rPr>
          <w:b/>
          <w:noProof/>
        </w:rPr>
        <w:t>ALKUPERÄILMOITUKSEN TEKSTI</w:t>
      </w:r>
    </w:p>
    <w:p>
      <w:pPr>
        <w:pStyle w:val="Text1"/>
        <w:rPr>
          <w:noProof/>
        </w:rPr>
      </w:pPr>
    </w:p>
    <w:p>
      <w:pPr>
        <w:autoSpaceDE w:val="0"/>
        <w:autoSpaceDN w:val="0"/>
        <w:jc w:val="center"/>
        <w:rPr>
          <w:b/>
          <w:noProof/>
        </w:rPr>
      </w:pPr>
      <w:r>
        <w:rPr>
          <w:b/>
          <w:noProof/>
        </w:rPr>
        <w:t>Albaniankielinen toisinto</w:t>
      </w:r>
    </w:p>
    <w:p>
      <w:pPr>
        <w:rPr>
          <w:rFonts w:eastAsia="Times New Roman"/>
          <w:noProof/>
          <w:color w:val="000000"/>
          <w:szCs w:val="24"/>
          <w:shd w:val="clear" w:color="auto" w:fill="FFFFFF"/>
        </w:rPr>
      </w:pPr>
      <w:r>
        <w:rPr>
          <w:noProof/>
          <w:color w:val="000000"/>
          <w:szCs w:val="24"/>
          <w:shd w:val="clear" w:color="auto" w:fill="FFFFFF"/>
        </w:rPr>
        <w:t>Eksportuesi i produkteve të mbuluara nga ky dokument (autorizim doganor Nr. .............. </w:t>
      </w:r>
      <w:r>
        <w:rPr>
          <w:noProof/>
          <w:color w:val="000000"/>
          <w:szCs w:val="24"/>
          <w:shd w:val="clear" w:color="auto" w:fill="FFFFFF"/>
          <w:vertAlign w:val="superscript"/>
        </w:rPr>
        <w:t>1</w:t>
      </w:r>
      <w:r>
        <w:rPr>
          <w:noProof/>
          <w:color w:val="000000"/>
          <w:szCs w:val="24"/>
          <w:shd w:val="clear" w:color="auto" w:fill="FFFFFF"/>
        </w:rPr>
        <w:t>) deklaron që përveç rasteve kur tregohet qartësisht ndryshe, këto produkte janë me origjine preferenciale ……………..</w:t>
      </w:r>
      <w:r>
        <w:rPr>
          <w:noProof/>
          <w:color w:val="000000"/>
          <w:szCs w:val="24"/>
          <w:shd w:val="clear" w:color="auto" w:fill="FFFFFF"/>
          <w:vertAlign w:val="superscript"/>
        </w:rPr>
        <w:t>2</w:t>
      </w:r>
      <w:r>
        <w:rPr>
          <w:noProof/>
          <w:color w:val="000000"/>
          <w:szCs w:val="24"/>
          <w:shd w:val="clear" w:color="auto" w:fill="FFFFFF"/>
        </w:rPr>
        <w:t> n​  në përputhje me Rregullat kalimtare të origjinës​.​</w:t>
      </w:r>
    </w:p>
    <w:p>
      <w:pPr>
        <w:rPr>
          <w:rFonts w:eastAsia="Times New Roman"/>
          <w:noProof/>
          <w:color w:val="000000"/>
          <w:szCs w:val="24"/>
          <w:shd w:val="clear" w:color="auto" w:fill="FFFFFF"/>
        </w:rPr>
      </w:pPr>
    </w:p>
    <w:p>
      <w:pPr>
        <w:autoSpaceDE w:val="0"/>
        <w:autoSpaceDN w:val="0"/>
        <w:jc w:val="center"/>
        <w:rPr>
          <w:b/>
          <w:noProof/>
        </w:rPr>
      </w:pPr>
      <w:r>
        <w:rPr>
          <w:b/>
          <w:noProof/>
        </w:rPr>
        <w:t>Arabiankielinen toisinto</w:t>
      </w:r>
    </w:p>
    <w:p>
      <w:pPr>
        <w:autoSpaceDE w:val="0"/>
        <w:autoSpaceDN w:val="0"/>
        <w:rPr>
          <w:b/>
          <w:noProof/>
        </w:rPr>
      </w:pPr>
      <w:r>
        <w:rPr>
          <w:noProof/>
          <w:lang w:val="en-GB" w:eastAsia="en-GB"/>
        </w:rPr>
        <w:drawing>
          <wp:inline distT="0" distB="0" distL="0" distR="0">
            <wp:extent cx="5753100" cy="42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100" cy="425450"/>
                    </a:xfrm>
                    <a:prstGeom prst="rect">
                      <a:avLst/>
                    </a:prstGeom>
                    <a:noFill/>
                    <a:ln>
                      <a:noFill/>
                    </a:ln>
                  </pic:spPr>
                </pic:pic>
              </a:graphicData>
            </a:graphic>
          </wp:inline>
        </w:drawing>
      </w:r>
    </w:p>
    <w:p>
      <w:pPr>
        <w:autoSpaceDE w:val="0"/>
        <w:autoSpaceDN w:val="0"/>
        <w:rPr>
          <w:b/>
          <w:noProof/>
        </w:rPr>
      </w:pPr>
    </w:p>
    <w:p>
      <w:pPr>
        <w:autoSpaceDE w:val="0"/>
        <w:autoSpaceDN w:val="0"/>
        <w:jc w:val="center"/>
        <w:rPr>
          <w:b/>
          <w:noProof/>
        </w:rPr>
      </w:pPr>
      <w:r>
        <w:rPr>
          <w:b/>
          <w:noProof/>
        </w:rPr>
        <w:t>Bosniankielinen toisinto</w:t>
      </w:r>
    </w:p>
    <w:p>
      <w:pPr>
        <w:rPr>
          <w:noProof/>
          <w:color w:val="000000"/>
          <w:bdr w:val="none" w:sz="0" w:space="0" w:color="auto" w:frame="1"/>
        </w:rPr>
      </w:pPr>
      <w:r>
        <w:rPr>
          <w:noProof/>
          <w:color w:val="000000"/>
          <w:bdr w:val="none" w:sz="0" w:space="0" w:color="auto" w:frame="1"/>
        </w:rPr>
        <w:t>Izvoznik proizvoda obuhvaćenih ovom ispravom (carinsko ovlaštenje br. .... </w:t>
      </w:r>
      <w:r>
        <w:rPr>
          <w:noProof/>
          <w:color w:val="000000"/>
          <w:bdr w:val="none" w:sz="0" w:space="0" w:color="auto" w:frame="1"/>
          <w:vertAlign w:val="superscript"/>
        </w:rPr>
        <w:t>(1)</w:t>
      </w:r>
      <w:r>
        <w:rPr>
          <w:noProof/>
          <w:color w:val="000000"/>
          <w:bdr w:val="none" w:sz="0" w:space="0" w:color="auto" w:frame="1"/>
        </w:rPr>
        <w:t>) izjavljuje da su, osim ako je to drugačije izričito navedeno, ovi proizvodi ....... </w:t>
      </w:r>
      <w:r>
        <w:rPr>
          <w:noProof/>
          <w:color w:val="000000"/>
          <w:bdr w:val="none" w:sz="0" w:space="0" w:color="auto" w:frame="1"/>
          <w:vertAlign w:val="superscript"/>
        </w:rPr>
        <w:t>(2)</w:t>
      </w:r>
      <w:r>
        <w:rPr>
          <w:noProof/>
          <w:color w:val="000000"/>
          <w:bdr w:val="none" w:sz="0" w:space="0" w:color="auto" w:frame="1"/>
        </w:rPr>
        <w:t> preferencijalnog porijekla u skladu sa prijelaznim pravilima porijekla.</w:t>
      </w:r>
    </w:p>
    <w:p>
      <w:pPr>
        <w:rPr>
          <w:noProof/>
          <w:color w:val="000000"/>
          <w:bdr w:val="none" w:sz="0" w:space="0" w:color="auto" w:frame="1"/>
        </w:rPr>
      </w:pPr>
    </w:p>
    <w:p>
      <w:pPr>
        <w:autoSpaceDE w:val="0"/>
        <w:autoSpaceDN w:val="0"/>
        <w:jc w:val="center"/>
        <w:rPr>
          <w:b/>
          <w:noProof/>
        </w:rPr>
      </w:pPr>
      <w:r>
        <w:rPr>
          <w:b/>
          <w:noProof/>
        </w:rPr>
        <w:t>Bulgariankielinen toisinto</w:t>
      </w:r>
    </w:p>
    <w:p>
      <w:pPr>
        <w:autoSpaceDE w:val="0"/>
        <w:autoSpaceDN w:val="0"/>
        <w:rPr>
          <w:rFonts w:asciiTheme="minorHAnsi" w:hAnsiTheme="minorHAnsi" w:cstheme="minorBidi"/>
          <w:noProof/>
          <w:sz w:val="22"/>
        </w:rPr>
      </w:pPr>
      <w:r>
        <w:rPr>
          <w:noProof/>
        </w:rPr>
        <w:t>Износителят на продуктите, обхванати от този документ (митническо разрешение №………</w:t>
      </w:r>
      <w:r>
        <w:rPr>
          <w:noProof/>
          <w:vertAlign w:val="superscript"/>
        </w:rPr>
        <w:t>1</w:t>
      </w:r>
      <w:r>
        <w:rPr>
          <w:noProof/>
        </w:rPr>
        <w:t>) декларира, че освен където ясно е отбелязано друго, тези продукти са с ……………..</w:t>
      </w:r>
      <w:r>
        <w:rPr>
          <w:noProof/>
          <w:vertAlign w:val="superscript"/>
        </w:rPr>
        <w:t xml:space="preserve">2 </w:t>
      </w:r>
      <w:r>
        <w:rPr>
          <w:noProof/>
        </w:rPr>
        <w:t>преференциален произход съгласно преходните правила за произход.</w:t>
      </w:r>
    </w:p>
    <w:p>
      <w:pPr>
        <w:autoSpaceDE w:val="0"/>
        <w:autoSpaceDN w:val="0"/>
        <w:rPr>
          <w:rFonts w:asciiTheme="minorHAnsi" w:hAnsiTheme="minorHAnsi" w:cstheme="minorBidi"/>
          <w:noProof/>
          <w:sz w:val="22"/>
        </w:rPr>
      </w:pPr>
    </w:p>
    <w:p>
      <w:pPr>
        <w:keepNext/>
        <w:autoSpaceDE w:val="0"/>
        <w:autoSpaceDN w:val="0"/>
        <w:jc w:val="center"/>
        <w:rPr>
          <w:b/>
          <w:noProof/>
        </w:rPr>
      </w:pPr>
      <w:r>
        <w:rPr>
          <w:b/>
          <w:noProof/>
        </w:rPr>
        <w:t>Kroaatinkielinen toisinto</w:t>
      </w:r>
    </w:p>
    <w:p>
      <w:pPr>
        <w:keepNext/>
        <w:autoSpaceDE w:val="0"/>
        <w:autoSpaceDN w:val="0"/>
        <w:rPr>
          <w:rFonts w:eastAsia="Times New Roman"/>
          <w:bCs/>
          <w:noProof/>
          <w:szCs w:val="24"/>
        </w:rPr>
      </w:pPr>
      <w:r>
        <w:rPr>
          <w:noProof/>
        </w:rPr>
        <w:t>Izvoznik proizvoda obuhvaćenih ovom ispravom (carinsko ovlaštenje br. ………</w:t>
      </w:r>
      <w:r>
        <w:rPr>
          <w:noProof/>
          <w:vertAlign w:val="superscript"/>
        </w:rPr>
        <w:t>1</w:t>
      </w:r>
      <w:r>
        <w:rPr>
          <w:noProof/>
        </w:rPr>
        <w:t>) izjavljuje da su, osim ako je drukčije izričito navedeno, ovi proizvodi ……………..</w:t>
      </w:r>
      <w:r>
        <w:rPr>
          <w:noProof/>
          <w:vertAlign w:val="superscript"/>
        </w:rPr>
        <w:t>2</w:t>
      </w:r>
      <w:r>
        <w:rPr>
          <w:noProof/>
        </w:rPr>
        <w:t xml:space="preserve"> preferencijalnog  podrijetla prema prijelaznim pravilima o podrijetlu.</w:t>
      </w:r>
    </w:p>
    <w:p>
      <w:pPr>
        <w:autoSpaceDE w:val="0"/>
        <w:autoSpaceDN w:val="0"/>
        <w:rPr>
          <w:rFonts w:eastAsia="Times New Roman"/>
          <w:b/>
          <w:noProof/>
          <w:szCs w:val="24"/>
          <w:lang w:eastAsia="en-GB"/>
        </w:rPr>
      </w:pPr>
    </w:p>
    <w:p>
      <w:pPr>
        <w:autoSpaceDE w:val="0"/>
        <w:autoSpaceDN w:val="0"/>
        <w:jc w:val="center"/>
        <w:rPr>
          <w:b/>
          <w:noProof/>
        </w:rPr>
      </w:pPr>
      <w:r>
        <w:rPr>
          <w:b/>
          <w:noProof/>
        </w:rPr>
        <w:t>Tšekinkielinen toisinto</w:t>
      </w:r>
    </w:p>
    <w:p>
      <w:pPr>
        <w:autoSpaceDE w:val="0"/>
        <w:autoSpaceDN w:val="0"/>
        <w:rPr>
          <w:noProof/>
        </w:rPr>
      </w:pPr>
      <w:r>
        <w:rPr>
          <w:noProof/>
        </w:rPr>
        <w:t>Vývozce výrobků uvedených v tomto dokumentu (číslo povolení ………</w:t>
      </w:r>
      <w:r>
        <w:rPr>
          <w:noProof/>
          <w:vertAlign w:val="superscript"/>
        </w:rPr>
        <w:t>1</w:t>
      </w:r>
      <w:r>
        <w:rPr>
          <w:noProof/>
        </w:rPr>
        <w:t>) prohlašuje, že podle přechodných pravidel původu mají tyto výrobky kromě zřetelně označených preferenční původ v …………….</w:t>
      </w:r>
      <w:r>
        <w:rPr>
          <w:noProof/>
          <w:vertAlign w:val="superscript"/>
        </w:rPr>
        <w:t>2</w:t>
      </w:r>
      <w:r>
        <w:rPr>
          <w:noProof/>
        </w:rPr>
        <w:t>.</w:t>
      </w:r>
    </w:p>
    <w:p>
      <w:pPr>
        <w:autoSpaceDE w:val="0"/>
        <w:autoSpaceDN w:val="0"/>
        <w:jc w:val="center"/>
        <w:rPr>
          <w:b/>
          <w:noProof/>
        </w:rPr>
      </w:pPr>
    </w:p>
    <w:p>
      <w:pPr>
        <w:autoSpaceDE w:val="0"/>
        <w:autoSpaceDN w:val="0"/>
        <w:jc w:val="center"/>
        <w:rPr>
          <w:b/>
          <w:noProof/>
        </w:rPr>
      </w:pPr>
      <w:r>
        <w:rPr>
          <w:b/>
          <w:noProof/>
        </w:rPr>
        <w:t>Tanskankielinen toisinto</w:t>
      </w:r>
    </w:p>
    <w:p>
      <w:pPr>
        <w:autoSpaceDE w:val="0"/>
        <w:autoSpaceDN w:val="0"/>
        <w:rPr>
          <w:noProof/>
        </w:rPr>
      </w:pPr>
      <w:r>
        <w:rPr>
          <w:noProof/>
        </w:rPr>
        <w:t>Eksportøren af varer, der er omfattet af nærværende dokument (toldmyndighedernes tilladelse nr. ………</w:t>
      </w:r>
      <w:r>
        <w:rPr>
          <w:noProof/>
          <w:vertAlign w:val="superscript"/>
        </w:rPr>
        <w:t>1</w:t>
      </w:r>
      <w:r>
        <w:rPr>
          <w:noProof/>
        </w:rPr>
        <w:t>) erklærer, at varerne, medmindre andet tydeligt er angivet, har præferenceoprindelse i ……………..</w:t>
      </w:r>
      <w:r>
        <w:rPr>
          <w:noProof/>
          <w:vertAlign w:val="superscript"/>
        </w:rPr>
        <w:t>2</w:t>
      </w:r>
      <w:r>
        <w:rPr>
          <w:noProof/>
        </w:rPr>
        <w:t xml:space="preserve"> i henhold til overgangsreglerne for oprindelse.</w:t>
      </w:r>
    </w:p>
    <w:p>
      <w:pPr>
        <w:autoSpaceDE w:val="0"/>
        <w:autoSpaceDN w:val="0"/>
        <w:rPr>
          <w:rFonts w:eastAsia="Times New Roman"/>
          <w:noProof/>
          <w:szCs w:val="24"/>
        </w:rPr>
      </w:pPr>
    </w:p>
    <w:p>
      <w:pPr>
        <w:autoSpaceDE w:val="0"/>
        <w:autoSpaceDN w:val="0"/>
        <w:rPr>
          <w:rFonts w:eastAsia="Times New Roman"/>
          <w:noProof/>
          <w:szCs w:val="24"/>
        </w:rPr>
      </w:pPr>
    </w:p>
    <w:p>
      <w:pPr>
        <w:autoSpaceDE w:val="0"/>
        <w:autoSpaceDN w:val="0"/>
        <w:rPr>
          <w:rFonts w:eastAsia="Times New Roman"/>
          <w:noProof/>
          <w:szCs w:val="24"/>
        </w:rPr>
      </w:pPr>
    </w:p>
    <w:p>
      <w:pPr>
        <w:autoSpaceDE w:val="0"/>
        <w:autoSpaceDN w:val="0"/>
        <w:jc w:val="center"/>
        <w:rPr>
          <w:rFonts w:asciiTheme="minorHAnsi" w:hAnsiTheme="minorHAnsi" w:cstheme="minorBidi"/>
          <w:b/>
          <w:noProof/>
          <w:sz w:val="22"/>
        </w:rPr>
      </w:pPr>
      <w:r>
        <w:rPr>
          <w:b/>
          <w:noProof/>
        </w:rPr>
        <w:t>Hollanninkielinen toisinto</w:t>
      </w:r>
    </w:p>
    <w:p>
      <w:pPr>
        <w:autoSpaceDE w:val="0"/>
        <w:autoSpaceDN w:val="0"/>
        <w:rPr>
          <w:noProof/>
        </w:rPr>
      </w:pPr>
      <w:r>
        <w:rPr>
          <w:noProof/>
        </w:rPr>
        <w:t>De exporteur van de goederen waarop dit document van toepassing is (douanevergunning nr. ………</w:t>
      </w:r>
      <w:r>
        <w:rPr>
          <w:noProof/>
          <w:vertAlign w:val="superscript"/>
        </w:rPr>
        <w:t>1</w:t>
      </w:r>
      <w:r>
        <w:rPr>
          <w:noProof/>
        </w:rPr>
        <w:t>), verklaart dat, behoudens uitdrukkelijke andersluidende vermelding, deze goederen van preferentiële …………….</w:t>
      </w:r>
      <w:r>
        <w:rPr>
          <w:noProof/>
          <w:vertAlign w:val="superscript"/>
        </w:rPr>
        <w:t>2</w:t>
      </w:r>
      <w:r>
        <w:rPr>
          <w:noProof/>
        </w:rPr>
        <w:t xml:space="preserve"> oorsprong zijn in overeenstemming met de overgangsregels van oorsprong.</w:t>
      </w:r>
    </w:p>
    <w:p>
      <w:pPr>
        <w:autoSpaceDE w:val="0"/>
        <w:autoSpaceDN w:val="0"/>
        <w:rPr>
          <w:noProof/>
        </w:rPr>
      </w:pPr>
    </w:p>
    <w:p>
      <w:pPr>
        <w:autoSpaceDE w:val="0"/>
        <w:autoSpaceDN w:val="0"/>
        <w:jc w:val="center"/>
        <w:rPr>
          <w:b/>
          <w:noProof/>
          <w:lang w:val="en-US"/>
        </w:rPr>
      </w:pPr>
      <w:r>
        <w:rPr>
          <w:b/>
          <w:noProof/>
          <w:lang w:val="en-US"/>
        </w:rPr>
        <w:t>Englanninkielinen toisinto</w:t>
      </w:r>
    </w:p>
    <w:p>
      <w:pPr>
        <w:autoSpaceDE w:val="0"/>
        <w:autoSpaceDN w:val="0"/>
        <w:rPr>
          <w:rFonts w:eastAsia="Times New Roman"/>
          <w:noProof/>
          <w:szCs w:val="24"/>
          <w:lang w:val="en-US"/>
        </w:rPr>
      </w:pPr>
      <w:r>
        <w:rPr>
          <w:noProof/>
          <w:lang w:val="en-US"/>
        </w:rPr>
        <w:t>The exporter of the products covered by this document (customs authorization No………</w:t>
      </w:r>
      <w:r>
        <w:rPr>
          <w:noProof/>
          <w:szCs w:val="24"/>
          <w:vertAlign w:val="superscript"/>
          <w:lang w:val="en-US"/>
        </w:rPr>
        <w:t>1</w:t>
      </w:r>
      <w:r>
        <w:rPr>
          <w:noProof/>
          <w:lang w:val="en-US"/>
        </w:rPr>
        <w:t>) declares that, except where otherwise clearly indicated, these products are of ……………..</w:t>
      </w:r>
      <w:r>
        <w:rPr>
          <w:noProof/>
          <w:szCs w:val="24"/>
          <w:vertAlign w:val="superscript"/>
          <w:lang w:val="en-US"/>
        </w:rPr>
        <w:t>2</w:t>
      </w:r>
      <w:r>
        <w:rPr>
          <w:noProof/>
          <w:lang w:val="en-US"/>
        </w:rPr>
        <w:t xml:space="preserve"> preferential origin according to the transitional Rules of origin.</w:t>
      </w:r>
    </w:p>
    <w:p>
      <w:pPr>
        <w:autoSpaceDE w:val="0"/>
        <w:autoSpaceDN w:val="0"/>
        <w:rPr>
          <w:rFonts w:eastAsia="Times New Roman"/>
          <w:noProof/>
          <w:szCs w:val="24"/>
          <w:lang w:val="en-US" w:eastAsia="en-GB"/>
        </w:rPr>
      </w:pPr>
    </w:p>
    <w:p>
      <w:pPr>
        <w:autoSpaceDE w:val="0"/>
        <w:autoSpaceDN w:val="0"/>
        <w:jc w:val="center"/>
        <w:rPr>
          <w:rFonts w:asciiTheme="minorHAnsi" w:hAnsiTheme="minorHAnsi" w:cstheme="minorBidi"/>
          <w:b/>
          <w:noProof/>
          <w:sz w:val="22"/>
          <w:lang w:val="en-US"/>
        </w:rPr>
      </w:pPr>
      <w:r>
        <w:rPr>
          <w:b/>
          <w:noProof/>
          <w:lang w:val="en-US"/>
        </w:rPr>
        <w:t>Vironkielinen toisinto</w:t>
      </w:r>
    </w:p>
    <w:p>
      <w:pPr>
        <w:autoSpaceDE w:val="0"/>
        <w:autoSpaceDN w:val="0"/>
        <w:rPr>
          <w:noProof/>
        </w:rPr>
      </w:pPr>
      <w:r>
        <w:rPr>
          <w:noProof/>
          <w:lang w:val="en-US"/>
        </w:rPr>
        <w:t>Käesoleva dokumendiga hõlmatud toodete eksportija (tolliasutuse luba nr. ………</w:t>
      </w:r>
      <w:r>
        <w:rPr>
          <w:noProof/>
          <w:vertAlign w:val="superscript"/>
          <w:lang w:val="en-US"/>
        </w:rPr>
        <w:t xml:space="preserve"> 1</w:t>
      </w:r>
      <w:r>
        <w:rPr>
          <w:noProof/>
          <w:lang w:val="en-US"/>
        </w:rPr>
        <w:t>) deklareerib, et päritolureeglite üleminekueeskirjade kohaselt on need tooted ……………..</w:t>
      </w:r>
      <w:r>
        <w:rPr>
          <w:noProof/>
          <w:vertAlign w:val="superscript"/>
          <w:lang w:val="en-US"/>
        </w:rPr>
        <w:t xml:space="preserve"> </w:t>
      </w:r>
      <w:r>
        <w:rPr>
          <w:noProof/>
          <w:vertAlign w:val="superscript"/>
        </w:rPr>
        <w:t>2</w:t>
      </w:r>
      <w:r>
        <w:rPr>
          <w:noProof/>
        </w:rPr>
        <w:t xml:space="preserve"> sooduspäritolu, välja arvatud juhul, kui on selgelt osutatud teisiti.</w:t>
      </w:r>
    </w:p>
    <w:p>
      <w:pPr>
        <w:autoSpaceDE w:val="0"/>
        <w:autoSpaceDN w:val="0"/>
        <w:rPr>
          <w:noProof/>
        </w:rPr>
      </w:pPr>
    </w:p>
    <w:p>
      <w:pPr>
        <w:autoSpaceDE w:val="0"/>
        <w:autoSpaceDN w:val="0"/>
        <w:jc w:val="center"/>
        <w:rPr>
          <w:b/>
          <w:noProof/>
        </w:rPr>
      </w:pPr>
      <w:r>
        <w:rPr>
          <w:b/>
          <w:noProof/>
        </w:rPr>
        <w:t>Fäärinkielinen toisinto</w:t>
      </w:r>
    </w:p>
    <w:p>
      <w:pPr>
        <w:autoSpaceDE w:val="0"/>
        <w:autoSpaceDN w:val="0"/>
        <w:rPr>
          <w:noProof/>
        </w:rPr>
      </w:pPr>
      <w:r>
        <w:rPr>
          <w:noProof/>
        </w:rPr>
        <w:t xml:space="preserve">Útflytarin av vørunum, sum hetta skjal fevnir um (tollvaldsins loyvi nr. … </w:t>
      </w:r>
      <w:r>
        <w:rPr>
          <w:noProof/>
          <w:vertAlign w:val="superscript"/>
        </w:rPr>
        <w:t>(1)</w:t>
      </w:r>
      <w:r>
        <w:rPr>
          <w:noProof/>
        </w:rPr>
        <w:t xml:space="preserve">) váttar, át um ikki nakað annað er tilskilað, eru hesar vørur upprunavørur … </w:t>
      </w:r>
      <w:r>
        <w:rPr>
          <w:noProof/>
          <w:vertAlign w:val="superscript"/>
        </w:rPr>
        <w:t>(2)</w:t>
      </w:r>
      <w:r>
        <w:rPr>
          <w:noProof/>
        </w:rPr>
        <w:t xml:space="preserve"> sambært skiftisreglunum um uppruna.</w:t>
      </w:r>
    </w:p>
    <w:p>
      <w:pPr>
        <w:autoSpaceDE w:val="0"/>
        <w:autoSpaceDN w:val="0"/>
        <w:rPr>
          <w:noProof/>
        </w:rPr>
      </w:pPr>
    </w:p>
    <w:p>
      <w:pPr>
        <w:autoSpaceDE w:val="0"/>
        <w:autoSpaceDN w:val="0"/>
        <w:jc w:val="center"/>
        <w:rPr>
          <w:rFonts w:asciiTheme="minorHAnsi" w:hAnsiTheme="minorHAnsi" w:cstheme="minorBidi"/>
          <w:b/>
          <w:noProof/>
          <w:sz w:val="22"/>
        </w:rPr>
      </w:pPr>
      <w:r>
        <w:rPr>
          <w:b/>
          <w:noProof/>
        </w:rPr>
        <w:t>Suomenkielinen toisinto</w:t>
      </w:r>
    </w:p>
    <w:p>
      <w:pPr>
        <w:autoSpaceDE w:val="0"/>
        <w:autoSpaceDN w:val="0"/>
        <w:rPr>
          <w:rFonts w:cstheme="minorBidi"/>
          <w:noProof/>
        </w:rPr>
      </w:pPr>
      <w:r>
        <w:rPr>
          <w:noProof/>
        </w:rPr>
        <w:t>Tässä asiakirjassa mainittujen tuotteiden viejä (tullin lupa n:o ………</w:t>
      </w:r>
      <w:r>
        <w:rPr>
          <w:noProof/>
          <w:vertAlign w:val="superscript"/>
        </w:rPr>
        <w:t>1</w:t>
      </w:r>
      <w:r>
        <w:rPr>
          <w:noProof/>
        </w:rPr>
        <w:t>) ilmoittaa, että nämä tuotteet ovat, ellei toisin ole selvästi merkitty, etuuskohteluun oikeutettuja……………..</w:t>
      </w:r>
      <w:r>
        <w:rPr>
          <w:noProof/>
          <w:vertAlign w:val="superscript"/>
        </w:rPr>
        <w:t xml:space="preserve">2 </w:t>
      </w:r>
      <w:r>
        <w:rPr>
          <w:noProof/>
        </w:rPr>
        <w:t>alkuperätuotteita siirtymäkauden alkuperäsääntöjen nojalla.</w:t>
      </w:r>
    </w:p>
    <w:p>
      <w:pPr>
        <w:autoSpaceDE w:val="0"/>
        <w:autoSpaceDN w:val="0"/>
        <w:rPr>
          <w:rFonts w:cstheme="minorBidi"/>
          <w:noProof/>
        </w:rPr>
      </w:pPr>
    </w:p>
    <w:p>
      <w:pPr>
        <w:autoSpaceDE w:val="0"/>
        <w:autoSpaceDN w:val="0"/>
        <w:jc w:val="center"/>
        <w:rPr>
          <w:b/>
          <w:noProof/>
          <w:lang w:val="fr-FR"/>
        </w:rPr>
      </w:pPr>
      <w:r>
        <w:rPr>
          <w:b/>
          <w:noProof/>
          <w:lang w:val="fr-FR"/>
        </w:rPr>
        <w:t>Ranskankielinen toisinto</w:t>
      </w:r>
    </w:p>
    <w:p>
      <w:pPr>
        <w:autoSpaceDE w:val="0"/>
        <w:autoSpaceDN w:val="0"/>
        <w:rPr>
          <w:noProof/>
          <w:sz w:val="22"/>
          <w:lang w:val="fr-FR"/>
        </w:rPr>
      </w:pPr>
      <w:r>
        <w:rPr>
          <w:noProof/>
          <w:lang w:val="fr-FR"/>
        </w:rPr>
        <w:t>L'exportateur des produits couverts par le présent document (autorisation douanière nº ………</w:t>
      </w:r>
      <w:r>
        <w:rPr>
          <w:noProof/>
          <w:vertAlign w:val="superscript"/>
          <w:lang w:val="fr-FR"/>
        </w:rPr>
        <w:t>1</w:t>
      </w:r>
      <w:r>
        <w:rPr>
          <w:noProof/>
          <w:lang w:val="fr-FR"/>
        </w:rPr>
        <w:t>) déclare que, sauf indication claire du contraire, ces produits ont l'origine préférentielle ……………..</w:t>
      </w:r>
      <w:r>
        <w:rPr>
          <w:noProof/>
          <w:vertAlign w:val="superscript"/>
          <w:lang w:val="fr-FR"/>
        </w:rPr>
        <w:t>2</w:t>
      </w:r>
      <w:r>
        <w:rPr>
          <w:noProof/>
          <w:lang w:val="fr-FR"/>
        </w:rPr>
        <w:t xml:space="preserve"> selon les règles d’origine transitoires.</w:t>
      </w:r>
    </w:p>
    <w:p>
      <w:pPr>
        <w:autoSpaceDE w:val="0"/>
        <w:autoSpaceDN w:val="0"/>
        <w:rPr>
          <w:rFonts w:asciiTheme="minorHAnsi" w:hAnsiTheme="minorHAnsi" w:cstheme="minorBidi"/>
          <w:b/>
          <w:noProof/>
          <w:sz w:val="22"/>
          <w:lang w:val="fr-FR"/>
        </w:rPr>
      </w:pPr>
    </w:p>
    <w:p>
      <w:pPr>
        <w:autoSpaceDE w:val="0"/>
        <w:autoSpaceDN w:val="0"/>
        <w:jc w:val="center"/>
        <w:rPr>
          <w:rFonts w:asciiTheme="minorHAnsi" w:hAnsiTheme="minorHAnsi" w:cstheme="minorBidi"/>
          <w:b/>
          <w:noProof/>
          <w:sz w:val="22"/>
          <w:lang w:val="fr-FR"/>
        </w:rPr>
      </w:pPr>
      <w:r>
        <w:rPr>
          <w:b/>
          <w:noProof/>
          <w:lang w:val="fr-FR"/>
        </w:rPr>
        <w:t>Saksankielinen toisinto</w:t>
      </w:r>
    </w:p>
    <w:p>
      <w:pPr>
        <w:autoSpaceDE w:val="0"/>
        <w:autoSpaceDN w:val="0"/>
        <w:rPr>
          <w:noProof/>
        </w:rPr>
      </w:pPr>
      <w:r>
        <w:rPr>
          <w:noProof/>
          <w:lang w:val="fr-FR"/>
        </w:rPr>
        <w:t>Der Ausführer (Ermächtigter Ausführer; Bewilligungs-Nr. ………</w:t>
      </w:r>
      <w:r>
        <w:rPr>
          <w:noProof/>
          <w:vertAlign w:val="superscript"/>
          <w:lang w:val="fr-FR"/>
        </w:rPr>
        <w:t xml:space="preserve"> </w:t>
      </w:r>
      <w:r>
        <w:rPr>
          <w:noProof/>
          <w:szCs w:val="24"/>
          <w:vertAlign w:val="superscript"/>
          <w:lang w:val="en-US"/>
        </w:rPr>
        <w:t>1</w:t>
      </w:r>
      <w:r>
        <w:rPr>
          <w:noProof/>
          <w:lang w:val="en-US"/>
        </w:rPr>
        <w:t>) der Waren, auf die sich dieses Handelspapier bezieht, erklärt, dass diese Waren, soweit nicht anders angegeben, präferenzbegünstigte ……………..</w:t>
      </w:r>
      <w:r>
        <w:rPr>
          <w:noProof/>
          <w:vertAlign w:val="superscript"/>
          <w:lang w:val="en-US"/>
        </w:rPr>
        <w:t xml:space="preserve"> </w:t>
      </w:r>
      <w:r>
        <w:rPr>
          <w:noProof/>
          <w:szCs w:val="24"/>
          <w:vertAlign w:val="superscript"/>
        </w:rPr>
        <w:t>2</w:t>
      </w:r>
      <w:r>
        <w:rPr>
          <w:noProof/>
        </w:rPr>
        <w:t xml:space="preserve"> Ursprungswaren gemäß den Übergangsregeln für den Ursprung sind.</w:t>
      </w:r>
    </w:p>
    <w:p>
      <w:pPr>
        <w:autoSpaceDE w:val="0"/>
        <w:autoSpaceDN w:val="0"/>
        <w:rPr>
          <w:noProof/>
        </w:rPr>
      </w:pPr>
    </w:p>
    <w:p>
      <w:pPr>
        <w:autoSpaceDE w:val="0"/>
        <w:autoSpaceDN w:val="0"/>
        <w:rPr>
          <w:noProof/>
        </w:rPr>
      </w:pPr>
    </w:p>
    <w:p>
      <w:pPr>
        <w:autoSpaceDE w:val="0"/>
        <w:autoSpaceDN w:val="0"/>
        <w:rPr>
          <w:noProof/>
        </w:rPr>
      </w:pPr>
    </w:p>
    <w:p>
      <w:pPr>
        <w:autoSpaceDE w:val="0"/>
        <w:autoSpaceDN w:val="0"/>
        <w:rPr>
          <w:noProof/>
        </w:rPr>
      </w:pPr>
    </w:p>
    <w:p>
      <w:pPr>
        <w:autoSpaceDE w:val="0"/>
        <w:autoSpaceDN w:val="0"/>
        <w:rPr>
          <w:noProof/>
        </w:rPr>
      </w:pPr>
    </w:p>
    <w:p>
      <w:pPr>
        <w:autoSpaceDE w:val="0"/>
        <w:autoSpaceDN w:val="0"/>
        <w:jc w:val="center"/>
        <w:rPr>
          <w:b/>
          <w:noProof/>
        </w:rPr>
      </w:pPr>
      <w:r>
        <w:rPr>
          <w:b/>
          <w:noProof/>
        </w:rPr>
        <w:t>Georgiankielinen toisinto</w:t>
      </w:r>
    </w:p>
    <w:p>
      <w:pPr>
        <w:autoSpaceDE w:val="0"/>
        <w:autoSpaceDN w:val="0"/>
        <w:rPr>
          <w:b/>
          <w:noProof/>
        </w:rPr>
      </w:pPr>
      <w:r>
        <w:rPr>
          <w:noProof/>
          <w:lang w:val="en-GB" w:eastAsia="en-GB"/>
        </w:rPr>
        <w:drawing>
          <wp:inline distT="0" distB="0" distL="0" distR="0">
            <wp:extent cx="5753100" cy="882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882650"/>
                    </a:xfrm>
                    <a:prstGeom prst="rect">
                      <a:avLst/>
                    </a:prstGeom>
                    <a:noFill/>
                    <a:ln>
                      <a:noFill/>
                    </a:ln>
                  </pic:spPr>
                </pic:pic>
              </a:graphicData>
            </a:graphic>
          </wp:inline>
        </w:drawing>
      </w:r>
    </w:p>
    <w:p>
      <w:pPr>
        <w:autoSpaceDE w:val="0"/>
        <w:autoSpaceDN w:val="0"/>
        <w:jc w:val="center"/>
        <w:rPr>
          <w:b/>
          <w:noProof/>
        </w:rPr>
      </w:pPr>
      <w:r>
        <w:rPr>
          <w:b/>
          <w:noProof/>
        </w:rPr>
        <w:t>Kreikankielinen toisinto</w:t>
      </w:r>
    </w:p>
    <w:p>
      <w:pPr>
        <w:autoSpaceDE w:val="0"/>
        <w:autoSpaceDN w:val="0"/>
        <w:rPr>
          <w:noProof/>
          <w:szCs w:val="24"/>
        </w:rPr>
      </w:pPr>
      <w:r>
        <w:rPr>
          <w:noProof/>
        </w:rPr>
        <w:t>Ο εξαγωγέας των προϊόντων που καλύπτονται από το παρόν έγγραφο (άδεια τελωνείου υπ’ αριθ. ………</w:t>
      </w:r>
      <w:r>
        <w:rPr>
          <w:noProof/>
          <w:szCs w:val="24"/>
          <w:vertAlign w:val="superscript"/>
        </w:rPr>
        <w:t>1</w:t>
      </w:r>
      <w:r>
        <w:rPr>
          <w:noProof/>
        </w:rPr>
        <w:t>) δηλώνει ότι, εκτός εάν δηλώνεται σαφώς άλλως, τα προϊόντα αυτά είναι προτιμησιακής καταγωγής .................</w:t>
      </w:r>
      <w:r>
        <w:rPr>
          <w:noProof/>
          <w:vertAlign w:val="superscript"/>
        </w:rPr>
        <w:t xml:space="preserve"> </w:t>
      </w:r>
      <w:r>
        <w:rPr>
          <w:noProof/>
          <w:szCs w:val="24"/>
          <w:vertAlign w:val="superscript"/>
        </w:rPr>
        <w:t>2</w:t>
      </w:r>
      <w:r>
        <w:rPr>
          <w:noProof/>
        </w:rPr>
        <w:t xml:space="preserve"> σύμφωνα με τους μεταβατικούς κανόνες καταγωγής.</w:t>
      </w:r>
    </w:p>
    <w:p>
      <w:pPr>
        <w:autoSpaceDE w:val="0"/>
        <w:autoSpaceDN w:val="0"/>
        <w:rPr>
          <w:noProof/>
          <w:szCs w:val="24"/>
        </w:rPr>
      </w:pPr>
    </w:p>
    <w:p>
      <w:pPr>
        <w:autoSpaceDE w:val="0"/>
        <w:autoSpaceDN w:val="0"/>
        <w:jc w:val="center"/>
        <w:rPr>
          <w:b/>
          <w:noProof/>
          <w:szCs w:val="24"/>
        </w:rPr>
      </w:pPr>
      <w:r>
        <w:rPr>
          <w:b/>
          <w:noProof/>
          <w:szCs w:val="24"/>
        </w:rPr>
        <w:t>Hepreankielinen toisinto</w:t>
      </w:r>
    </w:p>
    <w:p>
      <w:pPr>
        <w:autoSpaceDE w:val="0"/>
        <w:autoSpaceDN w:val="0"/>
        <w:jc w:val="center"/>
        <w:rPr>
          <w:b/>
          <w:noProof/>
          <w:szCs w:val="24"/>
        </w:rPr>
      </w:pPr>
      <w:r>
        <w:rPr>
          <w:noProof/>
          <w:lang w:val="en-GB" w:eastAsia="en-GB"/>
        </w:rPr>
        <w:drawing>
          <wp:inline distT="0" distB="0" distL="0" distR="0">
            <wp:extent cx="4845050" cy="488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45050" cy="488950"/>
                    </a:xfrm>
                    <a:prstGeom prst="rect">
                      <a:avLst/>
                    </a:prstGeom>
                    <a:noFill/>
                    <a:ln>
                      <a:noFill/>
                    </a:ln>
                  </pic:spPr>
                </pic:pic>
              </a:graphicData>
            </a:graphic>
          </wp:inline>
        </w:drawing>
      </w:r>
    </w:p>
    <w:p>
      <w:pPr>
        <w:autoSpaceDE w:val="0"/>
        <w:autoSpaceDN w:val="0"/>
        <w:jc w:val="center"/>
        <w:rPr>
          <w:b/>
          <w:noProof/>
          <w:szCs w:val="24"/>
        </w:rPr>
      </w:pPr>
    </w:p>
    <w:p>
      <w:pPr>
        <w:autoSpaceDE w:val="0"/>
        <w:autoSpaceDN w:val="0"/>
        <w:jc w:val="center"/>
        <w:rPr>
          <w:rFonts w:eastAsia="Times New Roman"/>
          <w:b/>
          <w:noProof/>
          <w:szCs w:val="24"/>
        </w:rPr>
      </w:pPr>
      <w:r>
        <w:rPr>
          <w:b/>
          <w:noProof/>
        </w:rPr>
        <w:t>Unkarinkielinen toisinto</w:t>
      </w:r>
    </w:p>
    <w:p>
      <w:pPr>
        <w:autoSpaceDE w:val="0"/>
        <w:autoSpaceDN w:val="0"/>
        <w:rPr>
          <w:noProof/>
        </w:rPr>
      </w:pPr>
      <w:r>
        <w:rPr>
          <w:noProof/>
        </w:rPr>
        <w:t>A jelen okmányban szereplő termékek exportőre (vámfelhatalmazási szám: ………</w:t>
      </w:r>
      <w:r>
        <w:rPr>
          <w:noProof/>
          <w:vertAlign w:val="superscript"/>
        </w:rPr>
        <w:t>1</w:t>
      </w:r>
      <w:r>
        <w:rPr>
          <w:noProof/>
        </w:rPr>
        <w:t>) kijelentem, hogy eltérő egyértelmű jelzés hiányában a termékek az átmeneti származási szabályok szerint preferenciális ……………..</w:t>
      </w:r>
      <w:r>
        <w:rPr>
          <w:noProof/>
          <w:vertAlign w:val="superscript"/>
        </w:rPr>
        <w:t>2</w:t>
      </w:r>
      <w:r>
        <w:rPr>
          <w:noProof/>
        </w:rPr>
        <w:t xml:space="preserve"> származásúak.</w:t>
      </w:r>
    </w:p>
    <w:p>
      <w:pPr>
        <w:autoSpaceDE w:val="0"/>
        <w:autoSpaceDN w:val="0"/>
        <w:rPr>
          <w:noProof/>
        </w:rPr>
      </w:pPr>
    </w:p>
    <w:p>
      <w:pPr>
        <w:autoSpaceDE w:val="0"/>
        <w:autoSpaceDN w:val="0"/>
        <w:jc w:val="center"/>
        <w:rPr>
          <w:b/>
          <w:noProof/>
        </w:rPr>
      </w:pPr>
      <w:r>
        <w:rPr>
          <w:b/>
          <w:noProof/>
        </w:rPr>
        <w:t>Islanninkielinen toisinto</w:t>
      </w:r>
    </w:p>
    <w:p>
      <w:pPr>
        <w:autoSpaceDE w:val="0"/>
        <w:autoSpaceDN w:val="0"/>
        <w:rPr>
          <w:noProof/>
        </w:rPr>
      </w:pPr>
      <w:r>
        <w:rPr>
          <w:noProof/>
        </w:rPr>
        <w:t>Útflytjandi framleiðsluvara sem skjal þetta tekur til (leyfi tollyfirvalda nr. ............</w:t>
      </w:r>
      <w:r>
        <w:rPr>
          <w:noProof/>
          <w:vertAlign w:val="superscript"/>
        </w:rPr>
        <w:t>(1)</w:t>
      </w:r>
      <w:r>
        <w:rPr>
          <w:noProof/>
        </w:rPr>
        <w:t>), lýsir því yfir að vörurnar séu, ef annars er ekki greinilega getið, af ..........................</w:t>
      </w:r>
      <w:r>
        <w:rPr>
          <w:noProof/>
          <w:vertAlign w:val="superscript"/>
        </w:rPr>
        <w:t xml:space="preserve">(2) </w:t>
      </w:r>
      <w:r>
        <w:rPr>
          <w:noProof/>
        </w:rPr>
        <w:t>uppruna samkvæmt upprunareglum á umbreytingartímabili.</w:t>
      </w:r>
    </w:p>
    <w:p>
      <w:pPr>
        <w:autoSpaceDE w:val="0"/>
        <w:autoSpaceDN w:val="0"/>
        <w:rPr>
          <w:noProof/>
        </w:rPr>
      </w:pPr>
    </w:p>
    <w:p>
      <w:pPr>
        <w:keepNext/>
        <w:autoSpaceDE w:val="0"/>
        <w:autoSpaceDN w:val="0"/>
        <w:jc w:val="center"/>
        <w:rPr>
          <w:b/>
          <w:noProof/>
          <w:lang w:val="fr-FR"/>
        </w:rPr>
      </w:pPr>
      <w:r>
        <w:rPr>
          <w:b/>
          <w:noProof/>
          <w:lang w:val="fr-FR"/>
        </w:rPr>
        <w:t>Italiankielinen toisinto</w:t>
      </w:r>
    </w:p>
    <w:p>
      <w:pPr>
        <w:keepNext/>
        <w:autoSpaceDE w:val="0"/>
        <w:autoSpaceDN w:val="0"/>
        <w:rPr>
          <w:noProof/>
          <w:lang w:val="fr-FR"/>
        </w:rPr>
      </w:pPr>
      <w:r>
        <w:rPr>
          <w:noProof/>
          <w:lang w:val="fr-FR"/>
        </w:rPr>
        <w:t>L'esportatore delle merci contemplate nel presente documento (autorizzazione doganale n. ………</w:t>
      </w:r>
      <w:r>
        <w:rPr>
          <w:noProof/>
          <w:vertAlign w:val="superscript"/>
          <w:lang w:val="fr-FR"/>
        </w:rPr>
        <w:t xml:space="preserve"> 1</w:t>
      </w:r>
      <w:r>
        <w:rPr>
          <w:noProof/>
          <w:lang w:val="fr-FR"/>
        </w:rPr>
        <w:t>) dichiara che, salvo indicazione contraria, le merci sono di origine preferenziale ……………..</w:t>
      </w:r>
      <w:r>
        <w:rPr>
          <w:noProof/>
          <w:vertAlign w:val="superscript"/>
          <w:lang w:val="fr-FR"/>
        </w:rPr>
        <w:t xml:space="preserve"> 2</w:t>
      </w:r>
      <w:r>
        <w:rPr>
          <w:noProof/>
          <w:lang w:val="fr-FR"/>
        </w:rPr>
        <w:t xml:space="preserve"> conformemente alle norme di origine transitorie.</w:t>
      </w:r>
    </w:p>
    <w:p>
      <w:pPr>
        <w:autoSpaceDE w:val="0"/>
        <w:autoSpaceDN w:val="0"/>
        <w:rPr>
          <w:noProof/>
          <w:lang w:val="fr-FR"/>
        </w:rPr>
      </w:pPr>
    </w:p>
    <w:p>
      <w:pPr>
        <w:autoSpaceDE w:val="0"/>
        <w:autoSpaceDN w:val="0"/>
        <w:jc w:val="center"/>
        <w:rPr>
          <w:b/>
          <w:noProof/>
          <w:lang w:val="fr-FR"/>
        </w:rPr>
      </w:pPr>
      <w:r>
        <w:rPr>
          <w:b/>
          <w:noProof/>
          <w:lang w:val="fr-FR"/>
        </w:rPr>
        <w:t>Latviankielinen toisinto</w:t>
      </w:r>
    </w:p>
    <w:p>
      <w:pPr>
        <w:autoSpaceDE w:val="0"/>
        <w:autoSpaceDN w:val="0"/>
        <w:rPr>
          <w:rFonts w:cstheme="minorBidi"/>
          <w:noProof/>
          <w:lang w:val="fr-FR"/>
        </w:rPr>
      </w:pPr>
      <w:r>
        <w:rPr>
          <w:noProof/>
          <w:lang w:val="fr-FR"/>
        </w:rPr>
        <w:t>To produktu eksportētājs, kuri ietverti šajā dokumentā (muitas atļauja Nr. .…………</w:t>
      </w:r>
      <w:r>
        <w:rPr>
          <w:noProof/>
          <w:vertAlign w:val="superscript"/>
          <w:lang w:val="fr-FR"/>
        </w:rPr>
        <w:t xml:space="preserve"> 1</w:t>
      </w:r>
      <w:r>
        <w:rPr>
          <w:noProof/>
          <w:lang w:val="fr-FR"/>
        </w:rPr>
        <w:t>) deklarē, ka, izņemot tur, kur ir citādi skaidri noteikts, šiem produktiem ir……………..</w:t>
      </w:r>
      <w:r>
        <w:rPr>
          <w:noProof/>
          <w:vertAlign w:val="superscript"/>
          <w:lang w:val="fr-FR"/>
        </w:rPr>
        <w:t>2</w:t>
      </w:r>
      <w:r>
        <w:rPr>
          <w:noProof/>
          <w:lang w:val="fr-FR"/>
        </w:rPr>
        <w:t xml:space="preserve">  preferenciāla izcelsme saskaņā ar pārejas noteikumiem par izcelsmi.</w:t>
      </w:r>
    </w:p>
    <w:p>
      <w:pPr>
        <w:autoSpaceDE w:val="0"/>
        <w:autoSpaceDN w:val="0"/>
        <w:rPr>
          <w:rFonts w:cstheme="minorBidi"/>
          <w:noProof/>
          <w:lang w:val="fr-FR"/>
        </w:rPr>
      </w:pPr>
    </w:p>
    <w:p>
      <w:pPr>
        <w:autoSpaceDE w:val="0"/>
        <w:autoSpaceDN w:val="0"/>
        <w:jc w:val="center"/>
        <w:rPr>
          <w:b/>
          <w:noProof/>
          <w:lang w:val="fr-FR"/>
        </w:rPr>
      </w:pPr>
      <w:r>
        <w:rPr>
          <w:b/>
          <w:noProof/>
          <w:lang w:val="fr-FR"/>
        </w:rPr>
        <w:t>Liettuankielinen toisinto</w:t>
      </w:r>
    </w:p>
    <w:p>
      <w:pPr>
        <w:autoSpaceDE w:val="0"/>
        <w:autoSpaceDN w:val="0"/>
        <w:rPr>
          <w:rFonts w:cstheme="minorBidi"/>
          <w:noProof/>
          <w:lang w:val="fr-FR"/>
        </w:rPr>
      </w:pPr>
      <w:r>
        <w:rPr>
          <w:noProof/>
          <w:lang w:val="fr-FR"/>
        </w:rPr>
        <w:t>Šiame dokumente nurodytų produktų eksportuotojas (muitinės leidimo Nr. .………</w:t>
      </w:r>
      <w:r>
        <w:rPr>
          <w:noProof/>
          <w:vertAlign w:val="superscript"/>
          <w:lang w:val="fr-FR"/>
        </w:rPr>
        <w:t xml:space="preserve"> 1</w:t>
      </w:r>
      <w:r>
        <w:rPr>
          <w:noProof/>
          <w:lang w:val="fr-FR"/>
        </w:rPr>
        <w:t>) deklaruoja, kad, jeigu aiškiai nenurodyta kitaip, šie produktai turi ……………..</w:t>
      </w:r>
      <w:r>
        <w:rPr>
          <w:noProof/>
          <w:vertAlign w:val="superscript"/>
          <w:lang w:val="fr-FR"/>
        </w:rPr>
        <w:t>2</w:t>
      </w:r>
      <w:r>
        <w:rPr>
          <w:noProof/>
          <w:lang w:val="fr-FR"/>
        </w:rPr>
        <w:t xml:space="preserve"> lengvatinės kilmės statusą pagal pereinamojo laikotarpio kilmės taisykles.</w:t>
      </w:r>
    </w:p>
    <w:p>
      <w:pPr>
        <w:autoSpaceDE w:val="0"/>
        <w:autoSpaceDN w:val="0"/>
        <w:rPr>
          <w:rFonts w:cstheme="minorBidi"/>
          <w:noProof/>
          <w:lang w:val="fr-FR"/>
        </w:rPr>
      </w:pPr>
    </w:p>
    <w:p>
      <w:pPr>
        <w:autoSpaceDE w:val="0"/>
        <w:autoSpaceDN w:val="0"/>
        <w:jc w:val="center"/>
        <w:rPr>
          <w:b/>
          <w:noProof/>
          <w:lang w:val="fr-FR"/>
        </w:rPr>
      </w:pPr>
      <w:r>
        <w:rPr>
          <w:b/>
          <w:noProof/>
          <w:lang w:val="fr-FR"/>
        </w:rPr>
        <w:t>Makedoniankielinen toisinto</w:t>
      </w:r>
    </w:p>
    <w:p>
      <w:pPr>
        <w:rPr>
          <w:noProof/>
          <w:color w:val="201F1E"/>
          <w:spacing w:val="-3"/>
          <w:bdr w:val="none" w:sz="0" w:space="0" w:color="auto" w:frame="1"/>
          <w:lang w:val="fr-FR"/>
        </w:rPr>
      </w:pPr>
      <w:r>
        <w:rPr>
          <w:noProof/>
          <w:color w:val="201F1E"/>
          <w:bdr w:val="none" w:sz="0" w:space="0" w:color="auto" w:frame="1"/>
        </w:rPr>
        <w:t>Извозникот</w:t>
      </w:r>
      <w:r>
        <w:rPr>
          <w:noProof/>
          <w:color w:val="201F1E"/>
          <w:bdr w:val="none" w:sz="0" w:space="0" w:color="auto" w:frame="1"/>
          <w:lang w:val="fr-FR"/>
        </w:rPr>
        <w:t xml:space="preserve"> </w:t>
      </w:r>
      <w:r>
        <w:rPr>
          <w:noProof/>
          <w:color w:val="201F1E"/>
          <w:bdr w:val="none" w:sz="0" w:space="0" w:color="auto" w:frame="1"/>
        </w:rPr>
        <w:t>на</w:t>
      </w:r>
      <w:r>
        <w:rPr>
          <w:noProof/>
          <w:color w:val="201F1E"/>
          <w:bdr w:val="none" w:sz="0" w:space="0" w:color="auto" w:frame="1"/>
          <w:lang w:val="fr-FR"/>
        </w:rPr>
        <w:t xml:space="preserve"> </w:t>
      </w:r>
      <w:r>
        <w:rPr>
          <w:noProof/>
          <w:color w:val="201F1E"/>
          <w:bdr w:val="none" w:sz="0" w:space="0" w:color="auto" w:frame="1"/>
        </w:rPr>
        <w:t>производите</w:t>
      </w:r>
      <w:r>
        <w:rPr>
          <w:noProof/>
          <w:color w:val="201F1E"/>
          <w:bdr w:val="none" w:sz="0" w:space="0" w:color="auto" w:frame="1"/>
          <w:lang w:val="fr-FR"/>
        </w:rPr>
        <w:t xml:space="preserve"> </w:t>
      </w:r>
      <w:r>
        <w:rPr>
          <w:noProof/>
          <w:color w:val="201F1E"/>
          <w:bdr w:val="none" w:sz="0" w:space="0" w:color="auto" w:frame="1"/>
        </w:rPr>
        <w:t>што</w:t>
      </w:r>
      <w:r>
        <w:rPr>
          <w:noProof/>
          <w:color w:val="201F1E"/>
          <w:bdr w:val="none" w:sz="0" w:space="0" w:color="auto" w:frame="1"/>
          <w:lang w:val="fr-FR"/>
        </w:rPr>
        <w:t xml:space="preserve"> </w:t>
      </w:r>
      <w:r>
        <w:rPr>
          <w:noProof/>
          <w:color w:val="201F1E"/>
          <w:bdr w:val="none" w:sz="0" w:space="0" w:color="auto" w:frame="1"/>
        </w:rPr>
        <w:t>ги</w:t>
      </w:r>
      <w:r>
        <w:rPr>
          <w:noProof/>
          <w:color w:val="201F1E"/>
          <w:bdr w:val="none" w:sz="0" w:space="0" w:color="auto" w:frame="1"/>
          <w:lang w:val="fr-FR"/>
        </w:rPr>
        <w:t xml:space="preserve"> </w:t>
      </w:r>
      <w:r>
        <w:rPr>
          <w:noProof/>
          <w:color w:val="201F1E"/>
          <w:bdr w:val="none" w:sz="0" w:space="0" w:color="auto" w:frame="1"/>
        </w:rPr>
        <w:t>покрива</w:t>
      </w:r>
      <w:r>
        <w:rPr>
          <w:noProof/>
          <w:color w:val="201F1E"/>
          <w:bdr w:val="none" w:sz="0" w:space="0" w:color="auto" w:frame="1"/>
          <w:lang w:val="fr-FR"/>
        </w:rPr>
        <w:t xml:space="preserve"> </w:t>
      </w:r>
      <w:r>
        <w:rPr>
          <w:noProof/>
          <w:color w:val="201F1E"/>
          <w:bdr w:val="none" w:sz="0" w:space="0" w:color="auto" w:frame="1"/>
        </w:rPr>
        <w:t>ово</w:t>
      </w:r>
      <w:r>
        <w:rPr>
          <w:noProof/>
          <w:color w:val="201F1E"/>
          <w:bdr w:val="none" w:sz="0" w:space="0" w:color="auto" w:frame="1"/>
          <w:lang w:val="fr-FR"/>
        </w:rPr>
        <w:t xml:space="preserve">j </w:t>
      </w:r>
      <w:r>
        <w:rPr>
          <w:noProof/>
          <w:color w:val="201F1E"/>
          <w:bdr w:val="none" w:sz="0" w:space="0" w:color="auto" w:frame="1"/>
        </w:rPr>
        <w:t>документ</w:t>
      </w:r>
      <w:r>
        <w:rPr>
          <w:noProof/>
          <w:color w:val="201F1E"/>
          <w:bdr w:val="none" w:sz="0" w:space="0" w:color="auto" w:frame="1"/>
          <w:lang w:val="fr-FR"/>
        </w:rPr>
        <w:t xml:space="preserve"> (</w:t>
      </w:r>
      <w:r>
        <w:rPr>
          <w:noProof/>
          <w:color w:val="201F1E"/>
          <w:bdr w:val="none" w:sz="0" w:space="0" w:color="auto" w:frame="1"/>
        </w:rPr>
        <w:t>царинск</w:t>
      </w:r>
      <w:r>
        <w:rPr>
          <w:noProof/>
          <w:color w:val="201F1E"/>
          <w:bdr w:val="none" w:sz="0" w:space="0" w:color="auto" w:frame="1"/>
          <w:lang w:val="fr-FR"/>
        </w:rPr>
        <w:t xml:space="preserve">o </w:t>
      </w:r>
      <w:r>
        <w:rPr>
          <w:noProof/>
          <w:color w:val="201F1E"/>
          <w:bdr w:val="none" w:sz="0" w:space="0" w:color="auto" w:frame="1"/>
        </w:rPr>
        <w:t>одобрение</w:t>
      </w:r>
      <w:r>
        <w:rPr>
          <w:noProof/>
          <w:color w:val="201F1E"/>
          <w:bdr w:val="none" w:sz="0" w:space="0" w:color="auto" w:frame="1"/>
          <w:lang w:val="fr-FR"/>
        </w:rPr>
        <w:t xml:space="preserve"> </w:t>
      </w:r>
      <w:r>
        <w:rPr>
          <w:noProof/>
          <w:color w:val="201F1E"/>
          <w:bdr w:val="none" w:sz="0" w:space="0" w:color="auto" w:frame="1"/>
        </w:rPr>
        <w:t>бр</w:t>
      </w:r>
      <w:r>
        <w:rPr>
          <w:noProof/>
          <w:color w:val="201F1E"/>
          <w:bdr w:val="none" w:sz="0" w:space="0" w:color="auto" w:frame="1"/>
          <w:lang w:val="fr-FR"/>
        </w:rPr>
        <w:t xml:space="preserve">. ………… </w:t>
      </w:r>
      <w:r>
        <w:rPr>
          <w:noProof/>
          <w:color w:val="201F1E"/>
          <w:bdr w:val="none" w:sz="0" w:space="0" w:color="auto" w:frame="1"/>
          <w:vertAlign w:val="superscript"/>
          <w:lang w:val="fr-FR"/>
        </w:rPr>
        <w:t>(1)</w:t>
      </w:r>
      <w:r>
        <w:rPr>
          <w:noProof/>
          <w:color w:val="201F1E"/>
          <w:bdr w:val="none" w:sz="0" w:space="0" w:color="auto" w:frame="1"/>
          <w:lang w:val="fr-FR"/>
        </w:rPr>
        <w:t xml:space="preserve">) </w:t>
      </w:r>
      <w:r>
        <w:rPr>
          <w:noProof/>
          <w:color w:val="201F1E"/>
          <w:bdr w:val="none" w:sz="0" w:space="0" w:color="auto" w:frame="1"/>
        </w:rPr>
        <w:t>из</w:t>
      </w:r>
      <w:r>
        <w:rPr>
          <w:noProof/>
          <w:color w:val="201F1E"/>
          <w:bdr w:val="none" w:sz="0" w:space="0" w:color="auto" w:frame="1"/>
          <w:lang w:val="fr-FR"/>
        </w:rPr>
        <w:t>j</w:t>
      </w:r>
      <w:r>
        <w:rPr>
          <w:noProof/>
          <w:color w:val="201F1E"/>
          <w:bdr w:val="none" w:sz="0" w:space="0" w:color="auto" w:frame="1"/>
        </w:rPr>
        <w:t>авува</w:t>
      </w:r>
      <w:r>
        <w:rPr>
          <w:noProof/>
          <w:color w:val="201F1E"/>
          <w:bdr w:val="none" w:sz="0" w:space="0" w:color="auto" w:frame="1"/>
          <w:lang w:val="fr-FR"/>
        </w:rPr>
        <w:t xml:space="preserve"> </w:t>
      </w:r>
      <w:r>
        <w:rPr>
          <w:noProof/>
          <w:color w:val="201F1E"/>
          <w:bdr w:val="none" w:sz="0" w:space="0" w:color="auto" w:frame="1"/>
        </w:rPr>
        <w:t>дека</w:t>
      </w:r>
      <w:r>
        <w:rPr>
          <w:noProof/>
          <w:color w:val="201F1E"/>
          <w:bdr w:val="none" w:sz="0" w:space="0" w:color="auto" w:frame="1"/>
          <w:lang w:val="fr-FR"/>
        </w:rPr>
        <w:t xml:space="preserve">, </w:t>
      </w:r>
      <w:r>
        <w:rPr>
          <w:noProof/>
          <w:color w:val="201F1E"/>
          <w:bdr w:val="none" w:sz="0" w:space="0" w:color="auto" w:frame="1"/>
        </w:rPr>
        <w:t>освен</w:t>
      </w:r>
      <w:r>
        <w:rPr>
          <w:noProof/>
          <w:color w:val="201F1E"/>
          <w:bdr w:val="none" w:sz="0" w:space="0" w:color="auto" w:frame="1"/>
          <w:lang w:val="fr-FR"/>
        </w:rPr>
        <w:t xml:space="preserve"> </w:t>
      </w:r>
      <w:r>
        <w:rPr>
          <w:noProof/>
          <w:color w:val="201F1E"/>
          <w:bdr w:val="none" w:sz="0" w:space="0" w:color="auto" w:frame="1"/>
        </w:rPr>
        <w:t>ако</w:t>
      </w:r>
      <w:r>
        <w:rPr>
          <w:noProof/>
          <w:color w:val="201F1E"/>
          <w:bdr w:val="none" w:sz="0" w:space="0" w:color="auto" w:frame="1"/>
          <w:lang w:val="fr-FR"/>
        </w:rPr>
        <w:t xml:space="preserve"> </w:t>
      </w:r>
      <w:r>
        <w:rPr>
          <w:noProof/>
          <w:color w:val="201F1E"/>
          <w:bdr w:val="none" w:sz="0" w:space="0" w:color="auto" w:frame="1"/>
        </w:rPr>
        <w:t>тоа</w:t>
      </w:r>
      <w:r>
        <w:rPr>
          <w:noProof/>
          <w:color w:val="201F1E"/>
          <w:bdr w:val="none" w:sz="0" w:space="0" w:color="auto" w:frame="1"/>
          <w:lang w:val="fr-FR"/>
        </w:rPr>
        <w:t xml:space="preserve"> </w:t>
      </w:r>
      <w:r>
        <w:rPr>
          <w:noProof/>
          <w:color w:val="201F1E"/>
          <w:bdr w:val="none" w:sz="0" w:space="0" w:color="auto" w:frame="1"/>
        </w:rPr>
        <w:t>не</w:t>
      </w:r>
      <w:r>
        <w:rPr>
          <w:noProof/>
          <w:color w:val="201F1E"/>
          <w:bdr w:val="none" w:sz="0" w:space="0" w:color="auto" w:frame="1"/>
          <w:lang w:val="fr-FR"/>
        </w:rPr>
        <w:t xml:space="preserve"> </w:t>
      </w:r>
      <w:r>
        <w:rPr>
          <w:noProof/>
          <w:color w:val="201F1E"/>
          <w:bdr w:val="none" w:sz="0" w:space="0" w:color="auto" w:frame="1"/>
        </w:rPr>
        <w:t>е</w:t>
      </w:r>
      <w:r>
        <w:rPr>
          <w:noProof/>
          <w:color w:val="201F1E"/>
          <w:bdr w:val="none" w:sz="0" w:space="0" w:color="auto" w:frame="1"/>
          <w:lang w:val="fr-FR"/>
        </w:rPr>
        <w:t xml:space="preserve"> j</w:t>
      </w:r>
      <w:r>
        <w:rPr>
          <w:noProof/>
          <w:color w:val="201F1E"/>
          <w:bdr w:val="none" w:sz="0" w:space="0" w:color="auto" w:frame="1"/>
        </w:rPr>
        <w:t>асно</w:t>
      </w:r>
      <w:r>
        <w:rPr>
          <w:noProof/>
          <w:color w:val="201F1E"/>
          <w:bdr w:val="none" w:sz="0" w:space="0" w:color="auto" w:frame="1"/>
          <w:lang w:val="fr-FR"/>
        </w:rPr>
        <w:t xml:space="preserve"> </w:t>
      </w:r>
      <w:r>
        <w:rPr>
          <w:noProof/>
          <w:color w:val="201F1E"/>
          <w:bdr w:val="none" w:sz="0" w:space="0" w:color="auto" w:frame="1"/>
        </w:rPr>
        <w:t>поинаку</w:t>
      </w:r>
      <w:r>
        <w:rPr>
          <w:noProof/>
          <w:color w:val="201F1E"/>
          <w:bdr w:val="none" w:sz="0" w:space="0" w:color="auto" w:frame="1"/>
          <w:lang w:val="fr-FR"/>
        </w:rPr>
        <w:t xml:space="preserve"> </w:t>
      </w:r>
      <w:r>
        <w:rPr>
          <w:noProof/>
          <w:color w:val="201F1E"/>
          <w:bdr w:val="none" w:sz="0" w:space="0" w:color="auto" w:frame="1"/>
        </w:rPr>
        <w:t>назначено</w:t>
      </w:r>
      <w:r>
        <w:rPr>
          <w:noProof/>
          <w:color w:val="201F1E"/>
          <w:bdr w:val="none" w:sz="0" w:space="0" w:color="auto" w:frame="1"/>
          <w:lang w:val="fr-FR"/>
        </w:rPr>
        <w:t xml:space="preserve">, </w:t>
      </w:r>
      <w:r>
        <w:rPr>
          <w:noProof/>
          <w:color w:val="201F1E"/>
          <w:bdr w:val="none" w:sz="0" w:space="0" w:color="auto" w:frame="1"/>
        </w:rPr>
        <w:t>овие</w:t>
      </w:r>
      <w:r>
        <w:rPr>
          <w:noProof/>
          <w:color w:val="201F1E"/>
          <w:bdr w:val="none" w:sz="0" w:space="0" w:color="auto" w:frame="1"/>
          <w:lang w:val="fr-FR"/>
        </w:rPr>
        <w:t xml:space="preserve"> </w:t>
      </w:r>
      <w:r>
        <w:rPr>
          <w:noProof/>
          <w:color w:val="201F1E"/>
          <w:bdr w:val="none" w:sz="0" w:space="0" w:color="auto" w:frame="1"/>
        </w:rPr>
        <w:t>производи</w:t>
      </w:r>
      <w:r>
        <w:rPr>
          <w:noProof/>
          <w:color w:val="201F1E"/>
          <w:bdr w:val="none" w:sz="0" w:space="0" w:color="auto" w:frame="1"/>
          <w:lang w:val="fr-FR"/>
        </w:rPr>
        <w:t xml:space="preserve"> </w:t>
      </w:r>
      <w:r>
        <w:rPr>
          <w:noProof/>
          <w:color w:val="201F1E"/>
          <w:bdr w:val="none" w:sz="0" w:space="0" w:color="auto" w:frame="1"/>
        </w:rPr>
        <w:t>се</w:t>
      </w:r>
      <w:r>
        <w:rPr>
          <w:noProof/>
          <w:color w:val="201F1E"/>
          <w:bdr w:val="none" w:sz="0" w:space="0" w:color="auto" w:frame="1"/>
          <w:lang w:val="fr-FR"/>
        </w:rPr>
        <w:t xml:space="preserve"> </w:t>
      </w:r>
      <w:r>
        <w:rPr>
          <w:noProof/>
          <w:color w:val="201F1E"/>
          <w:bdr w:val="none" w:sz="0" w:space="0" w:color="auto" w:frame="1"/>
        </w:rPr>
        <w:t>со</w:t>
      </w:r>
      <w:r>
        <w:rPr>
          <w:noProof/>
          <w:color w:val="201F1E"/>
          <w:bdr w:val="none" w:sz="0" w:space="0" w:color="auto" w:frame="1"/>
          <w:lang w:val="fr-FR"/>
        </w:rPr>
        <w:t xml:space="preserve"> .........…………. </w:t>
      </w:r>
      <w:r>
        <w:rPr>
          <w:noProof/>
          <w:color w:val="201F1E"/>
          <w:bdr w:val="none" w:sz="0" w:space="0" w:color="auto" w:frame="1"/>
          <w:vertAlign w:val="superscript"/>
          <w:lang w:val="fr-FR"/>
        </w:rPr>
        <w:t>(2)</w:t>
      </w:r>
      <w:r>
        <w:rPr>
          <w:noProof/>
          <w:color w:val="201F1E"/>
          <w:bdr w:val="none" w:sz="0" w:space="0" w:color="auto" w:frame="1"/>
          <w:lang w:val="fr-FR"/>
        </w:rPr>
        <w:t xml:space="preserve"> </w:t>
      </w:r>
      <w:r>
        <w:rPr>
          <w:noProof/>
          <w:color w:val="201F1E"/>
          <w:bdr w:val="none" w:sz="0" w:space="0" w:color="auto" w:frame="1"/>
        </w:rPr>
        <w:t>преференци</w:t>
      </w:r>
      <w:r>
        <w:rPr>
          <w:noProof/>
          <w:color w:val="201F1E"/>
          <w:bdr w:val="none" w:sz="0" w:space="0" w:color="auto" w:frame="1"/>
          <w:lang w:val="fr-FR"/>
        </w:rPr>
        <w:t>ja</w:t>
      </w:r>
      <w:r>
        <w:rPr>
          <w:noProof/>
          <w:color w:val="201F1E"/>
          <w:bdr w:val="none" w:sz="0" w:space="0" w:color="auto" w:frame="1"/>
        </w:rPr>
        <w:t>лно</w:t>
      </w:r>
      <w:r>
        <w:rPr>
          <w:noProof/>
          <w:color w:val="201F1E"/>
          <w:bdr w:val="none" w:sz="0" w:space="0" w:color="auto" w:frame="1"/>
          <w:lang w:val="fr-FR"/>
        </w:rPr>
        <w:t xml:space="preserve"> </w:t>
      </w:r>
      <w:r>
        <w:rPr>
          <w:noProof/>
          <w:color w:val="201F1E"/>
          <w:bdr w:val="none" w:sz="0" w:space="0" w:color="auto" w:frame="1"/>
        </w:rPr>
        <w:t>потекло</w:t>
      </w:r>
      <w:r>
        <w:rPr>
          <w:noProof/>
          <w:color w:val="201F1E"/>
          <w:bdr w:val="none" w:sz="0" w:space="0" w:color="auto" w:frame="1"/>
          <w:lang w:val="fr-FR"/>
        </w:rPr>
        <w:t>.</w:t>
      </w:r>
    </w:p>
    <w:p>
      <w:pPr>
        <w:autoSpaceDE w:val="0"/>
        <w:autoSpaceDN w:val="0"/>
        <w:rPr>
          <w:rFonts w:cstheme="minorBidi"/>
          <w:noProof/>
          <w:lang w:val="fr-FR"/>
        </w:rPr>
      </w:pPr>
    </w:p>
    <w:p>
      <w:pPr>
        <w:autoSpaceDE w:val="0"/>
        <w:autoSpaceDN w:val="0"/>
        <w:jc w:val="center"/>
        <w:rPr>
          <w:b/>
          <w:noProof/>
          <w:lang w:val="fr-FR"/>
        </w:rPr>
      </w:pPr>
      <w:r>
        <w:rPr>
          <w:b/>
          <w:noProof/>
          <w:lang w:val="fr-FR"/>
        </w:rPr>
        <w:t>Maltankielinen toisinto</w:t>
      </w:r>
    </w:p>
    <w:p>
      <w:pPr>
        <w:autoSpaceDE w:val="0"/>
        <w:autoSpaceDN w:val="0"/>
        <w:rPr>
          <w:rFonts w:cstheme="minorBidi"/>
          <w:noProof/>
          <w:lang w:val="fr-FR"/>
        </w:rPr>
      </w:pPr>
      <w:r>
        <w:rPr>
          <w:noProof/>
          <w:lang w:val="fr-FR"/>
        </w:rPr>
        <w:t>L-esportatur tal-prodotti koperti minn dan id-dokument (awtorizzazzjoni tad-dwana nru………</w:t>
      </w:r>
      <w:r>
        <w:rPr>
          <w:noProof/>
          <w:vertAlign w:val="superscript"/>
          <w:lang w:val="fr-FR"/>
        </w:rPr>
        <w:t>1</w:t>
      </w:r>
      <w:r>
        <w:rPr>
          <w:noProof/>
          <w:lang w:val="fr-FR"/>
        </w:rPr>
        <w:t>) jiddikjara li, ħlief fejn indikat mod ieħor b’mod ċar, dawn il-prodotti huma ta’ oriġini preferenzjali …………….</w:t>
      </w:r>
      <w:r>
        <w:rPr>
          <w:noProof/>
          <w:vertAlign w:val="superscript"/>
          <w:lang w:val="fr-FR"/>
        </w:rPr>
        <w:t>2</w:t>
      </w:r>
      <w:r>
        <w:rPr>
          <w:noProof/>
          <w:lang w:val="fr-FR"/>
        </w:rPr>
        <w:t xml:space="preserve"> skont ir-regoli ta’ oriġini tranżizzjonali</w:t>
      </w:r>
    </w:p>
    <w:p>
      <w:pPr>
        <w:autoSpaceDE w:val="0"/>
        <w:autoSpaceDN w:val="0"/>
        <w:rPr>
          <w:rFonts w:cstheme="minorBidi"/>
          <w:noProof/>
          <w:lang w:val="fr-FR"/>
        </w:rPr>
      </w:pPr>
    </w:p>
    <w:p>
      <w:pPr>
        <w:keepNext/>
        <w:autoSpaceDE w:val="0"/>
        <w:autoSpaceDN w:val="0"/>
        <w:jc w:val="center"/>
        <w:rPr>
          <w:b/>
          <w:noProof/>
          <w:lang w:val="fr-FR"/>
        </w:rPr>
      </w:pPr>
      <w:r>
        <w:rPr>
          <w:b/>
          <w:noProof/>
          <w:lang w:val="fr-FR"/>
        </w:rPr>
        <w:t>Montenegronkielinen toisinto</w:t>
      </w:r>
    </w:p>
    <w:p>
      <w:pPr>
        <w:keepNext/>
        <w:rPr>
          <w:noProof/>
          <w:lang w:val="fr-FR"/>
        </w:rPr>
      </w:pPr>
      <w:r>
        <w:rPr>
          <w:noProof/>
        </w:rPr>
        <w:t>Извозник</w:t>
      </w:r>
      <w:r>
        <w:rPr>
          <w:noProof/>
          <w:lang w:val="fr-FR"/>
        </w:rPr>
        <w:t xml:space="preserve"> </w:t>
      </w:r>
      <w:r>
        <w:rPr>
          <w:noProof/>
        </w:rPr>
        <w:t>производа</w:t>
      </w:r>
      <w:r>
        <w:rPr>
          <w:noProof/>
          <w:lang w:val="fr-FR"/>
        </w:rPr>
        <w:t xml:space="preserve"> </w:t>
      </w:r>
      <w:r>
        <w:rPr>
          <w:noProof/>
        </w:rPr>
        <w:t>обухваћених</w:t>
      </w:r>
      <w:r>
        <w:rPr>
          <w:noProof/>
          <w:lang w:val="fr-FR"/>
        </w:rPr>
        <w:t xml:space="preserve"> </w:t>
      </w:r>
      <w:r>
        <w:rPr>
          <w:noProof/>
        </w:rPr>
        <w:t>овом</w:t>
      </w:r>
      <w:r>
        <w:rPr>
          <w:noProof/>
          <w:lang w:val="fr-FR"/>
        </w:rPr>
        <w:t xml:space="preserve"> </w:t>
      </w:r>
      <w:r>
        <w:rPr>
          <w:noProof/>
        </w:rPr>
        <w:t>исправом</w:t>
      </w:r>
      <w:r>
        <w:rPr>
          <w:noProof/>
          <w:lang w:val="fr-FR"/>
        </w:rPr>
        <w:t xml:space="preserve"> (</w:t>
      </w:r>
      <w:r>
        <w:rPr>
          <w:noProof/>
        </w:rPr>
        <w:t>царинско</w:t>
      </w:r>
      <w:r>
        <w:rPr>
          <w:noProof/>
          <w:lang w:val="fr-FR"/>
        </w:rPr>
        <w:t xml:space="preserve"> </w:t>
      </w:r>
      <w:r>
        <w:rPr>
          <w:noProof/>
        </w:rPr>
        <w:t>овлашћење</w:t>
      </w:r>
      <w:r>
        <w:rPr>
          <w:noProof/>
          <w:lang w:val="fr-FR"/>
        </w:rPr>
        <w:t xml:space="preserve"> </w:t>
      </w:r>
      <w:r>
        <w:rPr>
          <w:noProof/>
        </w:rPr>
        <w:t>бр</w:t>
      </w:r>
      <w:r>
        <w:rPr>
          <w:noProof/>
          <w:lang w:val="fr-FR"/>
        </w:rPr>
        <w:t>. ......</w:t>
      </w:r>
      <w:r>
        <w:rPr>
          <w:noProof/>
          <w:vertAlign w:val="superscript"/>
          <w:lang w:val="fr-FR"/>
        </w:rPr>
        <w:t xml:space="preserve">(1) </w:t>
      </w:r>
      <w:r>
        <w:rPr>
          <w:noProof/>
          <w:lang w:val="fr-FR"/>
        </w:rPr>
        <w:t xml:space="preserve">) </w:t>
      </w:r>
      <w:r>
        <w:rPr>
          <w:noProof/>
        </w:rPr>
        <w:t>изјављује</w:t>
      </w:r>
      <w:r>
        <w:rPr>
          <w:noProof/>
          <w:lang w:val="fr-FR"/>
        </w:rPr>
        <w:t xml:space="preserve"> </w:t>
      </w:r>
      <w:r>
        <w:rPr>
          <w:noProof/>
        </w:rPr>
        <w:t>да</w:t>
      </w:r>
      <w:r>
        <w:rPr>
          <w:noProof/>
          <w:lang w:val="fr-FR"/>
        </w:rPr>
        <w:t xml:space="preserve"> </w:t>
      </w:r>
      <w:r>
        <w:rPr>
          <w:noProof/>
        </w:rPr>
        <w:t>су</w:t>
      </w:r>
      <w:r>
        <w:rPr>
          <w:noProof/>
          <w:lang w:val="fr-FR"/>
        </w:rPr>
        <w:t xml:space="preserve">, </w:t>
      </w:r>
      <w:r>
        <w:rPr>
          <w:noProof/>
        </w:rPr>
        <w:t>осим</w:t>
      </w:r>
      <w:r>
        <w:rPr>
          <w:noProof/>
          <w:lang w:val="fr-FR"/>
        </w:rPr>
        <w:t xml:space="preserve"> </w:t>
      </w:r>
      <w:r>
        <w:rPr>
          <w:noProof/>
        </w:rPr>
        <w:t>ако</w:t>
      </w:r>
      <w:r>
        <w:rPr>
          <w:noProof/>
          <w:lang w:val="fr-FR"/>
        </w:rPr>
        <w:t xml:space="preserve"> </w:t>
      </w:r>
      <w:r>
        <w:rPr>
          <w:noProof/>
        </w:rPr>
        <w:t>је</w:t>
      </w:r>
      <w:r>
        <w:rPr>
          <w:noProof/>
          <w:lang w:val="fr-FR"/>
        </w:rPr>
        <w:t xml:space="preserve"> </w:t>
      </w:r>
      <w:r>
        <w:rPr>
          <w:noProof/>
        </w:rPr>
        <w:t>другачије</w:t>
      </w:r>
      <w:r>
        <w:rPr>
          <w:noProof/>
          <w:lang w:val="fr-FR"/>
        </w:rPr>
        <w:t xml:space="preserve"> </w:t>
      </w:r>
      <w:r>
        <w:rPr>
          <w:noProof/>
        </w:rPr>
        <w:t>изричито</w:t>
      </w:r>
      <w:r>
        <w:rPr>
          <w:noProof/>
          <w:lang w:val="fr-FR"/>
        </w:rPr>
        <w:t xml:space="preserve"> </w:t>
      </w:r>
      <w:r>
        <w:rPr>
          <w:noProof/>
        </w:rPr>
        <w:t>наведено</w:t>
      </w:r>
      <w:r>
        <w:rPr>
          <w:noProof/>
          <w:lang w:val="fr-FR"/>
        </w:rPr>
        <w:t xml:space="preserve">, </w:t>
      </w:r>
      <w:r>
        <w:rPr>
          <w:noProof/>
        </w:rPr>
        <w:t>ови</w:t>
      </w:r>
      <w:r>
        <w:rPr>
          <w:noProof/>
          <w:lang w:val="fr-FR"/>
        </w:rPr>
        <w:t xml:space="preserve"> </w:t>
      </w:r>
      <w:r>
        <w:rPr>
          <w:noProof/>
        </w:rPr>
        <w:t>производи</w:t>
      </w:r>
      <w:r>
        <w:rPr>
          <w:noProof/>
          <w:lang w:val="fr-FR"/>
        </w:rPr>
        <w:t xml:space="preserve"> ..........</w:t>
      </w:r>
      <w:r>
        <w:rPr>
          <w:noProof/>
          <w:vertAlign w:val="superscript"/>
          <w:lang w:val="fr-FR"/>
        </w:rPr>
        <w:t>(2)</w:t>
      </w:r>
      <w:r>
        <w:rPr>
          <w:noProof/>
          <w:lang w:val="fr-FR"/>
        </w:rPr>
        <w:t xml:space="preserve"> </w:t>
      </w:r>
      <w:r>
        <w:rPr>
          <w:noProof/>
        </w:rPr>
        <w:t>преференцијалног</w:t>
      </w:r>
      <w:r>
        <w:rPr>
          <w:noProof/>
          <w:lang w:val="fr-FR"/>
        </w:rPr>
        <w:t xml:space="preserve"> </w:t>
      </w:r>
      <w:r>
        <w:rPr>
          <w:noProof/>
        </w:rPr>
        <w:t>пори</w:t>
      </w:r>
      <w:r>
        <w:rPr>
          <w:noProof/>
          <w:lang w:val="fr-FR"/>
        </w:rPr>
        <w:t>j</w:t>
      </w:r>
      <w:r>
        <w:rPr>
          <w:noProof/>
        </w:rPr>
        <w:t>екла</w:t>
      </w:r>
      <w:r>
        <w:rPr>
          <w:noProof/>
          <w:lang w:val="fr-FR"/>
        </w:rPr>
        <w:t xml:space="preserve">, </w:t>
      </w:r>
      <w:r>
        <w:rPr>
          <w:noProof/>
        </w:rPr>
        <w:t>у</w:t>
      </w:r>
      <w:r>
        <w:rPr>
          <w:noProof/>
          <w:lang w:val="fr-FR"/>
        </w:rPr>
        <w:t xml:space="preserve"> </w:t>
      </w:r>
      <w:r>
        <w:rPr>
          <w:noProof/>
        </w:rPr>
        <w:t>складу</w:t>
      </w:r>
      <w:r>
        <w:rPr>
          <w:noProof/>
          <w:lang w:val="fr-FR"/>
        </w:rPr>
        <w:t xml:space="preserve"> </w:t>
      </w:r>
      <w:r>
        <w:rPr>
          <w:noProof/>
        </w:rPr>
        <w:t>са</w:t>
      </w:r>
      <w:r>
        <w:rPr>
          <w:noProof/>
          <w:lang w:val="fr-FR"/>
        </w:rPr>
        <w:t xml:space="preserve"> </w:t>
      </w:r>
      <w:r>
        <w:rPr>
          <w:noProof/>
        </w:rPr>
        <w:t>транзиционим</w:t>
      </w:r>
      <w:r>
        <w:rPr>
          <w:noProof/>
          <w:lang w:val="fr-FR"/>
        </w:rPr>
        <w:t xml:space="preserve"> </w:t>
      </w:r>
      <w:r>
        <w:rPr>
          <w:noProof/>
        </w:rPr>
        <w:t>правилима</w:t>
      </w:r>
      <w:r>
        <w:rPr>
          <w:noProof/>
          <w:lang w:val="fr-FR"/>
        </w:rPr>
        <w:t xml:space="preserve"> </w:t>
      </w:r>
      <w:r>
        <w:rPr>
          <w:noProof/>
        </w:rPr>
        <w:t>поријекла</w:t>
      </w:r>
      <w:r>
        <w:rPr>
          <w:noProof/>
          <w:lang w:val="fr-FR"/>
        </w:rPr>
        <w:t>.</w:t>
      </w:r>
    </w:p>
    <w:p>
      <w:pPr>
        <w:keepNext/>
        <w:rPr>
          <w:noProof/>
          <w:lang w:val="fr-FR"/>
        </w:rPr>
      </w:pPr>
      <w:r>
        <w:rPr>
          <w:noProof/>
          <w:lang w:val="fr-FR"/>
        </w:rPr>
        <w:t>Izvoznik proizvoda obuhvaćenih ovom ispravom (carinsko ovlašćenje br. ....</w:t>
      </w:r>
      <w:r>
        <w:rPr>
          <w:noProof/>
          <w:vertAlign w:val="superscript"/>
          <w:lang w:val="fr-FR"/>
        </w:rPr>
        <w:t xml:space="preserve"> 1</w:t>
      </w:r>
      <w:r>
        <w:rPr>
          <w:noProof/>
          <w:lang w:val="fr-FR"/>
        </w:rPr>
        <w:t xml:space="preserve">) izjavljuje da su, osim ako je drugačije izričito navedeno, ovi proizvodi ………. </w:t>
      </w:r>
      <w:r>
        <w:rPr>
          <w:noProof/>
          <w:vertAlign w:val="superscript"/>
          <w:lang w:val="fr-FR"/>
        </w:rPr>
        <w:t>2</w:t>
      </w:r>
      <w:r>
        <w:rPr>
          <w:noProof/>
          <w:lang w:val="fr-FR"/>
        </w:rPr>
        <w:t xml:space="preserve"> preferencijalnog porijekla u skladu sa tranzicionim pravilima porijekla.</w:t>
      </w:r>
    </w:p>
    <w:p>
      <w:pPr>
        <w:rPr>
          <w:noProof/>
          <w:lang w:val="fr-FR"/>
        </w:rPr>
      </w:pPr>
    </w:p>
    <w:p>
      <w:pPr>
        <w:autoSpaceDE w:val="0"/>
        <w:autoSpaceDN w:val="0"/>
        <w:jc w:val="center"/>
        <w:rPr>
          <w:b/>
          <w:noProof/>
          <w:lang w:val="fr-FR"/>
        </w:rPr>
      </w:pPr>
      <w:r>
        <w:rPr>
          <w:b/>
          <w:noProof/>
          <w:lang w:val="fr-FR"/>
        </w:rPr>
        <w:t>Norjankielinen toisinto</w:t>
      </w:r>
    </w:p>
    <w:p>
      <w:pPr>
        <w:autoSpaceDE w:val="0"/>
        <w:autoSpaceDN w:val="0"/>
        <w:rPr>
          <w:noProof/>
          <w:lang w:val="fr-FR"/>
        </w:rPr>
      </w:pPr>
      <w:r>
        <w:rPr>
          <w:noProof/>
          <w:lang w:val="fr-FR"/>
        </w:rPr>
        <w:t>Eksportøren av produktene omfattet av dette dokument (tollmyndighetenes autorisasjonsnr……</w:t>
      </w:r>
      <w:r>
        <w:rPr>
          <w:noProof/>
          <w:vertAlign w:val="superscript"/>
          <w:lang w:val="fr-FR"/>
        </w:rPr>
        <w:t>(1)</w:t>
      </w:r>
      <w:r>
        <w:rPr>
          <w:noProof/>
          <w:lang w:val="fr-FR"/>
        </w:rPr>
        <w:t xml:space="preserve">) erklærer at disse produktene, unntatt hvor annet er tydelig angitt, har … preferanseopprinnelse i henhold til overgangsreglene for opprinnelse </w:t>
      </w:r>
      <w:r>
        <w:rPr>
          <w:noProof/>
          <w:vertAlign w:val="superscript"/>
          <w:lang w:val="fr-FR"/>
        </w:rPr>
        <w:t>(2)</w:t>
      </w:r>
      <w:r>
        <w:rPr>
          <w:noProof/>
          <w:lang w:val="fr-FR"/>
        </w:rPr>
        <w:t xml:space="preserve"> .</w:t>
      </w:r>
    </w:p>
    <w:p>
      <w:pPr>
        <w:autoSpaceDE w:val="0"/>
        <w:autoSpaceDN w:val="0"/>
        <w:rPr>
          <w:noProof/>
          <w:lang w:val="fr-FR"/>
        </w:rPr>
      </w:pPr>
    </w:p>
    <w:p>
      <w:pPr>
        <w:autoSpaceDE w:val="0"/>
        <w:autoSpaceDN w:val="0"/>
        <w:jc w:val="center"/>
        <w:rPr>
          <w:rFonts w:asciiTheme="minorHAnsi" w:hAnsiTheme="minorHAnsi" w:cstheme="minorBidi"/>
          <w:b/>
          <w:noProof/>
          <w:sz w:val="22"/>
          <w:lang w:val="fr-FR"/>
        </w:rPr>
      </w:pPr>
      <w:r>
        <w:rPr>
          <w:b/>
          <w:noProof/>
          <w:lang w:val="fr-FR"/>
        </w:rPr>
        <w:t>Puolankielinen toisinto</w:t>
      </w:r>
    </w:p>
    <w:p>
      <w:pPr>
        <w:autoSpaceDE w:val="0"/>
        <w:autoSpaceDN w:val="0"/>
        <w:rPr>
          <w:rFonts w:eastAsia="Times New Roman"/>
          <w:bCs/>
          <w:noProof/>
          <w:szCs w:val="24"/>
          <w:lang w:val="fr-FR"/>
        </w:rPr>
      </w:pPr>
      <w:r>
        <w:rPr>
          <w:noProof/>
          <w:lang w:val="fr-FR"/>
        </w:rPr>
        <w:t>Eksporter produktów objętych tym dokumentem („upoważnienie władz celnych nr………</w:t>
      </w:r>
      <w:r>
        <w:rPr>
          <w:noProof/>
          <w:vertAlign w:val="superscript"/>
          <w:lang w:val="fr-FR"/>
        </w:rPr>
        <w:t>1</w:t>
      </w:r>
      <w:r>
        <w:rPr>
          <w:noProof/>
          <w:lang w:val="fr-FR"/>
        </w:rPr>
        <w:t>) deklaruje, że z wyjątkiem gdzie jest to wyraźnie  określone, produkty te mają ……………..</w:t>
      </w:r>
      <w:r>
        <w:rPr>
          <w:noProof/>
          <w:vertAlign w:val="superscript"/>
          <w:lang w:val="fr-FR"/>
        </w:rPr>
        <w:t>2</w:t>
      </w:r>
      <w:r>
        <w:rPr>
          <w:noProof/>
          <w:lang w:val="fr-FR"/>
        </w:rPr>
        <w:t xml:space="preserve"> preferencyjne pochodzenie zgodnie z przejściowymi regułami pochodzenia.</w:t>
      </w:r>
    </w:p>
    <w:p>
      <w:pPr>
        <w:autoSpaceDE w:val="0"/>
        <w:autoSpaceDN w:val="0"/>
        <w:rPr>
          <w:rFonts w:eastAsia="Times New Roman"/>
          <w:bCs/>
          <w:noProof/>
          <w:szCs w:val="24"/>
          <w:lang w:val="fr-FR" w:eastAsia="en-GB"/>
        </w:rPr>
      </w:pPr>
    </w:p>
    <w:p>
      <w:pPr>
        <w:autoSpaceDE w:val="0"/>
        <w:autoSpaceDN w:val="0"/>
        <w:jc w:val="center"/>
        <w:rPr>
          <w:b/>
          <w:noProof/>
          <w:lang w:val="fr-FR"/>
        </w:rPr>
      </w:pPr>
      <w:r>
        <w:rPr>
          <w:b/>
          <w:noProof/>
          <w:lang w:val="fr-FR"/>
        </w:rPr>
        <w:t>Portugalinkielinen toisinto</w:t>
      </w:r>
    </w:p>
    <w:p>
      <w:pPr>
        <w:autoSpaceDE w:val="0"/>
        <w:autoSpaceDN w:val="0"/>
        <w:rPr>
          <w:rFonts w:cstheme="minorBidi"/>
          <w:noProof/>
          <w:lang w:val="fr-FR"/>
        </w:rPr>
      </w:pPr>
      <w:r>
        <w:rPr>
          <w:noProof/>
          <w:lang w:val="fr-FR"/>
        </w:rPr>
        <w:t>O exportador dos produtos cobertos pelo presente documento (autorização aduaneira n.º.........</w:t>
      </w:r>
      <w:r>
        <w:rPr>
          <w:noProof/>
          <w:vertAlign w:val="superscript"/>
          <w:lang w:val="fr-FR"/>
        </w:rPr>
        <w:t xml:space="preserve"> 1</w:t>
      </w:r>
      <w:r>
        <w:rPr>
          <w:noProof/>
          <w:lang w:val="fr-FR"/>
        </w:rPr>
        <w:t>) declara que, salvo expressamente indicado em contrário, estes produtos são de origem preferencial ……………..</w:t>
      </w:r>
      <w:r>
        <w:rPr>
          <w:noProof/>
          <w:vertAlign w:val="superscript"/>
          <w:lang w:val="fr-FR"/>
        </w:rPr>
        <w:t>2</w:t>
      </w:r>
      <w:r>
        <w:rPr>
          <w:rFonts w:asciiTheme="minorHAnsi" w:hAnsiTheme="minorHAnsi"/>
          <w:noProof/>
          <w:sz w:val="22"/>
          <w:lang w:val="fr-FR"/>
        </w:rPr>
        <w:t xml:space="preserve"> </w:t>
      </w:r>
      <w:r>
        <w:rPr>
          <w:noProof/>
          <w:lang w:val="fr-FR"/>
        </w:rPr>
        <w:t>de acordo com as regras de origem transitórias.</w:t>
      </w:r>
    </w:p>
    <w:p>
      <w:pPr>
        <w:autoSpaceDE w:val="0"/>
        <w:autoSpaceDN w:val="0"/>
        <w:rPr>
          <w:rFonts w:cstheme="minorBidi"/>
          <w:noProof/>
          <w:lang w:val="fr-FR"/>
        </w:rPr>
      </w:pPr>
    </w:p>
    <w:p>
      <w:pPr>
        <w:autoSpaceDE w:val="0"/>
        <w:autoSpaceDN w:val="0"/>
        <w:jc w:val="center"/>
        <w:rPr>
          <w:rFonts w:asciiTheme="minorHAnsi" w:hAnsiTheme="minorHAnsi" w:cstheme="minorBidi"/>
          <w:b/>
          <w:noProof/>
          <w:sz w:val="22"/>
          <w:lang w:val="fr-FR"/>
        </w:rPr>
      </w:pPr>
      <w:r>
        <w:rPr>
          <w:b/>
          <w:noProof/>
          <w:sz w:val="22"/>
          <w:lang w:val="fr-FR"/>
        </w:rPr>
        <w:t>Romaniankielinen toisinto</w:t>
      </w:r>
    </w:p>
    <w:p>
      <w:pPr>
        <w:autoSpaceDE w:val="0"/>
        <w:autoSpaceDN w:val="0"/>
        <w:rPr>
          <w:rFonts w:cstheme="minorBidi"/>
          <w:noProof/>
          <w:sz w:val="22"/>
          <w:lang w:val="fr-FR"/>
        </w:rPr>
      </w:pPr>
      <w:r>
        <w:rPr>
          <w:noProof/>
          <w:sz w:val="22"/>
          <w:lang w:val="fr-FR"/>
        </w:rPr>
        <w:t>Exportatorul produselor care fac obiectul prezentului document (autorizația vamală nr. ………</w:t>
      </w:r>
      <w:r>
        <w:rPr>
          <w:noProof/>
          <w:sz w:val="22"/>
          <w:vertAlign w:val="superscript"/>
          <w:lang w:val="fr-FR"/>
        </w:rPr>
        <w:t>1</w:t>
      </w:r>
      <w:r>
        <w:rPr>
          <w:noProof/>
          <w:sz w:val="22"/>
          <w:lang w:val="fr-FR"/>
        </w:rPr>
        <w:t xml:space="preserve">) declară că, exceptând cazul în care se indică altfel în mod clar, aceste produse sunt de origine preferențială </w:t>
      </w:r>
      <w:r>
        <w:rPr>
          <w:noProof/>
          <w:lang w:val="fr-FR"/>
        </w:rPr>
        <w:t>……………..</w:t>
      </w:r>
      <w:r>
        <w:rPr>
          <w:noProof/>
          <w:sz w:val="22"/>
          <w:lang w:val="fr-FR"/>
        </w:rPr>
        <w:t>.</w:t>
      </w:r>
      <w:r>
        <w:rPr>
          <w:noProof/>
          <w:sz w:val="22"/>
          <w:vertAlign w:val="superscript"/>
          <w:lang w:val="fr-FR"/>
        </w:rPr>
        <w:t>2</w:t>
      </w:r>
      <w:r>
        <w:rPr>
          <w:noProof/>
          <w:sz w:val="22"/>
          <w:lang w:val="fr-FR"/>
        </w:rPr>
        <w:t xml:space="preserve"> în conformitate cu regulile de origine tranzitorii.</w:t>
      </w:r>
    </w:p>
    <w:p>
      <w:pPr>
        <w:autoSpaceDE w:val="0"/>
        <w:autoSpaceDN w:val="0"/>
        <w:rPr>
          <w:rFonts w:cstheme="minorBidi"/>
          <w:noProof/>
          <w:sz w:val="22"/>
          <w:lang w:val="fr-FR"/>
        </w:rPr>
      </w:pPr>
    </w:p>
    <w:p>
      <w:pPr>
        <w:autoSpaceDE w:val="0"/>
        <w:autoSpaceDN w:val="0"/>
        <w:rPr>
          <w:rFonts w:cstheme="minorBidi"/>
          <w:noProof/>
          <w:sz w:val="22"/>
          <w:lang w:val="fr-FR"/>
        </w:rPr>
      </w:pPr>
    </w:p>
    <w:p>
      <w:pPr>
        <w:autoSpaceDE w:val="0"/>
        <w:autoSpaceDN w:val="0"/>
        <w:rPr>
          <w:rFonts w:cstheme="minorBidi"/>
          <w:noProof/>
          <w:sz w:val="22"/>
          <w:lang w:val="fr-FR"/>
        </w:rPr>
      </w:pPr>
    </w:p>
    <w:p>
      <w:pPr>
        <w:autoSpaceDE w:val="0"/>
        <w:autoSpaceDN w:val="0"/>
        <w:rPr>
          <w:rFonts w:cstheme="minorBidi"/>
          <w:noProof/>
          <w:sz w:val="22"/>
          <w:lang w:val="fr-FR"/>
        </w:rPr>
      </w:pPr>
    </w:p>
    <w:p>
      <w:pPr>
        <w:autoSpaceDE w:val="0"/>
        <w:autoSpaceDN w:val="0"/>
        <w:jc w:val="center"/>
        <w:rPr>
          <w:b/>
          <w:noProof/>
          <w:lang w:val="fr-FR"/>
        </w:rPr>
      </w:pPr>
      <w:r>
        <w:rPr>
          <w:b/>
          <w:noProof/>
          <w:lang w:val="fr-FR"/>
        </w:rPr>
        <w:t>Serbiankielinen toisinto</w:t>
      </w:r>
    </w:p>
    <w:p>
      <w:pPr>
        <w:rPr>
          <w:noProof/>
          <w:color w:val="000000"/>
          <w:spacing w:val="-3"/>
          <w:shd w:val="clear" w:color="auto" w:fill="FFFFFF"/>
          <w:lang w:val="fr-FR"/>
        </w:rPr>
      </w:pPr>
      <w:r>
        <w:rPr>
          <w:noProof/>
          <w:color w:val="000000"/>
          <w:shd w:val="clear" w:color="auto" w:fill="FFFFFF"/>
        </w:rPr>
        <w:t>Извозник</w:t>
      </w:r>
      <w:r>
        <w:rPr>
          <w:noProof/>
          <w:color w:val="000000"/>
          <w:shd w:val="clear" w:color="auto" w:fill="FFFFFF"/>
          <w:lang w:val="fr-FR"/>
        </w:rPr>
        <w:t xml:space="preserve"> </w:t>
      </w:r>
      <w:r>
        <w:rPr>
          <w:noProof/>
          <w:color w:val="000000"/>
          <w:shd w:val="clear" w:color="auto" w:fill="FFFFFF"/>
        </w:rPr>
        <w:t>производа</w:t>
      </w:r>
      <w:r>
        <w:rPr>
          <w:noProof/>
          <w:color w:val="000000"/>
          <w:shd w:val="clear" w:color="auto" w:fill="FFFFFF"/>
          <w:lang w:val="fr-FR"/>
        </w:rPr>
        <w:t xml:space="preserve"> </w:t>
      </w:r>
      <w:r>
        <w:rPr>
          <w:noProof/>
          <w:color w:val="000000"/>
          <w:shd w:val="clear" w:color="auto" w:fill="FFFFFF"/>
        </w:rPr>
        <w:t>обухваћених</w:t>
      </w:r>
      <w:r>
        <w:rPr>
          <w:noProof/>
          <w:color w:val="000000"/>
          <w:shd w:val="clear" w:color="auto" w:fill="FFFFFF"/>
          <w:lang w:val="fr-FR"/>
        </w:rPr>
        <w:t xml:space="preserve"> </w:t>
      </w:r>
      <w:r>
        <w:rPr>
          <w:noProof/>
          <w:color w:val="000000"/>
          <w:shd w:val="clear" w:color="auto" w:fill="FFFFFF"/>
        </w:rPr>
        <w:t>овом</w:t>
      </w:r>
      <w:r>
        <w:rPr>
          <w:noProof/>
          <w:color w:val="000000"/>
          <w:shd w:val="clear" w:color="auto" w:fill="FFFFFF"/>
          <w:lang w:val="fr-FR"/>
        </w:rPr>
        <w:t xml:space="preserve"> </w:t>
      </w:r>
      <w:r>
        <w:rPr>
          <w:noProof/>
          <w:color w:val="000000"/>
          <w:shd w:val="clear" w:color="auto" w:fill="FFFFFF"/>
        </w:rPr>
        <w:t>исправом</w:t>
      </w:r>
      <w:r>
        <w:rPr>
          <w:noProof/>
          <w:color w:val="000000"/>
          <w:shd w:val="clear" w:color="auto" w:fill="FFFFFF"/>
          <w:lang w:val="fr-FR"/>
        </w:rPr>
        <w:t xml:space="preserve"> (</w:t>
      </w:r>
      <w:r>
        <w:rPr>
          <w:noProof/>
          <w:color w:val="000000"/>
          <w:shd w:val="clear" w:color="auto" w:fill="FFFFFF"/>
        </w:rPr>
        <w:t>царинско</w:t>
      </w:r>
      <w:r>
        <w:rPr>
          <w:noProof/>
          <w:color w:val="000000"/>
          <w:shd w:val="clear" w:color="auto" w:fill="FFFFFF"/>
          <w:lang w:val="fr-FR"/>
        </w:rPr>
        <w:t xml:space="preserve"> </w:t>
      </w:r>
      <w:r>
        <w:rPr>
          <w:noProof/>
          <w:color w:val="000000"/>
          <w:shd w:val="clear" w:color="auto" w:fill="FFFFFF"/>
        </w:rPr>
        <w:t>овлашћење</w:t>
      </w:r>
      <w:r>
        <w:rPr>
          <w:noProof/>
          <w:color w:val="000000"/>
          <w:shd w:val="clear" w:color="auto" w:fill="FFFFFF"/>
          <w:lang w:val="fr-FR"/>
        </w:rPr>
        <w:t xml:space="preserve"> </w:t>
      </w:r>
      <w:r>
        <w:rPr>
          <w:noProof/>
          <w:color w:val="000000"/>
          <w:shd w:val="clear" w:color="auto" w:fill="FFFFFF"/>
        </w:rPr>
        <w:t>бр</w:t>
      </w:r>
      <w:r>
        <w:rPr>
          <w:noProof/>
          <w:color w:val="000000"/>
          <w:shd w:val="clear" w:color="auto" w:fill="FFFFFF"/>
          <w:lang w:val="fr-FR"/>
        </w:rPr>
        <w:t xml:space="preserve">. ...... </w:t>
      </w:r>
      <w:r>
        <w:rPr>
          <w:noProof/>
          <w:color w:val="000000"/>
          <w:shd w:val="clear" w:color="auto" w:fill="FFFFFF"/>
          <w:vertAlign w:val="superscript"/>
          <w:lang w:val="fr-FR"/>
        </w:rPr>
        <w:t>(1)</w:t>
      </w:r>
      <w:r>
        <w:rPr>
          <w:noProof/>
          <w:color w:val="000000"/>
          <w:shd w:val="clear" w:color="auto" w:fill="FFFFFF"/>
          <w:lang w:val="fr-FR"/>
        </w:rPr>
        <w:t xml:space="preserve">) </w:t>
      </w:r>
      <w:r>
        <w:rPr>
          <w:noProof/>
          <w:color w:val="000000"/>
          <w:shd w:val="clear" w:color="auto" w:fill="FFFFFF"/>
        </w:rPr>
        <w:t>изјављује</w:t>
      </w:r>
      <w:r>
        <w:rPr>
          <w:noProof/>
          <w:color w:val="000000"/>
          <w:shd w:val="clear" w:color="auto" w:fill="FFFFFF"/>
          <w:lang w:val="fr-FR"/>
        </w:rPr>
        <w:t xml:space="preserve"> </w:t>
      </w:r>
      <w:r>
        <w:rPr>
          <w:noProof/>
          <w:color w:val="000000"/>
          <w:shd w:val="clear" w:color="auto" w:fill="FFFFFF"/>
        </w:rPr>
        <w:t>да</w:t>
      </w:r>
      <w:r>
        <w:rPr>
          <w:noProof/>
          <w:color w:val="000000"/>
          <w:shd w:val="clear" w:color="auto" w:fill="FFFFFF"/>
          <w:lang w:val="fr-FR"/>
        </w:rPr>
        <w:t xml:space="preserve"> </w:t>
      </w:r>
      <w:r>
        <w:rPr>
          <w:noProof/>
          <w:color w:val="000000"/>
          <w:shd w:val="clear" w:color="auto" w:fill="FFFFFF"/>
        </w:rPr>
        <w:t>су</w:t>
      </w:r>
      <w:r>
        <w:rPr>
          <w:noProof/>
          <w:color w:val="000000"/>
          <w:shd w:val="clear" w:color="auto" w:fill="FFFFFF"/>
          <w:lang w:val="fr-FR"/>
        </w:rPr>
        <w:t xml:space="preserve">, </w:t>
      </w:r>
      <w:r>
        <w:rPr>
          <w:noProof/>
          <w:color w:val="000000"/>
          <w:shd w:val="clear" w:color="auto" w:fill="FFFFFF"/>
        </w:rPr>
        <w:t>осим</w:t>
      </w:r>
      <w:r>
        <w:rPr>
          <w:noProof/>
          <w:color w:val="000000"/>
          <w:shd w:val="clear" w:color="auto" w:fill="FFFFFF"/>
          <w:lang w:val="fr-FR"/>
        </w:rPr>
        <w:t xml:space="preserve"> </w:t>
      </w:r>
      <w:r>
        <w:rPr>
          <w:noProof/>
          <w:color w:val="000000"/>
          <w:shd w:val="clear" w:color="auto" w:fill="FFFFFF"/>
        </w:rPr>
        <w:t>ако</w:t>
      </w:r>
      <w:r>
        <w:rPr>
          <w:noProof/>
          <w:color w:val="000000"/>
          <w:shd w:val="clear" w:color="auto" w:fill="FFFFFF"/>
          <w:lang w:val="fr-FR"/>
        </w:rPr>
        <w:t xml:space="preserve"> </w:t>
      </w:r>
      <w:r>
        <w:rPr>
          <w:noProof/>
          <w:color w:val="000000"/>
          <w:shd w:val="clear" w:color="auto" w:fill="FFFFFF"/>
        </w:rPr>
        <w:t>је</w:t>
      </w:r>
      <w:r>
        <w:rPr>
          <w:noProof/>
          <w:color w:val="000000"/>
          <w:shd w:val="clear" w:color="auto" w:fill="FFFFFF"/>
          <w:lang w:val="fr-FR"/>
        </w:rPr>
        <w:t xml:space="preserve"> </w:t>
      </w:r>
      <w:r>
        <w:rPr>
          <w:noProof/>
          <w:color w:val="000000"/>
          <w:shd w:val="clear" w:color="auto" w:fill="FFFFFF"/>
        </w:rPr>
        <w:t>другачије</w:t>
      </w:r>
      <w:r>
        <w:rPr>
          <w:noProof/>
          <w:color w:val="000000"/>
          <w:shd w:val="clear" w:color="auto" w:fill="FFFFFF"/>
          <w:lang w:val="fr-FR"/>
        </w:rPr>
        <w:t xml:space="preserve"> </w:t>
      </w:r>
      <w:r>
        <w:rPr>
          <w:noProof/>
          <w:color w:val="000000"/>
          <w:shd w:val="clear" w:color="auto" w:fill="FFFFFF"/>
        </w:rPr>
        <w:t>изричито</w:t>
      </w:r>
      <w:r>
        <w:rPr>
          <w:noProof/>
          <w:color w:val="000000"/>
          <w:shd w:val="clear" w:color="auto" w:fill="FFFFFF"/>
          <w:lang w:val="fr-FR"/>
        </w:rPr>
        <w:t xml:space="preserve"> </w:t>
      </w:r>
      <w:r>
        <w:rPr>
          <w:noProof/>
          <w:color w:val="000000"/>
          <w:shd w:val="clear" w:color="auto" w:fill="FFFFFF"/>
        </w:rPr>
        <w:t>наведено</w:t>
      </w:r>
      <w:r>
        <w:rPr>
          <w:noProof/>
          <w:color w:val="000000"/>
          <w:shd w:val="clear" w:color="auto" w:fill="FFFFFF"/>
          <w:lang w:val="fr-FR"/>
        </w:rPr>
        <w:t xml:space="preserve">, </w:t>
      </w:r>
      <w:r>
        <w:rPr>
          <w:noProof/>
          <w:color w:val="000000"/>
          <w:shd w:val="clear" w:color="auto" w:fill="FFFFFF"/>
        </w:rPr>
        <w:t>ови</w:t>
      </w:r>
      <w:r>
        <w:rPr>
          <w:noProof/>
          <w:color w:val="000000"/>
          <w:shd w:val="clear" w:color="auto" w:fill="FFFFFF"/>
          <w:lang w:val="fr-FR"/>
        </w:rPr>
        <w:t xml:space="preserve"> </w:t>
      </w:r>
      <w:r>
        <w:rPr>
          <w:noProof/>
          <w:color w:val="000000"/>
          <w:shd w:val="clear" w:color="auto" w:fill="FFFFFF"/>
        </w:rPr>
        <w:t>производи</w:t>
      </w:r>
      <w:r>
        <w:rPr>
          <w:noProof/>
          <w:color w:val="000000"/>
          <w:shd w:val="clear" w:color="auto" w:fill="FFFFFF"/>
          <w:lang w:val="fr-FR"/>
        </w:rPr>
        <w:t xml:space="preserve"> .......... </w:t>
      </w:r>
      <w:r>
        <w:rPr>
          <w:noProof/>
          <w:color w:val="000000"/>
          <w:shd w:val="clear" w:color="auto" w:fill="FFFFFF"/>
          <w:vertAlign w:val="superscript"/>
          <w:lang w:val="fr-FR"/>
        </w:rPr>
        <w:t>(2)</w:t>
      </w:r>
      <w:r>
        <w:rPr>
          <w:noProof/>
          <w:color w:val="000000"/>
          <w:shd w:val="clear" w:color="auto" w:fill="FFFFFF"/>
          <w:lang w:val="fr-FR"/>
        </w:rPr>
        <w:t xml:space="preserve"> </w:t>
      </w:r>
      <w:r>
        <w:rPr>
          <w:noProof/>
          <w:color w:val="000000"/>
          <w:shd w:val="clear" w:color="auto" w:fill="FFFFFF"/>
        </w:rPr>
        <w:t>преференцијалног</w:t>
      </w:r>
      <w:r>
        <w:rPr>
          <w:noProof/>
          <w:color w:val="000000"/>
          <w:shd w:val="clear" w:color="auto" w:fill="FFFFFF"/>
          <w:lang w:val="fr-FR"/>
        </w:rPr>
        <w:t xml:space="preserve"> </w:t>
      </w:r>
      <w:r>
        <w:rPr>
          <w:noProof/>
          <w:color w:val="000000"/>
          <w:shd w:val="clear" w:color="auto" w:fill="FFFFFF"/>
        </w:rPr>
        <w:t>порекла</w:t>
      </w:r>
      <w:r>
        <w:rPr>
          <w:noProof/>
          <w:color w:val="000000"/>
          <w:shd w:val="clear" w:color="auto" w:fill="FFFFFF"/>
          <w:lang w:val="fr-FR"/>
        </w:rPr>
        <w:t xml:space="preserve">, </w:t>
      </w:r>
      <w:r>
        <w:rPr>
          <w:noProof/>
          <w:color w:val="000000"/>
          <w:shd w:val="clear" w:color="auto" w:fill="FFFFFF"/>
        </w:rPr>
        <w:t>у</w:t>
      </w:r>
      <w:r>
        <w:rPr>
          <w:noProof/>
          <w:color w:val="000000"/>
          <w:shd w:val="clear" w:color="auto" w:fill="FFFFFF"/>
          <w:lang w:val="fr-FR"/>
        </w:rPr>
        <w:t xml:space="preserve"> </w:t>
      </w:r>
      <w:r>
        <w:rPr>
          <w:noProof/>
          <w:color w:val="000000"/>
          <w:shd w:val="clear" w:color="auto" w:fill="FFFFFF"/>
        </w:rPr>
        <w:t>складу</w:t>
      </w:r>
      <w:r>
        <w:rPr>
          <w:noProof/>
          <w:color w:val="000000"/>
          <w:shd w:val="clear" w:color="auto" w:fill="FFFFFF"/>
          <w:lang w:val="fr-FR"/>
        </w:rPr>
        <w:t xml:space="preserve"> </w:t>
      </w:r>
      <w:r>
        <w:rPr>
          <w:noProof/>
          <w:color w:val="000000"/>
          <w:shd w:val="clear" w:color="auto" w:fill="FFFFFF"/>
        </w:rPr>
        <w:t>са</w:t>
      </w:r>
      <w:r>
        <w:rPr>
          <w:noProof/>
          <w:color w:val="000000"/>
          <w:shd w:val="clear" w:color="auto" w:fill="FFFFFF"/>
          <w:lang w:val="fr-FR"/>
        </w:rPr>
        <w:t xml:space="preserve"> </w:t>
      </w:r>
      <w:r>
        <w:rPr>
          <w:noProof/>
          <w:color w:val="000000"/>
          <w:shd w:val="clear" w:color="auto" w:fill="FFFFFF"/>
        </w:rPr>
        <w:t>прелазним</w:t>
      </w:r>
      <w:r>
        <w:rPr>
          <w:noProof/>
          <w:color w:val="000000"/>
          <w:shd w:val="clear" w:color="auto" w:fill="FFFFFF"/>
          <w:lang w:val="fr-FR"/>
        </w:rPr>
        <w:t xml:space="preserve"> </w:t>
      </w:r>
      <w:r>
        <w:rPr>
          <w:noProof/>
          <w:color w:val="000000"/>
          <w:shd w:val="clear" w:color="auto" w:fill="FFFFFF"/>
        </w:rPr>
        <w:t>правилима</w:t>
      </w:r>
      <w:r>
        <w:rPr>
          <w:noProof/>
          <w:color w:val="000000"/>
          <w:shd w:val="clear" w:color="auto" w:fill="FFFFFF"/>
          <w:lang w:val="fr-FR"/>
        </w:rPr>
        <w:t xml:space="preserve"> </w:t>
      </w:r>
      <w:r>
        <w:rPr>
          <w:noProof/>
          <w:color w:val="000000"/>
          <w:shd w:val="clear" w:color="auto" w:fill="FFFFFF"/>
        </w:rPr>
        <w:t>о</w:t>
      </w:r>
      <w:r>
        <w:rPr>
          <w:noProof/>
          <w:color w:val="000000"/>
          <w:shd w:val="clear" w:color="auto" w:fill="FFFFFF"/>
          <w:lang w:val="fr-FR"/>
        </w:rPr>
        <w:t xml:space="preserve"> </w:t>
      </w:r>
      <w:r>
        <w:rPr>
          <w:noProof/>
          <w:color w:val="000000"/>
          <w:shd w:val="clear" w:color="auto" w:fill="FFFFFF"/>
        </w:rPr>
        <w:t>пореклу</w:t>
      </w:r>
      <w:r>
        <w:rPr>
          <w:noProof/>
          <w:color w:val="000000"/>
          <w:shd w:val="clear" w:color="auto" w:fill="FFFFFF"/>
          <w:lang w:val="fr-FR"/>
        </w:rPr>
        <w:t>.</w:t>
      </w:r>
    </w:p>
    <w:p>
      <w:pPr>
        <w:rPr>
          <w:noProof/>
          <w:color w:val="000000"/>
          <w:spacing w:val="-3"/>
          <w:shd w:val="clear" w:color="auto" w:fill="FFFFFF"/>
          <w:lang w:val="fr-FR"/>
        </w:rPr>
      </w:pPr>
      <w:r>
        <w:rPr>
          <w:noProof/>
          <w:color w:val="000000"/>
          <w:shd w:val="clear" w:color="auto" w:fill="FFFFFF"/>
          <w:lang w:val="fr-FR"/>
        </w:rPr>
        <w:t>Izvoznik proizvoda obuhvaćenih ovom ispravom (carinsko ovlašćenje br................ </w:t>
      </w:r>
      <w:r>
        <w:rPr>
          <w:noProof/>
          <w:color w:val="000000"/>
          <w:shd w:val="clear" w:color="auto" w:fill="FFFFFF"/>
          <w:vertAlign w:val="superscript"/>
          <w:lang w:val="fr-FR"/>
        </w:rPr>
        <w:t>(1)</w:t>
      </w:r>
      <w:r>
        <w:rPr>
          <w:noProof/>
          <w:color w:val="000000"/>
          <w:shd w:val="clear" w:color="auto" w:fill="FFFFFF"/>
          <w:lang w:val="fr-FR"/>
        </w:rPr>
        <w:t xml:space="preserve">) izjavljuje da su, osim ako je drugačije izričito </w:t>
      </w:r>
      <w:r>
        <w:rPr>
          <w:noProof/>
          <w:color w:val="000000"/>
          <w:shd w:val="clear" w:color="auto" w:fill="FFFFFF"/>
        </w:rPr>
        <w:t>на</w:t>
      </w:r>
      <w:r>
        <w:rPr>
          <w:noProof/>
          <w:color w:val="000000"/>
          <w:shd w:val="clear" w:color="auto" w:fill="FFFFFF"/>
          <w:lang w:val="fr-FR"/>
        </w:rPr>
        <w:t>vedeno, ovi proizvodi .................................. </w:t>
      </w:r>
      <w:r>
        <w:rPr>
          <w:noProof/>
          <w:color w:val="000000"/>
          <w:shd w:val="clear" w:color="auto" w:fill="FFFFFF"/>
          <w:vertAlign w:val="superscript"/>
          <w:lang w:val="fr-FR"/>
        </w:rPr>
        <w:t>(2)</w:t>
      </w:r>
      <w:r>
        <w:rPr>
          <w:noProof/>
          <w:color w:val="000000"/>
          <w:shd w:val="clear" w:color="auto" w:fill="FFFFFF"/>
          <w:lang w:val="fr-FR"/>
        </w:rPr>
        <w:t> preferencijalnog porekla, u skladu sa prelaznim pravilima o poreklu.</w:t>
      </w:r>
    </w:p>
    <w:p>
      <w:pPr>
        <w:rPr>
          <w:noProof/>
          <w:color w:val="000000"/>
          <w:spacing w:val="-3"/>
          <w:shd w:val="clear" w:color="auto" w:fill="FFFFFF"/>
          <w:lang w:val="fr-FR"/>
        </w:rPr>
      </w:pPr>
    </w:p>
    <w:p>
      <w:pPr>
        <w:autoSpaceDE w:val="0"/>
        <w:autoSpaceDN w:val="0"/>
        <w:jc w:val="center"/>
        <w:rPr>
          <w:b/>
          <w:noProof/>
          <w:lang w:val="fr-FR"/>
        </w:rPr>
      </w:pPr>
      <w:r>
        <w:rPr>
          <w:b/>
          <w:noProof/>
          <w:lang w:val="fr-FR"/>
        </w:rPr>
        <w:t>Slovakinkielinen toisinto</w:t>
      </w:r>
    </w:p>
    <w:p>
      <w:pPr>
        <w:autoSpaceDE w:val="0"/>
        <w:autoSpaceDN w:val="0"/>
        <w:rPr>
          <w:noProof/>
          <w:sz w:val="22"/>
          <w:lang w:val="fr-FR"/>
        </w:rPr>
      </w:pPr>
      <w:r>
        <w:rPr>
          <w:noProof/>
          <w:lang w:val="fr-FR"/>
        </w:rPr>
        <w:t>Vývozca výrobkov uvedených v tomto dokumente (číslo povolenia ………</w:t>
      </w:r>
      <w:r>
        <w:rPr>
          <w:noProof/>
          <w:vertAlign w:val="superscript"/>
          <w:lang w:val="fr-FR"/>
        </w:rPr>
        <w:t>1</w:t>
      </w:r>
      <w:r>
        <w:rPr>
          <w:noProof/>
          <w:lang w:val="fr-FR"/>
        </w:rPr>
        <w:t>) vyhlasuje, že pokiaľ nie je zreteľne uvedené inak, tieto výrobky majú v súlade s prechodnými pravidlami pôvodu preferenčný pôvod v ……………...</w:t>
      </w:r>
      <w:r>
        <w:rPr>
          <w:noProof/>
          <w:vertAlign w:val="superscript"/>
          <w:lang w:val="fr-FR"/>
        </w:rPr>
        <w:t>2</w:t>
      </w:r>
      <w:r>
        <w:rPr>
          <w:noProof/>
          <w:sz w:val="22"/>
          <w:lang w:val="fr-FR"/>
        </w:rPr>
        <w:t>.</w:t>
      </w:r>
    </w:p>
    <w:p>
      <w:pPr>
        <w:autoSpaceDE w:val="0"/>
        <w:autoSpaceDN w:val="0"/>
        <w:rPr>
          <w:noProof/>
          <w:sz w:val="22"/>
          <w:lang w:val="fr-FR"/>
        </w:rPr>
      </w:pPr>
    </w:p>
    <w:p>
      <w:pPr>
        <w:autoSpaceDE w:val="0"/>
        <w:autoSpaceDN w:val="0"/>
        <w:jc w:val="center"/>
        <w:rPr>
          <w:b/>
          <w:noProof/>
          <w:lang w:val="fr-FR"/>
        </w:rPr>
      </w:pPr>
      <w:r>
        <w:rPr>
          <w:b/>
          <w:noProof/>
          <w:lang w:val="fr-FR"/>
        </w:rPr>
        <w:t>Sloveeninkielinen toisinto</w:t>
      </w:r>
    </w:p>
    <w:p>
      <w:pPr>
        <w:autoSpaceDE w:val="0"/>
        <w:autoSpaceDN w:val="0"/>
        <w:rPr>
          <w:noProof/>
          <w:lang w:val="fr-FR"/>
        </w:rPr>
      </w:pPr>
      <w:r>
        <w:rPr>
          <w:noProof/>
          <w:lang w:val="fr-FR"/>
        </w:rPr>
        <w:t>Izvoznik blaga, zajetega s tem dokumentom (pooblastilo carinskih organov št ...................</w:t>
      </w:r>
      <w:r>
        <w:rPr>
          <w:b/>
          <w:bCs/>
          <w:noProof/>
          <w:szCs w:val="24"/>
          <w:vertAlign w:val="superscript"/>
          <w:lang w:val="fr-FR"/>
        </w:rPr>
        <w:t>(</w:t>
      </w:r>
      <w:r>
        <w:rPr>
          <w:noProof/>
          <w:vertAlign w:val="superscript"/>
          <w:lang w:val="fr-FR"/>
        </w:rPr>
        <w:t>1</w:t>
      </w:r>
      <w:r>
        <w:rPr>
          <w:b/>
          <w:bCs/>
          <w:noProof/>
          <w:szCs w:val="24"/>
          <w:vertAlign w:val="superscript"/>
          <w:lang w:val="fr-FR"/>
        </w:rPr>
        <w:t>)</w:t>
      </w:r>
      <w:r>
        <w:rPr>
          <w:noProof/>
          <w:lang w:val="fr-FR"/>
        </w:rPr>
        <w:t>), izjavlja, da, razen če ni drugače jasno navedeno, ima to blago preferencialno ..........................................</w:t>
      </w:r>
      <w:r>
        <w:rPr>
          <w:b/>
          <w:bCs/>
          <w:noProof/>
          <w:szCs w:val="24"/>
          <w:vertAlign w:val="superscript"/>
          <w:lang w:val="fr-FR"/>
        </w:rPr>
        <w:t>(2)</w:t>
      </w:r>
      <w:r>
        <w:rPr>
          <w:noProof/>
          <w:lang w:val="fr-FR"/>
        </w:rPr>
        <w:t xml:space="preserve"> poreklo v skladu s prehodnimi pravili o poreklu.</w:t>
      </w:r>
    </w:p>
    <w:p>
      <w:pPr>
        <w:spacing w:before="0" w:after="200" w:line="276" w:lineRule="auto"/>
        <w:rPr>
          <w:rFonts w:cstheme="minorBidi"/>
          <w:b/>
          <w:noProof/>
          <w:lang w:val="fr-FR"/>
        </w:rPr>
      </w:pPr>
    </w:p>
    <w:p>
      <w:pPr>
        <w:autoSpaceDE w:val="0"/>
        <w:autoSpaceDN w:val="0"/>
        <w:jc w:val="center"/>
        <w:rPr>
          <w:rFonts w:asciiTheme="minorHAnsi" w:hAnsiTheme="minorHAnsi" w:cstheme="minorBidi"/>
          <w:b/>
          <w:noProof/>
          <w:sz w:val="22"/>
          <w:lang w:val="fr-FR"/>
        </w:rPr>
      </w:pPr>
      <w:r>
        <w:rPr>
          <w:b/>
          <w:noProof/>
          <w:lang w:val="fr-FR"/>
        </w:rPr>
        <w:t>Espanjankielinen toisinto</w:t>
      </w:r>
    </w:p>
    <w:p>
      <w:pPr>
        <w:autoSpaceDE w:val="0"/>
        <w:autoSpaceDN w:val="0"/>
        <w:rPr>
          <w:noProof/>
          <w:lang w:val="fr-FR"/>
        </w:rPr>
      </w:pPr>
      <w:r>
        <w:rPr>
          <w:noProof/>
          <w:lang w:val="fr-FR"/>
        </w:rPr>
        <w:t>El exportador de los productos incluidos en el presente documento (autorización aduanera n.º………</w:t>
      </w:r>
      <w:r>
        <w:rPr>
          <w:noProof/>
          <w:vertAlign w:val="superscript"/>
          <w:lang w:val="fr-FR"/>
        </w:rPr>
        <w:t xml:space="preserve"> 1</w:t>
      </w:r>
      <w:r>
        <w:rPr>
          <w:noProof/>
          <w:lang w:val="fr-FR"/>
        </w:rPr>
        <w:t>) declara que, excepto donde se indique claramente lo contrario, estos productos son de origen preferencial……………..</w:t>
      </w:r>
      <w:r>
        <w:rPr>
          <w:noProof/>
          <w:vertAlign w:val="superscript"/>
          <w:lang w:val="fr-FR"/>
        </w:rPr>
        <w:t xml:space="preserve"> 2</w:t>
      </w:r>
      <w:r>
        <w:rPr>
          <w:rFonts w:asciiTheme="minorHAnsi" w:hAnsiTheme="minorHAnsi"/>
          <w:noProof/>
          <w:sz w:val="22"/>
          <w:lang w:val="fr-FR"/>
        </w:rPr>
        <w:t xml:space="preserve"> </w:t>
      </w:r>
      <w:r>
        <w:rPr>
          <w:noProof/>
          <w:lang w:val="fr-FR"/>
        </w:rPr>
        <w:t>con arreglo a las normas de origen transitorias.</w:t>
      </w:r>
    </w:p>
    <w:p>
      <w:pPr>
        <w:autoSpaceDE w:val="0"/>
        <w:autoSpaceDN w:val="0"/>
        <w:rPr>
          <w:b/>
          <w:noProof/>
          <w:lang w:val="fr-FR"/>
        </w:rPr>
      </w:pPr>
    </w:p>
    <w:p>
      <w:pPr>
        <w:autoSpaceDE w:val="0"/>
        <w:autoSpaceDN w:val="0"/>
        <w:jc w:val="center"/>
        <w:rPr>
          <w:b/>
          <w:noProof/>
          <w:lang w:val="fr-FR"/>
        </w:rPr>
      </w:pPr>
      <w:r>
        <w:rPr>
          <w:b/>
          <w:noProof/>
          <w:lang w:val="fr-FR"/>
        </w:rPr>
        <w:t>Ruotsinkielinen toisinto</w:t>
      </w:r>
    </w:p>
    <w:p>
      <w:pPr>
        <w:autoSpaceDE w:val="0"/>
        <w:autoSpaceDN w:val="0"/>
        <w:rPr>
          <w:noProof/>
          <w:lang w:val="fr-FR"/>
        </w:rPr>
      </w:pPr>
      <w:r>
        <w:rPr>
          <w:noProof/>
          <w:lang w:val="fr-FR"/>
        </w:rPr>
        <w:t>Exportören av de varor som omfattas av detta dokument (tullmyndighetens tillstånd nr. ………</w:t>
      </w:r>
      <w:r>
        <w:rPr>
          <w:noProof/>
          <w:vertAlign w:val="superscript"/>
          <w:lang w:val="fr-FR"/>
        </w:rPr>
        <w:t>1</w:t>
      </w:r>
      <w:r>
        <w:rPr>
          <w:noProof/>
          <w:lang w:val="fr-FR"/>
        </w:rPr>
        <w:t>) försäkrar att dessa varor, om inte annat tydligt markerats, har förmånsberättigande …………….</w:t>
      </w:r>
      <w:r>
        <w:rPr>
          <w:noProof/>
          <w:vertAlign w:val="superscript"/>
          <w:lang w:val="fr-FR"/>
        </w:rPr>
        <w:t>2</w:t>
      </w:r>
      <w:r>
        <w:rPr>
          <w:noProof/>
          <w:lang w:val="fr-FR"/>
        </w:rPr>
        <w:t xml:space="preserve"> ursprung i enlighet med övergångsbestämmelserna om ursprung.</w:t>
      </w:r>
    </w:p>
    <w:p>
      <w:pPr>
        <w:autoSpaceDE w:val="0"/>
        <w:autoSpaceDN w:val="0"/>
        <w:rPr>
          <w:b/>
          <w:noProof/>
          <w:lang w:val="fr-FR"/>
        </w:rPr>
      </w:pPr>
    </w:p>
    <w:p>
      <w:pPr>
        <w:autoSpaceDE w:val="0"/>
        <w:autoSpaceDN w:val="0"/>
        <w:jc w:val="center"/>
        <w:rPr>
          <w:b/>
          <w:noProof/>
        </w:rPr>
      </w:pPr>
      <w:r>
        <w:rPr>
          <w:b/>
          <w:noProof/>
        </w:rPr>
        <w:t>Turkinkielinen toisinto</w:t>
      </w:r>
    </w:p>
    <w:p>
      <w:pPr>
        <w:autoSpaceDE w:val="0"/>
        <w:autoSpaceDN w:val="0"/>
        <w:rPr>
          <w:noProof/>
          <w:szCs w:val="24"/>
        </w:rPr>
      </w:pPr>
      <w:r>
        <w:rPr>
          <w:noProof/>
        </w:rPr>
        <w:t>Bu belge kapsamındaki ürünlerin ihracatçısı (gümrük yetki No: ................</w:t>
      </w:r>
      <w:r>
        <w:rPr>
          <w:noProof/>
          <w:szCs w:val="24"/>
          <w:vertAlign w:val="superscript"/>
        </w:rPr>
        <w:t xml:space="preserve"> (1)</w:t>
      </w:r>
      <w:r>
        <w:rPr>
          <w:noProof/>
        </w:rPr>
        <w:t xml:space="preserve">), aksi açıkça belirtilmedikçe, bu ürünlerin geçiş menşe kurallarına göre ........................................... </w:t>
      </w:r>
      <w:r>
        <w:rPr>
          <w:noProof/>
          <w:szCs w:val="24"/>
          <w:vertAlign w:val="superscript"/>
        </w:rPr>
        <w:t>(2)</w:t>
      </w:r>
      <w:r>
        <w:rPr>
          <w:noProof/>
        </w:rPr>
        <w:t xml:space="preserve"> tercihli menşeli olduğunu beyan eder</w:t>
      </w:r>
    </w:p>
    <w:p>
      <w:pPr>
        <w:autoSpaceDE w:val="0"/>
        <w:autoSpaceDN w:val="0"/>
        <w:rPr>
          <w:noProof/>
          <w:szCs w:val="24"/>
        </w:rPr>
      </w:pPr>
    </w:p>
    <w:p>
      <w:pPr>
        <w:autoSpaceDE w:val="0"/>
        <w:autoSpaceDN w:val="0"/>
        <w:jc w:val="center"/>
        <w:rPr>
          <w:b/>
          <w:noProof/>
        </w:rPr>
      </w:pPr>
      <w:r>
        <w:rPr>
          <w:b/>
          <w:noProof/>
        </w:rPr>
        <w:t>Ukrainankielinen toisinto</w:t>
      </w:r>
    </w:p>
    <w:p>
      <w:pPr>
        <w:autoSpaceDE w:val="0"/>
        <w:autoSpaceDN w:val="0"/>
        <w:rPr>
          <w:noProof/>
        </w:rPr>
      </w:pPr>
      <w:r>
        <w:rPr>
          <w:noProof/>
        </w:rPr>
        <w:t xml:space="preserve">Експортер продукції, на яку поширюється цей документ (митний дозвіл  № ………. </w:t>
      </w:r>
      <w:r>
        <w:rPr>
          <w:noProof/>
          <w:vertAlign w:val="superscript"/>
        </w:rPr>
        <w:t>1</w:t>
      </w:r>
      <w:r>
        <w:rPr>
          <w:noProof/>
        </w:rPr>
        <w:t>)  заявляє, що, за винятком випадків, де це явно зазначено, ця продукція має …………….</w:t>
      </w:r>
      <w:r>
        <w:rPr>
          <w:noProof/>
          <w:vertAlign w:val="superscript"/>
        </w:rPr>
        <w:t>2</w:t>
      </w:r>
      <w:r>
        <w:rPr>
          <w:noProof/>
        </w:rPr>
        <w:t xml:space="preserve"> преференційне походження згідно з перехідними правилами походження.”.</w:t>
      </w:r>
    </w:p>
    <w:p>
      <w:pPr>
        <w:autoSpaceDE w:val="0"/>
        <w:autoSpaceDN w:val="0"/>
        <w:rPr>
          <w:rFonts w:eastAsia="Times New Roman"/>
          <w:noProof/>
          <w:szCs w:val="24"/>
          <w:lang w:eastAsia="en-GB"/>
        </w:rPr>
      </w:pPr>
    </w:p>
    <w:p>
      <w:pPr>
        <w:autoSpaceDE w:val="0"/>
        <w:autoSpaceDN w:val="0"/>
        <w:adjustRightInd w:val="0"/>
        <w:spacing w:before="0" w:after="360"/>
        <w:jc w:val="center"/>
        <w:rPr>
          <w:noProof/>
          <w:sz w:val="20"/>
        </w:rPr>
      </w:pPr>
      <w:r>
        <w:rPr>
          <w:noProof/>
        </w:rPr>
        <w:t xml:space="preserve">................................................................................................................................................... </w:t>
      </w:r>
      <w:r>
        <w:rPr>
          <w:noProof/>
          <w:sz w:val="20"/>
        </w:rPr>
        <w:t>(Paikka ja päiväys)</w:t>
      </w:r>
      <w:r>
        <w:rPr>
          <w:noProof/>
          <w:vertAlign w:val="superscript"/>
        </w:rPr>
        <w:t xml:space="preserve"> </w:t>
      </w:r>
      <w:r>
        <w:rPr>
          <w:bCs/>
          <w:noProof/>
          <w:szCs w:val="24"/>
          <w:vertAlign w:val="superscript"/>
        </w:rPr>
        <w:t>3</w:t>
      </w:r>
    </w:p>
    <w:p>
      <w:pPr>
        <w:autoSpaceDE w:val="0"/>
        <w:autoSpaceDN w:val="0"/>
        <w:adjustRightInd w:val="0"/>
        <w:spacing w:before="0" w:after="0"/>
        <w:rPr>
          <w:noProof/>
        </w:rPr>
      </w:pPr>
      <w:r>
        <w:rPr>
          <w:noProof/>
        </w:rPr>
        <w:t xml:space="preserve">..................................................................................................................................................... </w:t>
      </w:r>
    </w:p>
    <w:p>
      <w:pPr>
        <w:autoSpaceDE w:val="0"/>
        <w:autoSpaceDN w:val="0"/>
        <w:adjustRightInd w:val="0"/>
        <w:spacing w:after="360"/>
        <w:jc w:val="center"/>
        <w:rPr>
          <w:rFonts w:eastAsia="Times New Roman"/>
          <w:bCs/>
          <w:noProof/>
          <w:szCs w:val="24"/>
          <w:vertAlign w:val="superscript"/>
        </w:rPr>
      </w:pPr>
      <w:r>
        <w:rPr>
          <w:noProof/>
        </w:rPr>
        <w:t>(Viejän allekirjoitus, lisäksi ilmoituksen allekirjoittajan nimi on selvennettävä)</w:t>
      </w:r>
      <w:r>
        <w:rPr>
          <w:bCs/>
          <w:noProof/>
          <w:szCs w:val="24"/>
          <w:vertAlign w:val="superscript"/>
        </w:rPr>
        <w:t>4</w:t>
      </w:r>
    </w:p>
    <w:p>
      <w:pPr>
        <w:autoSpaceDE w:val="0"/>
        <w:autoSpaceDN w:val="0"/>
        <w:adjustRightInd w:val="0"/>
        <w:spacing w:after="360"/>
        <w:jc w:val="center"/>
        <w:rPr>
          <w:rFonts w:asciiTheme="minorHAnsi" w:eastAsia="Times New Roman" w:hAnsiTheme="minorHAnsi" w:cstheme="minorBidi"/>
          <w:bCs/>
          <w:noProof/>
          <w:sz w:val="20"/>
          <w:szCs w:val="20"/>
          <w:lang w:eastAsia="en-GB"/>
        </w:rPr>
      </w:pPr>
    </w:p>
    <w:p>
      <w:pPr>
        <w:pStyle w:val="EndnoteText"/>
        <w:rPr>
          <w:noProof/>
        </w:rPr>
      </w:pPr>
      <w:r>
        <w:rPr>
          <w:rStyle w:val="EndnoteReference"/>
          <w:noProof/>
        </w:rPr>
        <w:footnoteRef/>
      </w:r>
      <w:r>
        <w:rPr>
          <w:noProof/>
        </w:rPr>
        <w:t xml:space="preserve"> Kun alkuperäilmoituksen laatii valtuutettu viejä, tähän kohtaan on merkittävä valtuutetun viejän lupanumero. Kun alkuperäilmoitusta ei laadi valtuutettu viejä, suluissa olevat sanat jätetään pois tai kohta jätetään tyhjäksi.</w:t>
      </w:r>
    </w:p>
    <w:p>
      <w:pPr>
        <w:pStyle w:val="EndnoteText"/>
        <w:rPr>
          <w:noProof/>
        </w:rPr>
      </w:pPr>
      <w:r>
        <w:rPr>
          <w:rStyle w:val="EndnoteReference"/>
          <w:noProof/>
        </w:rPr>
        <w:t>2</w:t>
      </w:r>
      <w:r>
        <w:rPr>
          <w:noProof/>
        </w:rPr>
        <w:t xml:space="preserve">  Merkittävä tuotteiden alkuperä. Kun alkuperäilmoitus koskee kokonaan tai osittain Ceutan ja Melillan alkuperätuotteita, viejän on selvästi osoitettava ne tunnuksella ”CM” asiakirjassa, jolle ilmoitus laaditaan.</w:t>
      </w:r>
    </w:p>
    <w:p>
      <w:pPr>
        <w:pStyle w:val="EndnoteText"/>
        <w:rPr>
          <w:noProof/>
        </w:rPr>
      </w:pPr>
      <w:r>
        <w:rPr>
          <w:rStyle w:val="EndnoteReference"/>
          <w:noProof/>
        </w:rPr>
        <w:t>3</w:t>
      </w:r>
      <w:r>
        <w:rPr>
          <w:rStyle w:val="EndnoteReference"/>
          <w:noProof/>
          <w:sz w:val="24"/>
          <w:szCs w:val="22"/>
        </w:rPr>
        <w:t xml:space="preserve"> </w:t>
      </w:r>
      <w:r>
        <w:rPr>
          <w:noProof/>
        </w:rPr>
        <w:t xml:space="preserve"> Nämä merkinnät voidaan jättää pois, jos tiedot sisältyvät itse asiakirjaan.</w:t>
      </w:r>
    </w:p>
    <w:p>
      <w:pPr>
        <w:autoSpaceDE w:val="0"/>
        <w:autoSpaceDN w:val="0"/>
        <w:rPr>
          <w:rFonts w:eastAsia="Times New Roman"/>
          <w:noProof/>
          <w:szCs w:val="24"/>
        </w:rPr>
      </w:pPr>
      <w:r>
        <w:rPr>
          <w:rStyle w:val="EndnoteReference"/>
          <w:noProof/>
          <w:sz w:val="20"/>
          <w:szCs w:val="20"/>
        </w:rPr>
        <w:t>4</w:t>
      </w:r>
      <w:r>
        <w:rPr>
          <w:noProof/>
        </w:rPr>
        <w:t xml:space="preserve"> Tapauksissa, joissa ei vaadita viejän allekirjoitusta, vapautus allekirjoituksesta merkitsee myös vapautusta allekirjoittajan nimen merkitsemisestä.</w:t>
      </w:r>
    </w:p>
    <w:p>
      <w:pPr>
        <w:autoSpaceDE w:val="0"/>
        <w:autoSpaceDN w:val="0"/>
        <w:rPr>
          <w:rFonts w:eastAsia="Times New Roman"/>
          <w:noProof/>
          <w:szCs w:val="24"/>
          <w:lang w:eastAsia="en-GB"/>
        </w:rPr>
        <w:sectPr>
          <w:headerReference w:type="default" r:id="rId25"/>
          <w:footerReference w:type="default" r:id="rId26"/>
          <w:headerReference w:type="first" r:id="rId27"/>
          <w:footerReference w:type="first" r:id="rId28"/>
          <w:pgSz w:w="11906" w:h="16838"/>
          <w:pgMar w:top="1134" w:right="1418" w:bottom="1134" w:left="1418" w:header="709" w:footer="709" w:gutter="0"/>
          <w:cols w:space="709"/>
          <w:docGrid w:linePitch="326"/>
        </w:sectPr>
      </w:pPr>
    </w:p>
    <w:p>
      <w:pPr>
        <w:pStyle w:val="Text1"/>
        <w:jc w:val="center"/>
        <w:rPr>
          <w:noProof/>
        </w:rPr>
      </w:pPr>
      <w:r>
        <w:rPr>
          <w:i/>
          <w:caps/>
          <w:noProof/>
        </w:rPr>
        <w:t>Liite IV</w:t>
      </w:r>
    </w:p>
    <w:p>
      <w:pPr>
        <w:pStyle w:val="Text1"/>
        <w:jc w:val="center"/>
        <w:rPr>
          <w:b/>
          <w:noProof/>
        </w:rPr>
      </w:pPr>
      <w:r>
        <w:rPr>
          <w:b/>
          <w:noProof/>
        </w:rPr>
        <w:t>EUR.1-TAVARATODISTUKSEN JA EUR.1-TAVARATODISTUSHAKEMUKSEN MALLIT</w:t>
      </w:r>
    </w:p>
    <w:p>
      <w:pPr>
        <w:pStyle w:val="Text1"/>
        <w:rPr>
          <w:rFonts w:eastAsia="Times New Roman"/>
          <w:noProof/>
          <w:szCs w:val="20"/>
        </w:rPr>
      </w:pPr>
      <w:r>
        <w:rPr>
          <w:noProof/>
        </w:rPr>
        <w:t>PAINO-OHJEET</w:t>
      </w:r>
    </w:p>
    <w:p>
      <w:pPr>
        <w:pStyle w:val="Point1"/>
        <w:rPr>
          <w:noProof/>
        </w:rPr>
      </w:pPr>
      <w:r>
        <w:rPr>
          <w:noProof/>
        </w:rPr>
        <w:t>1.</w:t>
      </w:r>
      <w:r>
        <w:rPr>
          <w:noProof/>
        </w:rPr>
        <w:tab/>
        <w:t>Kummankin lomakkeen koon on oltava 210 × 297 mm; lomakkeen pituus saa kuitenkin olla enintään 5 mm määrämittaa pienempi tai enintään 8 mm sitä suurempi. Käytettävän paperin on oltava valkoista, liimakäsiteltyä, hiokkeetonta kirjoituspaperia, joka painaa vähintään 25 g/m</w:t>
      </w:r>
      <w:r>
        <w:rPr>
          <w:noProof/>
          <w:vertAlign w:val="superscript"/>
        </w:rPr>
        <w:t>2</w:t>
      </w:r>
      <w:r>
        <w:rPr>
          <w:noProof/>
        </w:rPr>
        <w:t>. Siinä on oltava vihreä painettu aaltomainen taustakuvio, joka tekee kaikki mekaanisin tai kemiallisin keinoin tehdyt väärennykset havaittaviksi.</w:t>
      </w:r>
    </w:p>
    <w:p>
      <w:pPr>
        <w:pStyle w:val="Point1"/>
        <w:rPr>
          <w:noProof/>
        </w:rPr>
      </w:pPr>
      <w:r>
        <w:rPr>
          <w:noProof/>
        </w:rPr>
        <w:t>2.</w:t>
      </w:r>
      <w:r>
        <w:rPr>
          <w:noProof/>
        </w:rPr>
        <w:tab/>
        <w:t>Osapuolten toimivaltaiset viranomaiset voivat pidättää itselleen lomakkeiden paino-oikeuden tai antaa niiden painamisen hyväksymiensä kirjapainojen tehtäväksi. Jälkimmäisessä tapauksessa jokaisessa lomakkeessa on oltava maininta tästä hyväksymisestä. Jokaisessa lomakkeessa on oltava kirjapainon nimi ja osoite tai merkki, josta kirjapaino voidaan tunnistaa. Siinä on myös oltava painettu tai muulla tavoin tehty sarjanumero, josta se voidaan tunnistaa.</w:t>
      </w:r>
    </w:p>
    <w:p>
      <w:pPr>
        <w:pStyle w:val="Text1"/>
        <w:rPr>
          <w:noProof/>
        </w:rPr>
      </w:pPr>
      <w:r>
        <w:rPr>
          <w:noProof/>
        </w:rPr>
        <w:br w:type="page"/>
        <w:t>EUR.1-TAVARATODISTUS</w:t>
      </w:r>
    </w:p>
    <w:tbl>
      <w:tblPr>
        <w:tblW w:w="5000" w:type="pct"/>
        <w:jc w:val="center"/>
        <w:tblLayout w:type="fixed"/>
        <w:tblCellMar>
          <w:left w:w="120" w:type="dxa"/>
          <w:right w:w="120" w:type="dxa"/>
        </w:tblCellMar>
        <w:tblLook w:val="0000" w:firstRow="0" w:lastRow="0" w:firstColumn="0" w:lastColumn="0" w:noHBand="0" w:noVBand="0"/>
      </w:tblPr>
      <w:tblGrid>
        <w:gridCol w:w="5039"/>
        <w:gridCol w:w="978"/>
        <w:gridCol w:w="1796"/>
        <w:gridCol w:w="2065"/>
      </w:tblGrid>
      <w:tr>
        <w:trPr>
          <w:cantSplit/>
          <w:jc w:val="center"/>
        </w:trPr>
        <w:tc>
          <w:tcPr>
            <w:tcW w:w="2551" w:type="pct"/>
            <w:tcBorders>
              <w:top w:val="single" w:sz="6" w:space="0" w:color="auto"/>
              <w:left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1.</w:t>
            </w:r>
            <w:r>
              <w:rPr>
                <w:noProof/>
              </w:rPr>
              <w:tab/>
            </w:r>
            <w:r>
              <w:rPr>
                <w:rFonts w:asciiTheme="majorBidi" w:hAnsiTheme="majorBidi"/>
                <w:b/>
                <w:noProof/>
                <w:sz w:val="18"/>
              </w:rPr>
              <w:t>Viejä</w:t>
            </w:r>
            <w:r>
              <w:rPr>
                <w:rFonts w:asciiTheme="majorBidi" w:hAnsiTheme="majorBidi"/>
                <w:noProof/>
                <w:sz w:val="18"/>
              </w:rPr>
              <w:t xml:space="preserve"> (nimi, täydellinen osoite, maa)</w:t>
            </w:r>
          </w:p>
        </w:tc>
        <w:tc>
          <w:tcPr>
            <w:tcW w:w="2449" w:type="pct"/>
            <w:gridSpan w:val="3"/>
            <w:tcBorders>
              <w:top w:val="single" w:sz="6" w:space="0" w:color="auto"/>
              <w:left w:val="single" w:sz="6" w:space="0" w:color="auto"/>
              <w:right w:val="single" w:sz="6" w:space="0" w:color="auto"/>
            </w:tcBorders>
          </w:tcPr>
          <w:p>
            <w:pPr>
              <w:tabs>
                <w:tab w:val="left" w:pos="1482"/>
              </w:tabs>
              <w:spacing w:before="0" w:after="0"/>
              <w:ind w:left="2758" w:hanging="2758"/>
              <w:jc w:val="center"/>
              <w:rPr>
                <w:rFonts w:asciiTheme="majorBidi" w:hAnsiTheme="majorBidi"/>
                <w:noProof/>
              </w:rPr>
            </w:pPr>
            <w:r>
              <w:rPr>
                <w:rFonts w:asciiTheme="majorBidi" w:hAnsiTheme="majorBidi"/>
                <w:b/>
                <w:noProof/>
              </w:rPr>
              <w:t>EUR.1</w:t>
            </w:r>
            <w:r>
              <w:rPr>
                <w:noProof/>
              </w:rPr>
              <w:tab/>
            </w:r>
            <w:r>
              <w:rPr>
                <w:rFonts w:asciiTheme="majorBidi" w:hAnsiTheme="majorBidi"/>
                <w:b/>
                <w:noProof/>
              </w:rPr>
              <w:t>Nro A</w:t>
            </w:r>
            <w:r>
              <w:rPr>
                <w:noProof/>
              </w:rPr>
              <w:tab/>
            </w:r>
            <w:r>
              <w:rPr>
                <w:rFonts w:asciiTheme="majorBidi" w:hAnsiTheme="majorBidi"/>
                <w:noProof/>
              </w:rPr>
              <w:t>000.000</w:t>
            </w:r>
          </w:p>
        </w:tc>
      </w:tr>
      <w:tr>
        <w:trPr>
          <w:cantSplit/>
          <w:jc w:val="center"/>
        </w:trPr>
        <w:tc>
          <w:tcPr>
            <w:tcW w:w="2551" w:type="pct"/>
            <w:tcBorders>
              <w:lef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c>
          <w:tcPr>
            <w:tcW w:w="2449" w:type="pct"/>
            <w:gridSpan w:val="3"/>
            <w:tcBorders>
              <w:top w:val="single" w:sz="6" w:space="0" w:color="auto"/>
              <w:left w:val="single" w:sz="6" w:space="0" w:color="auto"/>
              <w:bottom w:val="single" w:sz="12" w:space="0" w:color="auto"/>
              <w:right w:val="single" w:sz="6" w:space="0" w:color="auto"/>
            </w:tcBorders>
          </w:tcPr>
          <w:p>
            <w:pPr>
              <w:spacing w:before="0" w:after="0"/>
              <w:jc w:val="center"/>
              <w:rPr>
                <w:rFonts w:asciiTheme="majorBidi" w:hAnsiTheme="majorBidi" w:cstheme="minorBidi"/>
                <w:noProof/>
                <w:sz w:val="18"/>
              </w:rPr>
            </w:pPr>
            <w:r>
              <w:rPr>
                <w:rFonts w:asciiTheme="majorBidi" w:hAnsiTheme="majorBidi"/>
                <w:noProof/>
                <w:sz w:val="18"/>
              </w:rPr>
              <w:t>Lukekaa kääntöpuolella olevat huomautukset ennen lomakkeen täyttämistä</w:t>
            </w:r>
          </w:p>
        </w:tc>
      </w:tr>
      <w:tr>
        <w:trPr>
          <w:cantSplit/>
          <w:jc w:val="center"/>
        </w:trPr>
        <w:tc>
          <w:tcPr>
            <w:tcW w:w="2551" w:type="pct"/>
            <w:tcBorders>
              <w:lef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c>
          <w:tcPr>
            <w:tcW w:w="2449" w:type="pct"/>
            <w:gridSpan w:val="3"/>
            <w:tcBorders>
              <w:top w:val="single" w:sz="12" w:space="0" w:color="auto"/>
              <w:left w:val="single" w:sz="12" w:space="0" w:color="auto"/>
              <w:right w:val="single" w:sz="12" w:space="0" w:color="auto"/>
            </w:tcBorders>
          </w:tcPr>
          <w:p>
            <w:pPr>
              <w:spacing w:before="0" w:after="0"/>
              <w:ind w:left="340" w:hanging="340"/>
              <w:rPr>
                <w:rFonts w:asciiTheme="majorBidi" w:hAnsiTheme="majorBidi" w:cstheme="minorBidi"/>
                <w:noProof/>
                <w:sz w:val="18"/>
              </w:rPr>
            </w:pPr>
            <w:r>
              <w:rPr>
                <w:rFonts w:asciiTheme="majorBidi" w:hAnsiTheme="majorBidi"/>
                <w:b/>
                <w:noProof/>
                <w:sz w:val="18"/>
              </w:rPr>
              <w:t>2.</w:t>
            </w:r>
            <w:r>
              <w:rPr>
                <w:noProof/>
              </w:rPr>
              <w:tab/>
            </w:r>
            <w:r>
              <w:rPr>
                <w:rFonts w:asciiTheme="majorBidi" w:hAnsiTheme="majorBidi"/>
                <w:b/>
                <w:noProof/>
                <w:sz w:val="18"/>
              </w:rPr>
              <w:t>Todistus, jota käytetään etuuskohteluun oikeutetussa kaupassa</w:t>
            </w:r>
          </w:p>
          <w:p>
            <w:pPr>
              <w:spacing w:before="0" w:after="0"/>
              <w:rPr>
                <w:rFonts w:asciiTheme="majorBidi" w:hAnsiTheme="majorBidi"/>
                <w:noProof/>
                <w:sz w:val="18"/>
              </w:rPr>
            </w:pPr>
          </w:p>
          <w:p>
            <w:pPr>
              <w:tabs>
                <w:tab w:val="left" w:pos="359"/>
                <w:tab w:val="right" w:leader="dot" w:pos="4522"/>
              </w:tabs>
              <w:spacing w:before="0" w:after="0"/>
              <w:ind w:left="340" w:hanging="340"/>
              <w:jc w:val="center"/>
              <w:rPr>
                <w:rFonts w:asciiTheme="majorBidi" w:hAnsiTheme="majorBidi"/>
                <w:noProof/>
                <w:sz w:val="18"/>
              </w:rPr>
            </w:pPr>
            <w:r>
              <w:rPr>
                <w:rFonts w:asciiTheme="majorBidi" w:hAnsiTheme="majorBidi"/>
                <w:noProof/>
                <w:sz w:val="18"/>
              </w:rPr>
              <w:t>.......................................................................................</w:t>
            </w:r>
          </w:p>
        </w:tc>
      </w:tr>
      <w:tr>
        <w:trPr>
          <w:cantSplit/>
          <w:jc w:val="center"/>
        </w:trPr>
        <w:tc>
          <w:tcPr>
            <w:tcW w:w="2551" w:type="pct"/>
            <w:tcBorders>
              <w:top w:val="single" w:sz="6" w:space="0" w:color="auto"/>
              <w:left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3.</w:t>
            </w:r>
            <w:r>
              <w:rPr>
                <w:noProof/>
              </w:rPr>
              <w:tab/>
            </w:r>
            <w:r>
              <w:rPr>
                <w:rFonts w:asciiTheme="majorBidi" w:hAnsiTheme="majorBidi"/>
                <w:b/>
                <w:noProof/>
                <w:sz w:val="18"/>
              </w:rPr>
              <w:t>Vastaanottaja</w:t>
            </w:r>
            <w:r>
              <w:rPr>
                <w:rFonts w:asciiTheme="majorBidi" w:hAnsiTheme="majorBidi"/>
                <w:noProof/>
                <w:sz w:val="18"/>
              </w:rPr>
              <w:t xml:space="preserve"> (nimi, täydellinen osoite, maa) (merkintä ei pakollinen)</w:t>
            </w:r>
          </w:p>
        </w:tc>
        <w:tc>
          <w:tcPr>
            <w:tcW w:w="2449" w:type="pct"/>
            <w:gridSpan w:val="3"/>
            <w:tcBorders>
              <w:left w:val="single" w:sz="12" w:space="0" w:color="auto"/>
              <w:bottom w:val="single" w:sz="12" w:space="0" w:color="auto"/>
              <w:right w:val="single" w:sz="12" w:space="0" w:color="auto"/>
            </w:tcBorders>
          </w:tcPr>
          <w:p>
            <w:pPr>
              <w:tabs>
                <w:tab w:val="center" w:pos="2271"/>
              </w:tabs>
              <w:spacing w:before="0" w:after="0"/>
              <w:rPr>
                <w:rFonts w:asciiTheme="majorBidi" w:hAnsiTheme="majorBidi"/>
                <w:b/>
                <w:noProof/>
                <w:sz w:val="18"/>
              </w:rPr>
            </w:pPr>
            <w:r>
              <w:rPr>
                <w:noProof/>
              </w:rPr>
              <w:tab/>
            </w:r>
            <w:r>
              <w:rPr>
                <w:rFonts w:asciiTheme="majorBidi" w:hAnsiTheme="majorBidi"/>
                <w:b/>
                <w:noProof/>
                <w:sz w:val="18"/>
                <w:szCs w:val="18"/>
              </w:rPr>
              <w:t>ja</w:t>
            </w:r>
          </w:p>
          <w:p>
            <w:pPr>
              <w:spacing w:before="0" w:after="0"/>
              <w:rPr>
                <w:rFonts w:asciiTheme="majorBidi" w:hAnsiTheme="majorBidi"/>
                <w:noProof/>
                <w:sz w:val="18"/>
              </w:rPr>
            </w:pPr>
          </w:p>
          <w:p>
            <w:pPr>
              <w:tabs>
                <w:tab w:val="left" w:pos="359"/>
                <w:tab w:val="right" w:leader="dot" w:pos="4522"/>
              </w:tabs>
              <w:spacing w:before="0" w:after="0"/>
              <w:ind w:left="340" w:hanging="340"/>
              <w:jc w:val="center"/>
              <w:rPr>
                <w:rFonts w:asciiTheme="majorBidi" w:eastAsia="Times New Roman" w:hAnsiTheme="majorBidi" w:cstheme="majorBidi"/>
                <w:noProof/>
                <w:sz w:val="18"/>
                <w:szCs w:val="18"/>
              </w:rPr>
            </w:pPr>
            <w:r>
              <w:rPr>
                <w:rFonts w:asciiTheme="majorBidi" w:hAnsiTheme="majorBidi"/>
                <w:noProof/>
                <w:sz w:val="18"/>
                <w:szCs w:val="18"/>
              </w:rPr>
              <w:t>.......................................................................................</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jc w:val="center"/>
              <w:rPr>
                <w:rFonts w:asciiTheme="majorBidi" w:hAnsiTheme="majorBidi" w:cstheme="minorBidi"/>
                <w:noProof/>
                <w:sz w:val="18"/>
              </w:rPr>
            </w:pPr>
            <w:r>
              <w:rPr>
                <w:rFonts w:asciiTheme="majorBidi" w:hAnsiTheme="majorBidi"/>
                <w:noProof/>
                <w:sz w:val="18"/>
              </w:rPr>
              <w:t>välillä (mainitkaa asianomaiset maat, maaryhmät tai alueet)</w:t>
            </w:r>
          </w:p>
        </w:tc>
      </w:tr>
      <w:tr>
        <w:trPr>
          <w:cantSplit/>
          <w:trHeight w:val="1838"/>
          <w:jc w:val="center"/>
        </w:trPr>
        <w:tc>
          <w:tcPr>
            <w:tcW w:w="2551" w:type="pct"/>
            <w:tcBorders>
              <w:lef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c>
          <w:tcPr>
            <w:tcW w:w="1144" w:type="pct"/>
            <w:gridSpan w:val="2"/>
            <w:tcBorders>
              <w:top w:val="single" w:sz="12" w:space="0" w:color="auto"/>
              <w:left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4.</w:t>
            </w:r>
            <w:r>
              <w:rPr>
                <w:noProof/>
              </w:rPr>
              <w:tab/>
            </w:r>
            <w:r>
              <w:rPr>
                <w:rFonts w:asciiTheme="majorBidi" w:hAnsiTheme="majorBidi"/>
                <w:b/>
                <w:noProof/>
                <w:sz w:val="18"/>
              </w:rPr>
              <w:t>Maa, maaryhmä tai alue, jonka alkuperää tavaroiden katsotaan olevan</w:t>
            </w:r>
          </w:p>
        </w:tc>
        <w:tc>
          <w:tcPr>
            <w:tcW w:w="1305" w:type="pct"/>
            <w:tcBorders>
              <w:top w:val="single" w:sz="12" w:space="0" w:color="auto"/>
              <w:left w:val="single" w:sz="6" w:space="0" w:color="auto"/>
              <w:right w:val="single" w:sz="6" w:space="0" w:color="auto"/>
            </w:tcBorders>
          </w:tcPr>
          <w:p>
            <w:pPr>
              <w:spacing w:before="0" w:after="0"/>
              <w:ind w:left="340" w:hanging="340"/>
              <w:rPr>
                <w:rFonts w:asciiTheme="majorBidi" w:hAnsiTheme="majorBidi" w:cstheme="minorBidi"/>
                <w:noProof/>
                <w:sz w:val="18"/>
              </w:rPr>
            </w:pPr>
            <w:r>
              <w:rPr>
                <w:rFonts w:asciiTheme="majorBidi" w:hAnsiTheme="majorBidi"/>
                <w:b/>
                <w:noProof/>
                <w:sz w:val="18"/>
              </w:rPr>
              <w:t>5.</w:t>
            </w:r>
            <w:r>
              <w:rPr>
                <w:noProof/>
              </w:rPr>
              <w:tab/>
            </w:r>
            <w:r>
              <w:rPr>
                <w:rFonts w:asciiTheme="majorBidi" w:hAnsiTheme="majorBidi"/>
                <w:b/>
                <w:noProof/>
                <w:sz w:val="18"/>
              </w:rPr>
              <w:t>Määrämaa, -maaryhmä tai -alue</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r>
      <w:tr>
        <w:trPr>
          <w:cantSplit/>
          <w:trHeight w:val="1494"/>
          <w:jc w:val="center"/>
        </w:trPr>
        <w:tc>
          <w:tcPr>
            <w:tcW w:w="2551" w:type="pct"/>
            <w:tcBorders>
              <w:top w:val="single" w:sz="6" w:space="0" w:color="auto"/>
              <w:left w:val="single" w:sz="6" w:space="0" w:color="auto"/>
              <w:bottom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6.</w:t>
            </w:r>
            <w:r>
              <w:rPr>
                <w:noProof/>
              </w:rPr>
              <w:tab/>
            </w:r>
            <w:r>
              <w:rPr>
                <w:rFonts w:asciiTheme="majorBidi" w:hAnsiTheme="majorBidi"/>
                <w:b/>
                <w:noProof/>
                <w:sz w:val="18"/>
              </w:rPr>
              <w:t>Kuljetusta koskevat tiedot</w:t>
            </w:r>
            <w:r>
              <w:rPr>
                <w:rFonts w:asciiTheme="majorBidi" w:hAnsiTheme="majorBidi"/>
                <w:noProof/>
                <w:sz w:val="18"/>
              </w:rPr>
              <w:t xml:space="preserve"> (merkintä ei pakollinen)</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c>
          <w:tcPr>
            <w:tcW w:w="2449" w:type="pct"/>
            <w:gridSpan w:val="3"/>
            <w:tcBorders>
              <w:top w:val="single" w:sz="6" w:space="0" w:color="auto"/>
              <w:left w:val="single" w:sz="6" w:space="0" w:color="auto"/>
              <w:bottom w:val="single" w:sz="6" w:space="0" w:color="auto"/>
              <w:right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7.</w:t>
            </w:r>
            <w:r>
              <w:rPr>
                <w:noProof/>
              </w:rPr>
              <w:tab/>
            </w:r>
            <w:r>
              <w:rPr>
                <w:rFonts w:asciiTheme="majorBidi" w:hAnsiTheme="majorBidi"/>
                <w:b/>
                <w:noProof/>
                <w:sz w:val="18"/>
              </w:rPr>
              <w:t>Huomautuksia</w:t>
            </w:r>
          </w:p>
        </w:tc>
      </w:tr>
      <w:tr>
        <w:trPr>
          <w:cantSplit/>
          <w:trHeight w:val="3966"/>
          <w:jc w:val="center"/>
        </w:trPr>
        <w:tc>
          <w:tcPr>
            <w:tcW w:w="3046" w:type="pct"/>
            <w:gridSpan w:val="2"/>
            <w:tcBorders>
              <w:top w:val="single" w:sz="6" w:space="0" w:color="auto"/>
              <w:left w:val="single" w:sz="6" w:space="0" w:color="auto"/>
              <w:bottom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8.</w:t>
            </w:r>
            <w:r>
              <w:rPr>
                <w:noProof/>
              </w:rPr>
              <w:tab/>
            </w:r>
            <w:r>
              <w:rPr>
                <w:rFonts w:asciiTheme="majorBidi" w:hAnsiTheme="majorBidi"/>
                <w:b/>
                <w:noProof/>
                <w:sz w:val="18"/>
              </w:rPr>
              <w:t xml:space="preserve">Järjestysnumero; Kollien merkit, numerot, lukumäärä ja lajit </w:t>
            </w:r>
            <w:r>
              <w:rPr>
                <w:rFonts w:asciiTheme="majorBidi" w:hAnsiTheme="majorBidi"/>
                <w:b/>
                <w:noProof/>
                <w:sz w:val="18"/>
                <w:vertAlign w:val="superscript"/>
              </w:rPr>
              <w:t>(1)</w:t>
            </w:r>
            <w:r>
              <w:rPr>
                <w:rFonts w:asciiTheme="majorBidi" w:hAnsiTheme="majorBidi"/>
                <w:b/>
                <w:noProof/>
                <w:sz w:val="18"/>
              </w:rPr>
              <w:t>; Tavaran kuvaus</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c>
          <w:tcPr>
            <w:tcW w:w="909" w:type="pct"/>
            <w:tcBorders>
              <w:top w:val="single" w:sz="6" w:space="0" w:color="auto"/>
              <w:left w:val="single" w:sz="6" w:space="0" w:color="auto"/>
              <w:bottom w:val="single" w:sz="4" w:space="0" w:color="auto"/>
              <w:right w:val="single" w:sz="6" w:space="0" w:color="auto"/>
            </w:tcBorders>
          </w:tcPr>
          <w:p>
            <w:pPr>
              <w:spacing w:before="0" w:after="0"/>
              <w:ind w:left="340" w:hanging="340"/>
              <w:rPr>
                <w:rFonts w:asciiTheme="majorBidi" w:hAnsiTheme="majorBidi"/>
                <w:noProof/>
                <w:sz w:val="18"/>
              </w:rPr>
            </w:pPr>
            <w:r>
              <w:rPr>
                <w:rFonts w:asciiTheme="majorBidi" w:hAnsiTheme="majorBidi"/>
                <w:b/>
                <w:noProof/>
                <w:sz w:val="18"/>
              </w:rPr>
              <w:t>9.</w:t>
            </w:r>
            <w:r>
              <w:rPr>
                <w:noProof/>
              </w:rPr>
              <w:tab/>
            </w:r>
            <w:r>
              <w:rPr>
                <w:rFonts w:asciiTheme="majorBidi" w:hAnsiTheme="majorBidi"/>
                <w:b/>
                <w:noProof/>
                <w:sz w:val="18"/>
              </w:rPr>
              <w:t>Bruttomassa (kg) tai muu mitta (l, m³, jne.)</w:t>
            </w:r>
          </w:p>
        </w:tc>
        <w:tc>
          <w:tcPr>
            <w:tcW w:w="1045" w:type="pct"/>
            <w:tcBorders>
              <w:top w:val="single" w:sz="6" w:space="0" w:color="auto"/>
              <w:bottom w:val="single" w:sz="4" w:space="0" w:color="auto"/>
              <w:right w:val="single" w:sz="6" w:space="0" w:color="auto"/>
            </w:tcBorders>
          </w:tcPr>
          <w:p>
            <w:pPr>
              <w:spacing w:before="0" w:after="0"/>
              <w:ind w:left="340" w:hanging="340"/>
              <w:rPr>
                <w:rFonts w:asciiTheme="majorBidi" w:hAnsiTheme="majorBidi" w:cstheme="minorBidi"/>
                <w:noProof/>
                <w:sz w:val="18"/>
              </w:rPr>
            </w:pPr>
            <w:r>
              <w:rPr>
                <w:rFonts w:asciiTheme="majorBidi" w:hAnsiTheme="majorBidi"/>
                <w:b/>
                <w:noProof/>
                <w:sz w:val="18"/>
              </w:rPr>
              <w:t>10.</w:t>
            </w:r>
            <w:r>
              <w:rPr>
                <w:noProof/>
              </w:rPr>
              <w:tab/>
            </w:r>
            <w:r>
              <w:rPr>
                <w:rFonts w:asciiTheme="majorBidi" w:hAnsiTheme="majorBidi"/>
                <w:b/>
                <w:noProof/>
                <w:sz w:val="18"/>
              </w:rPr>
              <w:t>Kauppalaskut</w:t>
            </w:r>
          </w:p>
          <w:p>
            <w:pPr>
              <w:spacing w:before="0" w:after="0"/>
              <w:ind w:left="340" w:hanging="340"/>
              <w:rPr>
                <w:rFonts w:asciiTheme="majorBidi" w:hAnsiTheme="majorBidi" w:cstheme="minorBidi"/>
                <w:noProof/>
                <w:sz w:val="18"/>
              </w:rPr>
            </w:pPr>
            <w:r>
              <w:rPr>
                <w:noProof/>
              </w:rPr>
              <w:tab/>
            </w:r>
            <w:r>
              <w:rPr>
                <w:rFonts w:asciiTheme="majorBidi" w:hAnsiTheme="majorBidi"/>
                <w:noProof/>
                <w:sz w:val="18"/>
              </w:rPr>
              <w:t>(merkintä ei pakollinen)</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rFonts w:asciiTheme="majorBidi" w:hAnsiTheme="majorBidi"/>
                <w:noProof/>
                <w:sz w:val="18"/>
              </w:rPr>
            </w:pPr>
          </w:p>
        </w:tc>
      </w:tr>
    </w:tbl>
    <w:p>
      <w:pPr>
        <w:pStyle w:val="Point1"/>
        <w:rPr>
          <w:noProof/>
          <w:sz w:val="20"/>
          <w:szCs w:val="20"/>
        </w:rPr>
      </w:pPr>
      <w:r>
        <w:rPr>
          <w:b/>
          <w:bCs/>
          <w:noProof/>
          <w:sz w:val="20"/>
          <w:szCs w:val="20"/>
          <w:vertAlign w:val="superscript"/>
        </w:rPr>
        <w:t>(1)</w:t>
      </w:r>
      <w:r>
        <w:rPr>
          <w:noProof/>
        </w:rPr>
        <w:tab/>
      </w:r>
      <w:r>
        <w:rPr>
          <w:noProof/>
          <w:sz w:val="20"/>
          <w:szCs w:val="20"/>
        </w:rPr>
        <w:t>Pakkaamattomien tavaroiden osalta ilmoitetaan kappalemäärä tai tehdään merkintä ”irtotavaraa”.</w:t>
      </w:r>
    </w:p>
    <w:tbl>
      <w:tblPr>
        <w:tblW w:w="5000" w:type="pct"/>
        <w:jc w:val="center"/>
        <w:tblCellMar>
          <w:left w:w="120" w:type="dxa"/>
          <w:right w:w="120" w:type="dxa"/>
        </w:tblCellMar>
        <w:tblLook w:val="0000" w:firstRow="0" w:lastRow="0" w:firstColumn="0" w:lastColumn="0" w:noHBand="0" w:noVBand="0"/>
      </w:tblPr>
      <w:tblGrid>
        <w:gridCol w:w="5040"/>
        <w:gridCol w:w="4838"/>
      </w:tblGrid>
      <w:tr>
        <w:trPr>
          <w:cantSplit/>
          <w:jc w:val="center"/>
        </w:trPr>
        <w:tc>
          <w:tcPr>
            <w:tcW w:w="2551" w:type="pct"/>
            <w:tcBorders>
              <w:top w:val="single" w:sz="6" w:space="0" w:color="auto"/>
              <w:left w:val="single" w:sz="6" w:space="0" w:color="auto"/>
              <w:bottom w:val="single" w:sz="6" w:space="0" w:color="auto"/>
            </w:tcBorders>
          </w:tcPr>
          <w:p>
            <w:pPr>
              <w:pageBreakBefore/>
              <w:spacing w:before="0" w:after="0"/>
              <w:ind w:left="340" w:hanging="340"/>
              <w:rPr>
                <w:rFonts w:asciiTheme="majorBidi" w:eastAsia="Times New Roman" w:hAnsiTheme="majorBidi" w:cstheme="majorBidi"/>
                <w:b/>
                <w:noProof/>
                <w:sz w:val="18"/>
                <w:szCs w:val="18"/>
              </w:rPr>
            </w:pPr>
            <w:r>
              <w:rPr>
                <w:rFonts w:asciiTheme="majorBidi" w:hAnsiTheme="majorBidi"/>
                <w:b/>
                <w:noProof/>
                <w:sz w:val="18"/>
                <w:szCs w:val="18"/>
              </w:rPr>
              <w:t>11.</w:t>
            </w:r>
            <w:r>
              <w:rPr>
                <w:noProof/>
              </w:rPr>
              <w:tab/>
            </w:r>
            <w:r>
              <w:rPr>
                <w:rFonts w:asciiTheme="majorBidi" w:hAnsiTheme="majorBidi"/>
                <w:b/>
                <w:noProof/>
                <w:sz w:val="18"/>
                <w:szCs w:val="18"/>
              </w:rPr>
              <w:t>TULLIVIRANOMAISEN TODISTUS</w:t>
            </w:r>
          </w:p>
          <w:p>
            <w:pPr>
              <w:spacing w:before="0" w:after="0"/>
              <w:ind w:left="340" w:hanging="340"/>
              <w:rPr>
                <w:rFonts w:asciiTheme="majorBidi" w:eastAsia="Times New Roman" w:hAnsiTheme="majorBidi" w:cstheme="majorBidi"/>
                <w:i/>
                <w:noProof/>
                <w:sz w:val="18"/>
                <w:szCs w:val="18"/>
              </w:rPr>
            </w:pPr>
            <w:r>
              <w:rPr>
                <w:rFonts w:asciiTheme="majorBidi" w:hAnsiTheme="majorBidi"/>
                <w:i/>
                <w:noProof/>
                <w:sz w:val="18"/>
                <w:szCs w:val="18"/>
              </w:rPr>
              <w:t>Ilmoitus vahvistetaan oikeaksi</w:t>
            </w:r>
          </w:p>
          <w:p>
            <w:pPr>
              <w:spacing w:before="0" w:after="0"/>
              <w:rPr>
                <w:rFonts w:asciiTheme="majorBidi" w:eastAsia="Times New Roman" w:hAnsiTheme="majorBidi" w:cstheme="majorBidi"/>
                <w:noProof/>
                <w:sz w:val="18"/>
                <w:szCs w:val="18"/>
              </w:rPr>
            </w:pPr>
            <w:r>
              <w:rPr>
                <w:rFonts w:asciiTheme="majorBidi" w:hAnsiTheme="majorBidi"/>
                <w:noProof/>
                <w:sz w:val="18"/>
                <w:szCs w:val="18"/>
              </w:rPr>
              <w:t xml:space="preserve">Vientiasiakirja </w:t>
            </w:r>
            <w:r>
              <w:rPr>
                <w:rFonts w:asciiTheme="majorBidi" w:hAnsiTheme="majorBidi"/>
                <w:b/>
                <w:bCs/>
                <w:noProof/>
                <w:sz w:val="18"/>
                <w:szCs w:val="18"/>
                <w:vertAlign w:val="superscript"/>
              </w:rPr>
              <w:t>(2)</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Laji .................................. Nro ….……...</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Päivämäärä ……………………………………….</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Tullitoimipaikka .................................……</w:t>
            </w:r>
          </w:p>
          <w:p>
            <w:pPr>
              <w:tabs>
                <w:tab w:val="left" w:pos="3974"/>
              </w:tabs>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Antamismaa tai -alue....</w:t>
            </w:r>
            <w:r>
              <w:rPr>
                <w:noProof/>
              </w:rPr>
              <w:tab/>
            </w:r>
            <w:r>
              <w:rPr>
                <w:rFonts w:asciiTheme="majorBidi" w:hAnsiTheme="majorBidi"/>
                <w:noProof/>
                <w:sz w:val="18"/>
                <w:szCs w:val="18"/>
              </w:rPr>
              <w:t>Leima</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Paikka ja päiväys: …………....</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spacing w:before="0" w:after="0"/>
              <w:rPr>
                <w:rFonts w:asciiTheme="majorBidi" w:eastAsia="Times New Roman" w:hAnsiTheme="majorBidi" w:cstheme="majorBidi"/>
                <w:noProof/>
                <w:sz w:val="18"/>
                <w:szCs w:val="18"/>
              </w:rPr>
            </w:pPr>
            <w:r>
              <w:rPr>
                <w:rFonts w:asciiTheme="majorBidi" w:hAnsiTheme="majorBidi"/>
                <w:noProof/>
                <w:sz w:val="18"/>
                <w:szCs w:val="18"/>
              </w:rPr>
              <w:t>(Allekirjoitus)</w:t>
            </w:r>
          </w:p>
        </w:tc>
        <w:tc>
          <w:tcPr>
            <w:tcW w:w="2449" w:type="pct"/>
            <w:tcBorders>
              <w:top w:val="single" w:sz="6" w:space="0" w:color="auto"/>
              <w:left w:val="single" w:sz="6" w:space="0" w:color="auto"/>
              <w:bottom w:val="single" w:sz="6" w:space="0" w:color="auto"/>
              <w:righ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eastAsia="Times New Roman" w:hAnsiTheme="majorBidi" w:cstheme="majorBidi"/>
                <w:b/>
                <w:noProof/>
                <w:sz w:val="18"/>
                <w:szCs w:val="18"/>
              </w:rPr>
            </w:pPr>
            <w:r>
              <w:rPr>
                <w:rFonts w:asciiTheme="majorBidi" w:hAnsiTheme="majorBidi"/>
                <w:b/>
                <w:noProof/>
                <w:sz w:val="18"/>
                <w:szCs w:val="18"/>
              </w:rPr>
              <w:t>12.</w:t>
            </w:r>
            <w:r>
              <w:rPr>
                <w:noProof/>
              </w:rPr>
              <w:tab/>
            </w:r>
            <w:r>
              <w:rPr>
                <w:rFonts w:asciiTheme="majorBidi" w:hAnsiTheme="majorBidi"/>
                <w:b/>
                <w:noProof/>
                <w:sz w:val="18"/>
                <w:szCs w:val="18"/>
              </w:rPr>
              <w:t>VIEJÄN ILMOITUS</w:t>
            </w:r>
          </w:p>
          <w:p>
            <w:pPr>
              <w:spacing w:before="0" w:after="0"/>
              <w:rPr>
                <w:rFonts w:asciiTheme="majorBidi" w:eastAsia="Times New Roman" w:hAnsiTheme="majorBidi" w:cstheme="majorBidi"/>
                <w:noProof/>
                <w:sz w:val="18"/>
                <w:szCs w:val="18"/>
              </w:rPr>
            </w:pPr>
            <w:r>
              <w:rPr>
                <w:rFonts w:asciiTheme="majorBidi" w:hAnsiTheme="majorBidi"/>
                <w:noProof/>
                <w:sz w:val="18"/>
                <w:szCs w:val="18"/>
              </w:rPr>
              <w:t>Allekirjoittanut ilmoittaa, että yllä mainitut tavarat täyttävät tämän todistuksen saamiseksi vaadittavat edellytykset.</w:t>
            </w:r>
          </w:p>
          <w:p>
            <w:pPr>
              <w:spacing w:before="0" w:after="0"/>
              <w:rPr>
                <w:rFonts w:asciiTheme="majorBidi" w:eastAsia="Times New Roman" w:hAnsiTheme="majorBidi" w:cstheme="majorBidi"/>
                <w:noProof/>
                <w:sz w:val="18"/>
                <w:szCs w:val="18"/>
                <w:lang w:eastAsia="ko-KR"/>
              </w:rPr>
            </w:pPr>
          </w:p>
          <w:p>
            <w:pPr>
              <w:spacing w:before="0" w:after="0"/>
              <w:rPr>
                <w:rFonts w:asciiTheme="majorBidi" w:eastAsia="Times New Roman" w:hAnsiTheme="majorBidi" w:cstheme="majorBidi"/>
                <w:noProof/>
                <w:sz w:val="18"/>
                <w:szCs w:val="18"/>
                <w:lang w:eastAsia="ko-KR"/>
              </w:rPr>
            </w:pPr>
          </w:p>
          <w:p>
            <w:pPr>
              <w:spacing w:before="0" w:after="0"/>
              <w:rPr>
                <w:rFonts w:asciiTheme="majorBidi" w:eastAsia="Times New Roman" w:hAnsiTheme="majorBidi" w:cstheme="majorBidi"/>
                <w:noProof/>
                <w:sz w:val="18"/>
                <w:szCs w:val="18"/>
              </w:rPr>
            </w:pPr>
            <w:r>
              <w:rPr>
                <w:rFonts w:asciiTheme="majorBidi" w:hAnsiTheme="majorBidi"/>
                <w:noProof/>
                <w:sz w:val="18"/>
                <w:szCs w:val="18"/>
              </w:rPr>
              <w:t>Paikka ja päiväys: …………....</w:t>
            </w:r>
          </w:p>
          <w:p>
            <w:pPr>
              <w:spacing w:before="0" w:after="0"/>
              <w:rPr>
                <w:rFonts w:asciiTheme="majorBidi" w:eastAsia="Times New Roman" w:hAnsiTheme="majorBidi" w:cstheme="majorBidi"/>
                <w:noProof/>
                <w:sz w:val="18"/>
                <w:szCs w:val="18"/>
                <w:lang w:eastAsia="ko-KR"/>
              </w:rPr>
            </w:pPr>
          </w:p>
          <w:p>
            <w:pPr>
              <w:spacing w:before="0" w:after="0"/>
              <w:rPr>
                <w:rFonts w:asciiTheme="majorBidi" w:eastAsia="Times New Roman" w:hAnsiTheme="majorBidi" w:cstheme="majorBidi"/>
                <w:noProof/>
                <w:sz w:val="18"/>
                <w:szCs w:val="18"/>
                <w:lang w:eastAsia="ko-KR"/>
              </w:rPr>
            </w:pPr>
          </w:p>
          <w:p>
            <w:pPr>
              <w:spacing w:before="0" w:after="0"/>
              <w:rPr>
                <w:rFonts w:asciiTheme="majorBidi" w:eastAsia="Times New Roman" w:hAnsiTheme="majorBidi" w:cstheme="majorBidi"/>
                <w:noProof/>
                <w:sz w:val="18"/>
                <w:szCs w:val="18"/>
                <w:lang w:eastAsia="ko-KR"/>
              </w:rPr>
            </w:pPr>
          </w:p>
          <w:p>
            <w:pPr>
              <w:spacing w:before="0" w:after="0"/>
              <w:rPr>
                <w:rFonts w:asciiTheme="majorBidi" w:eastAsia="Times New Roman" w:hAnsiTheme="majorBidi" w:cstheme="majorBidi"/>
                <w:noProof/>
                <w:sz w:val="18"/>
                <w:szCs w:val="18"/>
              </w:rPr>
            </w:pPr>
            <w:r>
              <w:rPr>
                <w:rFonts w:asciiTheme="majorBidi" w:hAnsiTheme="majorBidi"/>
                <w:noProof/>
                <w:sz w:val="18"/>
                <w:szCs w:val="18"/>
              </w:rPr>
              <w:t>..........................................................................</w:t>
            </w:r>
          </w:p>
          <w:p>
            <w:pPr>
              <w:spacing w:before="0" w:after="0"/>
              <w:ind w:left="340" w:hanging="340"/>
              <w:jc w:val="center"/>
              <w:rPr>
                <w:rFonts w:asciiTheme="majorBidi" w:eastAsia="Times New Roman" w:hAnsiTheme="majorBidi" w:cstheme="majorBidi"/>
                <w:b/>
                <w:noProof/>
                <w:sz w:val="18"/>
                <w:szCs w:val="18"/>
              </w:rPr>
            </w:pPr>
            <w:r>
              <w:rPr>
                <w:rFonts w:asciiTheme="majorBidi" w:hAnsiTheme="majorBidi"/>
                <w:noProof/>
                <w:sz w:val="18"/>
                <w:szCs w:val="18"/>
              </w:rPr>
              <w:t>(Allekirjoitus)</w:t>
            </w:r>
          </w:p>
        </w:tc>
      </w:tr>
      <w:tr>
        <w:tblPrEx>
          <w:jc w:val="right"/>
        </w:tblPrEx>
        <w:trPr>
          <w:cantSplit/>
          <w:jc w:val="right"/>
        </w:trPr>
        <w:tc>
          <w:tcPr>
            <w:tcW w:w="2551" w:type="pct"/>
            <w:tcBorders>
              <w:top w:val="single" w:sz="6" w:space="0" w:color="auto"/>
              <w:left w:val="single" w:sz="6" w:space="0" w:color="auto"/>
            </w:tcBorders>
          </w:tcPr>
          <w:p>
            <w:pPr>
              <w:spacing w:before="0" w:after="0"/>
              <w:ind w:left="340" w:hanging="340"/>
              <w:rPr>
                <w:rFonts w:asciiTheme="majorBidi" w:hAnsiTheme="majorBidi"/>
                <w:b/>
                <w:noProof/>
                <w:sz w:val="18"/>
              </w:rPr>
            </w:pPr>
            <w:r>
              <w:rPr>
                <w:rFonts w:asciiTheme="majorBidi" w:hAnsiTheme="majorBidi"/>
                <w:b/>
                <w:noProof/>
                <w:sz w:val="18"/>
              </w:rPr>
              <w:t>13.</w:t>
            </w:r>
            <w:r>
              <w:rPr>
                <w:noProof/>
              </w:rPr>
              <w:tab/>
            </w:r>
            <w:r>
              <w:rPr>
                <w:rFonts w:asciiTheme="majorBidi" w:hAnsiTheme="majorBidi"/>
                <w:b/>
                <w:noProof/>
                <w:sz w:val="18"/>
              </w:rPr>
              <w:t>TARKASTUSPYYNTÖ, lähetetään osoitteeseen:</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hAnsiTheme="majorBidi"/>
                <w:b/>
                <w:noProof/>
                <w:sz w:val="18"/>
              </w:rPr>
            </w:pPr>
          </w:p>
        </w:tc>
        <w:tc>
          <w:tcPr>
            <w:tcW w:w="2449" w:type="pct"/>
            <w:tcBorders>
              <w:top w:val="single" w:sz="6" w:space="0" w:color="auto"/>
              <w:left w:val="single" w:sz="6" w:space="0" w:color="auto"/>
              <w:bottom w:val="single" w:sz="6" w:space="0" w:color="auto"/>
              <w:right w:val="single" w:sz="6" w:space="0" w:color="auto"/>
            </w:tcBorders>
          </w:tcPr>
          <w:p>
            <w:pPr>
              <w:tabs>
                <w:tab w:val="left" w:pos="22"/>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hAnsiTheme="majorBidi" w:cstheme="minorBidi"/>
                <w:b/>
                <w:noProof/>
                <w:sz w:val="18"/>
              </w:rPr>
            </w:pPr>
            <w:r>
              <w:rPr>
                <w:rFonts w:asciiTheme="majorBidi" w:hAnsiTheme="majorBidi"/>
                <w:b/>
                <w:noProof/>
                <w:sz w:val="18"/>
              </w:rPr>
              <w:t>14.</w:t>
            </w:r>
            <w:r>
              <w:rPr>
                <w:noProof/>
              </w:rPr>
              <w:tab/>
            </w:r>
            <w:r>
              <w:rPr>
                <w:rFonts w:asciiTheme="majorBidi" w:hAnsiTheme="majorBidi"/>
                <w:b/>
                <w:noProof/>
                <w:sz w:val="18"/>
              </w:rPr>
              <w:t>TARKASTUKSEN TULOS</w:t>
            </w:r>
          </w:p>
        </w:tc>
      </w:tr>
      <w:tr>
        <w:tblPrEx>
          <w:jc w:val="right"/>
        </w:tblPrEx>
        <w:trPr>
          <w:cantSplit/>
          <w:jc w:val="right"/>
        </w:trPr>
        <w:tc>
          <w:tcPr>
            <w:tcW w:w="2551" w:type="pct"/>
            <w:tcBorders>
              <w:left w:val="single" w:sz="6" w:space="0" w:color="auto"/>
              <w:bottom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hAnsiTheme="majorBidi"/>
                <w:noProof/>
                <w:sz w:val="18"/>
              </w:rPr>
            </w:pPr>
          </w:p>
        </w:tc>
        <w:tc>
          <w:tcPr>
            <w:tcW w:w="2449" w:type="pct"/>
            <w:tcBorders>
              <w:left w:val="single" w:sz="6" w:space="0" w:color="auto"/>
              <w:right w:val="single" w:sz="6" w:space="0" w:color="auto"/>
            </w:tcBorders>
          </w:tcPr>
          <w:p>
            <w:pPr>
              <w:spacing w:before="0" w:after="0"/>
              <w:ind w:firstLine="23"/>
              <w:rPr>
                <w:rFonts w:asciiTheme="majorBidi" w:hAnsiTheme="majorBidi" w:cstheme="minorBidi"/>
                <w:noProof/>
                <w:sz w:val="18"/>
                <w:vertAlign w:val="superscript"/>
              </w:rPr>
            </w:pPr>
            <w:r>
              <w:rPr>
                <w:rFonts w:asciiTheme="majorBidi" w:hAnsiTheme="majorBidi"/>
                <w:noProof/>
                <w:sz w:val="18"/>
              </w:rPr>
              <w:t xml:space="preserve">Tehty tarkastus on osoittanut, että tämä todistus </w:t>
            </w:r>
            <w:r>
              <w:rPr>
                <w:rFonts w:asciiTheme="majorBidi" w:hAnsiTheme="majorBidi"/>
                <w:b/>
                <w:noProof/>
                <w:sz w:val="18"/>
                <w:vertAlign w:val="superscript"/>
              </w:rPr>
              <w:t>(1)</w:t>
            </w: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3"/>
              <w:rPr>
                <w:rFonts w:asciiTheme="majorBidi" w:hAnsiTheme="majorBidi"/>
                <w:noProof/>
                <w:sz w:val="18"/>
              </w:rPr>
            </w:pPr>
          </w:p>
          <w:p>
            <w:pPr>
              <w:tabs>
                <w:tab w:val="left" w:pos="22"/>
                <w:tab w:val="left" w:pos="305"/>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3"/>
              <w:rPr>
                <w:rFonts w:asciiTheme="majorBidi" w:hAnsiTheme="majorBidi"/>
                <w:noProof/>
                <w:sz w:val="18"/>
              </w:rPr>
            </w:pPr>
            <w:r>
              <w:rPr>
                <w:rFonts w:asciiTheme="majorBidi" w:hAnsiTheme="majorBidi"/>
                <w:noProof/>
                <w:sz w:val="18"/>
              </w:rPr>
              <w:sym w:font="Wingdings (PCL6)" w:char="F0A8"/>
            </w:r>
            <w:r>
              <w:rPr>
                <w:noProof/>
              </w:rPr>
              <w:t xml:space="preserve"> on mainitun tullitoimipaikan antama ja että siinä olevat tiedot ovat oikeita</w:t>
            </w: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3"/>
              <w:rPr>
                <w:rFonts w:asciiTheme="majorBidi" w:hAnsiTheme="majorBidi"/>
                <w:noProof/>
                <w:sz w:val="18"/>
              </w:rPr>
            </w:pPr>
          </w:p>
          <w:p>
            <w:pPr>
              <w:spacing w:before="0" w:after="0"/>
              <w:ind w:firstLine="23"/>
              <w:rPr>
                <w:rFonts w:asciiTheme="majorBidi" w:hAnsiTheme="majorBidi"/>
                <w:noProof/>
                <w:sz w:val="18"/>
              </w:rPr>
            </w:pPr>
            <w:r>
              <w:rPr>
                <w:rFonts w:asciiTheme="majorBidi" w:hAnsiTheme="majorBidi"/>
                <w:noProof/>
                <w:sz w:val="18"/>
              </w:rPr>
              <w:sym w:font="Wingdings (PCL6)" w:char="F0A8"/>
            </w:r>
            <w:r>
              <w:rPr>
                <w:noProof/>
              </w:rPr>
              <w:t xml:space="preserve"> ei vastaa vaadittuja aitous- ja oikeellisuusedellytyksiä (katso oheisia huomautuksia).</w:t>
            </w: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2"/>
              <w:rPr>
                <w:rFonts w:asciiTheme="majorBidi" w:hAnsiTheme="majorBidi"/>
                <w:noProof/>
                <w:sz w:val="18"/>
              </w:rPr>
            </w:pPr>
          </w:p>
        </w:tc>
      </w:tr>
      <w:tr>
        <w:tblPrEx>
          <w:jc w:val="right"/>
        </w:tblPrEx>
        <w:trPr>
          <w:cantSplit/>
          <w:jc w:val="right"/>
        </w:trPr>
        <w:tc>
          <w:tcPr>
            <w:tcW w:w="2551" w:type="pct"/>
            <w:tcBorders>
              <w:left w:val="single" w:sz="6" w:space="0" w:color="auto"/>
              <w:bottom w:val="single" w:sz="6" w:space="0" w:color="auto"/>
            </w:tcBorders>
          </w:tcPr>
          <w:p>
            <w:pPr>
              <w:spacing w:before="0" w:after="0"/>
              <w:rPr>
                <w:rFonts w:asciiTheme="majorBidi" w:hAnsiTheme="majorBidi" w:cstheme="minorBidi"/>
                <w:noProof/>
                <w:sz w:val="18"/>
              </w:rPr>
            </w:pPr>
            <w:r>
              <w:rPr>
                <w:rFonts w:asciiTheme="majorBidi" w:hAnsiTheme="majorBidi"/>
                <w:noProof/>
                <w:sz w:val="18"/>
              </w:rPr>
              <w:t>Pyydetään tarkastamaan tämän todistuksen aitous ja oikeellisuus.</w:t>
            </w:r>
            <w:r>
              <w:rPr>
                <w:noProof/>
              </w:rPr>
              <w:t xml:space="preserve"> </w:t>
            </w:r>
            <w:r>
              <w:rPr>
                <w:noProof/>
              </w:rPr>
              <w:br/>
              <w:t xml:space="preserve"> </w:t>
            </w:r>
            <w:r>
              <w:rPr>
                <w:noProof/>
              </w:rPr>
              <w:br/>
              <w:t xml:space="preserve"> </w:t>
            </w:r>
            <w:r>
              <w:rPr>
                <w:noProof/>
              </w:rPr>
              <w:br/>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jc w:val="center"/>
              <w:rPr>
                <w:rFonts w:asciiTheme="majorBidi" w:hAnsiTheme="majorBidi" w:cstheme="minorBidi"/>
                <w:noProof/>
                <w:sz w:val="18"/>
              </w:rPr>
            </w:pPr>
            <w:r>
              <w:rPr>
                <w:rFonts w:asciiTheme="majorBidi" w:hAnsiTheme="majorBidi"/>
                <w:noProof/>
                <w:sz w:val="18"/>
              </w:rPr>
              <w:t>(Paikka ja päiväys)</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hAnsiTheme="majorBidi"/>
                <w:noProof/>
                <w:sz w:val="18"/>
              </w:rPr>
            </w:pP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hAnsiTheme="majorBidi"/>
                <w:noProof/>
                <w:sz w:val="18"/>
              </w:rPr>
            </w:pPr>
          </w:p>
          <w:p>
            <w:pPr>
              <w:tabs>
                <w:tab w:val="left" w:pos="2814"/>
              </w:tabs>
              <w:spacing w:before="0" w:after="0"/>
              <w:rPr>
                <w:rFonts w:asciiTheme="majorBidi" w:hAnsiTheme="majorBidi"/>
                <w:noProof/>
                <w:sz w:val="18"/>
              </w:rPr>
            </w:pPr>
            <w:r>
              <w:rPr>
                <w:noProof/>
              </w:rPr>
              <w:tab/>
            </w:r>
            <w:r>
              <w:rPr>
                <w:rFonts w:asciiTheme="majorBidi" w:hAnsiTheme="majorBidi"/>
                <w:noProof/>
                <w:sz w:val="18"/>
              </w:rPr>
              <w:t>Leima</w:t>
            </w:r>
          </w:p>
          <w:p>
            <w:pPr>
              <w:spacing w:before="0" w:after="0"/>
              <w:ind w:left="340" w:hanging="340"/>
              <w:rPr>
                <w:rFonts w:asciiTheme="majorBidi" w:hAnsiTheme="majorBidi"/>
                <w:noProof/>
                <w:sz w:val="18"/>
              </w:rPr>
            </w:pP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tabs>
                <w:tab w:val="left" w:pos="0"/>
                <w:tab w:val="left" w:pos="339"/>
                <w:tab w:val="left" w:pos="679"/>
                <w:tab w:val="left" w:pos="1019"/>
                <w:tab w:val="left" w:pos="1358"/>
                <w:tab w:val="left" w:pos="1698"/>
                <w:tab w:val="left" w:pos="2037"/>
                <w:tab w:val="left" w:pos="2377"/>
                <w:tab w:val="left" w:pos="2740"/>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right="1723" w:hanging="340"/>
              <w:jc w:val="center"/>
              <w:rPr>
                <w:rFonts w:asciiTheme="majorBidi" w:hAnsiTheme="majorBidi" w:cstheme="minorBidi"/>
                <w:noProof/>
                <w:sz w:val="18"/>
              </w:rPr>
            </w:pPr>
            <w:r>
              <w:rPr>
                <w:rFonts w:asciiTheme="majorBidi" w:hAnsiTheme="majorBidi"/>
                <w:noProof/>
                <w:sz w:val="18"/>
              </w:rPr>
              <w:t>(Allekirjoitus)</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hAnsiTheme="majorBidi"/>
                <w:noProof/>
                <w:sz w:val="18"/>
              </w:rPr>
            </w:pPr>
          </w:p>
        </w:tc>
        <w:tc>
          <w:tcPr>
            <w:tcW w:w="2449" w:type="pct"/>
            <w:tcBorders>
              <w:left w:val="single" w:sz="6" w:space="0" w:color="auto"/>
              <w:bottom w:val="single" w:sz="6" w:space="0" w:color="auto"/>
              <w:right w:val="single" w:sz="6" w:space="0" w:color="auto"/>
            </w:tcBorders>
          </w:tcPr>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2"/>
              <w:rPr>
                <w:rFonts w:asciiTheme="majorBidi" w:hAnsiTheme="majorBidi"/>
                <w:noProof/>
                <w:sz w:val="18"/>
              </w:rPr>
            </w:pPr>
            <w:r>
              <w:rPr>
                <w:noProof/>
              </w:rPr>
              <w:t xml:space="preserve"> </w:t>
            </w:r>
            <w:r>
              <w:rPr>
                <w:noProof/>
              </w:rPr>
              <w:br/>
              <w:t xml:space="preserve"> </w:t>
            </w:r>
            <w:r>
              <w:rPr>
                <w:noProof/>
              </w:rPr>
              <w:br/>
              <w:t xml:space="preserve"> </w:t>
            </w:r>
            <w:r>
              <w:rPr>
                <w:noProof/>
              </w:rPr>
              <w:br/>
              <w:t xml:space="preserve"> </w:t>
            </w:r>
            <w:r>
              <w:rPr>
                <w:noProof/>
              </w:rPr>
              <w:br/>
              <w:t xml:space="preserve"> </w:t>
            </w:r>
            <w:r>
              <w:rPr>
                <w:noProof/>
              </w:rPr>
              <w:br/>
            </w:r>
            <w:r>
              <w:rPr>
                <w:rFonts w:asciiTheme="majorBidi" w:hAnsiTheme="majorBidi"/>
                <w:noProof/>
                <w:sz w:val="18"/>
              </w:rPr>
              <w:t>.........................................………………………………..</w:t>
            </w: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2"/>
              <w:jc w:val="center"/>
              <w:rPr>
                <w:rFonts w:asciiTheme="majorBidi" w:hAnsiTheme="majorBidi" w:cstheme="minorBidi"/>
                <w:noProof/>
                <w:sz w:val="18"/>
              </w:rPr>
            </w:pPr>
            <w:r>
              <w:rPr>
                <w:rFonts w:asciiTheme="majorBidi" w:hAnsiTheme="majorBidi"/>
                <w:noProof/>
                <w:sz w:val="18"/>
              </w:rPr>
              <w:t>(Paikka ja päiväys)</w:t>
            </w: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2"/>
              <w:rPr>
                <w:rFonts w:asciiTheme="majorBidi" w:hAnsiTheme="majorBidi"/>
                <w:noProof/>
                <w:sz w:val="18"/>
              </w:rPr>
            </w:pP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asciiTheme="majorBidi" w:eastAsia="Times New Roman" w:hAnsiTheme="majorBidi" w:cstheme="majorBidi"/>
                <w:noProof/>
                <w:sz w:val="18"/>
                <w:szCs w:val="18"/>
                <w:lang w:eastAsia="ko-KR"/>
              </w:rPr>
            </w:pPr>
          </w:p>
          <w:p>
            <w:pPr>
              <w:tabs>
                <w:tab w:val="left" w:pos="2835"/>
              </w:tabs>
              <w:spacing w:before="0" w:after="0"/>
              <w:ind w:left="64"/>
              <w:rPr>
                <w:rFonts w:asciiTheme="majorBidi" w:hAnsiTheme="majorBidi" w:cstheme="minorBidi"/>
                <w:noProof/>
                <w:sz w:val="18"/>
              </w:rPr>
            </w:pPr>
            <w:r>
              <w:rPr>
                <w:noProof/>
              </w:rPr>
              <w:tab/>
            </w:r>
            <w:r>
              <w:rPr>
                <w:rFonts w:asciiTheme="majorBidi" w:hAnsiTheme="majorBidi"/>
                <w:noProof/>
                <w:sz w:val="18"/>
              </w:rPr>
              <w:t>Leima</w:t>
            </w: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2"/>
              <w:rPr>
                <w:rFonts w:asciiTheme="majorBidi" w:hAnsiTheme="majorBidi"/>
                <w:noProof/>
                <w:sz w:val="18"/>
              </w:rPr>
            </w:pPr>
          </w:p>
          <w:p>
            <w:pPr>
              <w:tabs>
                <w:tab w:val="left" w:pos="22"/>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firstLine="22"/>
              <w:rPr>
                <w:rFonts w:asciiTheme="majorBidi" w:hAnsiTheme="majorBidi"/>
                <w:noProof/>
                <w:sz w:val="18"/>
              </w:rPr>
            </w:pPr>
          </w:p>
          <w:p>
            <w:pPr>
              <w:spacing w:before="0" w:after="0"/>
              <w:ind w:left="340" w:hanging="340"/>
              <w:rPr>
                <w:rFonts w:asciiTheme="majorBidi" w:eastAsia="Times New Roman" w:hAnsiTheme="majorBidi" w:cstheme="majorBidi"/>
                <w:noProof/>
                <w:sz w:val="18"/>
                <w:szCs w:val="18"/>
              </w:rPr>
            </w:pPr>
            <w:r>
              <w:rPr>
                <w:rFonts w:asciiTheme="majorBidi" w:hAnsiTheme="majorBidi"/>
                <w:noProof/>
                <w:sz w:val="18"/>
                <w:szCs w:val="18"/>
              </w:rPr>
              <w:t>.....................................................…………………………</w:t>
            </w:r>
          </w:p>
          <w:p>
            <w:pPr>
              <w:tabs>
                <w:tab w:val="left" w:pos="0"/>
                <w:tab w:val="left" w:pos="339"/>
                <w:tab w:val="left" w:pos="679"/>
                <w:tab w:val="left" w:pos="1019"/>
                <w:tab w:val="left" w:pos="1358"/>
                <w:tab w:val="left" w:pos="1698"/>
                <w:tab w:val="left" w:pos="2037"/>
                <w:tab w:val="left" w:pos="2377"/>
                <w:tab w:val="left" w:pos="2715"/>
                <w:tab w:val="left" w:pos="2857"/>
                <w:tab w:val="left" w:pos="3396"/>
                <w:tab w:val="left" w:pos="3735"/>
                <w:tab w:val="left" w:pos="407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right="1699" w:hanging="340"/>
              <w:jc w:val="center"/>
              <w:rPr>
                <w:rFonts w:asciiTheme="majorBidi" w:hAnsiTheme="majorBidi" w:cstheme="minorBidi"/>
                <w:noProof/>
                <w:sz w:val="18"/>
              </w:rPr>
            </w:pPr>
            <w:r>
              <w:rPr>
                <w:rFonts w:asciiTheme="majorBidi" w:hAnsiTheme="majorBidi"/>
                <w:noProof/>
                <w:sz w:val="18"/>
              </w:rPr>
              <w:t>(Allekirjoitus)</w:t>
            </w:r>
          </w:p>
          <w:p>
            <w:pPr>
              <w:spacing w:before="0" w:after="0"/>
              <w:ind w:firstLine="23"/>
              <w:rPr>
                <w:rFonts w:asciiTheme="majorBidi" w:hAnsiTheme="majorBidi" w:cstheme="minorBidi"/>
                <w:noProof/>
                <w:sz w:val="18"/>
              </w:rPr>
            </w:pPr>
            <w:r>
              <w:rPr>
                <w:rFonts w:asciiTheme="majorBidi" w:hAnsiTheme="majorBidi"/>
                <w:noProof/>
                <w:sz w:val="18"/>
              </w:rPr>
              <w:t>_____________</w:t>
            </w:r>
          </w:p>
          <w:p>
            <w:pPr>
              <w:spacing w:before="0" w:after="0"/>
              <w:ind w:left="567" w:hanging="567"/>
              <w:rPr>
                <w:rFonts w:asciiTheme="majorBidi" w:hAnsiTheme="majorBidi" w:cstheme="minorBidi"/>
                <w:noProof/>
                <w:sz w:val="18"/>
              </w:rPr>
            </w:pPr>
            <w:r>
              <w:rPr>
                <w:rFonts w:asciiTheme="majorBidi" w:hAnsiTheme="majorBidi"/>
                <w:noProof/>
                <w:sz w:val="18"/>
                <w:vertAlign w:val="superscript"/>
              </w:rPr>
              <w:t>(1)</w:t>
            </w:r>
            <w:r>
              <w:rPr>
                <w:noProof/>
              </w:rPr>
              <w:tab/>
            </w:r>
            <w:r>
              <w:rPr>
                <w:rFonts w:asciiTheme="majorBidi" w:hAnsiTheme="majorBidi"/>
                <w:noProof/>
                <w:sz w:val="18"/>
              </w:rPr>
              <w:t>Merkitään rasti asianomaiseen kohtaan.</w:t>
            </w:r>
          </w:p>
        </w:tc>
      </w:tr>
    </w:tbl>
    <w:p>
      <w:pPr>
        <w:pStyle w:val="Point1"/>
        <w:rPr>
          <w:noProof/>
          <w:sz w:val="20"/>
          <w:szCs w:val="20"/>
        </w:rPr>
      </w:pPr>
      <w:r>
        <w:rPr>
          <w:b/>
          <w:bCs/>
          <w:noProof/>
          <w:sz w:val="20"/>
          <w:szCs w:val="20"/>
          <w:vertAlign w:val="superscript"/>
        </w:rPr>
        <w:t>(2)</w:t>
      </w:r>
      <w:r>
        <w:rPr>
          <w:noProof/>
        </w:rPr>
        <w:tab/>
      </w:r>
      <w:r>
        <w:rPr>
          <w:noProof/>
          <w:sz w:val="20"/>
          <w:szCs w:val="20"/>
        </w:rPr>
        <w:t>Täytetään vain mikäli viejämaan tai -alueen määräykset sitä vaativat.</w:t>
      </w:r>
    </w:p>
    <w:p>
      <w:pPr>
        <w:pStyle w:val="Text1"/>
        <w:rPr>
          <w:noProof/>
        </w:rPr>
      </w:pPr>
      <w:r>
        <w:rPr>
          <w:noProof/>
        </w:rPr>
        <w:br w:type="page"/>
        <w:t>HUOMAUTUKSIA</w:t>
      </w:r>
    </w:p>
    <w:p>
      <w:pPr>
        <w:pStyle w:val="Point1"/>
        <w:rPr>
          <w:noProof/>
        </w:rPr>
      </w:pPr>
      <w:r>
        <w:rPr>
          <w:noProof/>
        </w:rPr>
        <w:t>1.</w:t>
      </w:r>
      <w:r>
        <w:rPr>
          <w:noProof/>
        </w:rPr>
        <w:tab/>
        <w:t>Todistuksesta ei saa pyyhkiä pois merkintöjä eikä siihen saa tehdä uusia merkintöjä vanhojen päälle. Mahdolliset muutokset on tehtävä viivaamalla yli virheelliset merkinnät ja tarvittaessa lisäämällä halutut merkinnät. Lomakkeen täyttäneen on varmennettava näin tehdyt muutokset ja antomaan tai -alueen tulliviranomaisen on vahvistettava ne.</w:t>
      </w:r>
    </w:p>
    <w:p>
      <w:pPr>
        <w:pStyle w:val="Point1"/>
        <w:rPr>
          <w:noProof/>
        </w:rPr>
      </w:pPr>
      <w:r>
        <w:rPr>
          <w:noProof/>
        </w:rPr>
        <w:t>2.</w:t>
      </w:r>
      <w:r>
        <w:rPr>
          <w:noProof/>
        </w:rPr>
        <w:tab/>
        <w:t>Tavarat on merkittävä todistukseen jättämättä väliin tyhjää tilaa, ja kunkin tavaran eteen on merkittävä järjestysnumero. Välittömästi viimeisen rivin alle on vedettävä vaakasuora viiva. Käyttämättömät tilat on viivattava siten, että niihin on mahdotonta tehdä myöhemmin lisäyksiä.</w:t>
      </w:r>
    </w:p>
    <w:p>
      <w:pPr>
        <w:pStyle w:val="Point1"/>
        <w:rPr>
          <w:noProof/>
        </w:rPr>
      </w:pPr>
      <w:r>
        <w:rPr>
          <w:noProof/>
        </w:rPr>
        <w:t>3.</w:t>
      </w:r>
      <w:r>
        <w:rPr>
          <w:noProof/>
        </w:rPr>
        <w:tab/>
        <w:t>Tavarat ilmaistaan tavanomaisin kauppanimityksin ja riittävän yksityiskohtaisesti, että ne voidaan tunnistaa.</w:t>
      </w:r>
    </w:p>
    <w:p>
      <w:pPr>
        <w:jc w:val="center"/>
        <w:rPr>
          <w:rFonts w:eastAsia="Times New Roman"/>
          <w:noProof/>
          <w:szCs w:val="20"/>
          <w:lang w:eastAsia="ko-KR"/>
        </w:rPr>
        <w:sectPr>
          <w:footnotePr>
            <w:numRestart w:val="eachPage"/>
          </w:footnotePr>
          <w:pgSz w:w="11906" w:h="16838"/>
          <w:pgMar w:top="1134" w:right="1134" w:bottom="1134" w:left="1134" w:header="567" w:footer="567" w:gutter="0"/>
          <w:cols w:space="709"/>
          <w:docGrid w:linePitch="326"/>
        </w:sectPr>
      </w:pPr>
    </w:p>
    <w:p>
      <w:pPr>
        <w:pStyle w:val="Text1"/>
        <w:rPr>
          <w:noProof/>
        </w:rPr>
      </w:pPr>
      <w:r>
        <w:rPr>
          <w:noProof/>
        </w:rPr>
        <w:t>EUR.1-TAVARATODISTUSHAKEMUS</w:t>
      </w:r>
    </w:p>
    <w:tbl>
      <w:tblPr>
        <w:tblW w:w="5000" w:type="pct"/>
        <w:jc w:val="right"/>
        <w:tblLayout w:type="fixed"/>
        <w:tblCellMar>
          <w:left w:w="120" w:type="dxa"/>
          <w:right w:w="120" w:type="dxa"/>
        </w:tblCellMar>
        <w:tblLook w:val="0000" w:firstRow="0" w:lastRow="0" w:firstColumn="0" w:lastColumn="0" w:noHBand="0" w:noVBand="0"/>
      </w:tblPr>
      <w:tblGrid>
        <w:gridCol w:w="4522"/>
        <w:gridCol w:w="1398"/>
        <w:gridCol w:w="916"/>
        <w:gridCol w:w="713"/>
        <w:gridCol w:w="1761"/>
      </w:tblGrid>
      <w:tr>
        <w:trPr>
          <w:cantSplit/>
          <w:jc w:val="right"/>
        </w:trPr>
        <w:tc>
          <w:tcPr>
            <w:tcW w:w="2428" w:type="pct"/>
            <w:tcBorders>
              <w:top w:val="single" w:sz="6" w:space="0" w:color="auto"/>
              <w:left w:val="single" w:sz="6" w:space="0" w:color="auto"/>
            </w:tcBorders>
          </w:tcPr>
          <w:p>
            <w:pPr>
              <w:spacing w:before="0" w:after="0"/>
              <w:ind w:left="340" w:hanging="340"/>
              <w:rPr>
                <w:noProof/>
                <w:sz w:val="18"/>
              </w:rPr>
            </w:pPr>
            <w:r>
              <w:rPr>
                <w:b/>
                <w:noProof/>
                <w:sz w:val="18"/>
              </w:rPr>
              <w:t>1.</w:t>
            </w:r>
            <w:r>
              <w:rPr>
                <w:noProof/>
              </w:rPr>
              <w:tab/>
            </w:r>
            <w:r>
              <w:rPr>
                <w:b/>
                <w:noProof/>
                <w:sz w:val="18"/>
              </w:rPr>
              <w:t>Viejä</w:t>
            </w:r>
            <w:r>
              <w:rPr>
                <w:noProof/>
                <w:sz w:val="18"/>
              </w:rPr>
              <w:t xml:space="preserve"> (nimi, täydellinen osoite, maa)</w:t>
            </w:r>
          </w:p>
        </w:tc>
        <w:tc>
          <w:tcPr>
            <w:tcW w:w="2572" w:type="pct"/>
            <w:gridSpan w:val="4"/>
            <w:tcBorders>
              <w:top w:val="single" w:sz="6" w:space="0" w:color="auto"/>
              <w:left w:val="single" w:sz="6" w:space="0" w:color="auto"/>
              <w:right w:val="single" w:sz="6" w:space="0" w:color="auto"/>
            </w:tcBorders>
          </w:tcPr>
          <w:p>
            <w:pPr>
              <w:spacing w:before="0" w:after="0"/>
              <w:ind w:left="870" w:hanging="870"/>
              <w:jc w:val="center"/>
              <w:rPr>
                <w:noProof/>
              </w:rPr>
            </w:pPr>
            <w:r>
              <w:rPr>
                <w:b/>
                <w:noProof/>
              </w:rPr>
              <w:t>EUR.1</w:t>
            </w:r>
            <w:r>
              <w:rPr>
                <w:noProof/>
              </w:rPr>
              <w:tab/>
            </w:r>
            <w:r>
              <w:rPr>
                <w:b/>
                <w:noProof/>
              </w:rPr>
              <w:t>Nro A</w:t>
            </w:r>
            <w:r>
              <w:rPr>
                <w:noProof/>
              </w:rPr>
              <w:tab/>
              <w:t>000.000</w:t>
            </w:r>
          </w:p>
        </w:tc>
      </w:tr>
      <w:tr>
        <w:trPr>
          <w:cantSplit/>
          <w:jc w:val="right"/>
        </w:trPr>
        <w:tc>
          <w:tcPr>
            <w:tcW w:w="2428" w:type="pct"/>
            <w:tcBorders>
              <w:left w:val="single" w:sz="6" w:space="0" w:color="auto"/>
            </w:tcBorders>
          </w:tcPr>
          <w:p>
            <w:pPr>
              <w:spacing w:before="0" w:after="0"/>
              <w:rPr>
                <w:noProof/>
                <w:sz w:val="18"/>
              </w:rPr>
            </w:pPr>
          </w:p>
        </w:tc>
        <w:tc>
          <w:tcPr>
            <w:tcW w:w="2572" w:type="pct"/>
            <w:gridSpan w:val="4"/>
            <w:tcBorders>
              <w:top w:val="single" w:sz="6" w:space="0" w:color="auto"/>
              <w:left w:val="single" w:sz="6" w:space="0" w:color="auto"/>
              <w:bottom w:val="single" w:sz="12" w:space="0" w:color="auto"/>
              <w:righ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jc w:val="center"/>
              <w:rPr>
                <w:noProof/>
                <w:sz w:val="18"/>
              </w:rPr>
            </w:pPr>
            <w:r>
              <w:rPr>
                <w:noProof/>
                <w:sz w:val="18"/>
              </w:rPr>
              <w:t>Lukekaa kääntöpuolella olevat huomautukset ennen lomakkeen täyttämistä</w:t>
            </w:r>
          </w:p>
        </w:tc>
      </w:tr>
      <w:tr>
        <w:trPr>
          <w:cantSplit/>
          <w:jc w:val="right"/>
        </w:trPr>
        <w:tc>
          <w:tcPr>
            <w:tcW w:w="2428" w:type="pct"/>
            <w:tcBorders>
              <w:left w:val="single" w:sz="6" w:space="0" w:color="auto"/>
            </w:tcBorders>
          </w:tcPr>
          <w:p>
            <w:pPr>
              <w:spacing w:before="0" w:after="0"/>
              <w:rPr>
                <w:noProof/>
                <w:sz w:val="18"/>
              </w:rPr>
            </w:pPr>
          </w:p>
        </w:tc>
        <w:tc>
          <w:tcPr>
            <w:tcW w:w="2572" w:type="pct"/>
            <w:gridSpan w:val="4"/>
            <w:tcBorders>
              <w:top w:val="single" w:sz="12" w:space="0" w:color="auto"/>
              <w:left w:val="single" w:sz="12" w:space="0" w:color="auto"/>
              <w:right w:val="single" w:sz="12" w:space="0" w:color="auto"/>
            </w:tcBorders>
          </w:tcPr>
          <w:p>
            <w:pPr>
              <w:spacing w:before="0" w:after="0"/>
              <w:ind w:left="340" w:hanging="340"/>
              <w:rPr>
                <w:noProof/>
                <w:sz w:val="18"/>
              </w:rPr>
            </w:pPr>
            <w:r>
              <w:rPr>
                <w:b/>
                <w:noProof/>
                <w:sz w:val="18"/>
              </w:rPr>
              <w:t>2.</w:t>
            </w:r>
            <w:r>
              <w:rPr>
                <w:noProof/>
              </w:rPr>
              <w:tab/>
            </w:r>
            <w:r>
              <w:rPr>
                <w:b/>
                <w:noProof/>
                <w:sz w:val="18"/>
              </w:rPr>
              <w:t>Hakemus todistusta varten, jota käytetään etuuskohteluun oikeutetussa kaupassa</w:t>
            </w:r>
          </w:p>
          <w:p>
            <w:pPr>
              <w:tabs>
                <w:tab w:val="left" w:pos="359"/>
                <w:tab w:val="right" w:leader="dot" w:pos="4522"/>
              </w:tabs>
              <w:spacing w:before="0" w:after="0"/>
              <w:ind w:left="340" w:hanging="340"/>
              <w:rPr>
                <w:noProof/>
                <w:sz w:val="18"/>
              </w:rPr>
            </w:pPr>
            <w:r>
              <w:rPr>
                <w:noProof/>
              </w:rPr>
              <w:tab/>
            </w:r>
            <w:r>
              <w:rPr>
                <w:noProof/>
                <w:sz w:val="18"/>
              </w:rPr>
              <w:t>.......................................................................................</w:t>
            </w:r>
          </w:p>
        </w:tc>
      </w:tr>
      <w:tr>
        <w:trPr>
          <w:cantSplit/>
          <w:jc w:val="right"/>
        </w:trPr>
        <w:tc>
          <w:tcPr>
            <w:tcW w:w="2428" w:type="pct"/>
            <w:tcBorders>
              <w:top w:val="single" w:sz="6" w:space="0" w:color="auto"/>
              <w:left w:val="single" w:sz="6" w:space="0" w:color="auto"/>
            </w:tcBorders>
          </w:tcPr>
          <w:p>
            <w:pPr>
              <w:spacing w:before="0" w:after="0"/>
              <w:ind w:left="340" w:hanging="340"/>
              <w:rPr>
                <w:noProof/>
                <w:sz w:val="18"/>
              </w:rPr>
            </w:pPr>
            <w:r>
              <w:rPr>
                <w:b/>
                <w:noProof/>
                <w:sz w:val="18"/>
              </w:rPr>
              <w:t>3.</w:t>
            </w:r>
            <w:r>
              <w:rPr>
                <w:noProof/>
              </w:rPr>
              <w:tab/>
            </w:r>
            <w:r>
              <w:rPr>
                <w:b/>
                <w:noProof/>
                <w:sz w:val="18"/>
              </w:rPr>
              <w:t>Vastaanottaja</w:t>
            </w:r>
            <w:r>
              <w:rPr>
                <w:noProof/>
                <w:sz w:val="18"/>
              </w:rPr>
              <w:t xml:space="preserve"> (nimi, täydellinen osoite, maa) (merkintä ei pakollinen)</w:t>
            </w:r>
          </w:p>
        </w:tc>
        <w:tc>
          <w:tcPr>
            <w:tcW w:w="2572" w:type="pct"/>
            <w:gridSpan w:val="4"/>
            <w:tcBorders>
              <w:left w:val="single" w:sz="12" w:space="0" w:color="auto"/>
              <w:bottom w:val="single" w:sz="12" w:space="0" w:color="auto"/>
              <w:right w:val="single" w:sz="12" w:space="0" w:color="auto"/>
            </w:tcBorders>
          </w:tcPr>
          <w:p>
            <w:pPr>
              <w:tabs>
                <w:tab w:val="center" w:pos="2271"/>
              </w:tabs>
              <w:spacing w:before="0" w:after="0"/>
              <w:rPr>
                <w:noProof/>
                <w:sz w:val="18"/>
              </w:rPr>
            </w:pPr>
            <w:r>
              <w:rPr>
                <w:noProof/>
              </w:rPr>
              <w:tab/>
            </w:r>
            <w:r>
              <w:rPr>
                <w:b/>
                <w:noProof/>
                <w:sz w:val="18"/>
              </w:rPr>
              <w:t>ja</w:t>
            </w:r>
          </w:p>
          <w:p>
            <w:pPr>
              <w:tabs>
                <w:tab w:val="left" w:pos="359"/>
                <w:tab w:val="right" w:leader="dot" w:pos="4522"/>
              </w:tabs>
              <w:spacing w:before="0" w:after="0"/>
              <w:ind w:left="340" w:hanging="340"/>
              <w:rPr>
                <w:noProof/>
                <w:sz w:val="18"/>
              </w:rPr>
            </w:pPr>
            <w:r>
              <w:rPr>
                <w:noProof/>
              </w:rPr>
              <w:tab/>
            </w:r>
            <w:r>
              <w:rPr>
                <w:noProof/>
                <w:sz w:val="18"/>
              </w:rPr>
              <w:t>.......................................................................................</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jc w:val="center"/>
              <w:rPr>
                <w:rFonts w:asciiTheme="minorHAnsi" w:hAnsiTheme="minorHAnsi" w:cstheme="minorBidi"/>
                <w:noProof/>
                <w:sz w:val="18"/>
              </w:rPr>
            </w:pPr>
            <w:r>
              <w:rPr>
                <w:noProof/>
                <w:sz w:val="18"/>
              </w:rPr>
              <w:t>välillä (mainitkaa asianomaiset maat, maaryhmät tai alueet)</w:t>
            </w:r>
          </w:p>
        </w:tc>
      </w:tr>
      <w:tr>
        <w:trPr>
          <w:cantSplit/>
          <w:trHeight w:val="1679"/>
          <w:jc w:val="right"/>
        </w:trPr>
        <w:tc>
          <w:tcPr>
            <w:tcW w:w="2428" w:type="pct"/>
            <w:tcBorders>
              <w:left w:val="single" w:sz="6" w:space="0" w:color="auto"/>
            </w:tcBorders>
          </w:tcPr>
          <w:p>
            <w:pPr>
              <w:spacing w:before="0" w:after="0"/>
              <w:rPr>
                <w:noProof/>
                <w:sz w:val="18"/>
              </w:rPr>
            </w:pPr>
          </w:p>
        </w:tc>
        <w:tc>
          <w:tcPr>
            <w:tcW w:w="1243" w:type="pct"/>
            <w:gridSpan w:val="2"/>
            <w:tcBorders>
              <w:top w:val="single" w:sz="12" w:space="0" w:color="auto"/>
              <w:lef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b/>
                <w:noProof/>
                <w:sz w:val="18"/>
              </w:rPr>
            </w:pPr>
            <w:r>
              <w:rPr>
                <w:b/>
                <w:noProof/>
                <w:sz w:val="18"/>
              </w:rPr>
              <w:t>4.</w:t>
            </w:r>
            <w:r>
              <w:rPr>
                <w:noProof/>
              </w:rPr>
              <w:tab/>
            </w:r>
            <w:r>
              <w:rPr>
                <w:b/>
                <w:noProof/>
                <w:sz w:val="18"/>
              </w:rPr>
              <w:t>Maa, maaryhmä tai alue, jonka alkuperää tavaroiden katsotaan olevan</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noProof/>
                <w:sz w:val="18"/>
              </w:rPr>
            </w:pPr>
          </w:p>
        </w:tc>
        <w:tc>
          <w:tcPr>
            <w:tcW w:w="1329" w:type="pct"/>
            <w:gridSpan w:val="2"/>
            <w:tcBorders>
              <w:top w:val="single" w:sz="12" w:space="0" w:color="auto"/>
              <w:left w:val="single" w:sz="6" w:space="0" w:color="auto"/>
              <w:righ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rFonts w:cstheme="minorBidi"/>
                <w:noProof/>
                <w:sz w:val="18"/>
              </w:rPr>
            </w:pPr>
            <w:r>
              <w:rPr>
                <w:b/>
                <w:noProof/>
                <w:sz w:val="18"/>
              </w:rPr>
              <w:t>5.</w:t>
            </w:r>
            <w:r>
              <w:rPr>
                <w:noProof/>
              </w:rPr>
              <w:tab/>
            </w:r>
            <w:r>
              <w:rPr>
                <w:b/>
                <w:noProof/>
                <w:sz w:val="18"/>
              </w:rPr>
              <w:t>Määrämaa, -maaryhmä tai -alue</w:t>
            </w:r>
          </w:p>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rPr>
                <w:noProof/>
                <w:sz w:val="18"/>
              </w:rPr>
            </w:pPr>
          </w:p>
        </w:tc>
      </w:tr>
      <w:tr>
        <w:trPr>
          <w:cantSplit/>
          <w:trHeight w:val="2309"/>
          <w:jc w:val="right"/>
        </w:trPr>
        <w:tc>
          <w:tcPr>
            <w:tcW w:w="2428" w:type="pct"/>
            <w:tcBorders>
              <w:top w:val="single" w:sz="6" w:space="0" w:color="auto"/>
              <w:left w:val="single" w:sz="6" w:space="0" w:color="auto"/>
              <w:bottom w:val="single" w:sz="6" w:space="0" w:color="auto"/>
            </w:tcBorders>
          </w:tcPr>
          <w:p>
            <w:pPr>
              <w:spacing w:before="0" w:after="0"/>
              <w:ind w:left="340" w:hanging="340"/>
              <w:rPr>
                <w:noProof/>
                <w:sz w:val="18"/>
              </w:rPr>
            </w:pPr>
            <w:r>
              <w:rPr>
                <w:b/>
                <w:noProof/>
                <w:sz w:val="18"/>
              </w:rPr>
              <w:t>6.</w:t>
            </w:r>
            <w:r>
              <w:rPr>
                <w:noProof/>
              </w:rPr>
              <w:tab/>
            </w:r>
            <w:r>
              <w:rPr>
                <w:b/>
                <w:noProof/>
                <w:sz w:val="18"/>
              </w:rPr>
              <w:t>Kuljetusta koskevat tiedot</w:t>
            </w:r>
            <w:r>
              <w:rPr>
                <w:noProof/>
                <w:sz w:val="18"/>
              </w:rPr>
              <w:t xml:space="preserve"> (merkintä ei pakollinen)</w:t>
            </w:r>
          </w:p>
          <w:p>
            <w:pPr>
              <w:spacing w:before="0" w:after="0"/>
              <w:rPr>
                <w:noProof/>
                <w:sz w:val="18"/>
              </w:rPr>
            </w:pPr>
          </w:p>
        </w:tc>
        <w:tc>
          <w:tcPr>
            <w:tcW w:w="2572" w:type="pct"/>
            <w:gridSpan w:val="4"/>
            <w:tcBorders>
              <w:top w:val="single" w:sz="6" w:space="0" w:color="auto"/>
              <w:left w:val="single" w:sz="6" w:space="0" w:color="auto"/>
              <w:bottom w:val="single" w:sz="6" w:space="0" w:color="auto"/>
              <w:righ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noProof/>
                <w:sz w:val="18"/>
              </w:rPr>
            </w:pPr>
            <w:r>
              <w:rPr>
                <w:b/>
                <w:noProof/>
                <w:sz w:val="18"/>
              </w:rPr>
              <w:t>7.</w:t>
            </w:r>
            <w:r>
              <w:rPr>
                <w:noProof/>
              </w:rPr>
              <w:tab/>
            </w:r>
            <w:r>
              <w:rPr>
                <w:b/>
                <w:noProof/>
                <w:sz w:val="18"/>
              </w:rPr>
              <w:t>Huomautuksia</w:t>
            </w:r>
          </w:p>
        </w:tc>
      </w:tr>
      <w:tr>
        <w:trPr>
          <w:cantSplit/>
          <w:trHeight w:val="4022"/>
          <w:jc w:val="right"/>
        </w:trPr>
        <w:tc>
          <w:tcPr>
            <w:tcW w:w="3179" w:type="pct"/>
            <w:gridSpan w:val="2"/>
            <w:tcBorders>
              <w:top w:val="single" w:sz="6" w:space="0" w:color="auto"/>
              <w:left w:val="single" w:sz="6" w:space="0" w:color="auto"/>
              <w:bottom w:val="single" w:sz="6" w:space="0" w:color="auto"/>
            </w:tcBorders>
          </w:tcPr>
          <w:p>
            <w:pPr>
              <w:spacing w:before="0" w:after="0"/>
              <w:ind w:left="340" w:hanging="340"/>
              <w:rPr>
                <w:noProof/>
                <w:sz w:val="18"/>
              </w:rPr>
            </w:pPr>
            <w:r>
              <w:rPr>
                <w:b/>
                <w:noProof/>
                <w:sz w:val="18"/>
              </w:rPr>
              <w:t>8.</w:t>
            </w:r>
            <w:r>
              <w:rPr>
                <w:noProof/>
              </w:rPr>
              <w:tab/>
            </w:r>
            <w:r>
              <w:rPr>
                <w:b/>
                <w:noProof/>
                <w:sz w:val="18"/>
              </w:rPr>
              <w:t xml:space="preserve">Järjestysnumero; Kollien merkit, numerot, lukumäärä ja lajit </w:t>
            </w:r>
            <w:r>
              <w:rPr>
                <w:b/>
                <w:noProof/>
                <w:sz w:val="18"/>
                <w:szCs w:val="18"/>
                <w:vertAlign w:val="superscript"/>
              </w:rPr>
              <w:t>(1)</w:t>
            </w:r>
            <w:r>
              <w:rPr>
                <w:b/>
                <w:noProof/>
                <w:sz w:val="18"/>
              </w:rPr>
              <w:t>;</w:t>
            </w:r>
            <w:r>
              <w:rPr>
                <w:b/>
                <w:noProof/>
                <w:sz w:val="18"/>
                <w:vertAlign w:val="superscript"/>
              </w:rPr>
              <w:t xml:space="preserve"> </w:t>
            </w:r>
            <w:r>
              <w:rPr>
                <w:b/>
                <w:noProof/>
                <w:sz w:val="18"/>
              </w:rPr>
              <w:t>Tavaran kuvaus</w:t>
            </w:r>
          </w:p>
        </w:tc>
        <w:tc>
          <w:tcPr>
            <w:tcW w:w="875" w:type="pct"/>
            <w:gridSpan w:val="2"/>
            <w:tcBorders>
              <w:top w:val="single" w:sz="6" w:space="0" w:color="auto"/>
              <w:left w:val="single" w:sz="6" w:space="0" w:color="auto"/>
              <w:bottom w:val="single" w:sz="6" w:space="0" w:color="auto"/>
              <w:right w:val="single" w:sz="6" w:space="0" w:color="auto"/>
            </w:tcBorders>
          </w:tcPr>
          <w:p>
            <w:pPr>
              <w:tabs>
                <w:tab w:val="left" w:pos="0"/>
                <w:tab w:val="left" w:pos="339"/>
                <w:tab w:val="left" w:pos="679"/>
                <w:tab w:val="left" w:pos="1019"/>
                <w:tab w:val="left" w:pos="1358"/>
                <w:tab w:val="left" w:pos="1698"/>
                <w:tab w:val="left" w:pos="2037"/>
                <w:tab w:val="left" w:pos="2377"/>
                <w:tab w:val="left" w:pos="2717"/>
                <w:tab w:val="left" w:pos="3056"/>
                <w:tab w:val="left" w:pos="3396"/>
                <w:tab w:val="left" w:pos="3735"/>
                <w:tab w:val="left" w:pos="4075"/>
                <w:tab w:val="left" w:pos="4415"/>
                <w:tab w:val="left" w:pos="4754"/>
                <w:tab w:val="left" w:pos="5094"/>
                <w:tab w:val="left" w:pos="5433"/>
                <w:tab w:val="left" w:pos="5773"/>
                <w:tab w:val="left" w:pos="6113"/>
                <w:tab w:val="left" w:pos="6452"/>
                <w:tab w:val="left" w:pos="6792"/>
                <w:tab w:val="left" w:pos="7131"/>
                <w:tab w:val="left" w:pos="7471"/>
                <w:tab w:val="left" w:pos="7811"/>
                <w:tab w:val="left" w:pos="8150"/>
                <w:tab w:val="left" w:pos="8490"/>
                <w:tab w:val="left" w:pos="8829"/>
                <w:tab w:val="left" w:pos="9169"/>
                <w:tab w:val="left" w:pos="9509"/>
                <w:tab w:val="left" w:pos="9848"/>
                <w:tab w:val="left" w:pos="10188"/>
              </w:tabs>
              <w:spacing w:before="0" w:after="0"/>
              <w:ind w:left="340" w:hanging="340"/>
              <w:rPr>
                <w:noProof/>
                <w:sz w:val="18"/>
              </w:rPr>
            </w:pPr>
            <w:r>
              <w:rPr>
                <w:b/>
                <w:noProof/>
                <w:sz w:val="18"/>
              </w:rPr>
              <w:t>9.</w:t>
            </w:r>
            <w:r>
              <w:rPr>
                <w:noProof/>
              </w:rPr>
              <w:tab/>
            </w:r>
            <w:r>
              <w:rPr>
                <w:b/>
                <w:noProof/>
                <w:sz w:val="18"/>
              </w:rPr>
              <w:t>Bruttomassa (kg) tai muu mitta (l, m³, jne.)</w:t>
            </w:r>
          </w:p>
        </w:tc>
        <w:tc>
          <w:tcPr>
            <w:tcW w:w="947" w:type="pct"/>
            <w:tcBorders>
              <w:top w:val="single" w:sz="6" w:space="0" w:color="auto"/>
              <w:bottom w:val="single" w:sz="6" w:space="0" w:color="auto"/>
              <w:right w:val="single" w:sz="6" w:space="0" w:color="auto"/>
            </w:tcBorders>
          </w:tcPr>
          <w:p>
            <w:pPr>
              <w:spacing w:before="0" w:after="0"/>
              <w:ind w:left="340" w:hanging="340"/>
              <w:rPr>
                <w:noProof/>
                <w:sz w:val="18"/>
              </w:rPr>
            </w:pPr>
            <w:r>
              <w:rPr>
                <w:b/>
                <w:noProof/>
                <w:sz w:val="18"/>
              </w:rPr>
              <w:t>10.</w:t>
            </w:r>
            <w:r>
              <w:rPr>
                <w:noProof/>
              </w:rPr>
              <w:tab/>
            </w:r>
            <w:r>
              <w:rPr>
                <w:b/>
                <w:noProof/>
                <w:sz w:val="18"/>
              </w:rPr>
              <w:t>Kauppalaskut</w:t>
            </w:r>
            <w:r>
              <w:rPr>
                <w:noProof/>
              </w:rPr>
              <w:t xml:space="preserve"> </w:t>
            </w:r>
            <w:r>
              <w:rPr>
                <w:noProof/>
              </w:rPr>
              <w:br/>
            </w:r>
            <w:r>
              <w:rPr>
                <w:noProof/>
                <w:sz w:val="18"/>
              </w:rPr>
              <w:t>(merkintä ei pakollinen)</w:t>
            </w:r>
          </w:p>
        </w:tc>
      </w:tr>
    </w:tbl>
    <w:p>
      <w:pPr>
        <w:pStyle w:val="Text1"/>
        <w:tabs>
          <w:tab w:val="left" w:pos="1418"/>
        </w:tabs>
        <w:spacing w:before="60" w:after="60"/>
        <w:ind w:left="851"/>
        <w:rPr>
          <w:noProof/>
          <w:sz w:val="18"/>
        </w:rPr>
      </w:pPr>
      <w:r>
        <w:rPr>
          <w:b/>
          <w:noProof/>
          <w:sz w:val="18"/>
          <w:vertAlign w:val="superscript"/>
        </w:rPr>
        <w:t>(1)</w:t>
      </w:r>
      <w:r>
        <w:rPr>
          <w:noProof/>
        </w:rPr>
        <w:tab/>
      </w:r>
      <w:r>
        <w:rPr>
          <w:noProof/>
          <w:sz w:val="18"/>
        </w:rPr>
        <w:t>Pakkaamattomien tavaroiden osalta ilmoitetaan kappalemäärä tai tehdään merkintä ”irtotavaraa”.</w:t>
      </w:r>
    </w:p>
    <w:p>
      <w:pPr>
        <w:pStyle w:val="Text1"/>
        <w:rPr>
          <w:noProof/>
        </w:rPr>
      </w:pPr>
      <w:r>
        <w:rPr>
          <w:noProof/>
        </w:rPr>
        <w:br w:type="page"/>
        <w:t>VIEJÄN ILMOITUS</w:t>
      </w:r>
    </w:p>
    <w:p>
      <w:pPr>
        <w:pStyle w:val="Text1"/>
        <w:rPr>
          <w:noProof/>
        </w:rPr>
      </w:pPr>
      <w:r>
        <w:rPr>
          <w:noProof/>
        </w:rPr>
        <w:t>Allekirjoittanut kääntöpuolella mainittujen tavaroiden viejä</w:t>
      </w:r>
    </w:p>
    <w:p>
      <w:pPr>
        <w:pStyle w:val="Text1"/>
        <w:rPr>
          <w:noProof/>
        </w:rPr>
      </w:pPr>
      <w:r>
        <w:rPr>
          <w:noProof/>
        </w:rPr>
        <w:t>ILMOITTAA, että nämä tavarat täyttävät oheisen todistuksen saamiseksi vaadittavat edellytykset;</w:t>
      </w:r>
    </w:p>
    <w:p>
      <w:pPr>
        <w:pStyle w:val="Text1"/>
        <w:rPr>
          <w:noProof/>
        </w:rPr>
      </w:pPr>
      <w:r>
        <w:rPr>
          <w:noProof/>
        </w:rPr>
        <w:t>MAINITSEE seuraavassa seikat, joiden nojalla nämä tavarat täyttävät mainitut edellytykset:</w:t>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ab/>
      </w:r>
    </w:p>
    <w:p>
      <w:pPr>
        <w:pStyle w:val="Text1"/>
        <w:rPr>
          <w:noProof/>
        </w:rPr>
      </w:pPr>
      <w:r>
        <w:rPr>
          <w:noProof/>
        </w:rPr>
        <w:t>ESITTÄÄ seuraavat todistusasiakirjat</w:t>
      </w:r>
      <w:r>
        <w:rPr>
          <w:rStyle w:val="FootnoteReference"/>
          <w:noProof/>
        </w:rPr>
        <w:footnoteReference w:id="7"/>
      </w:r>
      <w:r>
        <w:rPr>
          <w:noProof/>
        </w:rPr>
        <w:t>:</w:t>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ab/>
      </w:r>
    </w:p>
    <w:p>
      <w:pPr>
        <w:pStyle w:val="Text1"/>
        <w:tabs>
          <w:tab w:val="left" w:leader="dot" w:pos="9639"/>
        </w:tabs>
        <w:ind w:left="851"/>
        <w:rPr>
          <w:noProof/>
        </w:rPr>
      </w:pPr>
      <w:r>
        <w:rPr>
          <w:noProof/>
        </w:rPr>
        <w:t>SITOUTUU esittämään asianomaisten viranomaisten pyynnöstä kaiken sen lisätodistusaineiston, jonka ne mahdollisesti katsovat tarpeelliseksi oheisen todistuksen antamiseksi, sekä tarvittaessa hyväksymään kaikki mainittujen viranomaisten suorittamat, kirjanpitoonsa ja yllä mainittujen tavaroiden valmistusolosuhteisiin kohdistuvat tarkastukset;</w:t>
      </w:r>
    </w:p>
    <w:p>
      <w:pPr>
        <w:pStyle w:val="Text1"/>
        <w:rPr>
          <w:noProof/>
        </w:rPr>
      </w:pPr>
      <w:r>
        <w:rPr>
          <w:noProof/>
        </w:rPr>
        <w:t>PYYTÄÄ, että näille tavaroille annettaisiin oheinen todistus.</w:t>
      </w:r>
    </w:p>
    <w:p>
      <w:pPr>
        <w:pStyle w:val="Text1"/>
        <w:tabs>
          <w:tab w:val="left" w:leader="dot" w:pos="9639"/>
        </w:tabs>
        <w:ind w:left="851"/>
        <w:jc w:val="right"/>
        <w:rPr>
          <w:noProof/>
        </w:rPr>
      </w:pPr>
      <w:r>
        <w:rPr>
          <w:noProof/>
        </w:rPr>
        <w:tab/>
        <w:t xml:space="preserve"> </w:t>
      </w:r>
      <w:r>
        <w:rPr>
          <w:noProof/>
        </w:rPr>
        <w:br/>
        <w:t>(Paikka ja päiväys)</w:t>
      </w:r>
    </w:p>
    <w:p>
      <w:pPr>
        <w:pStyle w:val="Text1"/>
        <w:tabs>
          <w:tab w:val="left" w:leader="dot" w:pos="9639"/>
        </w:tabs>
        <w:ind w:left="851"/>
        <w:jc w:val="right"/>
        <w:rPr>
          <w:noProof/>
        </w:rPr>
      </w:pPr>
      <w:r>
        <w:rPr>
          <w:noProof/>
        </w:rPr>
        <w:tab/>
        <w:t xml:space="preserve"> </w:t>
      </w:r>
      <w:r>
        <w:rPr>
          <w:noProof/>
        </w:rPr>
        <w:br/>
        <w:t>(Allekirjoitus)</w:t>
      </w:r>
    </w:p>
    <w:p>
      <w:pPr>
        <w:pStyle w:val="Text1"/>
        <w:jc w:val="center"/>
        <w:rPr>
          <w:i/>
          <w:noProof/>
        </w:rPr>
      </w:pPr>
      <w:r>
        <w:rPr>
          <w:noProof/>
        </w:rPr>
        <w:br w:type="page"/>
      </w:r>
      <w:r>
        <w:rPr>
          <w:i/>
          <w:noProof/>
        </w:rPr>
        <w:t>LIITE V</w:t>
      </w:r>
    </w:p>
    <w:p>
      <w:pPr>
        <w:pStyle w:val="Text1"/>
        <w:jc w:val="center"/>
        <w:rPr>
          <w:b/>
          <w:noProof/>
        </w:rPr>
      </w:pPr>
      <w:r>
        <w:rPr>
          <w:b/>
          <w:noProof/>
        </w:rPr>
        <w:t>CEUTAN JA MELILLAN ALKUPERÄTUOTTEITA KOSKEVAT ERITYISEDELLYTYKSET</w:t>
      </w:r>
    </w:p>
    <w:p>
      <w:pPr>
        <w:pStyle w:val="Text1"/>
        <w:jc w:val="center"/>
        <w:rPr>
          <w:i/>
          <w:noProof/>
        </w:rPr>
      </w:pPr>
      <w:r>
        <w:rPr>
          <w:i/>
          <w:noProof/>
        </w:rPr>
        <w:t>Ainoa artikla</w:t>
      </w:r>
    </w:p>
    <w:p>
      <w:pPr>
        <w:pStyle w:val="Point1"/>
        <w:rPr>
          <w:noProof/>
        </w:rPr>
      </w:pPr>
      <w:r>
        <w:rPr>
          <w:noProof/>
        </w:rPr>
        <w:t>1.</w:t>
      </w:r>
      <w:r>
        <w:rPr>
          <w:noProof/>
        </w:rPr>
        <w:tab/>
        <w:t>Jos tuotteet ovat lisäyksessä A olevan 14 artiklan muuttumattomuussäännön mukaisia, ne katsotaan</w:t>
      </w:r>
    </w:p>
    <w:p>
      <w:pPr>
        <w:pStyle w:val="Point2"/>
        <w:rPr>
          <w:noProof/>
        </w:rPr>
      </w:pPr>
      <w:r>
        <w:rPr>
          <w:noProof/>
        </w:rPr>
        <w:t>(1)</w:t>
      </w:r>
      <w:r>
        <w:rPr>
          <w:noProof/>
        </w:rPr>
        <w:tab/>
        <w:t>Ceutan ja Melillan alkuperätuotteiksi</w:t>
      </w:r>
    </w:p>
    <w:p>
      <w:pPr>
        <w:pStyle w:val="Point3"/>
        <w:rPr>
          <w:noProof/>
        </w:rPr>
      </w:pPr>
      <w:r>
        <w:rPr>
          <w:noProof/>
        </w:rPr>
        <w:t>a)</w:t>
      </w:r>
      <w:r>
        <w:rPr>
          <w:noProof/>
        </w:rPr>
        <w:tab/>
        <w:t>Ceutassa ja Melillassa kokonaan tuotetut tuotteet;</w:t>
      </w:r>
    </w:p>
    <w:p>
      <w:pPr>
        <w:pStyle w:val="Point3"/>
        <w:rPr>
          <w:noProof/>
        </w:rPr>
      </w:pPr>
      <w:r>
        <w:rPr>
          <w:noProof/>
        </w:rPr>
        <w:t>b)</w:t>
      </w:r>
      <w:r>
        <w:rPr>
          <w:noProof/>
        </w:rPr>
        <w:tab/>
        <w:t>Ceutassa ja Melillassa tuotetut tuotteet, joiden valmistuksessa on käytetty muita tuotteita kuin Ceutassa ja Melillassa kokonaan tuotettuja tuotteita, jos</w:t>
      </w:r>
    </w:p>
    <w:p>
      <w:pPr>
        <w:pStyle w:val="Point4"/>
        <w:rPr>
          <w:noProof/>
        </w:rPr>
      </w:pPr>
      <w:r>
        <w:rPr>
          <w:noProof/>
        </w:rPr>
        <w:t>i)</w:t>
      </w:r>
      <w:r>
        <w:rPr>
          <w:noProof/>
        </w:rPr>
        <w:tab/>
        <w:t>näille tuotteille on suoritettu lisäyksessä A olevan 4 artiklan mukainen riittävä valmistus tai käsittely; tai</w:t>
      </w:r>
    </w:p>
    <w:p>
      <w:pPr>
        <w:pStyle w:val="Point4"/>
        <w:rPr>
          <w:noProof/>
        </w:rPr>
      </w:pPr>
      <w:r>
        <w:rPr>
          <w:noProof/>
        </w:rPr>
        <w:t>(ii)</w:t>
      </w:r>
      <w:r>
        <w:rPr>
          <w:noProof/>
        </w:rPr>
        <w:tab/>
        <w:t>kyseiset tuotteet ovat Turkin tai Euroopan unionin alkuperätuotteita, edellyttäen että niitä on valmistettu tai käsitelty tämän lisäyksen 6 artiklassa tarkoitettuja toimenpiteitä enemmän.</w:t>
      </w:r>
    </w:p>
    <w:p>
      <w:pPr>
        <w:pStyle w:val="Point2"/>
        <w:rPr>
          <w:noProof/>
        </w:rPr>
      </w:pPr>
      <w:r>
        <w:rPr>
          <w:noProof/>
        </w:rPr>
        <w:t>(2)</w:t>
      </w:r>
      <w:r>
        <w:rPr>
          <w:noProof/>
        </w:rPr>
        <w:tab/>
        <w:t>Turkin alkuperätuotteiksi</w:t>
      </w:r>
    </w:p>
    <w:p>
      <w:pPr>
        <w:pStyle w:val="Point3"/>
        <w:rPr>
          <w:noProof/>
        </w:rPr>
      </w:pPr>
      <w:r>
        <w:rPr>
          <w:noProof/>
        </w:rPr>
        <w:t>a)</w:t>
      </w:r>
      <w:r>
        <w:rPr>
          <w:noProof/>
        </w:rPr>
        <w:tab/>
        <w:t xml:space="preserve">Turkissa kokonaan tuotetut tuotteet;   </w:t>
      </w:r>
    </w:p>
    <w:p>
      <w:pPr>
        <w:pStyle w:val="Point3"/>
        <w:rPr>
          <w:noProof/>
        </w:rPr>
      </w:pPr>
      <w:r>
        <w:rPr>
          <w:noProof/>
        </w:rPr>
        <w:t>b)</w:t>
      </w:r>
      <w:r>
        <w:rPr>
          <w:noProof/>
        </w:rPr>
        <w:tab/>
        <w:t>Turkissa tuotetut tuotteet, joiden valmistuksessa on käytetty muita kuin kokonaan tuotettuja tuotteita, jos</w:t>
      </w:r>
    </w:p>
    <w:p>
      <w:pPr>
        <w:pStyle w:val="Point4"/>
        <w:rPr>
          <w:noProof/>
        </w:rPr>
      </w:pPr>
      <w:r>
        <w:rPr>
          <w:noProof/>
        </w:rPr>
        <w:t>i)</w:t>
      </w:r>
      <w:r>
        <w:rPr>
          <w:noProof/>
        </w:rPr>
        <w:tab/>
        <w:t>näille tuotteille on suoritettu lisäyksessä A olevan 4 artiklan mukainen riittävä valmistus tai käsittely; tai</w:t>
      </w:r>
    </w:p>
    <w:p>
      <w:pPr>
        <w:pStyle w:val="Point4"/>
        <w:rPr>
          <w:noProof/>
        </w:rPr>
      </w:pPr>
      <w:r>
        <w:rPr>
          <w:noProof/>
        </w:rPr>
        <w:t>(ii)</w:t>
      </w:r>
      <w:r>
        <w:rPr>
          <w:noProof/>
        </w:rPr>
        <w:tab/>
        <w:t>kyseiset tuotteet ovat Ceutan ja Mellillan tai Euroopan unionin alkuperätuotteita, edellyttäen että niitä on valmistettu tai käsitelty lisäyksessä A olevassa 6 artiklassa tarkoitettuja toimenpiteitä enemmän.</w:t>
      </w:r>
    </w:p>
    <w:p>
      <w:pPr>
        <w:pStyle w:val="Point1"/>
        <w:rPr>
          <w:noProof/>
        </w:rPr>
      </w:pPr>
      <w:r>
        <w:rPr>
          <w:noProof/>
        </w:rPr>
        <w:t>2.</w:t>
      </w:r>
      <w:r>
        <w:rPr>
          <w:noProof/>
        </w:rPr>
        <w:tab/>
        <w:t>Ceutaa ja Melillaa pidetään yhtenä alueena.</w:t>
      </w:r>
    </w:p>
    <w:p>
      <w:pPr>
        <w:pStyle w:val="Point1"/>
        <w:rPr>
          <w:noProof/>
        </w:rPr>
      </w:pPr>
      <w:r>
        <w:rPr>
          <w:noProof/>
        </w:rPr>
        <w:t>3.</w:t>
      </w:r>
      <w:r>
        <w:rPr>
          <w:noProof/>
        </w:rPr>
        <w:tab/>
        <w:t>Viejän tai tämän valtuuttaman edustajan on merkittävä viejäosapuolen nimi sekä tehtävä merkintä ”Ceuta ja Melilla” EUR.1- tavaratodistusten 2 kohtaan tai alkuperäilmoituksiin. Kun kyseessä ovat Ceutan ja Melillan alkuperätuotteet, on lisäksi tehtävä alkuperäasemaa koskeva merkintä EUR.1-tavaratodistuksen 4 kohtaan tai alkuperäilmoitukseen.</w:t>
      </w:r>
    </w:p>
    <w:p>
      <w:pPr>
        <w:pStyle w:val="Point1"/>
        <w:rPr>
          <w:noProof/>
        </w:rPr>
      </w:pPr>
      <w:r>
        <w:rPr>
          <w:noProof/>
        </w:rPr>
        <w:t>4.</w:t>
      </w:r>
      <w:r>
        <w:rPr>
          <w:noProof/>
        </w:rPr>
        <w:tab/>
        <w:t>Espanjan tulliviranomaisten on vastattava näiden säännösten soveltamisesta Ceutassa ja Melillassa.</w:t>
      </w:r>
    </w:p>
    <w:p>
      <w:pPr>
        <w:pStyle w:val="Point1"/>
        <w:rPr>
          <w:noProof/>
        </w:rPr>
      </w:pPr>
    </w:p>
    <w:p>
      <w:pPr>
        <w:pStyle w:val="Point1"/>
        <w:ind w:left="0" w:firstLine="0"/>
        <w:rPr>
          <w:noProof/>
        </w:rPr>
      </w:pPr>
    </w:p>
    <w:p>
      <w:pPr>
        <w:pStyle w:val="Point1"/>
        <w:rPr>
          <w:noProof/>
        </w:rPr>
      </w:pPr>
    </w:p>
    <w:p>
      <w:pPr>
        <w:pStyle w:val="Point1"/>
        <w:rPr>
          <w:noProof/>
        </w:rPr>
      </w:pPr>
    </w:p>
    <w:p>
      <w:pPr>
        <w:pStyle w:val="Point1"/>
        <w:rPr>
          <w:noProof/>
        </w:rPr>
      </w:pPr>
    </w:p>
    <w:p>
      <w:pPr>
        <w:pStyle w:val="Point1"/>
        <w:jc w:val="center"/>
        <w:rPr>
          <w:i/>
          <w:noProof/>
        </w:rPr>
      </w:pPr>
      <w:r>
        <w:rPr>
          <w:i/>
          <w:noProof/>
        </w:rPr>
        <w:t>LIITE VI</w:t>
      </w:r>
    </w:p>
    <w:p>
      <w:pPr>
        <w:pStyle w:val="Text1"/>
        <w:jc w:val="center"/>
        <w:rPr>
          <w:b/>
          <w:noProof/>
        </w:rPr>
      </w:pPr>
      <w:r>
        <w:rPr>
          <w:b/>
          <w:noProof/>
        </w:rPr>
        <w:t>TAVARANTOIMITTAJAN ILMOITUS</w:t>
      </w:r>
    </w:p>
    <w:p>
      <w:pPr>
        <w:pStyle w:val="Text1"/>
        <w:rPr>
          <w:noProof/>
        </w:rPr>
      </w:pPr>
      <w:r>
        <w:rPr>
          <w:noProof/>
        </w:rPr>
        <w:t>Tavarantoimittajan ilmoitus, jonka teksti on jäljempänä, on laadittava alaviitteiden mukaisesti. Alaviitteitä ei kuitenkaan tarvitse sisällyttää ilmoitukseen.</w:t>
      </w:r>
    </w:p>
    <w:p>
      <w:pPr>
        <w:pStyle w:val="Text1"/>
        <w:jc w:val="left"/>
        <w:rPr>
          <w:noProof/>
        </w:rPr>
      </w:pPr>
      <w:r>
        <w:rPr>
          <w:noProof/>
        </w:rPr>
        <w:t xml:space="preserve">TAVARANTOIMITTAJAN ILMOITUS </w:t>
      </w:r>
      <w:r>
        <w:rPr>
          <w:noProof/>
        </w:rPr>
        <w:br/>
        <w:t>tavaroille, joita on valmistettu tai käsitelty soveltavissa sopimuspuolissa niiden saamatta etuuskohteluun oikeuttavaa alkuperäasemaa</w:t>
      </w:r>
    </w:p>
    <w:p>
      <w:pPr>
        <w:pStyle w:val="Text1"/>
        <w:rPr>
          <w:noProof/>
        </w:rPr>
      </w:pPr>
      <w:r>
        <w:rPr>
          <w:noProof/>
        </w:rPr>
        <w:t>Allekirjoittanut, oheisessa asiakirjassa mainittujen tavaroiden toimittaja, ilmoittaa että:</w:t>
      </w:r>
    </w:p>
    <w:p>
      <w:pPr>
        <w:pStyle w:val="Point1"/>
        <w:rPr>
          <w:noProof/>
        </w:rPr>
      </w:pPr>
      <w:r>
        <w:rPr>
          <w:noProof/>
        </w:rPr>
        <w:t>1.</w:t>
      </w:r>
      <w:r>
        <w:rPr>
          <w:noProof/>
        </w:rPr>
        <w:tab/>
        <w:t>Seuraavia aineksia, jotka eivät ole [asiaankuuluvien soveltavien sopimuspuolten] alkuperätuotteita, on käytetty [asiaankuuluvissa soveltavissa sopimuspuolissa] näiden tavaroiden tuottamiseksi: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1"/>
        <w:gridCol w:w="2322"/>
        <w:gridCol w:w="2314"/>
        <w:gridCol w:w="7"/>
        <w:gridCol w:w="2322"/>
      </w:tblGrid>
      <w:tr>
        <w:trPr>
          <w:jc w:val="center"/>
        </w:trPr>
        <w:tc>
          <w:tcPr>
            <w:tcW w:w="1250" w:type="pct"/>
            <w:vAlign w:val="center"/>
          </w:tcPr>
          <w:p>
            <w:pPr>
              <w:tabs>
                <w:tab w:val="left" w:pos="396"/>
                <w:tab w:val="left" w:pos="2494"/>
                <w:tab w:val="left" w:pos="5045"/>
                <w:tab w:val="center" w:pos="6803"/>
                <w:tab w:val="left" w:pos="7596"/>
              </w:tabs>
              <w:autoSpaceDE w:val="0"/>
              <w:autoSpaceDN w:val="0"/>
              <w:spacing w:before="60" w:after="60"/>
              <w:jc w:val="center"/>
              <w:rPr>
                <w:noProof/>
              </w:rPr>
            </w:pPr>
            <w:r>
              <w:rPr>
                <w:noProof/>
              </w:rPr>
              <w:t>Toimitettujen tavaroiden kuvaus</w:t>
            </w:r>
            <w:r>
              <w:rPr>
                <w:b/>
                <w:noProof/>
                <w:vertAlign w:val="superscript"/>
              </w:rPr>
              <w:t>(1)</w:t>
            </w:r>
          </w:p>
        </w:tc>
        <w:tc>
          <w:tcPr>
            <w:tcW w:w="1250" w:type="pct"/>
            <w:vAlign w:val="center"/>
          </w:tcPr>
          <w:p>
            <w:pPr>
              <w:tabs>
                <w:tab w:val="left" w:pos="396"/>
                <w:tab w:val="left" w:pos="2494"/>
                <w:tab w:val="left" w:pos="5045"/>
                <w:tab w:val="center" w:pos="6803"/>
                <w:tab w:val="left" w:pos="7596"/>
              </w:tabs>
              <w:autoSpaceDE w:val="0"/>
              <w:autoSpaceDN w:val="0"/>
              <w:spacing w:before="60" w:after="60"/>
              <w:jc w:val="center"/>
              <w:rPr>
                <w:rFonts w:asciiTheme="minorHAnsi" w:hAnsiTheme="minorHAnsi" w:cstheme="minorBidi"/>
                <w:noProof/>
                <w:sz w:val="22"/>
              </w:rPr>
            </w:pPr>
            <w:r>
              <w:rPr>
                <w:noProof/>
              </w:rPr>
              <w:t>Käytettyjen ei</w:t>
            </w:r>
            <w:r>
              <w:rPr>
                <w:noProof/>
              </w:rPr>
              <w:noBreakHyphen/>
              <w:t>alkuperäainesten kuvaus</w:t>
            </w:r>
          </w:p>
        </w:tc>
        <w:tc>
          <w:tcPr>
            <w:tcW w:w="1250" w:type="pct"/>
            <w:gridSpan w:val="2"/>
            <w:vAlign w:val="center"/>
          </w:tcPr>
          <w:p>
            <w:pPr>
              <w:tabs>
                <w:tab w:val="left" w:pos="396"/>
                <w:tab w:val="left" w:pos="2494"/>
                <w:tab w:val="left" w:pos="5045"/>
                <w:tab w:val="center" w:pos="6803"/>
                <w:tab w:val="left" w:pos="7596"/>
              </w:tabs>
              <w:autoSpaceDE w:val="0"/>
              <w:autoSpaceDN w:val="0"/>
              <w:spacing w:before="60" w:after="60"/>
              <w:jc w:val="center"/>
              <w:rPr>
                <w:rFonts w:asciiTheme="minorHAnsi" w:hAnsiTheme="minorHAnsi" w:cstheme="minorBidi"/>
                <w:noProof/>
                <w:sz w:val="22"/>
              </w:rPr>
            </w:pPr>
            <w:r>
              <w:rPr>
                <w:noProof/>
              </w:rPr>
              <w:t>Käytettyjen ei</w:t>
            </w:r>
            <w:r>
              <w:rPr>
                <w:noProof/>
              </w:rPr>
              <w:noBreakHyphen/>
              <w:t>alkuperäainesten nimike</w:t>
            </w:r>
            <w:r>
              <w:rPr>
                <w:b/>
                <w:noProof/>
                <w:vertAlign w:val="superscript"/>
              </w:rPr>
              <w:t>(2)</w:t>
            </w:r>
          </w:p>
        </w:tc>
        <w:tc>
          <w:tcPr>
            <w:tcW w:w="1250" w:type="pct"/>
            <w:vAlign w:val="center"/>
          </w:tcPr>
          <w:p>
            <w:pPr>
              <w:tabs>
                <w:tab w:val="left" w:pos="396"/>
                <w:tab w:val="left" w:pos="2494"/>
                <w:tab w:val="left" w:pos="5045"/>
                <w:tab w:val="center" w:pos="6803"/>
                <w:tab w:val="left" w:pos="7596"/>
              </w:tabs>
              <w:autoSpaceDE w:val="0"/>
              <w:autoSpaceDN w:val="0"/>
              <w:spacing w:before="60" w:after="60"/>
              <w:jc w:val="center"/>
              <w:rPr>
                <w:rFonts w:asciiTheme="minorHAnsi" w:hAnsiTheme="minorHAnsi" w:cstheme="minorBidi"/>
                <w:noProof/>
                <w:sz w:val="22"/>
              </w:rPr>
            </w:pPr>
            <w:r>
              <w:rPr>
                <w:noProof/>
              </w:rPr>
              <w:t>Käytettyjen ei</w:t>
            </w:r>
            <w:r>
              <w:rPr>
                <w:noProof/>
              </w:rPr>
              <w:noBreakHyphen/>
              <w:t>alkuperäainesten arvo</w:t>
            </w:r>
            <w:r>
              <w:rPr>
                <w:b/>
                <w:noProof/>
                <w:vertAlign w:val="superscript"/>
              </w:rPr>
              <w:t>(2)(3)</w:t>
            </w:r>
          </w:p>
        </w:tc>
      </w:tr>
      <w:tr>
        <w:trPr>
          <w:jc w:val="center"/>
        </w:trPr>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gridSpan w:val="2"/>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r>
      <w:tr>
        <w:trPr>
          <w:jc w:val="center"/>
        </w:trPr>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gridSpan w:val="2"/>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r>
      <w:tr>
        <w:trPr>
          <w:jc w:val="center"/>
        </w:trPr>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gridSpan w:val="2"/>
          </w:tcPr>
          <w:p>
            <w:pPr>
              <w:tabs>
                <w:tab w:val="left" w:pos="396"/>
                <w:tab w:val="left" w:pos="2494"/>
                <w:tab w:val="left" w:pos="5045"/>
                <w:tab w:val="center" w:pos="6803"/>
                <w:tab w:val="left" w:pos="7596"/>
              </w:tabs>
              <w:autoSpaceDE w:val="0"/>
              <w:autoSpaceDN w:val="0"/>
              <w:spacing w:before="60" w:after="60"/>
              <w:ind w:right="-766"/>
              <w:rPr>
                <w:noProof/>
              </w:rPr>
            </w:pPr>
          </w:p>
        </w:tc>
        <w:tc>
          <w:tcPr>
            <w:tcW w:w="1250" w:type="pct"/>
          </w:tcPr>
          <w:p>
            <w:pPr>
              <w:tabs>
                <w:tab w:val="left" w:pos="396"/>
                <w:tab w:val="left" w:pos="2494"/>
                <w:tab w:val="left" w:pos="5045"/>
                <w:tab w:val="center" w:pos="6803"/>
                <w:tab w:val="left" w:pos="7596"/>
              </w:tabs>
              <w:autoSpaceDE w:val="0"/>
              <w:autoSpaceDN w:val="0"/>
              <w:spacing w:before="60" w:after="60"/>
              <w:ind w:right="-766"/>
              <w:rPr>
                <w:noProof/>
              </w:rPr>
            </w:pPr>
          </w:p>
        </w:tc>
      </w:tr>
      <w:tr>
        <w:trPr>
          <w:jc w:val="center"/>
        </w:trPr>
        <w:tc>
          <w:tcPr>
            <w:tcW w:w="3746" w:type="pct"/>
            <w:gridSpan w:val="3"/>
          </w:tcPr>
          <w:p>
            <w:pPr>
              <w:tabs>
                <w:tab w:val="left" w:pos="396"/>
                <w:tab w:val="left" w:pos="2494"/>
                <w:tab w:val="left" w:pos="5045"/>
                <w:tab w:val="center" w:pos="6803"/>
                <w:tab w:val="left" w:pos="7596"/>
              </w:tabs>
              <w:autoSpaceDE w:val="0"/>
              <w:autoSpaceDN w:val="0"/>
              <w:spacing w:before="60" w:after="60"/>
              <w:jc w:val="right"/>
              <w:rPr>
                <w:noProof/>
              </w:rPr>
            </w:pPr>
            <w:r>
              <w:rPr>
                <w:noProof/>
              </w:rPr>
              <w:t>Yhteisarvo</w:t>
            </w:r>
          </w:p>
        </w:tc>
        <w:tc>
          <w:tcPr>
            <w:tcW w:w="1254" w:type="pct"/>
            <w:gridSpan w:val="2"/>
          </w:tcPr>
          <w:p>
            <w:pPr>
              <w:tabs>
                <w:tab w:val="left" w:pos="396"/>
                <w:tab w:val="left" w:pos="2494"/>
                <w:tab w:val="left" w:pos="5045"/>
                <w:tab w:val="center" w:pos="6803"/>
                <w:tab w:val="left" w:pos="7596"/>
              </w:tabs>
              <w:autoSpaceDE w:val="0"/>
              <w:autoSpaceDN w:val="0"/>
              <w:spacing w:before="60" w:after="60"/>
              <w:rPr>
                <w:noProof/>
              </w:rPr>
            </w:pPr>
          </w:p>
        </w:tc>
      </w:tr>
    </w:tbl>
    <w:p>
      <w:pPr>
        <w:pStyle w:val="Point1"/>
        <w:rPr>
          <w:noProof/>
        </w:rPr>
      </w:pPr>
      <w:r>
        <w:rPr>
          <w:noProof/>
        </w:rPr>
        <w:t>2.</w:t>
      </w:r>
      <w:r>
        <w:rPr>
          <w:noProof/>
        </w:rPr>
        <w:tab/>
        <w:t>Kaikki muut kyseisten tavaroiden tuottamiseksi [asiaankuuluvissa soveltavissa sopimuspuolissa] käytetyt ainekset ovat [asiaankuuluvien soveltavien sopimuspuolten] alkuperäaineksia;</w:t>
      </w:r>
    </w:p>
    <w:p>
      <w:pPr>
        <w:pStyle w:val="Point1"/>
        <w:rPr>
          <w:noProof/>
        </w:rPr>
      </w:pPr>
      <w:r>
        <w:rPr>
          <w:noProof/>
        </w:rPr>
        <w:t>3.</w:t>
      </w:r>
      <w:r>
        <w:rPr>
          <w:noProof/>
        </w:rPr>
        <w:tab/>
        <w:t>Seuraavia tavaroita on valmistettu tai käsitelty [asiaankuuluvien soveltavien sopimuspuolten] ulkopuolella lisäyksessä A olevan 13 artiklan mukaisesti, ja ne ovat saavuttaneet siellä yhteensä seuraavan arvonlisäyksen: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9"/>
        <w:gridCol w:w="5577"/>
      </w:tblGrid>
      <w:tr>
        <w:tc>
          <w:tcPr>
            <w:tcW w:w="1997" w:type="pct"/>
            <w:vAlign w:val="center"/>
          </w:tcPr>
          <w:p>
            <w:pPr>
              <w:autoSpaceDE w:val="0"/>
              <w:autoSpaceDN w:val="0"/>
              <w:spacing w:before="60" w:after="60"/>
              <w:jc w:val="center"/>
              <w:rPr>
                <w:noProof/>
              </w:rPr>
            </w:pPr>
            <w:r>
              <w:rPr>
                <w:noProof/>
              </w:rPr>
              <w:t>Toimitetun tavaran kuvaus</w:t>
            </w:r>
          </w:p>
        </w:tc>
        <w:tc>
          <w:tcPr>
            <w:tcW w:w="3003" w:type="pct"/>
            <w:vAlign w:val="center"/>
          </w:tcPr>
          <w:p>
            <w:pPr>
              <w:autoSpaceDE w:val="0"/>
              <w:autoSpaceDN w:val="0"/>
              <w:spacing w:before="60" w:after="60"/>
              <w:jc w:val="center"/>
              <w:rPr>
                <w:rFonts w:cstheme="minorBidi"/>
                <w:noProof/>
              </w:rPr>
            </w:pPr>
            <w:r>
              <w:rPr>
                <w:noProof/>
              </w:rPr>
              <w:t>[Asiaankuuluvien soveltavien sopimuspuolten] ulkopuolella saavutettu arvonlisäys yhteensä</w:t>
            </w:r>
            <w:r>
              <w:rPr>
                <w:b/>
                <w:noProof/>
                <w:vertAlign w:val="superscript"/>
              </w:rPr>
              <w:t>(</w:t>
            </w:r>
            <w:r>
              <w:rPr>
                <w:noProof/>
                <w:vertAlign w:val="superscript"/>
              </w:rPr>
              <w:t>4)</w:t>
            </w:r>
          </w:p>
        </w:tc>
      </w:tr>
      <w:tr>
        <w:tc>
          <w:tcPr>
            <w:tcW w:w="1997"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3003" w:type="pct"/>
          </w:tcPr>
          <w:p>
            <w:pPr>
              <w:tabs>
                <w:tab w:val="left" w:pos="396"/>
                <w:tab w:val="left" w:pos="2494"/>
                <w:tab w:val="left" w:pos="5045"/>
                <w:tab w:val="center" w:pos="6803"/>
                <w:tab w:val="left" w:pos="7596"/>
              </w:tabs>
              <w:autoSpaceDE w:val="0"/>
              <w:autoSpaceDN w:val="0"/>
              <w:spacing w:before="60" w:after="60"/>
              <w:ind w:right="-766"/>
              <w:rPr>
                <w:noProof/>
              </w:rPr>
            </w:pPr>
          </w:p>
        </w:tc>
      </w:tr>
      <w:tr>
        <w:tc>
          <w:tcPr>
            <w:tcW w:w="1997"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3003" w:type="pct"/>
          </w:tcPr>
          <w:p>
            <w:pPr>
              <w:tabs>
                <w:tab w:val="left" w:pos="396"/>
                <w:tab w:val="left" w:pos="2494"/>
                <w:tab w:val="left" w:pos="5045"/>
                <w:tab w:val="center" w:pos="6803"/>
                <w:tab w:val="left" w:pos="7596"/>
              </w:tabs>
              <w:autoSpaceDE w:val="0"/>
              <w:autoSpaceDN w:val="0"/>
              <w:spacing w:before="60" w:after="60"/>
              <w:ind w:right="-766"/>
              <w:rPr>
                <w:noProof/>
              </w:rPr>
            </w:pPr>
          </w:p>
        </w:tc>
      </w:tr>
      <w:tr>
        <w:tc>
          <w:tcPr>
            <w:tcW w:w="1997"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300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gridBefore w:val="1"/>
          <w:wBefore w:w="1997" w:type="pct"/>
          <w:trHeight w:val="330"/>
        </w:trPr>
        <w:tc>
          <w:tcPr>
            <w:tcW w:w="3003" w:type="pct"/>
          </w:tcPr>
          <w:p>
            <w:pPr>
              <w:tabs>
                <w:tab w:val="left" w:pos="0"/>
                <w:tab w:val="left" w:pos="5045"/>
                <w:tab w:val="center" w:pos="6803"/>
                <w:tab w:val="left" w:pos="7596"/>
              </w:tabs>
              <w:autoSpaceDE w:val="0"/>
              <w:autoSpaceDN w:val="0"/>
              <w:spacing w:before="60" w:after="60"/>
              <w:ind w:right="-766"/>
              <w:jc w:val="center"/>
              <w:rPr>
                <w:rFonts w:asciiTheme="minorHAnsi" w:hAnsiTheme="minorHAnsi" w:cstheme="minorBidi"/>
                <w:noProof/>
                <w:sz w:val="20"/>
              </w:rPr>
            </w:pPr>
            <w:r>
              <w:rPr>
                <w:noProof/>
                <w:sz w:val="20"/>
              </w:rPr>
              <w:t>(Paikka ja päiväys)</w:t>
            </w:r>
          </w:p>
        </w:tc>
      </w:tr>
      <w:tr>
        <w:trPr>
          <w:gridBefore w:val="1"/>
          <w:wBefore w:w="1997" w:type="pct"/>
          <w:trHeight w:val="315"/>
        </w:trPr>
        <w:tc>
          <w:tcPr>
            <w:tcW w:w="300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gridBefore w:val="1"/>
          <w:wBefore w:w="1997" w:type="pct"/>
          <w:trHeight w:val="315"/>
        </w:trPr>
        <w:tc>
          <w:tcPr>
            <w:tcW w:w="300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gridBefore w:val="1"/>
          <w:wBefore w:w="1997" w:type="pct"/>
          <w:trHeight w:val="315"/>
        </w:trPr>
        <w:tc>
          <w:tcPr>
            <w:tcW w:w="300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gridBefore w:val="1"/>
          <w:wBefore w:w="1997" w:type="pct"/>
          <w:trHeight w:val="375"/>
        </w:trPr>
        <w:tc>
          <w:tcPr>
            <w:tcW w:w="3003" w:type="pct"/>
          </w:tcPr>
          <w:p>
            <w:pPr>
              <w:tabs>
                <w:tab w:val="left" w:pos="396"/>
                <w:tab w:val="left" w:pos="2494"/>
                <w:tab w:val="left" w:pos="5045"/>
                <w:tab w:val="center" w:pos="6803"/>
                <w:tab w:val="left" w:pos="7596"/>
              </w:tabs>
              <w:autoSpaceDE w:val="0"/>
              <w:autoSpaceDN w:val="0"/>
              <w:spacing w:before="60" w:after="60"/>
              <w:jc w:val="center"/>
              <w:rPr>
                <w:noProof/>
                <w:sz w:val="20"/>
              </w:rPr>
            </w:pPr>
            <w:r>
              <w:rPr>
                <w:noProof/>
                <w:sz w:val="20"/>
              </w:rPr>
              <w:t xml:space="preserve">(Tavarantoimittajan osoite ja allekirjoitus; </w:t>
            </w:r>
            <w:r>
              <w:rPr>
                <w:noProof/>
              </w:rPr>
              <w:t xml:space="preserve"> </w:t>
            </w:r>
            <w:r>
              <w:rPr>
                <w:noProof/>
              </w:rPr>
              <w:br/>
              <w:t>lisäksi ilmoituksen allekirjoittajan nimi on selvennettävä)</w:t>
            </w:r>
          </w:p>
        </w:tc>
      </w:tr>
    </w:tbl>
    <w:p>
      <w:pPr>
        <w:pStyle w:val="Text1"/>
        <w:rPr>
          <w:noProof/>
        </w:rPr>
      </w:pPr>
      <w:r>
        <w:rPr>
          <w:noProof/>
        </w:rPr>
        <w:t>________________</w:t>
      </w:r>
    </w:p>
    <w:p>
      <w:pPr>
        <w:pStyle w:val="Point1"/>
        <w:spacing w:before="60" w:after="60"/>
        <w:ind w:left="1418"/>
        <w:rPr>
          <w:noProof/>
          <w:sz w:val="18"/>
          <w:szCs w:val="18"/>
        </w:rPr>
      </w:pPr>
      <w:r>
        <w:rPr>
          <w:b/>
          <w:noProof/>
          <w:sz w:val="20"/>
          <w:vertAlign w:val="superscript"/>
        </w:rPr>
        <w:t>(1)</w:t>
      </w:r>
      <w:r>
        <w:rPr>
          <w:noProof/>
        </w:rPr>
        <w:tab/>
      </w:r>
      <w:r>
        <w:rPr>
          <w:noProof/>
          <w:sz w:val="18"/>
          <w:szCs w:val="18"/>
        </w:rPr>
        <w:t>Kun kauppalasku, lähetysluettelo tai muu kaupallinen asiakirja, johon ilmoitus liittyy, koskee erilaisia tavaroita tai tavaroita, joiden valmistuksessa ei ole käytetty samassa suhteessa ei-alkuperäaineksia, tavarantoimittajan on selvästi eriteltävä ne.</w:t>
      </w:r>
    </w:p>
    <w:p>
      <w:pPr>
        <w:pStyle w:val="Text2"/>
        <w:spacing w:before="60" w:after="60"/>
        <w:ind w:left="1418"/>
        <w:rPr>
          <w:noProof/>
          <w:sz w:val="18"/>
          <w:szCs w:val="18"/>
        </w:rPr>
      </w:pPr>
      <w:r>
        <w:rPr>
          <w:noProof/>
          <w:sz w:val="18"/>
          <w:szCs w:val="18"/>
        </w:rPr>
        <w:t>Esimerkki:</w:t>
      </w:r>
    </w:p>
    <w:p>
      <w:pPr>
        <w:pStyle w:val="Text2"/>
        <w:spacing w:before="60" w:after="60"/>
        <w:ind w:left="1418"/>
        <w:rPr>
          <w:noProof/>
          <w:sz w:val="18"/>
          <w:szCs w:val="18"/>
        </w:rPr>
      </w:pPr>
      <w:r>
        <w:rPr>
          <w:noProof/>
          <w:sz w:val="18"/>
          <w:szCs w:val="18"/>
        </w:rPr>
        <w:t>Asiakirja koskee erimallisia nimikkeen 8501 sähkömoottoreita, joita käytetään nimikkeen 8450 pesukoneiden valmistuksessa. Näiden moottoreiden valmistuksessa käytettyjen ei-alkuperäainesten luonne ja arvo vaihtelevat mallista toiseen. Mallit on sen vuoksi eriteltävä ensimmäisessä sarakkeessa ja muihin sarakkeisiin on tehtävä eri merkinnät kunkin mallin osalta, jotta pesukoneiden valmistaja voi arvioida oikein tuotteidensa alkuperäaseman sen mukaan, mitä sähkömoottorimallia hän käyttää.</w:t>
      </w:r>
    </w:p>
    <w:p>
      <w:pPr>
        <w:pStyle w:val="Point1"/>
        <w:spacing w:before="60" w:after="60"/>
        <w:ind w:left="1418"/>
        <w:rPr>
          <w:noProof/>
          <w:sz w:val="18"/>
          <w:szCs w:val="18"/>
        </w:rPr>
      </w:pPr>
      <w:r>
        <w:rPr>
          <w:b/>
          <w:noProof/>
          <w:sz w:val="18"/>
          <w:szCs w:val="18"/>
          <w:vertAlign w:val="superscript"/>
        </w:rPr>
        <w:t>(2)</w:t>
      </w:r>
      <w:r>
        <w:rPr>
          <w:noProof/>
        </w:rPr>
        <w:tab/>
      </w:r>
      <w:r>
        <w:rPr>
          <w:noProof/>
          <w:sz w:val="18"/>
          <w:szCs w:val="18"/>
        </w:rPr>
        <w:t>Kyseisiin sarakkeisiin pyydetyt merkinnät tehdään vain tarvittaessa.</w:t>
      </w:r>
    </w:p>
    <w:p>
      <w:pPr>
        <w:pStyle w:val="Text2"/>
        <w:spacing w:before="60" w:after="60"/>
        <w:ind w:left="1418"/>
        <w:rPr>
          <w:noProof/>
          <w:sz w:val="18"/>
          <w:szCs w:val="18"/>
        </w:rPr>
      </w:pPr>
      <w:r>
        <w:rPr>
          <w:noProof/>
          <w:sz w:val="18"/>
          <w:szCs w:val="18"/>
        </w:rPr>
        <w:t>Esimerkkejä:</w:t>
      </w:r>
    </w:p>
    <w:p>
      <w:pPr>
        <w:pStyle w:val="Text2"/>
        <w:spacing w:before="60" w:after="60"/>
        <w:ind w:left="1418"/>
        <w:rPr>
          <w:noProof/>
          <w:sz w:val="18"/>
          <w:szCs w:val="18"/>
        </w:rPr>
      </w:pPr>
      <w:r>
        <w:rPr>
          <w:noProof/>
          <w:sz w:val="18"/>
          <w:szCs w:val="18"/>
        </w:rPr>
        <w:t xml:space="preserve">Ex 62 ryhmän vaatteita koskevassa säännössä todetaan, että kutominen yhdessä kankaan sovittamisen, mukaan lukien leikkaaminen, kanssa on sallittua. Jos tällaisten vaatteiden valmistaja soveltavassa sopimuspuolessa käyttää Euroopan unionista tuotua kangasta, joka on tuotettu siellä kutomalla ei-alkuperätuotetta olevasta langasta, Euroopan unionin tavarantoimittajan osalta riittää, että hän merkitsee ilmoitukseensa ei-alkuperäainekseksi langan eikä hänen tarvitse ilmoittaa langan nimikettä eikä arvoa.   </w:t>
      </w:r>
    </w:p>
    <w:p>
      <w:pPr>
        <w:pStyle w:val="Text2"/>
        <w:spacing w:before="60" w:after="60"/>
        <w:ind w:left="1418"/>
        <w:rPr>
          <w:noProof/>
          <w:sz w:val="18"/>
          <w:szCs w:val="18"/>
        </w:rPr>
      </w:pPr>
      <w:r>
        <w:rPr>
          <w:noProof/>
          <w:sz w:val="18"/>
          <w:szCs w:val="18"/>
        </w:rPr>
        <w:t>Nimikkeen 7217 rautalangan valmistajan, joka on valmistanut langan ei-alkuperätuotteita olevista rautatangoista, on merkittävä toiseen sarakkeeseen ”rautatankoja”. Jos tätä lankaa on määrä käyttää sellaisen koneen valmistuksessa, jota koskevassa säännössä kaikkien valmistuksessa käytettyjen ei-alkuperäainesten arvo rajoitetaan tiettyyn prosenttimäärään, kolmannessa sarakkeessa on ilmoitettava ei-alkuperätuotteita olevien tankojen arvo.</w:t>
      </w:r>
    </w:p>
    <w:p>
      <w:pPr>
        <w:pStyle w:val="Point1"/>
        <w:spacing w:before="60" w:after="60"/>
        <w:ind w:left="1418"/>
        <w:rPr>
          <w:noProof/>
          <w:sz w:val="18"/>
          <w:szCs w:val="18"/>
        </w:rPr>
      </w:pPr>
      <w:r>
        <w:rPr>
          <w:b/>
          <w:noProof/>
          <w:sz w:val="18"/>
          <w:szCs w:val="18"/>
          <w:vertAlign w:val="superscript"/>
        </w:rPr>
        <w:t>(3)</w:t>
      </w:r>
      <w:r>
        <w:rPr>
          <w:noProof/>
        </w:rPr>
        <w:tab/>
      </w:r>
      <w:r>
        <w:rPr>
          <w:noProof/>
          <w:sz w:val="18"/>
          <w:szCs w:val="18"/>
        </w:rPr>
        <w:t>Ilmaisulla ’ainesten arvo’ tarkoitetaan valmistuksessa käytettyjen ei-alkuperäainesten tullausarvoa tuontihetkellä tai, jos sitä ei tiedetä tai voida todeta, ensimmäistä todettavissa olevaa aineksista [asiaankuuluvissa soveltavissa sopimuspuolissa] maksettua hintaa.</w:t>
      </w:r>
    </w:p>
    <w:p>
      <w:pPr>
        <w:pStyle w:val="Text2"/>
        <w:spacing w:before="60" w:after="60"/>
        <w:ind w:left="1418"/>
        <w:rPr>
          <w:noProof/>
          <w:sz w:val="18"/>
          <w:szCs w:val="18"/>
        </w:rPr>
      </w:pPr>
      <w:r>
        <w:rPr>
          <w:noProof/>
          <w:sz w:val="18"/>
          <w:szCs w:val="18"/>
        </w:rPr>
        <w:t>Jokaisen valmistuksessa käytetyn ei-alkuperäaineksen tarkka arvo on ilmoitettava ensimmäisessä sarakkeessa kyseisen tavaran yksikköä kohti.</w:t>
      </w:r>
    </w:p>
    <w:p>
      <w:pPr>
        <w:pStyle w:val="Point1"/>
        <w:spacing w:before="60" w:after="60"/>
        <w:ind w:left="1418"/>
        <w:rPr>
          <w:noProof/>
          <w:sz w:val="18"/>
          <w:szCs w:val="18"/>
        </w:rPr>
      </w:pPr>
      <w:r>
        <w:rPr>
          <w:b/>
          <w:noProof/>
          <w:sz w:val="18"/>
          <w:szCs w:val="18"/>
          <w:vertAlign w:val="superscript"/>
        </w:rPr>
        <w:t>(4)</w:t>
      </w:r>
      <w:r>
        <w:rPr>
          <w:noProof/>
        </w:rPr>
        <w:tab/>
      </w:r>
      <w:r>
        <w:rPr>
          <w:noProof/>
          <w:sz w:val="18"/>
          <w:szCs w:val="18"/>
        </w:rPr>
        <w:t>Ilmaisulla ”arvonlisäys yhteensä” tarkoitetaan kaikkia [asiaankuuluvien soveltavien sopimuspuolten] ulkopuolella kertyneitä kustannuksia, mukaan lukien kaikkien siellä lisättyjen ainesten arvo. [Asiaankuuluvien soveltavien sopimuspuolten] ulkopuolella saavutetun arvonlisäyksen tarkka yhteisarvo on merkittävä ensimmäiseen sarakkeeseen kyseisen tavaran yksikköä kohti.</w:t>
      </w:r>
    </w:p>
    <w:p>
      <w:pPr>
        <w:pStyle w:val="Text1"/>
        <w:jc w:val="center"/>
        <w:rPr>
          <w:i/>
          <w:noProof/>
        </w:rPr>
      </w:pPr>
      <w:r>
        <w:rPr>
          <w:noProof/>
        </w:rPr>
        <w:br w:type="page"/>
      </w:r>
      <w:r>
        <w:rPr>
          <w:i/>
          <w:noProof/>
        </w:rPr>
        <w:t>LIITE VII</w:t>
      </w:r>
    </w:p>
    <w:p>
      <w:pPr>
        <w:pStyle w:val="Text1"/>
        <w:jc w:val="center"/>
        <w:rPr>
          <w:b/>
          <w:noProof/>
        </w:rPr>
      </w:pPr>
      <w:r>
        <w:rPr>
          <w:b/>
          <w:noProof/>
        </w:rPr>
        <w:t>TAVARANTOIMITTAJAN PITKÄAIKAISILMOITUS</w:t>
      </w:r>
    </w:p>
    <w:p>
      <w:pPr>
        <w:pStyle w:val="Text1"/>
        <w:rPr>
          <w:noProof/>
        </w:rPr>
      </w:pPr>
      <w:r>
        <w:rPr>
          <w:noProof/>
        </w:rPr>
        <w:t>Tavarantoimittajan pitkäaikaisilmoitus, jonka teksti on jäljempänä, on laadittava alaviitteiden mukaisesti. Alaviitteitä ei kuitenkaan tarvitse sisällyttää ilmoitukseen.</w:t>
      </w:r>
    </w:p>
    <w:p>
      <w:pPr>
        <w:pStyle w:val="Text1"/>
        <w:jc w:val="left"/>
        <w:rPr>
          <w:noProof/>
        </w:rPr>
      </w:pPr>
      <w:r>
        <w:rPr>
          <w:noProof/>
        </w:rPr>
        <w:t xml:space="preserve">TAVARANTOIMITTAJAN PITKÄAIKAISILMOITUS </w:t>
      </w:r>
      <w:r>
        <w:rPr>
          <w:noProof/>
        </w:rPr>
        <w:br/>
        <w:t>tavaroille, joita on valmistettu tai käsitelty soveltavassa sopimuspuolessa niiden saamatta etuuskohteluun oikeuttavaa alkuperäasemaa</w:t>
      </w:r>
    </w:p>
    <w:p>
      <w:pPr>
        <w:pStyle w:val="Text1"/>
        <w:rPr>
          <w:noProof/>
        </w:rPr>
      </w:pPr>
      <w:r>
        <w:rPr>
          <w:noProof/>
        </w:rPr>
        <w:t xml:space="preserve">Allekirjoittanut, oheisessa asiakirjassa mainittujen  </w:t>
      </w:r>
      <w:r>
        <w:rPr>
          <w:b/>
          <w:noProof/>
          <w:vertAlign w:val="superscript"/>
        </w:rPr>
        <w:t>(1)</w:t>
      </w:r>
      <w:r>
        <w:rPr>
          <w:noProof/>
        </w:rPr>
        <w:t>……………. säännöllisesti toimitettavien tavaroiden toimittaja ilmoittaa, että</w:t>
      </w:r>
    </w:p>
    <w:p>
      <w:pPr>
        <w:pStyle w:val="Point1"/>
        <w:rPr>
          <w:noProof/>
        </w:rPr>
      </w:pPr>
      <w:r>
        <w:rPr>
          <w:noProof/>
        </w:rPr>
        <w:t>1.</w:t>
      </w:r>
      <w:r>
        <w:rPr>
          <w:noProof/>
        </w:rPr>
        <w:tab/>
        <w:t>Seuraavia aineksia, jotka eivät ole [asiaankuuluvien soveltavien sopimuspuolten] alkuperätuotteita, on käytetty [asiaankuuluvissa soveltavissa sopimuspuolissa] näiden tavaroiden tuottamiseksi: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1"/>
        <w:gridCol w:w="2760"/>
        <w:gridCol w:w="2329"/>
        <w:gridCol w:w="1826"/>
      </w:tblGrid>
      <w:tr>
        <w:trPr>
          <w:jc w:val="center"/>
        </w:trPr>
        <w:tc>
          <w:tcPr>
            <w:tcW w:w="1277" w:type="pct"/>
            <w:vAlign w:val="center"/>
          </w:tcPr>
          <w:p>
            <w:pPr>
              <w:tabs>
                <w:tab w:val="left" w:pos="396"/>
                <w:tab w:val="left" w:pos="2494"/>
                <w:tab w:val="left" w:pos="5045"/>
                <w:tab w:val="center" w:pos="6803"/>
                <w:tab w:val="left" w:pos="7596"/>
              </w:tabs>
              <w:autoSpaceDE w:val="0"/>
              <w:autoSpaceDN w:val="0"/>
              <w:spacing w:before="60" w:after="60"/>
              <w:jc w:val="center"/>
              <w:rPr>
                <w:noProof/>
              </w:rPr>
            </w:pPr>
            <w:r>
              <w:rPr>
                <w:noProof/>
              </w:rPr>
              <w:t>Toimitettujen tavaroiden kuvaus</w:t>
            </w:r>
            <w:r>
              <w:rPr>
                <w:b/>
                <w:noProof/>
                <w:vertAlign w:val="superscript"/>
              </w:rPr>
              <w:t>(2)</w:t>
            </w:r>
          </w:p>
        </w:tc>
        <w:tc>
          <w:tcPr>
            <w:tcW w:w="1486" w:type="pct"/>
            <w:vAlign w:val="center"/>
          </w:tcPr>
          <w:p>
            <w:pPr>
              <w:tabs>
                <w:tab w:val="left" w:pos="396"/>
                <w:tab w:val="left" w:pos="2494"/>
                <w:tab w:val="left" w:pos="5045"/>
                <w:tab w:val="center" w:pos="6803"/>
                <w:tab w:val="left" w:pos="7596"/>
              </w:tabs>
              <w:autoSpaceDE w:val="0"/>
              <w:autoSpaceDN w:val="0"/>
              <w:spacing w:before="60" w:after="60"/>
              <w:jc w:val="center"/>
              <w:rPr>
                <w:noProof/>
              </w:rPr>
            </w:pPr>
            <w:r>
              <w:rPr>
                <w:noProof/>
              </w:rPr>
              <w:t>Käytettyjen ei</w:t>
            </w:r>
            <w:r>
              <w:rPr>
                <w:noProof/>
              </w:rPr>
              <w:noBreakHyphen/>
              <w:t>alkuperäainesten kuvaus</w:t>
            </w:r>
          </w:p>
        </w:tc>
        <w:tc>
          <w:tcPr>
            <w:tcW w:w="1254" w:type="pct"/>
            <w:vAlign w:val="center"/>
          </w:tcPr>
          <w:p>
            <w:pPr>
              <w:tabs>
                <w:tab w:val="left" w:pos="396"/>
                <w:tab w:val="left" w:pos="2494"/>
                <w:tab w:val="left" w:pos="5045"/>
                <w:tab w:val="center" w:pos="6803"/>
                <w:tab w:val="left" w:pos="7596"/>
              </w:tabs>
              <w:autoSpaceDE w:val="0"/>
              <w:autoSpaceDN w:val="0"/>
              <w:spacing w:before="60" w:after="60"/>
              <w:jc w:val="center"/>
              <w:rPr>
                <w:noProof/>
              </w:rPr>
            </w:pPr>
            <w:r>
              <w:rPr>
                <w:noProof/>
              </w:rPr>
              <w:t>Käytettyjen ei</w:t>
            </w:r>
            <w:r>
              <w:rPr>
                <w:noProof/>
              </w:rPr>
              <w:noBreakHyphen/>
              <w:t>alkuperäainesten nimike</w:t>
            </w:r>
            <w:r>
              <w:rPr>
                <w:b/>
                <w:noProof/>
                <w:vertAlign w:val="superscript"/>
              </w:rPr>
              <w:t>(3)</w:t>
            </w:r>
          </w:p>
        </w:tc>
        <w:tc>
          <w:tcPr>
            <w:tcW w:w="983" w:type="pct"/>
            <w:vAlign w:val="center"/>
          </w:tcPr>
          <w:p>
            <w:pPr>
              <w:tabs>
                <w:tab w:val="left" w:pos="396"/>
                <w:tab w:val="left" w:pos="2494"/>
                <w:tab w:val="left" w:pos="5045"/>
                <w:tab w:val="center" w:pos="6803"/>
                <w:tab w:val="left" w:pos="7596"/>
              </w:tabs>
              <w:autoSpaceDE w:val="0"/>
              <w:autoSpaceDN w:val="0"/>
              <w:spacing w:before="60" w:after="60"/>
              <w:jc w:val="center"/>
              <w:rPr>
                <w:noProof/>
              </w:rPr>
            </w:pPr>
            <w:r>
              <w:rPr>
                <w:noProof/>
              </w:rPr>
              <w:t>Käytettyjen ei</w:t>
            </w:r>
            <w:r>
              <w:rPr>
                <w:noProof/>
              </w:rPr>
              <w:noBreakHyphen/>
              <w:t>alkuperäainesten arvo</w:t>
            </w:r>
            <w:r>
              <w:rPr>
                <w:b/>
                <w:noProof/>
                <w:vertAlign w:val="superscript"/>
              </w:rPr>
              <w:t>(3)(4)</w:t>
            </w:r>
          </w:p>
        </w:tc>
      </w:tr>
      <w:tr>
        <w:trPr>
          <w:jc w:val="center"/>
        </w:trPr>
        <w:tc>
          <w:tcPr>
            <w:tcW w:w="1277"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486"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4"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98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jc w:val="center"/>
        </w:trPr>
        <w:tc>
          <w:tcPr>
            <w:tcW w:w="1277"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486"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4"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98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jc w:val="center"/>
        </w:trPr>
        <w:tc>
          <w:tcPr>
            <w:tcW w:w="1277"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486"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1254"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983" w:type="pct"/>
          </w:tcPr>
          <w:p>
            <w:pPr>
              <w:tabs>
                <w:tab w:val="left" w:pos="396"/>
                <w:tab w:val="left" w:pos="2494"/>
                <w:tab w:val="left" w:pos="5045"/>
                <w:tab w:val="center" w:pos="6803"/>
                <w:tab w:val="left" w:pos="7596"/>
              </w:tabs>
              <w:autoSpaceDE w:val="0"/>
              <w:autoSpaceDN w:val="0"/>
              <w:spacing w:before="60" w:after="60"/>
              <w:ind w:right="-766"/>
              <w:rPr>
                <w:noProof/>
              </w:rPr>
            </w:pPr>
          </w:p>
        </w:tc>
      </w:tr>
      <w:tr>
        <w:trPr>
          <w:jc w:val="center"/>
        </w:trPr>
        <w:tc>
          <w:tcPr>
            <w:tcW w:w="4017" w:type="pct"/>
            <w:gridSpan w:val="3"/>
          </w:tcPr>
          <w:p>
            <w:pPr>
              <w:tabs>
                <w:tab w:val="left" w:pos="396"/>
                <w:tab w:val="left" w:pos="2494"/>
                <w:tab w:val="left" w:pos="5045"/>
                <w:tab w:val="center" w:pos="6803"/>
                <w:tab w:val="left" w:pos="7596"/>
              </w:tabs>
              <w:autoSpaceDE w:val="0"/>
              <w:autoSpaceDN w:val="0"/>
              <w:spacing w:before="60" w:after="60"/>
              <w:jc w:val="right"/>
              <w:rPr>
                <w:noProof/>
              </w:rPr>
            </w:pPr>
            <w:r>
              <w:rPr>
                <w:noProof/>
              </w:rPr>
              <w:t>Yhteisarvo</w:t>
            </w:r>
          </w:p>
        </w:tc>
        <w:tc>
          <w:tcPr>
            <w:tcW w:w="983" w:type="pct"/>
          </w:tcPr>
          <w:p>
            <w:pPr>
              <w:tabs>
                <w:tab w:val="left" w:pos="396"/>
                <w:tab w:val="left" w:pos="2494"/>
                <w:tab w:val="left" w:pos="5045"/>
                <w:tab w:val="center" w:pos="6803"/>
                <w:tab w:val="left" w:pos="7596"/>
              </w:tabs>
              <w:autoSpaceDE w:val="0"/>
              <w:autoSpaceDN w:val="0"/>
              <w:spacing w:before="60" w:after="60"/>
              <w:rPr>
                <w:noProof/>
              </w:rPr>
            </w:pPr>
          </w:p>
        </w:tc>
      </w:tr>
    </w:tbl>
    <w:p>
      <w:pPr>
        <w:pStyle w:val="Point1"/>
        <w:rPr>
          <w:noProof/>
        </w:rPr>
      </w:pPr>
      <w:r>
        <w:rPr>
          <w:noProof/>
        </w:rPr>
        <w:t>2.</w:t>
      </w:r>
      <w:r>
        <w:rPr>
          <w:noProof/>
        </w:rPr>
        <w:tab/>
        <w:t>Kaikki muut kyseisten tavaroiden tuottamiseksi [asiaankuuluvissa soveltavissa sopimuspuolissa] käytetyt ainekset ovat [asiaankuuluvien soveltavien sopimuspuolten] alkuperäaineksia;</w:t>
      </w:r>
    </w:p>
    <w:p>
      <w:pPr>
        <w:pStyle w:val="Point1"/>
        <w:rPr>
          <w:noProof/>
        </w:rPr>
      </w:pPr>
      <w:r>
        <w:rPr>
          <w:noProof/>
        </w:rPr>
        <w:t>3.</w:t>
      </w:r>
      <w:r>
        <w:rPr>
          <w:noProof/>
        </w:rPr>
        <w:tab/>
        <w:t>Seuraavia tavaroita on valmistettu tai käsitelty [asiaankuuluvien soveltavien sopimuspuolten] ulkopuolella lisäyksessä A olevan 13 artiklan mukaisesti, ja ne ovat saavuttaneet siellä yhteensä seuraavan arvonlisäyksen:</w:t>
      </w:r>
    </w:p>
    <w:tbl>
      <w:tblPr>
        <w:tblW w:w="852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0"/>
        <w:gridCol w:w="5240"/>
      </w:tblGrid>
      <w:tr>
        <w:tc>
          <w:tcPr>
            <w:tcW w:w="1925" w:type="pct"/>
            <w:vAlign w:val="center"/>
          </w:tcPr>
          <w:p>
            <w:pPr>
              <w:autoSpaceDE w:val="0"/>
              <w:autoSpaceDN w:val="0"/>
              <w:spacing w:before="60" w:after="60"/>
              <w:jc w:val="center"/>
              <w:rPr>
                <w:rFonts w:eastAsia="Times New Roman"/>
                <w:noProof/>
                <w:szCs w:val="24"/>
              </w:rPr>
            </w:pPr>
            <w:r>
              <w:rPr>
                <w:noProof/>
              </w:rPr>
              <w:t>Toimitetun tavaran kuvaus</w:t>
            </w:r>
          </w:p>
        </w:tc>
        <w:tc>
          <w:tcPr>
            <w:tcW w:w="3075" w:type="pct"/>
            <w:vAlign w:val="center"/>
          </w:tcPr>
          <w:p>
            <w:pPr>
              <w:autoSpaceDE w:val="0"/>
              <w:autoSpaceDN w:val="0"/>
              <w:spacing w:before="60" w:after="60"/>
              <w:jc w:val="center"/>
              <w:rPr>
                <w:rFonts w:eastAsia="Times New Roman"/>
                <w:noProof/>
                <w:szCs w:val="24"/>
              </w:rPr>
            </w:pPr>
            <w:r>
              <w:rPr>
                <w:noProof/>
              </w:rPr>
              <w:t>[Asiaankuuluvien soveltavien sopimuspuolten] ulkopuolella saavutettu arvonlisäys yhteensä</w:t>
            </w:r>
            <w:r>
              <w:rPr>
                <w:b/>
                <w:bCs/>
                <w:noProof/>
                <w:szCs w:val="24"/>
                <w:vertAlign w:val="superscript"/>
              </w:rPr>
              <w:t>(</w:t>
            </w:r>
            <w:r>
              <w:rPr>
                <w:b/>
                <w:noProof/>
                <w:vertAlign w:val="superscript"/>
              </w:rPr>
              <w:t>5)</w:t>
            </w:r>
          </w:p>
        </w:tc>
      </w:tr>
      <w:tr>
        <w:tc>
          <w:tcPr>
            <w:tcW w:w="1925"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3075" w:type="pct"/>
          </w:tcPr>
          <w:p>
            <w:pPr>
              <w:tabs>
                <w:tab w:val="left" w:pos="396"/>
                <w:tab w:val="left" w:pos="2494"/>
                <w:tab w:val="left" w:pos="5045"/>
                <w:tab w:val="center" w:pos="6803"/>
                <w:tab w:val="left" w:pos="7596"/>
              </w:tabs>
              <w:autoSpaceDE w:val="0"/>
              <w:autoSpaceDN w:val="0"/>
              <w:spacing w:before="60" w:after="60"/>
              <w:ind w:right="-766"/>
              <w:rPr>
                <w:noProof/>
              </w:rPr>
            </w:pPr>
          </w:p>
        </w:tc>
      </w:tr>
      <w:tr>
        <w:tc>
          <w:tcPr>
            <w:tcW w:w="1925"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3075" w:type="pct"/>
          </w:tcPr>
          <w:p>
            <w:pPr>
              <w:tabs>
                <w:tab w:val="left" w:pos="396"/>
                <w:tab w:val="left" w:pos="2494"/>
                <w:tab w:val="left" w:pos="5045"/>
                <w:tab w:val="center" w:pos="6803"/>
                <w:tab w:val="left" w:pos="7596"/>
              </w:tabs>
              <w:autoSpaceDE w:val="0"/>
              <w:autoSpaceDN w:val="0"/>
              <w:spacing w:before="60" w:after="60"/>
              <w:ind w:right="-766"/>
              <w:rPr>
                <w:noProof/>
              </w:rPr>
            </w:pPr>
          </w:p>
        </w:tc>
      </w:tr>
      <w:tr>
        <w:tc>
          <w:tcPr>
            <w:tcW w:w="1925" w:type="pct"/>
          </w:tcPr>
          <w:p>
            <w:pPr>
              <w:tabs>
                <w:tab w:val="left" w:pos="396"/>
                <w:tab w:val="left" w:pos="2494"/>
                <w:tab w:val="left" w:pos="5045"/>
                <w:tab w:val="center" w:pos="6803"/>
                <w:tab w:val="left" w:pos="7596"/>
              </w:tabs>
              <w:autoSpaceDE w:val="0"/>
              <w:autoSpaceDN w:val="0"/>
              <w:spacing w:before="60" w:after="60"/>
              <w:ind w:right="-766"/>
              <w:rPr>
                <w:noProof/>
              </w:rPr>
            </w:pPr>
          </w:p>
        </w:tc>
        <w:tc>
          <w:tcPr>
            <w:tcW w:w="3075" w:type="pct"/>
          </w:tcPr>
          <w:p>
            <w:pPr>
              <w:tabs>
                <w:tab w:val="left" w:pos="396"/>
                <w:tab w:val="left" w:pos="2494"/>
                <w:tab w:val="left" w:pos="5045"/>
                <w:tab w:val="center" w:pos="6803"/>
                <w:tab w:val="left" w:pos="7596"/>
              </w:tabs>
              <w:autoSpaceDE w:val="0"/>
              <w:autoSpaceDN w:val="0"/>
              <w:spacing w:before="60" w:after="60"/>
              <w:ind w:right="-766"/>
              <w:rPr>
                <w:noProof/>
              </w:rPr>
            </w:pPr>
          </w:p>
        </w:tc>
      </w:tr>
    </w:tbl>
    <w:p>
      <w:pPr>
        <w:pStyle w:val="Text1"/>
        <w:rPr>
          <w:noProof/>
        </w:rPr>
      </w:pPr>
      <w:r>
        <w:rPr>
          <w:noProof/>
        </w:rPr>
        <w:t>Tämä ilmoitus on voimassa näiden tavaroiden kaikkien seuraavien lähetysten osalta, jotka lähetetään (mistä lähtien)………………………………………………………………</w:t>
      </w:r>
    </w:p>
    <w:p>
      <w:pPr>
        <w:pStyle w:val="Text1"/>
        <w:rPr>
          <w:noProof/>
          <w:vertAlign w:val="superscript"/>
        </w:rPr>
      </w:pPr>
      <w:r>
        <w:rPr>
          <w:noProof/>
        </w:rPr>
        <w:t>(mihin asti) ………………………………………………</w:t>
      </w:r>
      <w:r>
        <w:rPr>
          <w:b/>
          <w:bCs/>
          <w:noProof/>
          <w:szCs w:val="24"/>
          <w:vertAlign w:val="superscript"/>
        </w:rPr>
        <w:t>(</w:t>
      </w:r>
      <w:r>
        <w:rPr>
          <w:b/>
          <w:noProof/>
          <w:vertAlign w:val="superscript"/>
        </w:rPr>
        <w:t>6)</w:t>
      </w:r>
    </w:p>
    <w:p>
      <w:pPr>
        <w:pStyle w:val="Text1"/>
        <w:rPr>
          <w:noProof/>
        </w:rPr>
      </w:pPr>
      <w:r>
        <w:rPr>
          <w:noProof/>
        </w:rPr>
        <w:t xml:space="preserve">Sitoudun ilmoittamaan.... </w:t>
      </w:r>
      <w:r>
        <w:rPr>
          <w:b/>
          <w:bCs/>
          <w:noProof/>
          <w:szCs w:val="24"/>
          <w:vertAlign w:val="superscript"/>
        </w:rPr>
        <w:t>(</w:t>
      </w:r>
      <w:r>
        <w:rPr>
          <w:b/>
          <w:noProof/>
          <w:vertAlign w:val="superscript"/>
        </w:rPr>
        <w:t>1)</w:t>
      </w:r>
      <w:r>
        <w:rPr>
          <w:noProof/>
        </w:rPr>
        <w:t xml:space="preserve"> välittömästi, jos tämä ilmoitus ei ole enää voimassa.</w:t>
      </w:r>
    </w:p>
    <w:p>
      <w:pPr>
        <w:pStyle w:val="Text1"/>
        <w:rPr>
          <w:noProof/>
        </w:rPr>
      </w:pPr>
    </w:p>
    <w:tbl>
      <w:tblPr>
        <w:tblW w:w="408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tblGrid>
      <w:tr>
        <w:trPr>
          <w:trHeight w:val="330"/>
          <w:jc w:val="right"/>
        </w:trPr>
        <w:tc>
          <w:tcPr>
            <w:tcW w:w="4501" w:type="dxa"/>
          </w:tcPr>
          <w:p>
            <w:pPr>
              <w:tabs>
                <w:tab w:val="left" w:pos="0"/>
                <w:tab w:val="left" w:pos="40"/>
                <w:tab w:val="left" w:pos="5045"/>
                <w:tab w:val="center" w:pos="6803"/>
                <w:tab w:val="left" w:pos="7596"/>
              </w:tabs>
              <w:autoSpaceDE w:val="0"/>
              <w:autoSpaceDN w:val="0"/>
              <w:spacing w:before="60" w:after="60"/>
              <w:ind w:right="-766"/>
              <w:jc w:val="center"/>
              <w:rPr>
                <w:rFonts w:eastAsia="Times New Roman"/>
                <w:noProof/>
                <w:sz w:val="20"/>
                <w:szCs w:val="20"/>
                <w:lang w:eastAsia="ko-KR"/>
              </w:rPr>
            </w:pPr>
          </w:p>
        </w:tc>
      </w:tr>
      <w:tr>
        <w:trPr>
          <w:trHeight w:val="330"/>
          <w:jc w:val="right"/>
        </w:trPr>
        <w:tc>
          <w:tcPr>
            <w:tcW w:w="4501" w:type="dxa"/>
          </w:tcPr>
          <w:p>
            <w:pPr>
              <w:tabs>
                <w:tab w:val="left" w:pos="0"/>
                <w:tab w:val="left" w:pos="40"/>
                <w:tab w:val="left" w:pos="5045"/>
                <w:tab w:val="center" w:pos="6803"/>
                <w:tab w:val="left" w:pos="7596"/>
              </w:tabs>
              <w:autoSpaceDE w:val="0"/>
              <w:autoSpaceDN w:val="0"/>
              <w:spacing w:before="60" w:after="60"/>
              <w:ind w:right="-766"/>
              <w:jc w:val="center"/>
              <w:rPr>
                <w:noProof/>
                <w:sz w:val="20"/>
              </w:rPr>
            </w:pPr>
            <w:r>
              <w:rPr>
                <w:noProof/>
                <w:sz w:val="20"/>
              </w:rPr>
              <w:t>(Paikka ja päiväys)</w:t>
            </w:r>
          </w:p>
        </w:tc>
      </w:tr>
      <w:tr>
        <w:trPr>
          <w:trHeight w:val="315"/>
          <w:jc w:val="right"/>
        </w:trPr>
        <w:tc>
          <w:tcPr>
            <w:tcW w:w="4501" w:type="dxa"/>
          </w:tcPr>
          <w:p>
            <w:pPr>
              <w:tabs>
                <w:tab w:val="left" w:pos="396"/>
                <w:tab w:val="left" w:pos="2494"/>
                <w:tab w:val="left" w:pos="5045"/>
                <w:tab w:val="center" w:pos="6803"/>
                <w:tab w:val="left" w:pos="7596"/>
              </w:tabs>
              <w:autoSpaceDE w:val="0"/>
              <w:autoSpaceDN w:val="0"/>
              <w:spacing w:before="60" w:after="60"/>
              <w:ind w:right="-766"/>
              <w:rPr>
                <w:noProof/>
                <w:sz w:val="20"/>
              </w:rPr>
            </w:pPr>
          </w:p>
        </w:tc>
      </w:tr>
      <w:tr>
        <w:trPr>
          <w:trHeight w:val="315"/>
          <w:jc w:val="right"/>
        </w:trPr>
        <w:tc>
          <w:tcPr>
            <w:tcW w:w="4501" w:type="dxa"/>
          </w:tcPr>
          <w:p>
            <w:pPr>
              <w:tabs>
                <w:tab w:val="left" w:pos="396"/>
                <w:tab w:val="left" w:pos="2494"/>
                <w:tab w:val="left" w:pos="5045"/>
                <w:tab w:val="center" w:pos="6803"/>
                <w:tab w:val="left" w:pos="7596"/>
              </w:tabs>
              <w:autoSpaceDE w:val="0"/>
              <w:autoSpaceDN w:val="0"/>
              <w:spacing w:before="60" w:after="60"/>
              <w:ind w:right="-766"/>
              <w:rPr>
                <w:noProof/>
                <w:sz w:val="20"/>
              </w:rPr>
            </w:pPr>
          </w:p>
        </w:tc>
      </w:tr>
      <w:tr>
        <w:trPr>
          <w:trHeight w:val="315"/>
          <w:jc w:val="right"/>
        </w:trPr>
        <w:tc>
          <w:tcPr>
            <w:tcW w:w="4501" w:type="dxa"/>
          </w:tcPr>
          <w:p>
            <w:pPr>
              <w:tabs>
                <w:tab w:val="left" w:pos="396"/>
                <w:tab w:val="left" w:pos="2494"/>
                <w:tab w:val="left" w:pos="5045"/>
                <w:tab w:val="center" w:pos="6803"/>
                <w:tab w:val="left" w:pos="7596"/>
              </w:tabs>
              <w:autoSpaceDE w:val="0"/>
              <w:autoSpaceDN w:val="0"/>
              <w:spacing w:before="60" w:after="60"/>
              <w:ind w:right="-766"/>
              <w:rPr>
                <w:noProof/>
                <w:sz w:val="20"/>
              </w:rPr>
            </w:pPr>
          </w:p>
        </w:tc>
      </w:tr>
      <w:tr>
        <w:trPr>
          <w:trHeight w:val="375"/>
          <w:jc w:val="right"/>
        </w:trPr>
        <w:tc>
          <w:tcPr>
            <w:tcW w:w="4501" w:type="dxa"/>
          </w:tcPr>
          <w:p>
            <w:pPr>
              <w:tabs>
                <w:tab w:val="left" w:pos="396"/>
                <w:tab w:val="left" w:pos="2494"/>
                <w:tab w:val="left" w:pos="5045"/>
                <w:tab w:val="center" w:pos="6803"/>
                <w:tab w:val="left" w:pos="7596"/>
              </w:tabs>
              <w:autoSpaceDE w:val="0"/>
              <w:autoSpaceDN w:val="0"/>
              <w:spacing w:before="60" w:after="60"/>
              <w:jc w:val="center"/>
              <w:rPr>
                <w:noProof/>
                <w:sz w:val="20"/>
              </w:rPr>
            </w:pPr>
            <w:r>
              <w:rPr>
                <w:noProof/>
                <w:sz w:val="20"/>
              </w:rPr>
              <w:t>(Tavarantoimittajan osoite ja allekirjoitus; lisäksi ilmoituksen allekirjoittajan nimi on selvennettävä)</w:t>
            </w:r>
          </w:p>
        </w:tc>
      </w:tr>
    </w:tbl>
    <w:p>
      <w:pPr>
        <w:pStyle w:val="Text1"/>
        <w:rPr>
          <w:noProof/>
        </w:rPr>
      </w:pPr>
      <w:r>
        <w:rPr>
          <w:noProof/>
        </w:rPr>
        <w:t>________________</w:t>
      </w:r>
    </w:p>
    <w:p>
      <w:pPr>
        <w:pStyle w:val="Point1"/>
        <w:spacing w:before="60" w:after="60"/>
        <w:ind w:left="1418"/>
        <w:rPr>
          <w:noProof/>
          <w:sz w:val="18"/>
          <w:szCs w:val="18"/>
        </w:rPr>
      </w:pPr>
      <w:r>
        <w:rPr>
          <w:b/>
          <w:noProof/>
          <w:sz w:val="18"/>
          <w:szCs w:val="18"/>
          <w:vertAlign w:val="superscript"/>
        </w:rPr>
        <w:t>(1)</w:t>
      </w:r>
      <w:r>
        <w:rPr>
          <w:noProof/>
        </w:rPr>
        <w:tab/>
      </w:r>
      <w:r>
        <w:rPr>
          <w:noProof/>
          <w:sz w:val="18"/>
          <w:szCs w:val="18"/>
        </w:rPr>
        <w:t>Asiakkaan nimi ja osoite.</w:t>
      </w:r>
    </w:p>
    <w:p>
      <w:pPr>
        <w:pStyle w:val="Point1"/>
        <w:spacing w:before="60" w:after="60"/>
        <w:ind w:left="1418"/>
        <w:rPr>
          <w:noProof/>
          <w:sz w:val="18"/>
          <w:szCs w:val="18"/>
        </w:rPr>
      </w:pPr>
      <w:r>
        <w:rPr>
          <w:b/>
          <w:noProof/>
          <w:sz w:val="18"/>
          <w:szCs w:val="18"/>
          <w:vertAlign w:val="superscript"/>
        </w:rPr>
        <w:t>(2)</w:t>
      </w:r>
      <w:r>
        <w:rPr>
          <w:noProof/>
        </w:rPr>
        <w:tab/>
      </w:r>
      <w:r>
        <w:rPr>
          <w:noProof/>
          <w:sz w:val="18"/>
          <w:szCs w:val="18"/>
        </w:rPr>
        <w:t>Kun kauppalasku, lähetysluettelo tai muu kaupallinen asiakirja, johon ilmoitus liittyy, koskee erilaisia tavaroita tai tavaroita, joiden valmistuksessa ei ole käytetty samassa suhteessa ei-alkuperäaineksia, tavarantoimittajan on selvästi eriteltävä ne.</w:t>
      </w:r>
    </w:p>
    <w:p>
      <w:pPr>
        <w:pStyle w:val="Text2"/>
        <w:spacing w:before="60" w:after="60"/>
        <w:ind w:left="1418"/>
        <w:rPr>
          <w:noProof/>
          <w:sz w:val="18"/>
          <w:szCs w:val="18"/>
        </w:rPr>
      </w:pPr>
      <w:r>
        <w:rPr>
          <w:noProof/>
          <w:sz w:val="18"/>
          <w:szCs w:val="18"/>
        </w:rPr>
        <w:t>Esimerkki:</w:t>
      </w:r>
    </w:p>
    <w:p>
      <w:pPr>
        <w:pStyle w:val="Text2"/>
        <w:spacing w:before="60" w:after="60"/>
        <w:ind w:left="1418"/>
        <w:rPr>
          <w:noProof/>
          <w:sz w:val="18"/>
          <w:szCs w:val="18"/>
        </w:rPr>
      </w:pPr>
      <w:r>
        <w:rPr>
          <w:noProof/>
          <w:sz w:val="18"/>
          <w:szCs w:val="18"/>
        </w:rPr>
        <w:t>Asiakirja koskee erimallisia nimikkeen 8501 sähkömoottoreita, joita käytetään nimikkeen 8450 pesukoneiden valmistuksessa. Näiden moottoreiden valmistuksessa käytettyjen ei-alkuperäainesten luonne ja arvo vaihtelevat mallista toiseen. Mallit on sen vuoksi eriteltävä ensimmäisessä sarakkeessa ja muihin sarakkeisiin on tehtävä eri merkinnät kunkin mallin osalta, jotta pesukoneiden valmistaja voi arvioida oikein tuotteidensa alkuperäaseman sen mukaan, mitä sähkömoottorimallia hän käyttää.</w:t>
      </w:r>
    </w:p>
    <w:p>
      <w:pPr>
        <w:pStyle w:val="Point1"/>
        <w:spacing w:before="60" w:after="60"/>
        <w:ind w:left="1418"/>
        <w:rPr>
          <w:noProof/>
          <w:sz w:val="18"/>
          <w:szCs w:val="18"/>
        </w:rPr>
      </w:pPr>
      <w:r>
        <w:rPr>
          <w:b/>
          <w:noProof/>
          <w:sz w:val="18"/>
          <w:szCs w:val="18"/>
          <w:vertAlign w:val="superscript"/>
        </w:rPr>
        <w:t>(3)</w:t>
      </w:r>
      <w:r>
        <w:rPr>
          <w:noProof/>
        </w:rPr>
        <w:tab/>
      </w:r>
      <w:r>
        <w:rPr>
          <w:noProof/>
          <w:sz w:val="18"/>
          <w:szCs w:val="18"/>
        </w:rPr>
        <w:t>Näihin sarakkeisiin pyydetyt merkinnät tehdään vain tarvittaessa.</w:t>
      </w:r>
    </w:p>
    <w:p>
      <w:pPr>
        <w:pStyle w:val="Text2"/>
        <w:spacing w:before="60" w:after="60"/>
        <w:ind w:left="1418"/>
        <w:rPr>
          <w:noProof/>
          <w:sz w:val="18"/>
          <w:szCs w:val="18"/>
        </w:rPr>
      </w:pPr>
      <w:r>
        <w:rPr>
          <w:noProof/>
          <w:sz w:val="18"/>
          <w:szCs w:val="18"/>
        </w:rPr>
        <w:t>Esimerkkejä:</w:t>
      </w:r>
    </w:p>
    <w:p>
      <w:pPr>
        <w:pStyle w:val="Text2"/>
        <w:spacing w:before="60" w:after="60"/>
        <w:ind w:left="1418"/>
        <w:rPr>
          <w:noProof/>
          <w:sz w:val="18"/>
          <w:szCs w:val="18"/>
        </w:rPr>
      </w:pPr>
      <w:r>
        <w:rPr>
          <w:noProof/>
          <w:sz w:val="18"/>
          <w:szCs w:val="18"/>
        </w:rPr>
        <w:t>Ex 62 ryhmän vaatteita koskevassa säännössä todetaan, että kutominen yhdessä kankaan sovittamisen, mukaan lukien leikkaaminen, kanssa on sallittua. Jos tällaisten vaatteiden valmistaja soveltavassa sopimuspuolessa käyttää Euroopan unionista tuotua kangasta, joka on tuotettu siellä kutomalla ei-alkuperätuotetta olevasta langasta, Euroopan unionin tavarantoimittajan osalta riittää, että hän merkitsee ilmoitukseensa ei-alkuperäainekseksi langan eikä hänen tarvitse ilmoittaa langan nimikettä eikä arvoa.</w:t>
      </w:r>
    </w:p>
    <w:p>
      <w:pPr>
        <w:pStyle w:val="Text2"/>
        <w:spacing w:before="60" w:after="60"/>
        <w:ind w:left="1418"/>
        <w:rPr>
          <w:noProof/>
          <w:sz w:val="18"/>
          <w:szCs w:val="18"/>
        </w:rPr>
      </w:pPr>
      <w:r>
        <w:rPr>
          <w:noProof/>
          <w:sz w:val="18"/>
          <w:szCs w:val="18"/>
        </w:rPr>
        <w:t>Nimikkeen 7217 rautalangan valmistajan, joka on valmistanut langan ei-alkuperätuotteita olevista rautatangoista, on merkittävä toiseen sarakkeeseen ”rautatankoja”. Jos tätä lankaa on määrä käyttää sellaisen koneen valmistuksessa, jota koskevassa säännössä kaikkien valmistuksessa käytettyjen ei-alkuperäainesten arvo rajoitetaan tiettyyn prosenttimäärään, kolmannessa sarakkeessa on ilmoitettava ei-alkuperätuotteita olevien tankojen arvo.</w:t>
      </w:r>
    </w:p>
    <w:p>
      <w:pPr>
        <w:pStyle w:val="Point1"/>
        <w:spacing w:before="60" w:after="60"/>
        <w:ind w:left="1418"/>
        <w:rPr>
          <w:noProof/>
          <w:sz w:val="18"/>
          <w:szCs w:val="18"/>
        </w:rPr>
      </w:pPr>
      <w:r>
        <w:rPr>
          <w:b/>
          <w:noProof/>
          <w:sz w:val="18"/>
          <w:szCs w:val="18"/>
          <w:vertAlign w:val="superscript"/>
        </w:rPr>
        <w:t>(4)</w:t>
      </w:r>
      <w:r>
        <w:rPr>
          <w:noProof/>
        </w:rPr>
        <w:tab/>
      </w:r>
      <w:r>
        <w:rPr>
          <w:noProof/>
          <w:sz w:val="18"/>
          <w:szCs w:val="18"/>
        </w:rPr>
        <w:t>Ilmaisulla ’ainesten arvo’ tarkoitetaan valmistuksessa käytettyjen ei-alkuperäainesten tullausarvoa tuontihetkellä tai, jos sitä ei tiedetä tai voida todeta, ensimmäistä todettavissa olevaa aineksista [asiaankuuluvissa soveltavissa sopimuspuolissa] maksettua hintaa.</w:t>
      </w:r>
    </w:p>
    <w:p>
      <w:pPr>
        <w:pStyle w:val="Text2"/>
        <w:spacing w:before="60" w:after="60"/>
        <w:ind w:left="1418"/>
        <w:rPr>
          <w:noProof/>
          <w:sz w:val="18"/>
          <w:szCs w:val="18"/>
        </w:rPr>
      </w:pPr>
      <w:r>
        <w:rPr>
          <w:noProof/>
          <w:sz w:val="18"/>
          <w:szCs w:val="18"/>
        </w:rPr>
        <w:t>Jokaisen valmistuksessa käytetyn ei-alkuperäaineksen tarkka arvo on ilmoitettava ensimmäisessä sarakkeessa kyseisen tavaran yksikköä kohti.</w:t>
      </w:r>
    </w:p>
    <w:p>
      <w:pPr>
        <w:pStyle w:val="Point1"/>
        <w:spacing w:before="60" w:after="60"/>
        <w:ind w:left="1418"/>
        <w:rPr>
          <w:noProof/>
          <w:sz w:val="18"/>
          <w:szCs w:val="18"/>
        </w:rPr>
      </w:pPr>
      <w:r>
        <w:rPr>
          <w:b/>
          <w:noProof/>
          <w:sz w:val="18"/>
          <w:szCs w:val="18"/>
          <w:vertAlign w:val="superscript"/>
        </w:rPr>
        <w:t>(5)</w:t>
      </w:r>
      <w:r>
        <w:rPr>
          <w:noProof/>
        </w:rPr>
        <w:tab/>
      </w:r>
      <w:r>
        <w:rPr>
          <w:noProof/>
          <w:sz w:val="18"/>
          <w:szCs w:val="18"/>
        </w:rPr>
        <w:t>Ilmaisulla ”arvonlisäys yhteensä” tarkoitetaan kaikkia [asiaankuuluvien soveltavien sopimuspuolten] ulkopuolella kertyneitä kustannuksia, mukaan lukien kaikkien siellä lisättyjen ainesten arvo. [Asiaankuuluvien soveltavien sopimuspuolten] ulkopuolella saavutetun arvonlisäyksen tarkka yhteisarvo on merkittävä ensimmäiseen sarakkeeseen kyseisen tavaran yksikköä kohti.</w:t>
      </w:r>
    </w:p>
    <w:p>
      <w:pPr>
        <w:pStyle w:val="Point1"/>
        <w:spacing w:before="60" w:after="60"/>
        <w:ind w:left="1418"/>
        <w:rPr>
          <w:noProof/>
        </w:rPr>
      </w:pPr>
      <w:r>
        <w:rPr>
          <w:b/>
          <w:noProof/>
          <w:sz w:val="18"/>
          <w:szCs w:val="18"/>
          <w:vertAlign w:val="superscript"/>
        </w:rPr>
        <w:t>(6)</w:t>
      </w:r>
      <w:r>
        <w:rPr>
          <w:noProof/>
        </w:rPr>
        <w:tab/>
      </w:r>
      <w:r>
        <w:rPr>
          <w:noProof/>
          <w:sz w:val="18"/>
          <w:szCs w:val="18"/>
        </w:rPr>
        <w:t>Merkitään päiväykset. Tavarantoimittajan pitkäaikaisilmoituksen voimassaoloaika ei yleensä saisi olla yli 12 kuukautta, jollei sen soveltavan sopimuspuolen, jossa tavarantoimittajan pitkäaikaisilmoitus laaditaan, tulliviranomaisten määräämistä ehdoista muuta johdu.</w:t>
      </w:r>
    </w:p>
    <w:p>
      <w:pPr>
        <w:tabs>
          <w:tab w:val="left" w:pos="6230"/>
        </w:tabs>
        <w:spacing w:line="360" w:lineRule="auto"/>
        <w:jc w:val="left"/>
        <w:rPr>
          <w:noProof/>
          <w:lang w:eastAsia="en-GB"/>
        </w:rPr>
      </w:pPr>
    </w:p>
    <w:sectPr>
      <w:pgSz w:w="11906" w:h="16838"/>
      <w:pgMar w:top="1134" w:right="1418" w:bottom="1134" w:left="1418" w:header="709" w:footer="709" w:gutter="0"/>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2020803070505020304"/>
    <w:charset w:val="00"/>
    <w:family w:val="roman"/>
    <w:notTrueType/>
    <w:pitch w:val="default"/>
  </w:font>
  <w:font w:name="Wingdings (PCL6)">
    <w:altName w:val="Wingdings"/>
    <w:panose1 w:val="00000000000000000000"/>
    <w:charset w:val="02"/>
    <w:family w:val="decorative"/>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rPr>
        <w:rFonts w:ascii="Arial" w:hAnsi="Arial" w:cs="Arial"/>
        <w:b/>
        <w:sz w:val="48"/>
      </w:rPr>
      <w:tab/>
    </w:r>
    <w:r>
      <w:tab/>
    </w:r>
    <w:r>
      <w:rPr>
        <w:rFonts w:ascii="Arial" w:hAnsi="Arial" w:cs="Arial"/>
        <w:b/>
        <w:sz w:val="48"/>
      </w:rPr>
      <w:t>FI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FI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3</w:t>
    </w:r>
    <w:r>
      <w:fldChar w:fldCharType="end"/>
    </w:r>
    <w:r>
      <w:tab/>
    </w:r>
    <w:r>
      <w:tab/>
    </w:r>
    <w:r>
      <w:rPr>
        <w:rFonts w:ascii="Arial" w:hAnsi="Arial" w:cs="Arial"/>
        <w:b/>
        <w:sz w:val="48"/>
      </w:rPr>
      <w:t>FI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125</w:t>
    </w:r>
    <w:r>
      <w:fldChar w:fldCharType="end"/>
    </w:r>
    <w:r>
      <w:tab/>
    </w:r>
    <w:r>
      <w:tab/>
    </w:r>
    <w:r>
      <w:rPr>
        <w:rFonts w:ascii="Arial" w:hAnsi="Arial" w:cs="Arial"/>
        <w:b/>
        <w:sz w:val="48"/>
      </w:rPr>
      <w:t>FI</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rPr>
          <w:lang w:val="fr-FR"/>
        </w:rPr>
      </w:pPr>
      <w:r>
        <w:rPr>
          <w:rStyle w:val="FootnoteReference"/>
          <w:lang w:val="en-US"/>
        </w:rPr>
        <w:footnoteRef/>
      </w:r>
      <w:r>
        <w:rPr>
          <w:lang w:val="fr-FR"/>
        </w:rPr>
        <w:tab/>
        <w:t>EYVL L 227, 7.9.1996, s. 3.</w:t>
      </w:r>
    </w:p>
  </w:footnote>
  <w:footnote w:id="3">
    <w:p>
      <w:pPr>
        <w:pStyle w:val="FootnoteText"/>
        <w:rPr>
          <w:lang w:val="fr-FR"/>
        </w:rPr>
      </w:pPr>
      <w:r>
        <w:rPr>
          <w:rStyle w:val="FootnoteReference"/>
        </w:rPr>
        <w:footnoteRef/>
      </w:r>
      <w:r>
        <w:rPr>
          <w:lang w:val="fr-FR"/>
        </w:rPr>
        <w:tab/>
        <w:t>EUVL L 54, 26.2.2013, s. 4.</w:t>
      </w:r>
    </w:p>
  </w:footnote>
  <w:footnote w:id="4">
    <w:p>
      <w:pPr>
        <w:pStyle w:val="FootnoteText"/>
      </w:pPr>
      <w:r>
        <w:rPr>
          <w:rStyle w:val="FootnoteReference"/>
        </w:rPr>
        <w:footnoteRef/>
      </w:r>
      <w:r>
        <w:tab/>
        <w:t>EUVL L 54, 26.2.2013, s. 4.</w:t>
      </w:r>
    </w:p>
  </w:footnote>
  <w:footnote w:id="5">
    <w:p>
      <w:pPr>
        <w:pStyle w:val="FootnoteText"/>
      </w:pPr>
      <w:r>
        <w:rPr>
          <w:rStyle w:val="FootnoteReference"/>
        </w:rPr>
        <w:footnoteRef/>
      </w:r>
      <w:r>
        <w:tab/>
        <w:t>Osapuolet sopivat luopuvansa velvoitteesta lisätä alkuperäselvitykseen 8 artiklan 3 kohdassa tarkoitettu maininta.</w:t>
      </w:r>
    </w:p>
  </w:footnote>
  <w:footnote w:id="6">
    <w:p>
      <w:pPr>
        <w:pStyle w:val="FootnoteText"/>
      </w:pPr>
      <w:r>
        <w:rPr>
          <w:rStyle w:val="FootnoteReference"/>
        </w:rPr>
        <w:footnoteRef/>
      </w:r>
      <w:r>
        <w:tab/>
      </w:r>
      <w:r>
        <w:rPr>
          <w:sz w:val="18"/>
          <w:szCs w:val="18"/>
        </w:rPr>
        <w:t>EYVL L 302, 15.11.1985, s. 23.</w:t>
      </w:r>
    </w:p>
  </w:footnote>
  <w:footnote w:id="7">
    <w:p>
      <w:pPr>
        <w:pStyle w:val="FootnoteText"/>
      </w:pPr>
      <w:r>
        <w:rPr>
          <w:rStyle w:val="FootnoteReference"/>
        </w:rPr>
        <w:footnoteRef/>
      </w:r>
      <w:r>
        <w:tab/>
        <w:t>Esimerkiksi:</w:t>
      </w:r>
      <w:r>
        <w:rPr>
          <w:sz w:val="18"/>
          <w:szCs w:val="18"/>
        </w:rPr>
        <w:t xml:space="preserve"> tuontiasiakirjat, tavaratodistukset, kauppalaskut, valmistajan ilmoitukset jne., jotka koskevat valmistuksessa käytettyjä tuotteita tai samassa tilassa jälleenvietyjä tavaroita.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8029DA"/>
    <w:styleLink w:val="ArticleSection2"/>
    <w:lvl w:ilvl="0">
      <w:start w:val="1"/>
      <w:numFmt w:val="decimal"/>
      <w:pStyle w:val="ListNumber5"/>
      <w:lvlText w:val="%1."/>
      <w:lvlJc w:val="left"/>
      <w:pPr>
        <w:tabs>
          <w:tab w:val="num" w:pos="1492"/>
        </w:tabs>
        <w:ind w:left="1492" w:hanging="360"/>
      </w:pPr>
      <w:rPr>
        <w:rFonts w:cs="Times New Roman"/>
      </w:rPr>
    </w:lvl>
  </w:abstractNum>
  <w:abstractNum w:abstractNumId="1">
    <w:nsid w:val="FFFFFF80"/>
    <w:multiLevelType w:val="singleLevel"/>
    <w:tmpl w:val="1FA45650"/>
    <w:styleLink w:val="ArticleSection1"/>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1"/>
    <w:multiLevelType w:val="singleLevel"/>
    <w:tmpl w:val="AA867C84"/>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D9344204"/>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CA14176E"/>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9"/>
    <w:multiLevelType w:val="singleLevel"/>
    <w:tmpl w:val="1B84DAC4"/>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6B13049"/>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1">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F1B6DD0"/>
    <w:multiLevelType w:val="multilevel"/>
    <w:tmpl w:val="04090023"/>
    <w:styleLink w:val="1111112"/>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3A7730C4"/>
    <w:multiLevelType w:val="singleLevel"/>
    <w:tmpl w:val="456C96DE"/>
    <w:name w:val="0,8324963"/>
    <w:lvl w:ilvl="0">
      <w:start w:val="1"/>
      <w:numFmt w:val="bullet"/>
      <w:pStyle w:val="ListBullet1"/>
      <w:lvlText w:val=""/>
      <w:lvlJc w:val="left"/>
      <w:pPr>
        <w:tabs>
          <w:tab w:val="num" w:pos="765"/>
        </w:tabs>
        <w:ind w:left="765" w:hanging="283"/>
      </w:pPr>
      <w:rPr>
        <w:rFonts w:ascii="Symbol" w:hAnsi="Symbol"/>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1">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4">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5">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5D72AF1"/>
    <w:multiLevelType w:val="multilevel"/>
    <w:tmpl w:val="0409001F"/>
    <w:styleLink w:val="1ai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1">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3">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34">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3"/>
  </w:num>
  <w:num w:numId="5">
    <w:abstractNumId w:val="2"/>
  </w:num>
  <w:num w:numId="6">
    <w:abstractNumId w:val="1"/>
  </w:num>
  <w:num w:numId="7">
    <w:abstractNumId w:val="0"/>
  </w:num>
  <w:num w:numId="8">
    <w:abstractNumId w:val="14"/>
  </w:num>
  <w:num w:numId="9">
    <w:abstractNumId w:val="28"/>
  </w:num>
  <w:num w:numId="10">
    <w:abstractNumId w:val="7"/>
  </w:num>
  <w:num w:numId="11">
    <w:abstractNumId w:val="15"/>
  </w:num>
  <w:num w:numId="12">
    <w:abstractNumId w:val="29"/>
  </w:num>
  <w:num w:numId="13">
    <w:abstractNumId w:val="31"/>
  </w:num>
  <w:num w:numId="14">
    <w:abstractNumId w:val="30"/>
  </w:num>
  <w:num w:numId="15">
    <w:abstractNumId w:val="33"/>
  </w:num>
  <w:num w:numId="16">
    <w:abstractNumId w:val="10"/>
  </w:num>
  <w:num w:numId="17">
    <w:abstractNumId w:val="17"/>
  </w:num>
  <w:num w:numId="18">
    <w:abstractNumId w:val="21"/>
  </w:num>
  <w:num w:numId="19">
    <w:abstractNumId w:val="19"/>
  </w:num>
  <w:num w:numId="20">
    <w:abstractNumId w:val="6"/>
  </w:num>
  <w:num w:numId="21">
    <w:abstractNumId w:val="22"/>
  </w:num>
  <w:num w:numId="22">
    <w:abstractNumId w:val="13"/>
  </w:num>
  <w:num w:numId="23">
    <w:abstractNumId w:val="32"/>
    <w:lvlOverride w:ilvl="0">
      <w:startOverride w:val="1"/>
    </w:lvlOverride>
  </w:num>
  <w:num w:numId="24">
    <w:abstractNumId w:val="18"/>
    <w:lvlOverride w:ilvl="0">
      <w:startOverride w:val="1"/>
    </w:lvlOverride>
  </w:num>
  <w:num w:numId="25">
    <w:abstractNumId w:val="26"/>
  </w:num>
  <w:num w:numId="26">
    <w:abstractNumId w:val="16"/>
  </w:num>
  <w:num w:numId="27">
    <w:abstractNumId w:val="32"/>
  </w:num>
  <w:num w:numId="28">
    <w:abstractNumId w:val="12"/>
  </w:num>
  <w:num w:numId="29">
    <w:abstractNumId w:val="18"/>
  </w:num>
  <w:num w:numId="30">
    <w:abstractNumId w:val="9"/>
  </w:num>
  <w:num w:numId="31">
    <w:abstractNumId w:val="27"/>
  </w:num>
  <w:num w:numId="32">
    <w:abstractNumId w:val="8"/>
  </w:num>
  <w:num w:numId="33">
    <w:abstractNumId w:val="20"/>
  </w:num>
  <w:num w:numId="34">
    <w:abstractNumId w:val="24"/>
  </w:num>
  <w:num w:numId="35">
    <w:abstractNumId w:val="25"/>
  </w:num>
  <w:num w:numId="36">
    <w:abstractNumId w:val="11"/>
  </w:num>
  <w:num w:numId="37">
    <w:abstractNumId w:val="23"/>
  </w:num>
  <w:num w:numId="38">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ttachedTemplate r:id="rId1"/>
  <w:revisionView w:markup="0"/>
  <w:defaultTabStop w:val="720"/>
  <w:hyphenationZone w:val="425"/>
  <w:characterSpacingControl w:val="doNotCompress"/>
  <w:hdrShapeDefaults>
    <o:shapedefaults v:ext="edit" spidmax="1433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0-09-08 07:01:14"/>
    <w:docVar w:name="DQCNUMB_1" w:val="26"/>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50"/>
    <w:docVar w:name="DQCResult_ModifiedMarkers" w:val="0;0"/>
    <w:docVar w:name="DQCResult_ModifiedNumbering" w:val="0;0"/>
    <w:docVar w:name="DQCResult_Objects" w:val="0;0"/>
    <w:docVar w:name="DQCResult_Sections" w:val="0;0"/>
    <w:docVar w:name="DQCResult_StructureCheck" w:val="0;0"/>
    <w:docVar w:name="DQCResult_SuperfluousWhitespace" w:val="0;105"/>
    <w:docVar w:name="DQCResult_UnknownFonts" w:val="0;0"/>
    <w:docVar w:name="DQCResult_UnknownStyles" w:val="0;3"/>
    <w:docVar w:name="DQCStatus" w:val="Green"/>
    <w:docVar w:name="DQCVersion" w:val="3"/>
    <w:docVar w:name="DQCWithWarnings" w:val="0"/>
    <w:docVar w:name="LW_ACCOMPAGNANT" w:val="asiakirjaan"/>
    <w:docVar w:name="LW_ACCOMPAGNANT.CP" w:val="asiakirjaan"/>
    <w:docVar w:name="LW_ANNEX_NBR_FIRST" w:val="1"/>
    <w:docVar w:name="LW_ANNEX_NBR_LAST" w:val="1"/>
    <w:docVar w:name="LW_ANNEX_UNIQUE" w:val="1"/>
    <w:docVar w:name="LW_CORRIGENDUM" w:val="&lt;UNUSED&gt;"/>
    <w:docVar w:name="LW_COVERPAGE_EXISTS" w:val="True"/>
    <w:docVar w:name="LW_COVERPAGE_GUID" w:val="053F0B36-9FF4-4262-A16D-DAF7FE417F8B"/>
    <w:docVar w:name="LW_COVERPAGE_TYPE" w:val="1"/>
    <w:docVar w:name="LW_CROSSREFERENCE" w:val="&lt;UNUSED&gt;"/>
    <w:docVar w:name="LW_DocType" w:val="ANNEX"/>
    <w:docVar w:name="LW_EMISSION" w:val="24.8.2020"/>
    <w:docVar w:name="LW_EMISSION_ISODATE" w:val="2020-08-24"/>
    <w:docVar w:name="LW_EMISSION_LOCATION" w:val="BRX"/>
    <w:docVar w:name="LW_EMISSION_PREFIX" w:val="Bryssel "/>
    <w:docVar w:name="LW_EMISSION_SUFFIX" w:val="&lt;EMPTY&gt;"/>
    <w:docVar w:name="LW_ID_DOCSTRUCTURE" w:val="COM/ANNEX"/>
    <w:docVar w:name="LW_ID_DOCTYPE" w:val="SG-017"/>
    <w:docVar w:name="LW_LANGUE" w:val="FI"/>
    <w:docVar w:name="LW_LEVEL_OF_SENSITIVITY" w:val="Standard treatment"/>
    <w:docVar w:name="LW_NOM.INST" w:val="EUROOPAN KOMISSIO"/>
    <w:docVar w:name="LW_NOM.INST_JOINTDOC" w:val="&lt;EMPTY&gt;"/>
    <w:docVar w:name="LW_OBJETACTEPRINCIPAL" w:val="Euroopan hiili- ja teräsyhteisön perustamissopimuksen soveltamisalaan kuuluvien tuotteiden kaupasta tehdyllä Euroopan hiili- ja teräsyhteisön ja Turkin tasavallan välisellä sopimuksella perustetussa sekakomiteassa Euroopan unionin puolesta otettavasta kannasta käsitteen \u8221?alkuperätuotteet\u8221? määrittelyä ja hallinnollisen yhteistyön menetelmiä koskevan mainitun sopimuksen pöytäkirjan N:o 1 muuttamiseen"/>
    <w:docVar w:name="LW_OBJETACTEPRINCIPAL.CP" w:val="Euroopan hiili- ja teräsyhteisön perustamissopimuksen soveltamisalaan kuuluvien tuotteiden kaupasta tehdyllä Euroopan hiili- ja teräsyhteisön ja Turkin tasavallan välisellä sopimuksella perustetussa sekakomiteassa Euroopan unionin puolesta otettavasta kannasta käsitteen \u8221?alkuperätuotteet\u8221? määrittelyä ja hallinnollisen yhteistyön menetelmiä koskevan mainitun sopimuksen pöytäkirjan N:o 1 muuttamiseen"/>
    <w:docVar w:name="LW_PART_NBR" w:val="1"/>
    <w:docVar w:name="LW_PART_NBR_TOTAL" w:val="1"/>
    <w:docVar w:name="LW_REF.INST.NEW" w:val="COM"/>
    <w:docVar w:name="LW_REF.INST.NEW_ADOPTED" w:val="final"/>
    <w:docVar w:name="LW_REF.INST.NEW_TEXT" w:val="(2020) 39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LIITE"/>
    <w:docVar w:name="LW_TYPE.DOC.CP" w:val="LIITE"/>
    <w:docVar w:name="LW_TYPEACTEPRINCIPAL" w:val="Ehdotus neuvoston päätökseksi"/>
    <w:docVar w:name="LW_TYPEACTEPRINCIPAL.CP" w:val="Ehdotus neuvoston päätökseksi"/>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endnote reference"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spacing w:before="120" w:after="120" w:line="240" w:lineRule="auto"/>
      <w:jc w:val="both"/>
    </w:pPr>
    <w:rPr>
      <w:rFonts w:ascii="Times New Roman" w:hAnsi="Times New Roman" w:cs="Times New Roman"/>
      <w:sz w:val="24"/>
      <w:lang w:val="fi-FI"/>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Normal"/>
    <w:link w:val="Heading5Char"/>
    <w:qFormat/>
    <w:pPr>
      <w:autoSpaceDE w:val="0"/>
      <w:autoSpaceDN w:val="0"/>
      <w:spacing w:before="240" w:after="60"/>
      <w:outlineLvl w:val="4"/>
    </w:pPr>
    <w:rPr>
      <w:rFonts w:ascii="Arial" w:eastAsia="Times New Roman" w:hAnsi="Arial" w:cs="Arial"/>
      <w:sz w:val="22"/>
      <w:lang w:eastAsia="en-GB"/>
    </w:rPr>
  </w:style>
  <w:style w:type="paragraph" w:styleId="Heading6">
    <w:name w:val="heading 6"/>
    <w:basedOn w:val="Normal"/>
    <w:next w:val="Normal"/>
    <w:link w:val="Heading6Char"/>
    <w:qFormat/>
    <w:pPr>
      <w:autoSpaceDE w:val="0"/>
      <w:autoSpaceDN w:val="0"/>
      <w:spacing w:before="240" w:after="60"/>
      <w:outlineLvl w:val="5"/>
    </w:pPr>
    <w:rPr>
      <w:rFonts w:ascii="Arial" w:eastAsia="Times New Roman" w:hAnsi="Arial" w:cs="Arial"/>
      <w:i/>
      <w:iCs/>
      <w:sz w:val="22"/>
      <w:lang w:eastAsia="en-GB"/>
    </w:rPr>
  </w:style>
  <w:style w:type="paragraph" w:styleId="Heading7">
    <w:name w:val="heading 7"/>
    <w:basedOn w:val="Normal"/>
    <w:next w:val="Normal"/>
    <w:link w:val="Heading7Char"/>
    <w:qFormat/>
    <w:pPr>
      <w:autoSpaceDE w:val="0"/>
      <w:autoSpaceDN w:val="0"/>
      <w:spacing w:before="240" w:after="60"/>
      <w:outlineLvl w:val="6"/>
    </w:pPr>
    <w:rPr>
      <w:rFonts w:ascii="Arial" w:eastAsia="Times New Roman" w:hAnsi="Arial" w:cs="Arial"/>
      <w:sz w:val="20"/>
      <w:szCs w:val="20"/>
      <w:lang w:eastAsia="en-GB"/>
    </w:rPr>
  </w:style>
  <w:style w:type="paragraph" w:styleId="Heading8">
    <w:name w:val="heading 8"/>
    <w:basedOn w:val="Normal"/>
    <w:next w:val="Normal"/>
    <w:link w:val="Heading8Char"/>
    <w:qFormat/>
    <w:pPr>
      <w:autoSpaceDE w:val="0"/>
      <w:autoSpaceDN w:val="0"/>
      <w:spacing w:before="240" w:after="60"/>
      <w:outlineLvl w:val="7"/>
    </w:pPr>
    <w:rPr>
      <w:rFonts w:ascii="Arial" w:eastAsia="Times New Roman" w:hAnsi="Arial" w:cs="Arial"/>
      <w:i/>
      <w:iCs/>
      <w:sz w:val="20"/>
      <w:szCs w:val="20"/>
      <w:lang w:eastAsia="en-GB"/>
    </w:rPr>
  </w:style>
  <w:style w:type="paragraph" w:styleId="Heading9">
    <w:name w:val="heading 9"/>
    <w:basedOn w:val="Normal"/>
    <w:next w:val="Normal"/>
    <w:link w:val="Heading9Char"/>
    <w:qFormat/>
    <w:pPr>
      <w:autoSpaceDE w:val="0"/>
      <w:autoSpaceDN w:val="0"/>
      <w:spacing w:before="240" w:after="60"/>
      <w:outlineLvl w:val="8"/>
    </w:pPr>
    <w:rPr>
      <w:rFonts w:ascii="Arial" w:eastAsia="Times New Roman" w:hAnsi="Arial" w:cs="Arial"/>
      <w:i/>
      <w:iCs/>
      <w:sz w:val="18"/>
      <w:szCs w:val="1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paragraph" w:styleId="ListBullet">
    <w:name w:val="List Bullet"/>
    <w:basedOn w:val="Normal"/>
    <w:unhideWhenUsed/>
    <w:pPr>
      <w:numPr>
        <w:numId w:val="2"/>
      </w:numPr>
      <w:contextualSpacing/>
    </w:pPr>
  </w:style>
  <w:style w:type="paragraph" w:styleId="ListBullet2">
    <w:name w:val="List Bullet 2"/>
    <w:basedOn w:val="Normal"/>
    <w:unhideWhenUsed/>
    <w:pPr>
      <w:numPr>
        <w:numId w:val="3"/>
      </w:numPr>
      <w:contextualSpacing/>
    </w:pPr>
  </w:style>
  <w:style w:type="paragraph" w:styleId="ListBullet3">
    <w:name w:val="List Bullet 3"/>
    <w:basedOn w:val="Normal"/>
    <w:unhideWhenUsed/>
    <w:pPr>
      <w:numPr>
        <w:numId w:val="4"/>
      </w:numPr>
      <w:contextualSpacing/>
    </w:pPr>
  </w:style>
  <w:style w:type="paragraph" w:styleId="ListBullet4">
    <w:name w:val="List Bullet 4"/>
    <w:basedOn w:val="Normal"/>
    <w:unhideWhenUsed/>
    <w:pPr>
      <w:numPr>
        <w:numId w:val="5"/>
      </w:numPr>
      <w:contextualSpacing/>
    </w:pPr>
  </w:style>
  <w:style w:type="paragraph" w:styleId="BalloonText">
    <w:name w:val="Balloon Text"/>
    <w:basedOn w:val="Normal"/>
    <w:link w:val="BalloonTextChar"/>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lang w:val="fi-FI"/>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lang w:val="fi-FI"/>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cs="Times New Roman"/>
      <w:b/>
      <w:bCs/>
      <w:sz w:val="20"/>
      <w:szCs w:val="20"/>
      <w:lang w:val="fi-FI"/>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ListParagraph">
    <w:name w:val="List Paragraph"/>
    <w:basedOn w:val="Normal"/>
    <w:uiPriority w:val="34"/>
    <w:qFormat/>
    <w:pPr>
      <w:ind w:left="720"/>
      <w:contextualSpacing/>
    </w:p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Pr>
      <w:rFonts w:ascii="Arial" w:eastAsia="Times New Roman" w:hAnsi="Arial" w:cs="Arial"/>
      <w:lang w:val="fi-FI" w:eastAsia="en-GB"/>
    </w:rPr>
  </w:style>
  <w:style w:type="character" w:customStyle="1" w:styleId="Heading6Char">
    <w:name w:val="Heading 6 Char"/>
    <w:basedOn w:val="DefaultParagraphFont"/>
    <w:link w:val="Heading6"/>
    <w:rPr>
      <w:rFonts w:ascii="Arial" w:eastAsia="Times New Roman" w:hAnsi="Arial" w:cs="Arial"/>
      <w:i/>
      <w:iCs/>
      <w:lang w:val="fi-FI" w:eastAsia="en-GB"/>
    </w:rPr>
  </w:style>
  <w:style w:type="character" w:customStyle="1" w:styleId="Heading7Char">
    <w:name w:val="Heading 7 Char"/>
    <w:basedOn w:val="DefaultParagraphFont"/>
    <w:link w:val="Heading7"/>
    <w:rPr>
      <w:rFonts w:ascii="Arial" w:eastAsia="Times New Roman" w:hAnsi="Arial" w:cs="Arial"/>
      <w:sz w:val="20"/>
      <w:szCs w:val="20"/>
      <w:lang w:val="fi-FI" w:eastAsia="en-GB"/>
    </w:rPr>
  </w:style>
  <w:style w:type="character" w:customStyle="1" w:styleId="Heading8Char">
    <w:name w:val="Heading 8 Char"/>
    <w:basedOn w:val="DefaultParagraphFont"/>
    <w:link w:val="Heading8"/>
    <w:rPr>
      <w:rFonts w:ascii="Arial" w:eastAsia="Times New Roman" w:hAnsi="Arial" w:cs="Arial"/>
      <w:i/>
      <w:iCs/>
      <w:sz w:val="20"/>
      <w:szCs w:val="20"/>
      <w:lang w:val="fi-FI" w:eastAsia="en-GB"/>
    </w:rPr>
  </w:style>
  <w:style w:type="character" w:customStyle="1" w:styleId="Heading9Char">
    <w:name w:val="Heading 9 Char"/>
    <w:basedOn w:val="DefaultParagraphFont"/>
    <w:link w:val="Heading9"/>
    <w:rPr>
      <w:rFonts w:ascii="Arial" w:eastAsia="Times New Roman" w:hAnsi="Arial" w:cs="Arial"/>
      <w:i/>
      <w:iCs/>
      <w:sz w:val="18"/>
      <w:szCs w:val="18"/>
      <w:lang w:val="fi-FI" w:eastAsia="en-GB"/>
    </w:rPr>
  </w:style>
  <w:style w:type="numbering" w:customStyle="1" w:styleId="NoList1">
    <w:name w:val="No List1"/>
    <w:next w:val="NoList"/>
    <w:uiPriority w:val="99"/>
    <w:semiHidden/>
    <w:unhideWhenUsed/>
  </w:style>
  <w:style w:type="numbering" w:customStyle="1" w:styleId="NoList11">
    <w:name w:val="No List11"/>
    <w:next w:val="NoList"/>
    <w:semiHidden/>
    <w:unhideWhenUsed/>
  </w:style>
  <w:style w:type="paragraph" w:customStyle="1" w:styleId="Annexetitreacte">
    <w:name w:val="Annexe titre (acte)"/>
    <w:basedOn w:val="Normal"/>
    <w:next w:val="Normal"/>
    <w:pPr>
      <w:autoSpaceDE w:val="0"/>
      <w:autoSpaceDN w:val="0"/>
      <w:jc w:val="center"/>
    </w:pPr>
    <w:rPr>
      <w:rFonts w:eastAsia="Times New Roman"/>
      <w:b/>
      <w:bCs/>
      <w:szCs w:val="24"/>
      <w:u w:val="single"/>
      <w:lang w:eastAsia="en-GB"/>
    </w:rPr>
  </w:style>
  <w:style w:type="paragraph" w:customStyle="1" w:styleId="Annexetitreexposglobal">
    <w:name w:val="Annexe titre (exposé global)"/>
    <w:basedOn w:val="Normal"/>
    <w:next w:val="Normal"/>
    <w:pPr>
      <w:autoSpaceDE w:val="0"/>
      <w:autoSpaceDN w:val="0"/>
      <w:jc w:val="center"/>
    </w:pPr>
    <w:rPr>
      <w:rFonts w:eastAsia="Times New Roman"/>
      <w:b/>
      <w:bCs/>
      <w:szCs w:val="24"/>
      <w:u w:val="single"/>
      <w:lang w:eastAsia="en-GB"/>
    </w:rPr>
  </w:style>
  <w:style w:type="paragraph" w:customStyle="1" w:styleId="Annexetitrefichefinacte">
    <w:name w:val="Annexe titre (fiche fin. acte)"/>
    <w:basedOn w:val="Normal"/>
    <w:next w:val="Normal"/>
    <w:pPr>
      <w:autoSpaceDE w:val="0"/>
      <w:autoSpaceDN w:val="0"/>
      <w:jc w:val="center"/>
    </w:pPr>
    <w:rPr>
      <w:rFonts w:eastAsia="Times New Roman"/>
      <w:b/>
      <w:bCs/>
      <w:szCs w:val="24"/>
      <w:u w:val="single"/>
      <w:lang w:eastAsia="en-GB"/>
    </w:rPr>
  </w:style>
  <w:style w:type="paragraph" w:customStyle="1" w:styleId="Annexetitrefichefinglobale">
    <w:name w:val="Annexe titre (fiche fin. globale)"/>
    <w:basedOn w:val="Normal"/>
    <w:next w:val="Normal"/>
    <w:pPr>
      <w:autoSpaceDE w:val="0"/>
      <w:autoSpaceDN w:val="0"/>
      <w:jc w:val="center"/>
    </w:pPr>
    <w:rPr>
      <w:rFonts w:eastAsia="Times New Roman"/>
      <w:b/>
      <w:bCs/>
      <w:szCs w:val="24"/>
      <w:u w:val="single"/>
      <w:lang w:eastAsia="en-GB"/>
    </w:rPr>
  </w:style>
  <w:style w:type="paragraph" w:customStyle="1" w:styleId="Annexetitreglobale">
    <w:name w:val="Annexe titre (globale)"/>
    <w:basedOn w:val="Normal"/>
    <w:next w:val="Normal"/>
    <w:pPr>
      <w:autoSpaceDE w:val="0"/>
      <w:autoSpaceDN w:val="0"/>
      <w:jc w:val="center"/>
    </w:pPr>
    <w:rPr>
      <w:rFonts w:eastAsia="Times New Roman"/>
      <w:b/>
      <w:bCs/>
      <w:szCs w:val="24"/>
      <w:u w:val="single"/>
      <w:lang w:eastAsia="en-GB"/>
    </w:rPr>
  </w:style>
  <w:style w:type="paragraph" w:styleId="Caption">
    <w:name w:val="caption"/>
    <w:basedOn w:val="Normal"/>
    <w:next w:val="Normal"/>
    <w:qFormat/>
    <w:pPr>
      <w:autoSpaceDE w:val="0"/>
      <w:autoSpaceDN w:val="0"/>
    </w:pPr>
    <w:rPr>
      <w:rFonts w:eastAsia="Times New Roman"/>
      <w:b/>
      <w:bCs/>
      <w:szCs w:val="24"/>
      <w:lang w:eastAsia="en-GB"/>
    </w:rPr>
  </w:style>
  <w:style w:type="paragraph" w:customStyle="1" w:styleId="Rfrenceinstitutionelle">
    <w:name w:val="Référence institutionelle"/>
    <w:basedOn w:val="Normal"/>
    <w:next w:val="Statut"/>
    <w:pPr>
      <w:autoSpaceDE w:val="0"/>
      <w:autoSpaceDN w:val="0"/>
      <w:spacing w:before="0" w:after="240"/>
      <w:ind w:left="5103"/>
      <w:jc w:val="left"/>
    </w:pPr>
    <w:rPr>
      <w:rFonts w:eastAsia="Times New Roman"/>
      <w:szCs w:val="24"/>
      <w:lang w:eastAsia="en-GB"/>
    </w:rPr>
  </w:style>
  <w:style w:type="paragraph" w:customStyle="1" w:styleId="Titreobjet">
    <w:name w:val="Titre objet"/>
    <w:basedOn w:val="Normal"/>
    <w:next w:val="Sous-titreobjet"/>
    <w:pPr>
      <w:autoSpaceDE w:val="0"/>
      <w:autoSpaceDN w:val="0"/>
      <w:spacing w:before="360" w:after="360"/>
      <w:jc w:val="center"/>
    </w:pPr>
    <w:rPr>
      <w:rFonts w:eastAsia="Times New Roman"/>
      <w:b/>
      <w:bCs/>
      <w:szCs w:val="24"/>
      <w:lang w:eastAsia="en-GB"/>
    </w:rPr>
  </w:style>
  <w:style w:type="paragraph" w:customStyle="1" w:styleId="Sous-titreobjet">
    <w:name w:val="Sous-titre objet"/>
    <w:basedOn w:val="Titreobjet"/>
    <w:pPr>
      <w:spacing w:before="0" w:after="0"/>
    </w:pPr>
  </w:style>
  <w:style w:type="paragraph" w:customStyle="1" w:styleId="Exposdesmotifstitreglobal">
    <w:name w:val="Exposé des motifs titre (global)"/>
    <w:basedOn w:val="Normal"/>
    <w:next w:val="Normal"/>
    <w:pPr>
      <w:autoSpaceDE w:val="0"/>
      <w:autoSpaceDN w:val="0"/>
      <w:jc w:val="center"/>
    </w:pPr>
    <w:rPr>
      <w:rFonts w:eastAsia="Times New Roman"/>
      <w:b/>
      <w:bCs/>
      <w:szCs w:val="24"/>
      <w:u w:val="single"/>
      <w:lang w:eastAsia="en-GB"/>
    </w:rPr>
  </w:style>
  <w:style w:type="paragraph" w:customStyle="1" w:styleId="FichedimpactPMEtitre">
    <w:name w:val="Fiche d'impact PME titre"/>
    <w:basedOn w:val="Normal"/>
    <w:next w:val="Normal"/>
    <w:pPr>
      <w:autoSpaceDE w:val="0"/>
      <w:autoSpaceDN w:val="0"/>
      <w:jc w:val="center"/>
    </w:pPr>
    <w:rPr>
      <w:rFonts w:eastAsia="Times New Roman"/>
      <w:b/>
      <w:bCs/>
      <w:szCs w:val="24"/>
      <w:lang w:eastAsia="en-GB"/>
    </w:rPr>
  </w:style>
  <w:style w:type="paragraph" w:customStyle="1" w:styleId="Fichefinanciretextetable">
    <w:name w:val="Fiche financière texte (table)"/>
    <w:basedOn w:val="Normal"/>
    <w:pPr>
      <w:autoSpaceDE w:val="0"/>
      <w:autoSpaceDN w:val="0"/>
      <w:spacing w:before="0" w:after="0"/>
      <w:jc w:val="left"/>
    </w:pPr>
    <w:rPr>
      <w:rFonts w:eastAsia="Times New Roman"/>
      <w:sz w:val="20"/>
      <w:szCs w:val="20"/>
      <w:lang w:eastAsia="en-GB"/>
    </w:rPr>
  </w:style>
  <w:style w:type="paragraph" w:customStyle="1" w:styleId="Fichefinanciretitreactetable">
    <w:name w:val="Fiche financière titre (acte table)"/>
    <w:basedOn w:val="Normal"/>
    <w:next w:val="Normal"/>
    <w:pPr>
      <w:autoSpaceDE w:val="0"/>
      <w:autoSpaceDN w:val="0"/>
      <w:jc w:val="center"/>
    </w:pPr>
    <w:rPr>
      <w:rFonts w:eastAsia="Times New Roman"/>
      <w:b/>
      <w:bCs/>
      <w:sz w:val="40"/>
      <w:szCs w:val="40"/>
      <w:lang w:eastAsia="en-GB"/>
    </w:rPr>
  </w:style>
  <w:style w:type="paragraph" w:customStyle="1" w:styleId="Fichefinanciretitreacte">
    <w:name w:val="Fiche financière titre (acte)"/>
    <w:basedOn w:val="Normal"/>
    <w:next w:val="Normal"/>
    <w:pPr>
      <w:autoSpaceDE w:val="0"/>
      <w:autoSpaceDN w:val="0"/>
      <w:jc w:val="center"/>
    </w:pPr>
    <w:rPr>
      <w:rFonts w:eastAsia="Times New Roman"/>
      <w:b/>
      <w:bCs/>
      <w:szCs w:val="24"/>
      <w:u w:val="single"/>
      <w:lang w:eastAsia="en-GB"/>
    </w:rPr>
  </w:style>
  <w:style w:type="paragraph" w:customStyle="1" w:styleId="Fichefinanciretitretable">
    <w:name w:val="Fiche financière titre (table)"/>
    <w:basedOn w:val="Normal"/>
    <w:pPr>
      <w:autoSpaceDE w:val="0"/>
      <w:autoSpaceDN w:val="0"/>
      <w:jc w:val="center"/>
    </w:pPr>
    <w:rPr>
      <w:rFonts w:eastAsia="Times New Roman"/>
      <w:b/>
      <w:bCs/>
      <w:sz w:val="40"/>
      <w:szCs w:val="40"/>
      <w:lang w:eastAsia="en-GB"/>
    </w:rPr>
  </w:style>
  <w:style w:type="paragraph" w:customStyle="1" w:styleId="Langueoriginale">
    <w:name w:val="Langue originale"/>
    <w:basedOn w:val="Normal"/>
    <w:next w:val="Phrasefinale"/>
    <w:pPr>
      <w:autoSpaceDE w:val="0"/>
      <w:autoSpaceDN w:val="0"/>
      <w:spacing w:before="360"/>
      <w:jc w:val="center"/>
    </w:pPr>
    <w:rPr>
      <w:rFonts w:eastAsia="Times New Roman"/>
      <w:caps/>
      <w:szCs w:val="24"/>
      <w:lang w:eastAsia="en-GB"/>
    </w:rPr>
  </w:style>
  <w:style w:type="paragraph" w:customStyle="1" w:styleId="Phrasefinale">
    <w:name w:val="Phrase finale"/>
    <w:basedOn w:val="Normal"/>
    <w:next w:val="Normal"/>
    <w:pPr>
      <w:autoSpaceDE w:val="0"/>
      <w:autoSpaceDN w:val="0"/>
      <w:spacing w:before="360" w:after="0"/>
      <w:jc w:val="center"/>
    </w:pPr>
    <w:rPr>
      <w:rFonts w:eastAsia="Times New Roman"/>
      <w:szCs w:val="24"/>
      <w:lang w:eastAsia="en-GB"/>
    </w:rPr>
  </w:style>
  <w:style w:type="character" w:styleId="PageNumber">
    <w:name w:val="page number"/>
  </w:style>
  <w:style w:type="paragraph" w:customStyle="1" w:styleId="Prliminairetitre">
    <w:name w:val="Préliminaire titre"/>
    <w:basedOn w:val="Normal"/>
    <w:next w:val="Normal"/>
    <w:pPr>
      <w:autoSpaceDE w:val="0"/>
      <w:autoSpaceDN w:val="0"/>
      <w:spacing w:before="360" w:after="360"/>
      <w:jc w:val="center"/>
    </w:pPr>
    <w:rPr>
      <w:rFonts w:eastAsia="Times New Roman"/>
      <w:b/>
      <w:bCs/>
      <w:szCs w:val="24"/>
      <w:lang w:eastAsia="en-GB"/>
    </w:rPr>
  </w:style>
  <w:style w:type="paragraph" w:customStyle="1" w:styleId="Prliminairetype">
    <w:name w:val="Préliminaire type"/>
    <w:basedOn w:val="Normal"/>
    <w:next w:val="Normal"/>
    <w:pPr>
      <w:autoSpaceDE w:val="0"/>
      <w:autoSpaceDN w:val="0"/>
      <w:spacing w:before="360" w:after="0"/>
      <w:jc w:val="center"/>
    </w:pPr>
    <w:rPr>
      <w:rFonts w:eastAsia="Times New Roman"/>
      <w:b/>
      <w:bCs/>
      <w:szCs w:val="24"/>
      <w:lang w:eastAsia="en-GB"/>
    </w:rPr>
  </w:style>
  <w:style w:type="paragraph" w:customStyle="1" w:styleId="Rfrenceinterinstitutionelle">
    <w:name w:val="Référence interinstitutionelle"/>
    <w:basedOn w:val="Normal"/>
    <w:next w:val="Statut"/>
    <w:pPr>
      <w:autoSpaceDE w:val="0"/>
      <w:autoSpaceDN w:val="0"/>
      <w:spacing w:before="0" w:after="0"/>
      <w:ind w:left="5103"/>
      <w:jc w:val="left"/>
    </w:pPr>
    <w:rPr>
      <w:rFonts w:eastAsia="Times New Roman"/>
      <w:szCs w:val="24"/>
      <w:lang w:eastAsia="en-GB"/>
    </w:rPr>
  </w:style>
  <w:style w:type="paragraph" w:styleId="TOAHeading">
    <w:name w:val="toa heading"/>
    <w:basedOn w:val="Normal"/>
    <w:next w:val="Normal"/>
    <w:pPr>
      <w:autoSpaceDE w:val="0"/>
      <w:autoSpaceDN w:val="0"/>
    </w:pPr>
    <w:rPr>
      <w:rFonts w:ascii="Arial" w:eastAsia="Times New Roman" w:hAnsi="Arial" w:cs="Arial"/>
      <w:b/>
      <w:bCs/>
      <w:szCs w:val="24"/>
      <w:lang w:eastAsia="en-GB"/>
    </w:rPr>
  </w:style>
  <w:style w:type="paragraph" w:customStyle="1" w:styleId="Titredumodificateur">
    <w:name w:val="Titre du modificateur"/>
    <w:basedOn w:val="Normal"/>
    <w:next w:val="Annexetitrefichefinacte"/>
    <w:uiPriority w:val="99"/>
    <w:pPr>
      <w:autoSpaceDE w:val="0"/>
      <w:autoSpaceDN w:val="0"/>
      <w:spacing w:before="240" w:after="60"/>
      <w:jc w:val="left"/>
    </w:pPr>
    <w:rPr>
      <w:rFonts w:eastAsia="Times New Roman"/>
      <w:b/>
      <w:bCs/>
      <w:szCs w:val="24"/>
      <w:lang w:eastAsia="en-GB"/>
    </w:rPr>
  </w:style>
  <w:style w:type="paragraph" w:customStyle="1" w:styleId="Referencedumodificateur">
    <w:name w:val="Reference du modificateur"/>
    <w:basedOn w:val="Normal"/>
    <w:next w:val="Annexetitrefichefinglobale"/>
    <w:uiPriority w:val="99"/>
    <w:pPr>
      <w:autoSpaceDE w:val="0"/>
      <w:autoSpaceDN w:val="0"/>
      <w:spacing w:before="0"/>
      <w:jc w:val="left"/>
    </w:pPr>
    <w:rPr>
      <w:rFonts w:eastAsia="Times New Roman"/>
      <w:szCs w:val="24"/>
      <w:lang w:eastAsia="en-GB"/>
    </w:rPr>
  </w:style>
  <w:style w:type="paragraph" w:customStyle="1" w:styleId="NormalParagraph">
    <w:name w:val="Normal Paragraph"/>
    <w:pPr>
      <w:tabs>
        <w:tab w:val="left" w:pos="576"/>
        <w:tab w:val="left" w:pos="1152"/>
        <w:tab w:val="left" w:pos="1728"/>
        <w:tab w:val="left" w:pos="5760"/>
      </w:tabs>
      <w:spacing w:after="0" w:line="312" w:lineRule="exact"/>
      <w:jc w:val="both"/>
    </w:pPr>
    <w:rPr>
      <w:rFonts w:ascii="Bookman" w:eastAsia="Times New Roman" w:hAnsi="Bookman" w:cs="Times New Roman"/>
      <w:sz w:val="24"/>
      <w:szCs w:val="20"/>
    </w:rPr>
  </w:style>
  <w:style w:type="paragraph" w:customStyle="1" w:styleId="Hurtig1">
    <w:name w:val="Hurtig 1)"/>
    <w:basedOn w:val="Normal"/>
    <w:pPr>
      <w:spacing w:before="0" w:after="0"/>
      <w:ind w:left="720" w:hanging="720"/>
      <w:jc w:val="left"/>
    </w:pPr>
    <w:rPr>
      <w:rFonts w:eastAsia="Times New Roman"/>
      <w:sz w:val="22"/>
      <w:szCs w:val="20"/>
    </w:rPr>
  </w:style>
  <w:style w:type="paragraph" w:styleId="Date">
    <w:name w:val="Date"/>
    <w:basedOn w:val="Normal"/>
    <w:next w:val="References"/>
    <w:link w:val="DateChar"/>
    <w:pPr>
      <w:spacing w:before="0" w:after="0"/>
      <w:ind w:left="5103" w:right="-567"/>
      <w:jc w:val="left"/>
    </w:pPr>
    <w:rPr>
      <w:rFonts w:eastAsia="Times New Roman"/>
      <w:szCs w:val="20"/>
    </w:rPr>
  </w:style>
  <w:style w:type="character" w:customStyle="1" w:styleId="DateChar">
    <w:name w:val="Date Char"/>
    <w:basedOn w:val="DefaultParagraphFont"/>
    <w:link w:val="Date"/>
    <w:rPr>
      <w:rFonts w:ascii="Times New Roman" w:eastAsia="Times New Roman" w:hAnsi="Times New Roman" w:cs="Times New Roman"/>
      <w:sz w:val="24"/>
      <w:szCs w:val="20"/>
      <w:lang w:val="fi-FI"/>
    </w:rPr>
  </w:style>
  <w:style w:type="paragraph" w:customStyle="1" w:styleId="References">
    <w:name w:val="References"/>
    <w:basedOn w:val="Normal"/>
    <w:next w:val="Normal"/>
    <w:pPr>
      <w:spacing w:before="0" w:after="240"/>
      <w:ind w:left="5103"/>
      <w:jc w:val="left"/>
    </w:pPr>
    <w:rPr>
      <w:rFonts w:eastAsia="Times New Roman"/>
      <w:sz w:val="20"/>
      <w:szCs w:val="20"/>
    </w:rPr>
  </w:style>
  <w:style w:type="paragraph" w:customStyle="1" w:styleId="ZCom">
    <w:name w:val="Z_Com"/>
    <w:basedOn w:val="Normal"/>
    <w:next w:val="ZDGName"/>
    <w:pPr>
      <w:widowControl w:val="0"/>
      <w:autoSpaceDE w:val="0"/>
      <w:autoSpaceDN w:val="0"/>
      <w:spacing w:before="0" w:after="0"/>
      <w:ind w:right="85"/>
    </w:pPr>
    <w:rPr>
      <w:rFonts w:ascii="Arial" w:eastAsia="Times New Roman" w:hAnsi="Arial" w:cs="Arial"/>
      <w:szCs w:val="24"/>
      <w:lang w:eastAsia="en-GB"/>
    </w:rPr>
  </w:style>
  <w:style w:type="paragraph" w:customStyle="1" w:styleId="ZDGName">
    <w:name w:val="Z_DGName"/>
    <w:basedOn w:val="Normal"/>
    <w:pPr>
      <w:widowControl w:val="0"/>
      <w:autoSpaceDE w:val="0"/>
      <w:autoSpaceDN w:val="0"/>
      <w:spacing w:before="0" w:after="0"/>
      <w:ind w:right="85"/>
      <w:jc w:val="left"/>
    </w:pPr>
    <w:rPr>
      <w:rFonts w:ascii="Arial" w:eastAsia="Times New Roman" w:hAnsi="Arial" w:cs="Arial"/>
      <w:sz w:val="16"/>
      <w:szCs w:val="16"/>
      <w:lang w:eastAsia="en-GB"/>
    </w:rPr>
  </w:style>
  <w:style w:type="character" w:styleId="Hyperlink">
    <w:name w:val="Hyperlink"/>
    <w:basedOn w:val="DefaultParagraphFont"/>
    <w:unhideWhenUsed/>
    <w:rPr>
      <w:color w:val="0000FF" w:themeColor="hyperlink"/>
      <w:u w:val="single"/>
    </w:rPr>
  </w:style>
  <w:style w:type="character" w:styleId="FollowedHyperlink">
    <w:name w:val="FollowedHyperlink"/>
    <w:basedOn w:val="DefaultParagraphFont"/>
    <w:unhideWhenUsed/>
    <w:rPr>
      <w:color w:val="800080" w:themeColor="followedHyperlink"/>
      <w:u w:val="single"/>
    </w:rPr>
  </w:style>
  <w:style w:type="paragraph" w:customStyle="1" w:styleId="Contact">
    <w:name w:val="Contact"/>
    <w:basedOn w:val="Normal"/>
    <w:next w:val="Normal"/>
    <w:pPr>
      <w:spacing w:before="480" w:after="0"/>
      <w:ind w:left="567" w:hanging="567"/>
      <w:jc w:val="left"/>
    </w:pPr>
    <w:rPr>
      <w:rFonts w:eastAsia="Times New Roman"/>
      <w:szCs w:val="20"/>
    </w:rPr>
  </w:style>
  <w:style w:type="paragraph" w:customStyle="1" w:styleId="ListBullet1">
    <w:name w:val="List Bullet 1"/>
    <w:basedOn w:val="Text1"/>
    <w:pPr>
      <w:numPr>
        <w:numId w:val="11"/>
      </w:numPr>
      <w:spacing w:before="0" w:after="240"/>
    </w:pPr>
    <w:rPr>
      <w:rFonts w:eastAsia="Times New Roman"/>
      <w:szCs w:val="20"/>
    </w:rPr>
  </w:style>
  <w:style w:type="paragraph" w:customStyle="1" w:styleId="ListDash">
    <w:name w:val="List Dash"/>
    <w:basedOn w:val="Normal"/>
    <w:pPr>
      <w:numPr>
        <w:numId w:val="12"/>
      </w:numPr>
      <w:spacing w:before="0" w:after="240"/>
    </w:pPr>
    <w:rPr>
      <w:rFonts w:eastAsia="Times New Roman"/>
      <w:szCs w:val="20"/>
    </w:rPr>
  </w:style>
  <w:style w:type="paragraph" w:customStyle="1" w:styleId="ListDash1">
    <w:name w:val="List Dash 1"/>
    <w:basedOn w:val="Text1"/>
    <w:pPr>
      <w:numPr>
        <w:numId w:val="13"/>
      </w:numPr>
      <w:spacing w:before="0" w:after="240"/>
    </w:pPr>
    <w:rPr>
      <w:rFonts w:eastAsia="Times New Roman"/>
      <w:szCs w:val="20"/>
    </w:rPr>
  </w:style>
  <w:style w:type="paragraph" w:customStyle="1" w:styleId="ListDash2">
    <w:name w:val="List Dash 2"/>
    <w:basedOn w:val="Text2"/>
    <w:pPr>
      <w:numPr>
        <w:numId w:val="14"/>
      </w:numPr>
      <w:spacing w:before="0" w:after="240"/>
    </w:pPr>
    <w:rPr>
      <w:rFonts w:eastAsia="Times New Roman"/>
      <w:szCs w:val="20"/>
    </w:rPr>
  </w:style>
  <w:style w:type="paragraph" w:customStyle="1" w:styleId="ListDash3">
    <w:name w:val="List Dash 3"/>
    <w:basedOn w:val="Text3"/>
    <w:pPr>
      <w:numPr>
        <w:numId w:val="15"/>
      </w:numPr>
      <w:spacing w:before="0" w:after="240"/>
    </w:pPr>
    <w:rPr>
      <w:rFonts w:eastAsia="Times New Roman"/>
      <w:szCs w:val="20"/>
    </w:rPr>
  </w:style>
  <w:style w:type="paragraph" w:customStyle="1" w:styleId="ListDash4">
    <w:name w:val="List Dash 4"/>
    <w:basedOn w:val="Text4"/>
    <w:pPr>
      <w:numPr>
        <w:numId w:val="16"/>
      </w:numPr>
      <w:spacing w:before="0" w:after="240"/>
    </w:pPr>
    <w:rPr>
      <w:rFonts w:eastAsia="Times New Roman"/>
      <w:szCs w:val="20"/>
    </w:rPr>
  </w:style>
  <w:style w:type="paragraph" w:styleId="ListNumber">
    <w:name w:val="List Number"/>
    <w:basedOn w:val="Normal"/>
    <w:pPr>
      <w:numPr>
        <w:numId w:val="17"/>
      </w:numPr>
      <w:spacing w:before="0" w:after="240"/>
    </w:pPr>
    <w:rPr>
      <w:rFonts w:eastAsia="Times New Roman"/>
      <w:szCs w:val="20"/>
    </w:rPr>
  </w:style>
  <w:style w:type="paragraph" w:customStyle="1" w:styleId="ListNumber1">
    <w:name w:val="List Number 1"/>
    <w:basedOn w:val="Text1"/>
    <w:pPr>
      <w:numPr>
        <w:numId w:val="18"/>
      </w:numPr>
      <w:spacing w:before="0" w:after="240"/>
    </w:pPr>
    <w:rPr>
      <w:rFonts w:eastAsia="Times New Roman"/>
      <w:szCs w:val="20"/>
    </w:rPr>
  </w:style>
  <w:style w:type="paragraph" w:styleId="ListNumber2">
    <w:name w:val="List Number 2"/>
    <w:basedOn w:val="Text2"/>
    <w:pPr>
      <w:numPr>
        <w:numId w:val="19"/>
      </w:numPr>
      <w:spacing w:before="0" w:after="240"/>
    </w:pPr>
    <w:rPr>
      <w:rFonts w:eastAsia="Times New Roman"/>
      <w:szCs w:val="20"/>
    </w:rPr>
  </w:style>
  <w:style w:type="paragraph" w:styleId="ListNumber3">
    <w:name w:val="List Number 3"/>
    <w:basedOn w:val="Text3"/>
    <w:pPr>
      <w:numPr>
        <w:numId w:val="20"/>
      </w:numPr>
      <w:spacing w:before="0" w:after="240"/>
    </w:pPr>
    <w:rPr>
      <w:rFonts w:eastAsia="Times New Roman"/>
      <w:szCs w:val="20"/>
    </w:rPr>
  </w:style>
  <w:style w:type="paragraph" w:styleId="ListNumber4">
    <w:name w:val="List Number 4"/>
    <w:basedOn w:val="Text4"/>
    <w:pPr>
      <w:numPr>
        <w:numId w:val="21"/>
      </w:numPr>
      <w:spacing w:before="0" w:after="240"/>
    </w:pPr>
    <w:rPr>
      <w:rFonts w:eastAsia="Times New Roman"/>
      <w:szCs w:val="20"/>
    </w:rPr>
  </w:style>
  <w:style w:type="paragraph" w:customStyle="1" w:styleId="ListNumberLevel2">
    <w:name w:val="List Number (Level 2)"/>
    <w:basedOn w:val="Normal"/>
    <w:pPr>
      <w:numPr>
        <w:ilvl w:val="1"/>
        <w:numId w:val="17"/>
      </w:numPr>
      <w:spacing w:before="0" w:after="240"/>
    </w:pPr>
    <w:rPr>
      <w:rFonts w:eastAsia="Times New Roman"/>
      <w:szCs w:val="20"/>
    </w:rPr>
  </w:style>
  <w:style w:type="paragraph" w:customStyle="1" w:styleId="ListNumber1Level2">
    <w:name w:val="List Number 1 (Level 2)"/>
    <w:basedOn w:val="Text1"/>
    <w:pPr>
      <w:numPr>
        <w:ilvl w:val="1"/>
        <w:numId w:val="18"/>
      </w:numPr>
      <w:spacing w:before="0" w:after="240"/>
    </w:pPr>
    <w:rPr>
      <w:rFonts w:eastAsia="Times New Roman"/>
      <w:szCs w:val="20"/>
    </w:rPr>
  </w:style>
  <w:style w:type="paragraph" w:customStyle="1" w:styleId="ListNumber2Level2">
    <w:name w:val="List Number 2 (Level 2)"/>
    <w:basedOn w:val="Text2"/>
    <w:pPr>
      <w:numPr>
        <w:ilvl w:val="1"/>
        <w:numId w:val="19"/>
      </w:numPr>
      <w:spacing w:before="0" w:after="240"/>
    </w:pPr>
    <w:rPr>
      <w:rFonts w:eastAsia="Times New Roman"/>
      <w:szCs w:val="20"/>
    </w:rPr>
  </w:style>
  <w:style w:type="paragraph" w:customStyle="1" w:styleId="ListNumber3Level2">
    <w:name w:val="List Number 3 (Level 2)"/>
    <w:basedOn w:val="Text3"/>
    <w:pPr>
      <w:numPr>
        <w:ilvl w:val="1"/>
        <w:numId w:val="20"/>
      </w:numPr>
      <w:spacing w:before="0" w:after="240"/>
    </w:pPr>
    <w:rPr>
      <w:rFonts w:eastAsia="Times New Roman"/>
      <w:szCs w:val="20"/>
    </w:rPr>
  </w:style>
  <w:style w:type="paragraph" w:customStyle="1" w:styleId="ListNumber4Level2">
    <w:name w:val="List Number 4 (Level 2)"/>
    <w:basedOn w:val="Text4"/>
    <w:pPr>
      <w:numPr>
        <w:ilvl w:val="1"/>
        <w:numId w:val="21"/>
      </w:numPr>
      <w:spacing w:before="0" w:after="240"/>
    </w:pPr>
    <w:rPr>
      <w:rFonts w:eastAsia="Times New Roman"/>
      <w:szCs w:val="20"/>
    </w:rPr>
  </w:style>
  <w:style w:type="paragraph" w:customStyle="1" w:styleId="ListNumberLevel3">
    <w:name w:val="List Number (Level 3)"/>
    <w:basedOn w:val="Normal"/>
    <w:pPr>
      <w:numPr>
        <w:ilvl w:val="2"/>
        <w:numId w:val="17"/>
      </w:numPr>
      <w:spacing w:before="0" w:after="240"/>
    </w:pPr>
    <w:rPr>
      <w:rFonts w:eastAsia="Times New Roman"/>
      <w:szCs w:val="20"/>
    </w:rPr>
  </w:style>
  <w:style w:type="paragraph" w:customStyle="1" w:styleId="ListNumber1Level3">
    <w:name w:val="List Number 1 (Level 3)"/>
    <w:basedOn w:val="Text1"/>
    <w:pPr>
      <w:numPr>
        <w:ilvl w:val="2"/>
        <w:numId w:val="18"/>
      </w:numPr>
      <w:spacing w:before="0" w:after="240"/>
    </w:pPr>
    <w:rPr>
      <w:rFonts w:eastAsia="Times New Roman"/>
      <w:szCs w:val="20"/>
    </w:rPr>
  </w:style>
  <w:style w:type="paragraph" w:customStyle="1" w:styleId="ListNumber2Level3">
    <w:name w:val="List Number 2 (Level 3)"/>
    <w:basedOn w:val="Text2"/>
    <w:pPr>
      <w:numPr>
        <w:ilvl w:val="2"/>
        <w:numId w:val="19"/>
      </w:numPr>
      <w:spacing w:before="0" w:after="240"/>
    </w:pPr>
    <w:rPr>
      <w:rFonts w:eastAsia="Times New Roman"/>
      <w:szCs w:val="20"/>
    </w:rPr>
  </w:style>
  <w:style w:type="paragraph" w:customStyle="1" w:styleId="ListNumber3Level3">
    <w:name w:val="List Number 3 (Level 3)"/>
    <w:basedOn w:val="Text3"/>
    <w:pPr>
      <w:numPr>
        <w:ilvl w:val="2"/>
        <w:numId w:val="20"/>
      </w:numPr>
      <w:spacing w:before="0" w:after="240"/>
    </w:pPr>
    <w:rPr>
      <w:rFonts w:eastAsia="Times New Roman"/>
      <w:szCs w:val="20"/>
    </w:rPr>
  </w:style>
  <w:style w:type="paragraph" w:customStyle="1" w:styleId="ListNumber4Level3">
    <w:name w:val="List Number 4 (Level 3)"/>
    <w:basedOn w:val="Text4"/>
    <w:pPr>
      <w:numPr>
        <w:ilvl w:val="2"/>
        <w:numId w:val="21"/>
      </w:numPr>
      <w:spacing w:before="0" w:after="240"/>
    </w:pPr>
    <w:rPr>
      <w:rFonts w:eastAsia="Times New Roman"/>
      <w:szCs w:val="20"/>
    </w:rPr>
  </w:style>
  <w:style w:type="paragraph" w:customStyle="1" w:styleId="ListNumberLevel4">
    <w:name w:val="List Number (Level 4)"/>
    <w:basedOn w:val="Normal"/>
    <w:pPr>
      <w:numPr>
        <w:ilvl w:val="3"/>
        <w:numId w:val="17"/>
      </w:numPr>
      <w:spacing w:before="0" w:after="240"/>
    </w:pPr>
    <w:rPr>
      <w:rFonts w:eastAsia="Times New Roman"/>
      <w:szCs w:val="20"/>
    </w:rPr>
  </w:style>
  <w:style w:type="paragraph" w:customStyle="1" w:styleId="ListNumber1Level4">
    <w:name w:val="List Number 1 (Level 4)"/>
    <w:basedOn w:val="Text1"/>
    <w:pPr>
      <w:numPr>
        <w:ilvl w:val="3"/>
        <w:numId w:val="18"/>
      </w:numPr>
      <w:spacing w:before="0" w:after="240"/>
    </w:pPr>
    <w:rPr>
      <w:rFonts w:eastAsia="Times New Roman"/>
      <w:szCs w:val="20"/>
    </w:rPr>
  </w:style>
  <w:style w:type="paragraph" w:customStyle="1" w:styleId="ListNumber2Level4">
    <w:name w:val="List Number 2 (Level 4)"/>
    <w:basedOn w:val="Text2"/>
    <w:pPr>
      <w:numPr>
        <w:ilvl w:val="3"/>
        <w:numId w:val="19"/>
      </w:numPr>
      <w:spacing w:before="0" w:after="240"/>
    </w:pPr>
    <w:rPr>
      <w:rFonts w:eastAsia="Times New Roman"/>
      <w:szCs w:val="20"/>
    </w:rPr>
  </w:style>
  <w:style w:type="paragraph" w:customStyle="1" w:styleId="ListNumber3Level4">
    <w:name w:val="List Number 3 (Level 4)"/>
    <w:basedOn w:val="Text3"/>
    <w:pPr>
      <w:numPr>
        <w:ilvl w:val="3"/>
        <w:numId w:val="20"/>
      </w:numPr>
      <w:spacing w:before="0" w:after="240"/>
    </w:pPr>
    <w:rPr>
      <w:rFonts w:eastAsia="Times New Roman"/>
      <w:szCs w:val="20"/>
    </w:rPr>
  </w:style>
  <w:style w:type="paragraph" w:customStyle="1" w:styleId="ListNumber4Level4">
    <w:name w:val="List Number 4 (Level 4)"/>
    <w:basedOn w:val="Text4"/>
    <w:pPr>
      <w:numPr>
        <w:ilvl w:val="3"/>
        <w:numId w:val="21"/>
      </w:numPr>
      <w:spacing w:before="0" w:after="240"/>
    </w:pPr>
    <w:rPr>
      <w:rFonts w:eastAsia="Times New Roman"/>
      <w:szCs w:val="20"/>
    </w:rPr>
  </w:style>
  <w:style w:type="paragraph" w:styleId="EndnoteText">
    <w:name w:val="endnote text"/>
    <w:basedOn w:val="Normal"/>
    <w:link w:val="EndnoteTextChar"/>
    <w:semiHidden/>
    <w:pPr>
      <w:spacing w:before="0" w:after="240"/>
    </w:pPr>
    <w:rPr>
      <w:rFonts w:eastAsia="Times New Roman"/>
      <w:sz w:val="20"/>
      <w:szCs w:val="20"/>
    </w:rPr>
  </w:style>
  <w:style w:type="character" w:customStyle="1" w:styleId="EndnoteTextChar">
    <w:name w:val="Endnote Text Char"/>
    <w:basedOn w:val="DefaultParagraphFont"/>
    <w:link w:val="EndnoteText"/>
    <w:semiHidden/>
    <w:rPr>
      <w:rFonts w:ascii="Times New Roman" w:eastAsia="Times New Roman" w:hAnsi="Times New Roman" w:cs="Times New Roman"/>
      <w:sz w:val="20"/>
      <w:szCs w:val="20"/>
      <w:lang w:val="fi-FI"/>
    </w:rPr>
  </w:style>
  <w:style w:type="character" w:styleId="EndnoteReference">
    <w:name w:val="endnote reference"/>
    <w:uiPriority w:val="99"/>
    <w:rPr>
      <w:vertAlign w:val="superscript"/>
    </w:rPr>
  </w:style>
  <w:style w:type="numbering" w:customStyle="1" w:styleId="NoList111">
    <w:name w:val="No List111"/>
    <w:next w:val="NoList"/>
    <w:semiHidden/>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szCs w:val="24"/>
      <w:lang w:eastAsia="de-DE"/>
    </w:rPr>
  </w:style>
  <w:style w:type="paragraph" w:customStyle="1" w:styleId="Sous-titreobjetprliminaire">
    <w:name w:val="Sous-titre objet (préliminaire)"/>
    <w:basedOn w:val="Normal"/>
    <w:pPr>
      <w:spacing w:before="0" w:after="0"/>
      <w:jc w:val="center"/>
    </w:pPr>
    <w:rPr>
      <w:rFonts w:eastAsia="Times New Roman"/>
      <w:b/>
      <w:szCs w:val="24"/>
      <w:lang w:eastAsia="de-DE"/>
    </w:rPr>
  </w:style>
  <w:style w:type="paragraph" w:customStyle="1" w:styleId="Statutprliminaire">
    <w:name w:val="Statut (préliminaire)"/>
    <w:basedOn w:val="Normal"/>
    <w:next w:val="Normal"/>
    <w:pPr>
      <w:spacing w:before="360" w:after="0"/>
      <w:jc w:val="center"/>
    </w:pPr>
    <w:rPr>
      <w:rFonts w:eastAsia="Times New Roman"/>
      <w:szCs w:val="24"/>
      <w:lang w:eastAsia="de-DE"/>
    </w:rPr>
  </w:style>
  <w:style w:type="paragraph" w:customStyle="1" w:styleId="Titreobjetprliminaire">
    <w:name w:val="Titre objet (préliminaire)"/>
    <w:basedOn w:val="Normal"/>
    <w:next w:val="Normal"/>
    <w:pPr>
      <w:spacing w:before="360" w:after="360"/>
      <w:jc w:val="center"/>
    </w:pPr>
    <w:rPr>
      <w:rFonts w:eastAsia="Times New Roman"/>
      <w:b/>
      <w:szCs w:val="24"/>
      <w:lang w:eastAsia="de-DE"/>
    </w:rPr>
  </w:style>
  <w:style w:type="paragraph" w:customStyle="1" w:styleId="Typedudocumentprliminaire">
    <w:name w:val="Type du document (préliminaire)"/>
    <w:basedOn w:val="Normal"/>
    <w:next w:val="Normal"/>
    <w:pPr>
      <w:spacing w:before="360" w:after="0"/>
      <w:jc w:val="center"/>
    </w:pPr>
    <w:rPr>
      <w:rFonts w:eastAsia="Times New Roman"/>
      <w:b/>
      <w:szCs w:val="24"/>
      <w:lang w:eastAsia="de-DE"/>
    </w:rPr>
  </w:style>
  <w:style w:type="paragraph" w:customStyle="1" w:styleId="Fichefinancirestandardtitre">
    <w:name w:val="Fiche financière (standard) titre"/>
    <w:basedOn w:val="Normal"/>
    <w:next w:val="Normal"/>
    <w:pPr>
      <w:jc w:val="center"/>
    </w:pPr>
    <w:rPr>
      <w:rFonts w:eastAsia="Times New Roman"/>
      <w:b/>
      <w:szCs w:val="24"/>
      <w:u w:val="single"/>
      <w:lang w:eastAsia="de-DE"/>
    </w:rPr>
  </w:style>
  <w:style w:type="paragraph" w:customStyle="1" w:styleId="Fichefinancirestandardtitreacte">
    <w:name w:val="Fiche financière (standard) titre (acte)"/>
    <w:basedOn w:val="Normal"/>
    <w:next w:val="Normal"/>
    <w:pPr>
      <w:jc w:val="center"/>
    </w:pPr>
    <w:rPr>
      <w:rFonts w:eastAsia="Times New Roman"/>
      <w:b/>
      <w:szCs w:val="24"/>
      <w:u w:val="single"/>
      <w:lang w:eastAsia="de-DE"/>
    </w:rPr>
  </w:style>
  <w:style w:type="paragraph" w:customStyle="1" w:styleId="Fichefinanciretravailtitre">
    <w:name w:val="Fiche financière (travail) titre"/>
    <w:basedOn w:val="Normal"/>
    <w:next w:val="Normal"/>
    <w:pPr>
      <w:jc w:val="center"/>
    </w:pPr>
    <w:rPr>
      <w:rFonts w:eastAsia="Times New Roman"/>
      <w:b/>
      <w:szCs w:val="24"/>
      <w:u w:val="single"/>
      <w:lang w:eastAsia="de-DE"/>
    </w:rPr>
  </w:style>
  <w:style w:type="paragraph" w:customStyle="1" w:styleId="Fichefinanciretravailtitreacte">
    <w:name w:val="Fiche financière (travail) titre (acte)"/>
    <w:basedOn w:val="Normal"/>
    <w:next w:val="Normal"/>
    <w:pPr>
      <w:jc w:val="center"/>
    </w:pPr>
    <w:rPr>
      <w:rFonts w:eastAsia="Times New Roman"/>
      <w:b/>
      <w:szCs w:val="24"/>
      <w:u w:val="single"/>
      <w:lang w:eastAsia="de-DE"/>
    </w:rPr>
  </w:style>
  <w:style w:type="paragraph" w:customStyle="1" w:styleId="Fichefinancireattributiontitre">
    <w:name w:val="Fiche financière (attribution) titre"/>
    <w:basedOn w:val="Normal"/>
    <w:next w:val="Normal"/>
    <w:pPr>
      <w:jc w:val="center"/>
    </w:pPr>
    <w:rPr>
      <w:rFonts w:eastAsia="Times New Roman"/>
      <w:b/>
      <w:szCs w:val="24"/>
      <w:u w:val="single"/>
      <w:lang w:eastAsia="de-DE"/>
    </w:rPr>
  </w:style>
  <w:style w:type="paragraph" w:customStyle="1" w:styleId="Fichefinancireattributiontitreacte">
    <w:name w:val="Fiche financière (attribution) titre (acte)"/>
    <w:basedOn w:val="Normal"/>
    <w:next w:val="Normal"/>
    <w:pPr>
      <w:jc w:val="center"/>
    </w:pPr>
    <w:rPr>
      <w:rFonts w:eastAsia="Times New Roman"/>
      <w:b/>
      <w:szCs w:val="24"/>
      <w:u w:val="single"/>
      <w:lang w:eastAsia="de-DE"/>
    </w:rPr>
  </w:style>
  <w:style w:type="paragraph" w:customStyle="1" w:styleId="AddressTL">
    <w:name w:val="AddressTL"/>
    <w:basedOn w:val="Normal"/>
    <w:next w:val="Normal"/>
    <w:pPr>
      <w:spacing w:before="0" w:after="720"/>
      <w:jc w:val="left"/>
    </w:pPr>
    <w:rPr>
      <w:rFonts w:eastAsia="Times New Roman"/>
      <w:szCs w:val="20"/>
    </w:rPr>
  </w:style>
  <w:style w:type="paragraph" w:customStyle="1" w:styleId="AddressTR">
    <w:name w:val="AddressTR"/>
    <w:basedOn w:val="Normal"/>
    <w:next w:val="Normal"/>
    <w:pPr>
      <w:spacing w:before="0" w:after="720"/>
      <w:ind w:left="5103"/>
      <w:jc w:val="left"/>
    </w:pPr>
    <w:rPr>
      <w:rFonts w:eastAsia="Times New Roman"/>
      <w:szCs w:val="20"/>
    </w:rPr>
  </w:style>
  <w:style w:type="paragraph" w:styleId="BlockText">
    <w:name w:val="Block Text"/>
    <w:basedOn w:val="Normal"/>
    <w:pPr>
      <w:spacing w:before="0"/>
      <w:ind w:left="1440" w:right="1440"/>
    </w:pPr>
    <w:rPr>
      <w:rFonts w:eastAsia="Times New Roman"/>
      <w:szCs w:val="20"/>
    </w:rPr>
  </w:style>
  <w:style w:type="paragraph" w:styleId="BodyText">
    <w:name w:val="Body Text"/>
    <w:basedOn w:val="Normal"/>
    <w:link w:val="BodyTextChar"/>
    <w:pPr>
      <w:spacing w:before="0"/>
    </w:pPr>
    <w:rPr>
      <w:rFonts w:eastAsia="Times New Roman"/>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lang w:val="fi-FI"/>
    </w:rPr>
  </w:style>
  <w:style w:type="paragraph" w:styleId="BodyText2">
    <w:name w:val="Body Text 2"/>
    <w:basedOn w:val="Normal"/>
    <w:link w:val="BodyText2Char"/>
    <w:pPr>
      <w:spacing w:before="0" w:line="480" w:lineRule="auto"/>
    </w:pPr>
    <w:rPr>
      <w:rFonts w:eastAsia="Times New Roman"/>
      <w:szCs w:val="20"/>
    </w:rPr>
  </w:style>
  <w:style w:type="character" w:customStyle="1" w:styleId="BodyText2Char">
    <w:name w:val="Body Text 2 Char"/>
    <w:basedOn w:val="DefaultParagraphFont"/>
    <w:link w:val="BodyText2"/>
    <w:rPr>
      <w:rFonts w:ascii="Times New Roman" w:eastAsia="Times New Roman" w:hAnsi="Times New Roman" w:cs="Times New Roman"/>
      <w:sz w:val="24"/>
      <w:szCs w:val="20"/>
      <w:lang w:val="fi-FI"/>
    </w:rPr>
  </w:style>
  <w:style w:type="paragraph" w:styleId="BodyText3">
    <w:name w:val="Body Text 3"/>
    <w:basedOn w:val="Normal"/>
    <w:link w:val="BodyText3Char"/>
    <w:pPr>
      <w:spacing w:before="0"/>
    </w:pPr>
    <w:rPr>
      <w:rFonts w:eastAsia="Times New Roman"/>
      <w:sz w:val="16"/>
      <w:szCs w:val="20"/>
    </w:rPr>
  </w:style>
  <w:style w:type="character" w:customStyle="1" w:styleId="BodyText3Char">
    <w:name w:val="Body Text 3 Char"/>
    <w:basedOn w:val="DefaultParagraphFont"/>
    <w:link w:val="BodyText3"/>
    <w:rPr>
      <w:rFonts w:ascii="Times New Roman" w:eastAsia="Times New Roman" w:hAnsi="Times New Roman" w:cs="Times New Roman"/>
      <w:sz w:val="16"/>
      <w:szCs w:val="20"/>
      <w:lang w:val="fi-FI"/>
    </w:rPr>
  </w:style>
  <w:style w:type="paragraph" w:styleId="BodyTextFirstIndent">
    <w:name w:val="Body Text First Indent"/>
    <w:basedOn w:val="BodyText"/>
    <w:link w:val="BodyTextFirstIndentChar"/>
    <w:pPr>
      <w:ind w:firstLine="210"/>
    </w:pPr>
  </w:style>
  <w:style w:type="character" w:customStyle="1" w:styleId="BodyTextFirstIndentChar">
    <w:name w:val="Body Text First Indent Char"/>
    <w:basedOn w:val="BodyTextChar"/>
    <w:link w:val="BodyTextFirstIndent"/>
    <w:rPr>
      <w:rFonts w:ascii="Times New Roman" w:eastAsia="Times New Roman" w:hAnsi="Times New Roman" w:cs="Times New Roman"/>
      <w:sz w:val="24"/>
      <w:szCs w:val="20"/>
      <w:lang w:val="fi-FI"/>
    </w:rPr>
  </w:style>
  <w:style w:type="paragraph" w:styleId="BodyTextIndent">
    <w:name w:val="Body Text Indent"/>
    <w:basedOn w:val="Normal"/>
    <w:link w:val="BodyTextIndentChar"/>
    <w:pPr>
      <w:spacing w:before="0"/>
      <w:ind w:left="283"/>
    </w:pPr>
    <w:rPr>
      <w:rFonts w:eastAsia="Times New Roman"/>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0"/>
      <w:lang w:val="fi-FI"/>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basedOn w:val="BodyTextIndentChar"/>
    <w:link w:val="BodyTextFirstIndent2"/>
    <w:rPr>
      <w:rFonts w:ascii="Times New Roman" w:eastAsia="Times New Roman" w:hAnsi="Times New Roman" w:cs="Times New Roman"/>
      <w:sz w:val="24"/>
      <w:szCs w:val="20"/>
      <w:lang w:val="fi-FI"/>
    </w:rPr>
  </w:style>
  <w:style w:type="paragraph" w:styleId="BodyTextIndent2">
    <w:name w:val="Body Text Indent 2"/>
    <w:basedOn w:val="Normal"/>
    <w:link w:val="BodyTextIndent2Char"/>
    <w:pPr>
      <w:spacing w:before="0" w:line="480" w:lineRule="auto"/>
      <w:ind w:left="283"/>
    </w:pPr>
    <w:rPr>
      <w:rFonts w:eastAsia="Times New Roman"/>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lang w:val="fi-FI"/>
    </w:rPr>
  </w:style>
  <w:style w:type="paragraph" w:styleId="BodyTextIndent3">
    <w:name w:val="Body Text Indent 3"/>
    <w:basedOn w:val="Normal"/>
    <w:link w:val="BodyTextIndent3Char"/>
    <w:pPr>
      <w:spacing w:before="0"/>
      <w:ind w:left="283"/>
    </w:pPr>
    <w:rPr>
      <w:rFonts w:eastAsia="Times New Roman"/>
      <w:sz w:val="16"/>
      <w:szCs w:val="20"/>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20"/>
      <w:lang w:val="fi-FI"/>
    </w:rPr>
  </w:style>
  <w:style w:type="paragraph" w:styleId="Closing">
    <w:name w:val="Closing"/>
    <w:basedOn w:val="Normal"/>
    <w:next w:val="Signature"/>
    <w:link w:val="ClosingChar"/>
    <w:pPr>
      <w:tabs>
        <w:tab w:val="left" w:pos="5103"/>
      </w:tabs>
      <w:spacing w:before="240" w:after="240"/>
      <w:ind w:left="5103"/>
      <w:jc w:val="left"/>
    </w:pPr>
    <w:rPr>
      <w:rFonts w:eastAsia="Times New Roman"/>
      <w:szCs w:val="20"/>
    </w:rPr>
  </w:style>
  <w:style w:type="character" w:customStyle="1" w:styleId="ClosingChar">
    <w:name w:val="Closing Char"/>
    <w:basedOn w:val="DefaultParagraphFont"/>
    <w:link w:val="Closing"/>
    <w:rPr>
      <w:rFonts w:ascii="Times New Roman" w:eastAsia="Times New Roman" w:hAnsi="Times New Roman" w:cs="Times New Roman"/>
      <w:sz w:val="24"/>
      <w:szCs w:val="20"/>
      <w:lang w:val="fi-FI"/>
    </w:rPr>
  </w:style>
  <w:style w:type="paragraph" w:styleId="Signature">
    <w:name w:val="Signature"/>
    <w:basedOn w:val="Normal"/>
    <w:next w:val="Contact"/>
    <w:link w:val="SignatureChar"/>
    <w:pPr>
      <w:tabs>
        <w:tab w:val="left" w:pos="5103"/>
      </w:tabs>
      <w:spacing w:before="1200" w:after="0"/>
      <w:ind w:left="5103"/>
      <w:jc w:val="center"/>
    </w:pPr>
    <w:rPr>
      <w:rFonts w:eastAsia="Times New Roman"/>
      <w:szCs w:val="20"/>
    </w:rPr>
  </w:style>
  <w:style w:type="character" w:customStyle="1" w:styleId="SignatureChar">
    <w:name w:val="Signature Char"/>
    <w:basedOn w:val="DefaultParagraphFont"/>
    <w:link w:val="Signature"/>
    <w:rPr>
      <w:rFonts w:ascii="Times New Roman" w:eastAsia="Times New Roman" w:hAnsi="Times New Roman" w:cs="Times New Roman"/>
      <w:sz w:val="24"/>
      <w:szCs w:val="20"/>
      <w:lang w:val="fi-FI"/>
    </w:rPr>
  </w:style>
  <w:style w:type="paragraph" w:customStyle="1" w:styleId="Enclosures">
    <w:name w:val="Enclosures"/>
    <w:basedOn w:val="Normal"/>
    <w:next w:val="Participants"/>
    <w:pPr>
      <w:keepNext/>
      <w:keepLines/>
      <w:tabs>
        <w:tab w:val="left" w:pos="5670"/>
      </w:tabs>
      <w:spacing w:before="480" w:after="0"/>
      <w:ind w:left="1985" w:hanging="1985"/>
      <w:jc w:val="left"/>
    </w:pPr>
    <w:rPr>
      <w:rFonts w:eastAsia="Times New Roman"/>
      <w:szCs w:val="20"/>
    </w:r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rPr>
      <w:rFonts w:eastAsia="Times New Roman"/>
      <w:szCs w:val="20"/>
    </w:r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rPr>
      <w:rFonts w:eastAsia="Times New Roman"/>
      <w:szCs w:val="20"/>
    </w:rPr>
  </w:style>
  <w:style w:type="paragraph" w:styleId="DocumentMap">
    <w:name w:val="Document Map"/>
    <w:basedOn w:val="Normal"/>
    <w:link w:val="DocumentMapChar"/>
    <w:semiHidden/>
    <w:pPr>
      <w:shd w:val="clear" w:color="auto" w:fill="000080"/>
      <w:spacing w:before="0" w:after="240"/>
    </w:pPr>
    <w:rPr>
      <w:rFonts w:ascii="Tahoma" w:eastAsia="Times New Roman" w:hAnsi="Tahoma"/>
      <w:szCs w:val="20"/>
    </w:rPr>
  </w:style>
  <w:style w:type="character" w:customStyle="1" w:styleId="DocumentMapChar">
    <w:name w:val="Document Map Char"/>
    <w:basedOn w:val="DefaultParagraphFont"/>
    <w:link w:val="DocumentMap"/>
    <w:semiHidden/>
    <w:rPr>
      <w:rFonts w:ascii="Tahoma" w:eastAsia="Times New Roman" w:hAnsi="Tahoma" w:cs="Times New Roman"/>
      <w:sz w:val="24"/>
      <w:szCs w:val="20"/>
      <w:shd w:val="clear" w:color="auto" w:fill="000080"/>
      <w:lang w:val="fi-FI"/>
    </w:rPr>
  </w:style>
  <w:style w:type="paragraph" w:customStyle="1" w:styleId="DoubSign">
    <w:name w:val="DoubSign"/>
    <w:basedOn w:val="Normal"/>
    <w:next w:val="Contact"/>
    <w:pPr>
      <w:tabs>
        <w:tab w:val="left" w:pos="5103"/>
      </w:tabs>
      <w:spacing w:before="1200" w:after="0"/>
      <w:jc w:val="left"/>
    </w:pPr>
    <w:rPr>
      <w:rFonts w:eastAsia="Times New Roman"/>
      <w:szCs w:val="20"/>
    </w:rPr>
  </w:style>
  <w:style w:type="paragraph" w:styleId="EnvelopeAddress">
    <w:name w:val="envelope address"/>
    <w:basedOn w:val="Normal"/>
    <w:pPr>
      <w:framePr w:w="7920" w:h="1980" w:hRule="exact" w:hSpace="180" w:wrap="auto" w:hAnchor="page" w:xAlign="center" w:yAlign="bottom"/>
      <w:spacing w:before="0" w:after="0"/>
    </w:pPr>
    <w:rPr>
      <w:rFonts w:eastAsia="Times New Roman"/>
      <w:szCs w:val="20"/>
    </w:rPr>
  </w:style>
  <w:style w:type="paragraph" w:styleId="EnvelopeReturn">
    <w:name w:val="envelope return"/>
    <w:basedOn w:val="Normal"/>
    <w:pPr>
      <w:spacing w:before="0" w:after="0"/>
    </w:pPr>
    <w:rPr>
      <w:rFonts w:eastAsia="Times New Roman"/>
      <w:sz w:val="20"/>
      <w:szCs w:val="20"/>
    </w:rPr>
  </w:style>
  <w:style w:type="paragraph" w:styleId="Index1">
    <w:name w:val="index 1"/>
    <w:basedOn w:val="Normal"/>
    <w:next w:val="Normal"/>
    <w:autoRedefine/>
    <w:semiHidden/>
    <w:pPr>
      <w:spacing w:before="0" w:after="240"/>
      <w:ind w:left="240" w:hanging="240"/>
    </w:pPr>
    <w:rPr>
      <w:rFonts w:eastAsia="Times New Roman"/>
      <w:szCs w:val="20"/>
    </w:rPr>
  </w:style>
  <w:style w:type="paragraph" w:styleId="Index2">
    <w:name w:val="index 2"/>
    <w:basedOn w:val="Normal"/>
    <w:next w:val="Normal"/>
    <w:autoRedefine/>
    <w:semiHidden/>
    <w:pPr>
      <w:spacing w:before="0" w:after="240"/>
      <w:ind w:left="480" w:hanging="240"/>
    </w:pPr>
    <w:rPr>
      <w:rFonts w:eastAsia="Times New Roman"/>
      <w:szCs w:val="20"/>
    </w:rPr>
  </w:style>
  <w:style w:type="paragraph" w:styleId="Index3">
    <w:name w:val="index 3"/>
    <w:basedOn w:val="Normal"/>
    <w:next w:val="Normal"/>
    <w:autoRedefine/>
    <w:semiHidden/>
    <w:pPr>
      <w:spacing w:before="0" w:after="240"/>
      <w:ind w:left="720" w:hanging="240"/>
    </w:pPr>
    <w:rPr>
      <w:rFonts w:eastAsia="Times New Roman"/>
      <w:szCs w:val="20"/>
    </w:rPr>
  </w:style>
  <w:style w:type="paragraph" w:styleId="Index4">
    <w:name w:val="index 4"/>
    <w:basedOn w:val="Normal"/>
    <w:next w:val="Normal"/>
    <w:autoRedefine/>
    <w:semiHidden/>
    <w:pPr>
      <w:spacing w:before="0" w:after="240"/>
      <w:ind w:left="960" w:hanging="240"/>
    </w:pPr>
    <w:rPr>
      <w:rFonts w:eastAsia="Times New Roman"/>
      <w:szCs w:val="20"/>
    </w:rPr>
  </w:style>
  <w:style w:type="paragraph" w:styleId="Index5">
    <w:name w:val="index 5"/>
    <w:basedOn w:val="Normal"/>
    <w:next w:val="Normal"/>
    <w:autoRedefine/>
    <w:semiHidden/>
    <w:pPr>
      <w:spacing w:before="0" w:after="240"/>
      <w:ind w:left="1200" w:hanging="240"/>
    </w:pPr>
    <w:rPr>
      <w:rFonts w:eastAsia="Times New Roman"/>
      <w:szCs w:val="20"/>
    </w:rPr>
  </w:style>
  <w:style w:type="paragraph" w:styleId="Index6">
    <w:name w:val="index 6"/>
    <w:basedOn w:val="Normal"/>
    <w:next w:val="Normal"/>
    <w:autoRedefine/>
    <w:semiHidden/>
    <w:pPr>
      <w:spacing w:before="0" w:after="240"/>
      <w:ind w:left="1440" w:hanging="240"/>
    </w:pPr>
    <w:rPr>
      <w:rFonts w:eastAsia="Times New Roman"/>
      <w:szCs w:val="20"/>
    </w:rPr>
  </w:style>
  <w:style w:type="paragraph" w:styleId="Index7">
    <w:name w:val="index 7"/>
    <w:basedOn w:val="Normal"/>
    <w:next w:val="Normal"/>
    <w:autoRedefine/>
    <w:semiHidden/>
    <w:pPr>
      <w:spacing w:before="0" w:after="240"/>
      <w:ind w:left="1680" w:hanging="240"/>
    </w:pPr>
    <w:rPr>
      <w:rFonts w:eastAsia="Times New Roman"/>
      <w:szCs w:val="20"/>
    </w:rPr>
  </w:style>
  <w:style w:type="paragraph" w:styleId="Index8">
    <w:name w:val="index 8"/>
    <w:basedOn w:val="Normal"/>
    <w:next w:val="Normal"/>
    <w:autoRedefine/>
    <w:semiHidden/>
    <w:pPr>
      <w:spacing w:before="0" w:after="240"/>
      <w:ind w:left="1920" w:hanging="240"/>
    </w:pPr>
    <w:rPr>
      <w:rFonts w:eastAsia="Times New Roman"/>
      <w:szCs w:val="20"/>
    </w:rPr>
  </w:style>
  <w:style w:type="paragraph" w:styleId="Index9">
    <w:name w:val="index 9"/>
    <w:basedOn w:val="Normal"/>
    <w:next w:val="Normal"/>
    <w:autoRedefine/>
    <w:semiHidden/>
    <w:pPr>
      <w:spacing w:before="0" w:after="240"/>
      <w:ind w:left="2160" w:hanging="240"/>
    </w:pPr>
    <w:rPr>
      <w:rFonts w:eastAsia="Times New Roman"/>
      <w:szCs w:val="20"/>
    </w:rPr>
  </w:style>
  <w:style w:type="paragraph" w:styleId="IndexHeading">
    <w:name w:val="index heading"/>
    <w:basedOn w:val="Normal"/>
    <w:next w:val="Index1"/>
    <w:semiHidden/>
    <w:pPr>
      <w:spacing w:before="0" w:after="240"/>
    </w:pPr>
    <w:rPr>
      <w:rFonts w:ascii="Arial" w:eastAsia="Times New Roman" w:hAnsi="Arial"/>
      <w:b/>
      <w:szCs w:val="20"/>
    </w:rPr>
  </w:style>
  <w:style w:type="paragraph" w:styleId="List">
    <w:name w:val="List"/>
    <w:basedOn w:val="Normal"/>
    <w:pPr>
      <w:spacing w:before="0" w:after="240"/>
      <w:ind w:left="283" w:hanging="283"/>
    </w:pPr>
    <w:rPr>
      <w:rFonts w:eastAsia="Times New Roman"/>
      <w:szCs w:val="20"/>
    </w:rPr>
  </w:style>
  <w:style w:type="paragraph" w:styleId="List2">
    <w:name w:val="List 2"/>
    <w:basedOn w:val="Normal"/>
    <w:pPr>
      <w:spacing w:before="0" w:after="240"/>
      <w:ind w:left="566" w:hanging="283"/>
    </w:pPr>
    <w:rPr>
      <w:rFonts w:eastAsia="Times New Roman"/>
      <w:szCs w:val="20"/>
    </w:rPr>
  </w:style>
  <w:style w:type="paragraph" w:styleId="List3">
    <w:name w:val="List 3"/>
    <w:basedOn w:val="Normal"/>
    <w:pPr>
      <w:spacing w:before="0" w:after="240"/>
      <w:ind w:left="849" w:hanging="283"/>
    </w:pPr>
    <w:rPr>
      <w:rFonts w:eastAsia="Times New Roman"/>
      <w:szCs w:val="20"/>
    </w:rPr>
  </w:style>
  <w:style w:type="paragraph" w:styleId="List4">
    <w:name w:val="List 4"/>
    <w:basedOn w:val="Normal"/>
    <w:pPr>
      <w:spacing w:before="0" w:after="240"/>
      <w:ind w:left="1132" w:hanging="283"/>
    </w:pPr>
    <w:rPr>
      <w:rFonts w:eastAsia="Times New Roman"/>
      <w:szCs w:val="20"/>
    </w:rPr>
  </w:style>
  <w:style w:type="paragraph" w:styleId="List5">
    <w:name w:val="List 5"/>
    <w:basedOn w:val="Normal"/>
    <w:pPr>
      <w:spacing w:before="0" w:after="240"/>
      <w:ind w:left="1415" w:hanging="283"/>
    </w:pPr>
    <w:rPr>
      <w:rFonts w:eastAsia="Times New Roman"/>
      <w:szCs w:val="20"/>
    </w:rPr>
  </w:style>
  <w:style w:type="paragraph" w:styleId="ListBullet5">
    <w:name w:val="List Bullet 5"/>
    <w:basedOn w:val="Normal"/>
    <w:autoRedefine/>
    <w:pPr>
      <w:numPr>
        <w:numId w:val="6"/>
      </w:numPr>
      <w:spacing w:before="0" w:after="240"/>
    </w:pPr>
    <w:rPr>
      <w:rFonts w:eastAsia="Times New Roman"/>
      <w:szCs w:val="20"/>
    </w:rPr>
  </w:style>
  <w:style w:type="paragraph" w:styleId="ListContinue">
    <w:name w:val="List Continue"/>
    <w:basedOn w:val="Normal"/>
    <w:pPr>
      <w:spacing w:before="0"/>
      <w:ind w:left="283"/>
    </w:pPr>
    <w:rPr>
      <w:rFonts w:eastAsia="Times New Roman"/>
      <w:szCs w:val="20"/>
    </w:rPr>
  </w:style>
  <w:style w:type="paragraph" w:styleId="ListContinue2">
    <w:name w:val="List Continue 2"/>
    <w:basedOn w:val="Normal"/>
    <w:pPr>
      <w:spacing w:before="0"/>
      <w:ind w:left="566"/>
    </w:pPr>
    <w:rPr>
      <w:rFonts w:eastAsia="Times New Roman"/>
      <w:szCs w:val="20"/>
    </w:rPr>
  </w:style>
  <w:style w:type="paragraph" w:styleId="ListContinue3">
    <w:name w:val="List Continue 3"/>
    <w:basedOn w:val="Normal"/>
    <w:pPr>
      <w:spacing w:before="0"/>
      <w:ind w:left="849"/>
    </w:pPr>
    <w:rPr>
      <w:rFonts w:eastAsia="Times New Roman"/>
      <w:szCs w:val="20"/>
    </w:rPr>
  </w:style>
  <w:style w:type="paragraph" w:styleId="ListContinue4">
    <w:name w:val="List Continue 4"/>
    <w:basedOn w:val="Normal"/>
    <w:pPr>
      <w:spacing w:before="0"/>
      <w:ind w:left="1132"/>
    </w:pPr>
    <w:rPr>
      <w:rFonts w:eastAsia="Times New Roman"/>
      <w:szCs w:val="20"/>
    </w:rPr>
  </w:style>
  <w:style w:type="paragraph" w:styleId="ListContinue5">
    <w:name w:val="List Continue 5"/>
    <w:basedOn w:val="Normal"/>
    <w:pPr>
      <w:spacing w:before="0"/>
      <w:ind w:left="1415"/>
    </w:pPr>
    <w:rPr>
      <w:rFonts w:eastAsia="Times New Roman"/>
      <w:szCs w:val="20"/>
    </w:rPr>
  </w:style>
  <w:style w:type="paragraph" w:styleId="ListNumber5">
    <w:name w:val="List Number 5"/>
    <w:basedOn w:val="Normal"/>
    <w:pPr>
      <w:numPr>
        <w:numId w:val="7"/>
      </w:numPr>
      <w:spacing w:before="0" w:after="240"/>
    </w:pPr>
    <w:rPr>
      <w:rFonts w:eastAsia="Times New Roman"/>
      <w:szCs w:val="20"/>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Pr>
      <w:rFonts w:ascii="Courier New" w:eastAsia="Times New Roman" w:hAnsi="Courier New" w:cs="Times New Roman"/>
      <w:sz w:val="20"/>
      <w:szCs w:val="20"/>
      <w:lang w:val="fi-FI"/>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before="0" w:after="240"/>
      <w:ind w:left="1134" w:hanging="1134"/>
    </w:pPr>
    <w:rPr>
      <w:rFonts w:ascii="Arial" w:eastAsia="Times New Roman" w:hAnsi="Arial"/>
      <w:szCs w:val="20"/>
    </w:rPr>
  </w:style>
  <w:style w:type="character" w:customStyle="1" w:styleId="MessageHeaderChar">
    <w:name w:val="Message Header Char"/>
    <w:basedOn w:val="DefaultParagraphFont"/>
    <w:link w:val="MessageHeader"/>
    <w:rPr>
      <w:rFonts w:ascii="Arial" w:eastAsia="Times New Roman" w:hAnsi="Arial" w:cs="Times New Roman"/>
      <w:sz w:val="24"/>
      <w:szCs w:val="20"/>
      <w:shd w:val="pct20" w:color="auto" w:fill="auto"/>
      <w:lang w:val="fi-FI"/>
    </w:rPr>
  </w:style>
  <w:style w:type="paragraph" w:styleId="NormalIndent">
    <w:name w:val="Normal Indent"/>
    <w:basedOn w:val="Normal"/>
    <w:pPr>
      <w:spacing w:before="0" w:after="240"/>
      <w:ind w:left="720"/>
    </w:pPr>
    <w:rPr>
      <w:rFonts w:eastAsia="Times New Roman"/>
      <w:szCs w:val="20"/>
    </w:rPr>
  </w:style>
  <w:style w:type="paragraph" w:styleId="NoteHeading">
    <w:name w:val="Note Heading"/>
    <w:basedOn w:val="Normal"/>
    <w:next w:val="Normal"/>
    <w:link w:val="NoteHeadingChar"/>
    <w:pPr>
      <w:spacing w:before="0" w:after="240"/>
    </w:pPr>
    <w:rPr>
      <w:rFonts w:eastAsia="Times New Roman"/>
      <w:szCs w:val="20"/>
    </w:rPr>
  </w:style>
  <w:style w:type="character" w:customStyle="1" w:styleId="NoteHeadingChar">
    <w:name w:val="Note Heading Char"/>
    <w:basedOn w:val="DefaultParagraphFont"/>
    <w:link w:val="NoteHeading"/>
    <w:rPr>
      <w:rFonts w:ascii="Times New Roman" w:eastAsia="Times New Roman" w:hAnsi="Times New Roman" w:cs="Times New Roman"/>
      <w:sz w:val="24"/>
      <w:szCs w:val="20"/>
      <w:lang w:val="fi-FI"/>
    </w:rPr>
  </w:style>
  <w:style w:type="paragraph" w:customStyle="1" w:styleId="NoteHead">
    <w:name w:val="NoteHead"/>
    <w:basedOn w:val="Normal"/>
    <w:next w:val="Subject"/>
    <w:pPr>
      <w:spacing w:before="720" w:after="720"/>
      <w:jc w:val="center"/>
    </w:pPr>
    <w:rPr>
      <w:rFonts w:eastAsia="Times New Roman"/>
      <w:b/>
      <w:smallCaps/>
      <w:szCs w:val="20"/>
    </w:rPr>
  </w:style>
  <w:style w:type="paragraph" w:customStyle="1" w:styleId="Subject">
    <w:name w:val="Subject"/>
    <w:basedOn w:val="Normal"/>
    <w:next w:val="Normal"/>
    <w:pPr>
      <w:spacing w:before="0" w:after="480"/>
      <w:ind w:left="1531" w:hanging="1531"/>
      <w:jc w:val="left"/>
    </w:pPr>
    <w:rPr>
      <w:rFonts w:eastAsia="Times New Roman"/>
      <w:b/>
      <w:szCs w:val="20"/>
    </w:rPr>
  </w:style>
  <w:style w:type="paragraph" w:customStyle="1" w:styleId="NoteList">
    <w:name w:val="NoteList"/>
    <w:basedOn w:val="Normal"/>
    <w:next w:val="Subject"/>
    <w:pPr>
      <w:tabs>
        <w:tab w:val="left" w:pos="5823"/>
      </w:tabs>
      <w:spacing w:before="720" w:after="720"/>
      <w:ind w:left="5104" w:hanging="3119"/>
      <w:jc w:val="left"/>
    </w:pPr>
    <w:rPr>
      <w:rFonts w:eastAsia="Times New Roman"/>
      <w:b/>
      <w:smallCaps/>
      <w:szCs w:val="20"/>
    </w:rPr>
  </w:style>
  <w:style w:type="paragraph" w:styleId="PlainText">
    <w:name w:val="Plain Text"/>
    <w:basedOn w:val="Normal"/>
    <w:link w:val="PlainTextChar"/>
    <w:pPr>
      <w:spacing w:before="0" w:after="240"/>
    </w:pPr>
    <w:rPr>
      <w:rFonts w:ascii="Courier New" w:eastAsia="Times New Roman" w:hAnsi="Courier New"/>
      <w:sz w:val="20"/>
      <w:szCs w:val="20"/>
    </w:rPr>
  </w:style>
  <w:style w:type="character" w:customStyle="1" w:styleId="PlainTextChar">
    <w:name w:val="Plain Text Char"/>
    <w:basedOn w:val="DefaultParagraphFont"/>
    <w:link w:val="PlainText"/>
    <w:rPr>
      <w:rFonts w:ascii="Courier New" w:eastAsia="Times New Roman" w:hAnsi="Courier New" w:cs="Times New Roman"/>
      <w:sz w:val="20"/>
      <w:szCs w:val="20"/>
      <w:lang w:val="fi-FI"/>
    </w:rPr>
  </w:style>
  <w:style w:type="paragraph" w:styleId="Salutation">
    <w:name w:val="Salutation"/>
    <w:basedOn w:val="Normal"/>
    <w:next w:val="Normal"/>
    <w:link w:val="SalutationChar"/>
    <w:pPr>
      <w:spacing w:before="0" w:after="240"/>
    </w:pPr>
    <w:rPr>
      <w:rFonts w:eastAsia="Times New Roman"/>
      <w:szCs w:val="20"/>
    </w:rPr>
  </w:style>
  <w:style w:type="character" w:customStyle="1" w:styleId="SalutationChar">
    <w:name w:val="Salutation Char"/>
    <w:basedOn w:val="DefaultParagraphFont"/>
    <w:link w:val="Salutation"/>
    <w:rPr>
      <w:rFonts w:ascii="Times New Roman" w:eastAsia="Times New Roman" w:hAnsi="Times New Roman" w:cs="Times New Roman"/>
      <w:sz w:val="24"/>
      <w:szCs w:val="20"/>
      <w:lang w:val="fi-FI"/>
    </w:rPr>
  </w:style>
  <w:style w:type="paragraph" w:styleId="Subtitle">
    <w:name w:val="Subtitle"/>
    <w:basedOn w:val="Normal"/>
    <w:link w:val="SubtitleChar"/>
    <w:qFormat/>
    <w:pPr>
      <w:spacing w:before="0" w:after="60"/>
      <w:jc w:val="center"/>
      <w:outlineLvl w:val="1"/>
    </w:pPr>
    <w:rPr>
      <w:rFonts w:ascii="Arial" w:eastAsia="Times New Roman" w:hAnsi="Arial"/>
      <w:szCs w:val="20"/>
    </w:rPr>
  </w:style>
  <w:style w:type="character" w:customStyle="1" w:styleId="SubtitleChar">
    <w:name w:val="Subtitle Char"/>
    <w:basedOn w:val="DefaultParagraphFont"/>
    <w:link w:val="Subtitle"/>
    <w:rPr>
      <w:rFonts w:ascii="Arial" w:eastAsia="Times New Roman" w:hAnsi="Arial" w:cs="Times New Roman"/>
      <w:sz w:val="24"/>
      <w:szCs w:val="20"/>
      <w:lang w:val="fi-FI"/>
    </w:rPr>
  </w:style>
  <w:style w:type="paragraph" w:styleId="TableofAuthorities">
    <w:name w:val="table of authorities"/>
    <w:basedOn w:val="Normal"/>
    <w:next w:val="Normal"/>
    <w:semiHidden/>
    <w:pPr>
      <w:spacing w:before="0" w:after="240"/>
      <w:ind w:left="240" w:hanging="240"/>
    </w:pPr>
    <w:rPr>
      <w:rFonts w:eastAsia="Times New Roman"/>
      <w:szCs w:val="20"/>
    </w:rPr>
  </w:style>
  <w:style w:type="paragraph" w:styleId="TableofFigures">
    <w:name w:val="table of figures"/>
    <w:basedOn w:val="Normal"/>
    <w:next w:val="Normal"/>
    <w:semiHidden/>
    <w:pPr>
      <w:spacing w:before="0" w:after="240"/>
      <w:ind w:left="480" w:hanging="480"/>
    </w:pPr>
    <w:rPr>
      <w:rFonts w:eastAsia="Times New Roman"/>
      <w:szCs w:val="20"/>
    </w:rPr>
  </w:style>
  <w:style w:type="paragraph" w:styleId="Title">
    <w:name w:val="Title"/>
    <w:basedOn w:val="Normal"/>
    <w:link w:val="TitleChar"/>
    <w:qFormat/>
    <w:pPr>
      <w:spacing w:before="240" w:after="60"/>
      <w:jc w:val="center"/>
      <w:outlineLvl w:val="0"/>
    </w:pPr>
    <w:rPr>
      <w:rFonts w:ascii="Arial" w:eastAsia="Times New Roman" w:hAnsi="Arial"/>
      <w:b/>
      <w:kern w:val="28"/>
      <w:sz w:val="32"/>
      <w:szCs w:val="20"/>
    </w:rPr>
  </w:style>
  <w:style w:type="character" w:customStyle="1" w:styleId="TitleChar">
    <w:name w:val="Title Char"/>
    <w:basedOn w:val="DefaultParagraphFont"/>
    <w:link w:val="Title"/>
    <w:rPr>
      <w:rFonts w:ascii="Arial" w:eastAsia="Times New Roman" w:hAnsi="Arial" w:cs="Times New Roman"/>
      <w:b/>
      <w:kern w:val="28"/>
      <w:sz w:val="32"/>
      <w:szCs w:val="20"/>
      <w:lang w:val="fi-FI"/>
    </w:rPr>
  </w:style>
  <w:style w:type="paragraph" w:customStyle="1" w:styleId="YReferences">
    <w:name w:val="YReferences"/>
    <w:basedOn w:val="Normal"/>
    <w:next w:val="Normal"/>
    <w:pPr>
      <w:spacing w:before="0" w:after="480"/>
      <w:ind w:left="1531" w:hanging="1531"/>
    </w:pPr>
    <w:rPr>
      <w:rFonts w:eastAsia="Times New Roman"/>
      <w:szCs w:val="20"/>
    </w:rPr>
  </w:style>
  <w:style w:type="paragraph" w:customStyle="1" w:styleId="DisclaimerNotice">
    <w:name w:val="Disclaimer Notice"/>
    <w:basedOn w:val="Normal"/>
    <w:next w:val="AddressTR"/>
    <w:pPr>
      <w:spacing w:before="0" w:after="240"/>
      <w:ind w:left="5103"/>
      <w:jc w:val="left"/>
    </w:pPr>
    <w:rPr>
      <w:rFonts w:eastAsia="Times New Roman"/>
      <w:i/>
      <w:sz w:val="20"/>
      <w:szCs w:val="20"/>
    </w:rPr>
  </w:style>
  <w:style w:type="paragraph" w:customStyle="1" w:styleId="DisclaimerSJ">
    <w:name w:val="Disclaimer_SJ"/>
    <w:basedOn w:val="Normal"/>
    <w:next w:val="Normal"/>
    <w:pPr>
      <w:spacing w:before="0" w:after="0"/>
    </w:pPr>
    <w:rPr>
      <w:rFonts w:ascii="Arial" w:eastAsia="Times New Roman" w:hAnsi="Arial"/>
      <w:b/>
      <w:sz w:val="16"/>
      <w:szCs w:val="20"/>
    </w:rPr>
  </w:style>
  <w:style w:type="table" w:customStyle="1" w:styleId="TableGrid1">
    <w:name w:val="Table Grid1"/>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mailSignature">
    <w:name w:val="E-mail Signature"/>
    <w:basedOn w:val="Normal"/>
    <w:link w:val="E-mailSignatureChar"/>
    <w:rPr>
      <w:rFonts w:eastAsia="Times New Roman"/>
      <w:szCs w:val="24"/>
      <w:lang w:eastAsia="en-GB"/>
    </w:rPr>
  </w:style>
  <w:style w:type="character" w:customStyle="1" w:styleId="E-mailSignatureChar">
    <w:name w:val="E-mail Signature Char"/>
    <w:basedOn w:val="DefaultParagraphFont"/>
    <w:link w:val="E-mailSignature"/>
    <w:rPr>
      <w:rFonts w:ascii="Times New Roman" w:eastAsia="Times New Roman" w:hAnsi="Times New Roman" w:cs="Times New Roman"/>
      <w:sz w:val="24"/>
      <w:szCs w:val="24"/>
      <w:lang w:val="fi-FI" w:eastAsia="en-GB"/>
    </w:rPr>
  </w:style>
  <w:style w:type="character" w:styleId="Emphasis">
    <w:name w:val="Emphasis"/>
    <w:basedOn w:val="DefaultParagraphFont"/>
    <w:qFormat/>
    <w:rPr>
      <w:rFonts w:cs="Times New Roman"/>
      <w:i/>
      <w:iCs/>
    </w:rPr>
  </w:style>
  <w:style w:type="character" w:styleId="HTMLAcronym">
    <w:name w:val="HTML Acronym"/>
    <w:basedOn w:val="DefaultParagraphFont"/>
    <w:rPr>
      <w:rFonts w:cs="Times New Roman"/>
    </w:rPr>
  </w:style>
  <w:style w:type="paragraph" w:styleId="HTMLAddress">
    <w:name w:val="HTML Address"/>
    <w:basedOn w:val="Normal"/>
    <w:link w:val="HTMLAddressChar"/>
    <w:rPr>
      <w:rFonts w:eastAsia="Times New Roman"/>
      <w:i/>
      <w:iCs/>
      <w:szCs w:val="24"/>
      <w:lang w:eastAsia="en-GB"/>
    </w:rPr>
  </w:style>
  <w:style w:type="character" w:customStyle="1" w:styleId="HTMLAddressChar">
    <w:name w:val="HTML Address Char"/>
    <w:basedOn w:val="DefaultParagraphFont"/>
    <w:link w:val="HTMLAddress"/>
    <w:rPr>
      <w:rFonts w:ascii="Times New Roman" w:eastAsia="Times New Roman" w:hAnsi="Times New Roman" w:cs="Times New Roman"/>
      <w:i/>
      <w:iCs/>
      <w:sz w:val="24"/>
      <w:szCs w:val="24"/>
      <w:lang w:val="fi-FI" w:eastAsia="en-GB"/>
    </w:rPr>
  </w:style>
  <w:style w:type="character" w:styleId="HTMLCite">
    <w:name w:val="HTML Cite"/>
    <w:basedOn w:val="DefaultParagraphFont"/>
    <w:rPr>
      <w:rFonts w:cs="Times New Roman"/>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rFonts w:cs="Times New Roman"/>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link w:val="HTMLPreformattedChar"/>
    <w:rPr>
      <w:rFonts w:ascii="Courier New" w:eastAsia="Times New Roman" w:hAnsi="Courier New" w:cs="Courier New"/>
      <w:sz w:val="20"/>
      <w:szCs w:val="24"/>
      <w:lang w:eastAsia="en-GB"/>
    </w:rPr>
  </w:style>
  <w:style w:type="character" w:customStyle="1" w:styleId="HTMLPreformattedChar">
    <w:name w:val="HTML Preformatted Char"/>
    <w:basedOn w:val="DefaultParagraphFont"/>
    <w:link w:val="HTMLPreformatted"/>
    <w:rPr>
      <w:rFonts w:ascii="Courier New" w:eastAsia="Times New Roman" w:hAnsi="Courier New" w:cs="Courier New"/>
      <w:sz w:val="20"/>
      <w:szCs w:val="24"/>
      <w:lang w:val="fi-FI" w:eastAsia="en-GB"/>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rFonts w:cs="Times New Roman"/>
      <w:i/>
      <w:iCs/>
    </w:rPr>
  </w:style>
  <w:style w:type="character" w:styleId="LineNumber">
    <w:name w:val="line number"/>
    <w:basedOn w:val="DefaultParagraphFont"/>
    <w:rPr>
      <w:rFonts w:cs="Times New Roman"/>
    </w:rPr>
  </w:style>
  <w:style w:type="paragraph" w:styleId="NormalWeb">
    <w:name w:val="Normal (Web)"/>
    <w:basedOn w:val="Normal"/>
    <w:rPr>
      <w:rFonts w:eastAsia="Times New Roman"/>
      <w:szCs w:val="24"/>
      <w:lang w:eastAsia="en-GB"/>
    </w:rPr>
  </w:style>
  <w:style w:type="table" w:styleId="Table3Deffects1">
    <w:name w:val="Table 3D effects 1"/>
    <w:basedOn w:val="TableNormal"/>
    <w:pPr>
      <w:spacing w:before="120" w:after="120" w:line="240" w:lineRule="auto"/>
      <w:jc w:val="both"/>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line="240" w:lineRule="auto"/>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line="240" w:lineRule="auto"/>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line="240" w:lineRule="auto"/>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line="240" w:lineRule="auto"/>
      <w:jc w:val="both"/>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line="240" w:lineRule="auto"/>
      <w:jc w:val="both"/>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pPr>
      <w:spacing w:before="120" w:after="120" w:line="240" w:lineRule="auto"/>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pPr>
      <w:spacing w:before="120" w:after="120" w:line="240" w:lineRule="auto"/>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pPr>
      <w:spacing w:before="120" w:after="120" w:line="240" w:lineRule="auto"/>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pPr>
      <w:spacing w:before="120" w:after="120" w:line="240" w:lineRule="auto"/>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line="240" w:lineRule="auto"/>
      <w:jc w:val="both"/>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pPr>
      <w:spacing w:before="120" w:after="120" w:line="240" w:lineRule="auto"/>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w4winError">
    <w:name w:val="tw4winError"/>
    <w:rPr>
      <w:color w:val="00FF00"/>
      <w:sz w:val="4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tw4winJump">
    <w:name w:val="tw4winJump"/>
    <w:rPr>
      <w:noProof/>
      <w:color w:val="008080"/>
    </w:rPr>
  </w:style>
  <w:style w:type="character" w:customStyle="1" w:styleId="tw4winMark">
    <w:name w:val="tw4winMark"/>
    <w:rPr>
      <w:rFonts w:ascii="Times New Roman" w:hAnsi="Times New Roman"/>
      <w:vanish/>
      <w:color w:val="800080"/>
      <w:sz w:val="24"/>
      <w:vertAlign w:val="subscript"/>
    </w:rPr>
  </w:style>
  <w:style w:type="character" w:customStyle="1" w:styleId="tw4winPopup">
    <w:name w:val="tw4winPopup"/>
    <w:rPr>
      <w:noProof/>
      <w:color w:val="008000"/>
    </w:rPr>
  </w:style>
  <w:style w:type="character" w:customStyle="1" w:styleId="tw4winTerm">
    <w:name w:val="tw4winTerm"/>
    <w:rPr>
      <w:color w:val="0000FF"/>
    </w:rPr>
  </w:style>
  <w:style w:type="paragraph" w:customStyle="1" w:styleId="S3">
    <w:name w:val="S3"/>
    <w:basedOn w:val="Normal"/>
    <w:next w:val="Normal"/>
    <w:pPr>
      <w:jc w:val="center"/>
    </w:pPr>
    <w:rPr>
      <w:rFonts w:eastAsia="Times New Roman"/>
      <w:b/>
      <w:szCs w:val="20"/>
      <w:u w:val="single"/>
      <w:lang w:eastAsia="ko-KR"/>
    </w:rPr>
  </w:style>
  <w:style w:type="paragraph" w:customStyle="1" w:styleId="S4">
    <w:name w:val="S4"/>
    <w:basedOn w:val="Normal"/>
    <w:next w:val="Normal"/>
    <w:pPr>
      <w:jc w:val="center"/>
    </w:pPr>
    <w:rPr>
      <w:rFonts w:eastAsia="Times New Roman"/>
      <w:b/>
      <w:szCs w:val="20"/>
      <w:u w:val="single"/>
      <w:lang w:eastAsia="ko-KR"/>
    </w:rPr>
  </w:style>
  <w:style w:type="paragraph" w:customStyle="1" w:styleId="S9">
    <w:name w:val="S9"/>
    <w:basedOn w:val="Normal"/>
    <w:next w:val="Normal"/>
    <w:pPr>
      <w:keepNext/>
      <w:spacing w:after="360"/>
      <w:jc w:val="center"/>
    </w:pPr>
    <w:rPr>
      <w:rFonts w:eastAsia="Times New Roman"/>
      <w:b/>
      <w:sz w:val="32"/>
      <w:szCs w:val="20"/>
      <w:lang w:eastAsia="ko-KR"/>
    </w:rPr>
  </w:style>
  <w:style w:type="paragraph" w:customStyle="1" w:styleId="S2">
    <w:name w:val="S2"/>
    <w:basedOn w:val="Normal"/>
    <w:next w:val="Normal"/>
    <w:pPr>
      <w:jc w:val="center"/>
    </w:pPr>
    <w:rPr>
      <w:rFonts w:eastAsia="Times New Roman"/>
      <w:b/>
      <w:szCs w:val="20"/>
      <w:u w:val="single"/>
      <w:lang w:eastAsia="ko-KR"/>
    </w:rPr>
  </w:style>
  <w:style w:type="paragraph" w:customStyle="1" w:styleId="S1">
    <w:name w:val="S1"/>
    <w:basedOn w:val="Normal"/>
    <w:next w:val="Normal"/>
    <w:pPr>
      <w:jc w:val="center"/>
    </w:pPr>
    <w:rPr>
      <w:rFonts w:eastAsia="Times New Roman"/>
      <w:b/>
      <w:szCs w:val="20"/>
      <w:u w:val="single"/>
      <w:lang w:eastAsia="ko-KR"/>
    </w:rPr>
  </w:style>
  <w:style w:type="paragraph" w:customStyle="1" w:styleId="S5">
    <w:name w:val="S5"/>
    <w:basedOn w:val="Normal"/>
    <w:next w:val="Normal"/>
    <w:pPr>
      <w:jc w:val="center"/>
    </w:pPr>
    <w:rPr>
      <w:rFonts w:eastAsia="Times New Roman"/>
      <w:b/>
      <w:szCs w:val="20"/>
      <w:u w:val="single"/>
      <w:lang w:eastAsia="ko-KR"/>
    </w:rPr>
  </w:style>
  <w:style w:type="paragraph" w:customStyle="1" w:styleId="S6">
    <w:name w:val="S6"/>
    <w:basedOn w:val="Normal"/>
    <w:pPr>
      <w:jc w:val="center"/>
    </w:pPr>
    <w:rPr>
      <w:rFonts w:eastAsia="Times New Roman"/>
      <w:b/>
      <w:sz w:val="40"/>
      <w:szCs w:val="20"/>
      <w:lang w:eastAsia="ko-KR"/>
    </w:rPr>
  </w:style>
  <w:style w:type="paragraph" w:customStyle="1" w:styleId="S8">
    <w:name w:val="S8"/>
    <w:basedOn w:val="Normal"/>
    <w:next w:val="S9"/>
    <w:pPr>
      <w:keepNext/>
      <w:pageBreakBefore/>
      <w:spacing w:after="360"/>
      <w:jc w:val="center"/>
    </w:pPr>
    <w:rPr>
      <w:rFonts w:eastAsia="Times New Roman"/>
      <w:b/>
      <w:sz w:val="36"/>
      <w:szCs w:val="20"/>
      <w:lang w:eastAsia="ko-KR"/>
    </w:rPr>
  </w:style>
  <w:style w:type="paragraph" w:customStyle="1" w:styleId="S10">
    <w:name w:val="S10"/>
    <w:basedOn w:val="Normal"/>
    <w:next w:val="Heading1"/>
    <w:pPr>
      <w:keepNext/>
      <w:spacing w:after="360"/>
      <w:jc w:val="center"/>
    </w:pPr>
    <w:rPr>
      <w:rFonts w:eastAsia="Times New Roman"/>
      <w:b/>
      <w:smallCaps/>
      <w:sz w:val="28"/>
      <w:szCs w:val="20"/>
      <w:lang w:eastAsia="ko-KR"/>
    </w:rPr>
  </w:style>
  <w:style w:type="paragraph" w:customStyle="1" w:styleId="S7">
    <w:name w:val="S7"/>
    <w:basedOn w:val="Normal"/>
    <w:next w:val="Normal"/>
    <w:pPr>
      <w:jc w:val="center"/>
    </w:pPr>
    <w:rPr>
      <w:rFonts w:eastAsia="Times New Roman"/>
      <w:b/>
      <w:szCs w:val="20"/>
      <w:lang w:eastAsia="ko-KR"/>
    </w:rPr>
  </w:style>
  <w:style w:type="character" w:customStyle="1" w:styleId="Initial">
    <w:name w:val="Initial"/>
    <w:basedOn w:val="DefaultParagraphFont"/>
    <w:rPr>
      <w:rFonts w:ascii="CG Times" w:hAnsi="CG Times" w:cs="Times New Roman"/>
      <w:sz w:val="24"/>
      <w:lang w:val="fi-FI" w:eastAsia="x-none"/>
    </w:rPr>
  </w:style>
  <w:style w:type="paragraph" w:customStyle="1" w:styleId="parttitle">
    <w:name w:val="parttitle"/>
    <w:basedOn w:val="Normal"/>
    <w:pPr>
      <w:spacing w:before="100" w:beforeAutospacing="1" w:after="100" w:afterAutospacing="1"/>
      <w:jc w:val="left"/>
    </w:pPr>
    <w:rPr>
      <w:rFonts w:eastAsia="Times New Roman"/>
      <w:szCs w:val="24"/>
      <w:lang w:eastAsia="en-GB"/>
    </w:rPr>
  </w:style>
  <w:style w:type="paragraph" w:customStyle="1" w:styleId="chaptertitle">
    <w:name w:val="chaptertitle"/>
    <w:basedOn w:val="Normal"/>
    <w:pPr>
      <w:spacing w:before="100" w:beforeAutospacing="1" w:after="100" w:afterAutospacing="1"/>
      <w:jc w:val="left"/>
    </w:pPr>
    <w:rPr>
      <w:rFonts w:eastAsia="Times New Roman"/>
      <w:szCs w:val="24"/>
      <w:lang w:eastAsia="en-GB"/>
    </w:rPr>
  </w:style>
  <w:style w:type="numbering" w:styleId="1ai">
    <w:name w:val="Outline List 1"/>
    <w:basedOn w:val="NoList"/>
    <w:pPr>
      <w:numPr>
        <w:numId w:val="10"/>
      </w:numPr>
    </w:pPr>
  </w:style>
  <w:style w:type="numbering" w:styleId="ArticleSection">
    <w:name w:val="Outline List 3"/>
    <w:basedOn w:val="NoList"/>
  </w:style>
  <w:style w:type="numbering" w:styleId="111111">
    <w:name w:val="Outline List 2"/>
    <w:basedOn w:val="NoList"/>
  </w:style>
  <w:style w:type="paragraph" w:customStyle="1" w:styleId="Default">
    <w:name w:val="Default"/>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customStyle="1" w:styleId="ChapterTitle0">
    <w:name w:val="ChapterTitle"/>
    <w:basedOn w:val="Normal"/>
    <w:next w:val="Normal"/>
    <w:pPr>
      <w:keepNext/>
      <w:spacing w:after="360"/>
      <w:jc w:val="center"/>
    </w:pPr>
    <w:rPr>
      <w:b/>
      <w:sz w:val="32"/>
    </w:rPr>
  </w:style>
  <w:style w:type="paragraph" w:customStyle="1" w:styleId="PartTitle0">
    <w:name w:val="PartTitle"/>
    <w:basedOn w:val="Normal"/>
    <w:next w:val="ChapterTitle0"/>
    <w:pPr>
      <w:keepNext/>
      <w:pageBreakBefore/>
      <w:spacing w:after="360"/>
      <w:jc w:val="center"/>
    </w:pPr>
    <w:rPr>
      <w:b/>
      <w:sz w:val="36"/>
    </w:rPr>
  </w:style>
  <w:style w:type="paragraph" w:customStyle="1" w:styleId="ChapterTitle1">
    <w:name w:val="ChapterTitle"/>
    <w:basedOn w:val="Normal"/>
    <w:next w:val="Normal"/>
    <w:pPr>
      <w:keepNext/>
      <w:spacing w:after="360"/>
      <w:jc w:val="center"/>
    </w:pPr>
    <w:rPr>
      <w:b/>
      <w:sz w:val="32"/>
    </w:rPr>
  </w:style>
  <w:style w:type="paragraph" w:customStyle="1" w:styleId="PartTitle1">
    <w:name w:val="PartTitle"/>
    <w:basedOn w:val="Normal"/>
    <w:next w:val="ChapterTitle1"/>
    <w:pPr>
      <w:keepNext/>
      <w:pageBreakBefore/>
      <w:spacing w:after="360"/>
      <w:jc w:val="center"/>
    </w:pPr>
    <w:rPr>
      <w:b/>
      <w:sz w:val="36"/>
    </w:rPr>
  </w:style>
  <w:style w:type="paragraph" w:customStyle="1" w:styleId="ChapterTitle2">
    <w:name w:val="ChapterTitle"/>
    <w:basedOn w:val="Normal"/>
    <w:next w:val="Normal"/>
    <w:pPr>
      <w:keepNext/>
      <w:spacing w:after="360"/>
      <w:jc w:val="center"/>
    </w:pPr>
    <w:rPr>
      <w:b/>
      <w:sz w:val="32"/>
    </w:rPr>
  </w:style>
  <w:style w:type="paragraph" w:customStyle="1" w:styleId="PartTitle2">
    <w:name w:val="PartTitle"/>
    <w:basedOn w:val="Normal"/>
    <w:next w:val="ChapterTitle2"/>
    <w:pPr>
      <w:keepNext/>
      <w:pageBreakBefore/>
      <w:spacing w:after="360"/>
      <w:jc w:val="center"/>
    </w:pPr>
    <w:rPr>
      <w:b/>
      <w:sz w:val="36"/>
    </w:rPr>
  </w:style>
  <w:style w:type="paragraph" w:customStyle="1" w:styleId="ChapterTitle3">
    <w:name w:val="ChapterTitle"/>
    <w:basedOn w:val="Normal"/>
    <w:next w:val="Normal"/>
    <w:pPr>
      <w:keepNext/>
      <w:spacing w:after="360"/>
      <w:jc w:val="center"/>
    </w:pPr>
    <w:rPr>
      <w:b/>
      <w:sz w:val="32"/>
    </w:rPr>
  </w:style>
  <w:style w:type="paragraph" w:customStyle="1" w:styleId="PartTitle3">
    <w:name w:val="PartTitle"/>
    <w:basedOn w:val="Normal"/>
    <w:next w:val="ChapterTitle3"/>
    <w:pPr>
      <w:keepNext/>
      <w:pageBreakBefore/>
      <w:spacing w:after="360"/>
      <w:jc w:val="center"/>
    </w:pPr>
    <w:rPr>
      <w:b/>
      <w:sz w:val="36"/>
    </w:rPr>
  </w:style>
  <w:style w:type="paragraph" w:customStyle="1" w:styleId="ChapterTitle4">
    <w:name w:val="ChapterTitle"/>
    <w:basedOn w:val="Normal"/>
    <w:next w:val="Normal"/>
    <w:pPr>
      <w:keepNext/>
      <w:spacing w:after="360"/>
      <w:jc w:val="center"/>
    </w:pPr>
    <w:rPr>
      <w:b/>
      <w:sz w:val="32"/>
    </w:rPr>
  </w:style>
  <w:style w:type="paragraph" w:customStyle="1" w:styleId="PartTitle4">
    <w:name w:val="PartTitle"/>
    <w:basedOn w:val="Normal"/>
    <w:next w:val="ChapterTitle4"/>
    <w:pPr>
      <w:keepNext/>
      <w:pageBreakBefore/>
      <w:spacing w:after="360"/>
      <w:jc w:val="center"/>
    </w:pPr>
    <w:rPr>
      <w:b/>
      <w:sz w:val="36"/>
    </w:rPr>
  </w:style>
  <w:style w:type="paragraph" w:customStyle="1" w:styleId="ChapterTitle5">
    <w:name w:val="ChapterTitle"/>
    <w:basedOn w:val="Normal"/>
    <w:next w:val="Normal"/>
    <w:pPr>
      <w:keepNext/>
      <w:spacing w:after="360"/>
      <w:jc w:val="center"/>
    </w:pPr>
    <w:rPr>
      <w:b/>
      <w:sz w:val="32"/>
    </w:rPr>
  </w:style>
  <w:style w:type="paragraph" w:customStyle="1" w:styleId="PartTitle5">
    <w:name w:val="PartTitle"/>
    <w:basedOn w:val="Normal"/>
    <w:next w:val="ChapterTitle5"/>
    <w:pPr>
      <w:keepNext/>
      <w:pageBreakBefore/>
      <w:spacing w:after="360"/>
      <w:jc w:val="center"/>
    </w:pPr>
    <w:rPr>
      <w:b/>
      <w:sz w:val="36"/>
    </w:rPr>
  </w:style>
  <w:style w:type="paragraph" w:customStyle="1" w:styleId="ChapterTitle6">
    <w:name w:val="ChapterTitle"/>
    <w:basedOn w:val="Normal"/>
    <w:next w:val="Normal"/>
    <w:pPr>
      <w:keepNext/>
      <w:spacing w:after="360"/>
      <w:jc w:val="center"/>
    </w:pPr>
    <w:rPr>
      <w:b/>
      <w:sz w:val="32"/>
    </w:rPr>
  </w:style>
  <w:style w:type="paragraph" w:customStyle="1" w:styleId="PartTitle6">
    <w:name w:val="PartTitle"/>
    <w:basedOn w:val="Normal"/>
    <w:next w:val="ChapterTitle6"/>
    <w:pPr>
      <w:keepNext/>
      <w:pageBreakBefore/>
      <w:spacing w:after="360"/>
      <w:jc w:val="center"/>
    </w:pPr>
    <w:rPr>
      <w:b/>
      <w:sz w:val="36"/>
    </w:rPr>
  </w:style>
  <w:style w:type="paragraph" w:customStyle="1" w:styleId="ChapterTitle7">
    <w:name w:val="ChapterTitle"/>
    <w:basedOn w:val="Normal"/>
    <w:next w:val="Normal"/>
    <w:pPr>
      <w:keepNext/>
      <w:spacing w:after="360"/>
      <w:jc w:val="center"/>
    </w:pPr>
    <w:rPr>
      <w:b/>
      <w:sz w:val="32"/>
    </w:rPr>
  </w:style>
  <w:style w:type="paragraph" w:customStyle="1" w:styleId="PartTitle7">
    <w:name w:val="PartTitle"/>
    <w:basedOn w:val="Normal"/>
    <w:next w:val="ChapterTitle7"/>
    <w:pPr>
      <w:keepNext/>
      <w:pageBreakBefore/>
      <w:spacing w:after="360"/>
      <w:jc w:val="center"/>
    </w:pPr>
    <w:rPr>
      <w:b/>
      <w:sz w:val="36"/>
    </w:rPr>
  </w:style>
  <w:style w:type="numbering" w:customStyle="1" w:styleId="NoList2">
    <w:name w:val="No List2"/>
    <w:next w:val="NoList"/>
    <w:uiPriority w:val="99"/>
    <w:semiHidden/>
    <w:unhideWhenUsed/>
  </w:style>
  <w:style w:type="paragraph" w:customStyle="1" w:styleId="HeaderCouncilLarge">
    <w:name w:val="Header Council Large"/>
    <w:basedOn w:val="Normal"/>
    <w:link w:val="HeaderCouncilLargeChar"/>
    <w:pPr>
      <w:spacing w:before="0" w:after="440" w:line="360" w:lineRule="auto"/>
      <w:ind w:left="-1134" w:right="-1134"/>
      <w:jc w:val="left"/>
    </w:pPr>
    <w:rPr>
      <w:sz w:val="2"/>
    </w:rPr>
  </w:style>
  <w:style w:type="character" w:customStyle="1" w:styleId="TechnicalBlockChar">
    <w:name w:val="Technical Block Char"/>
    <w:basedOn w:val="DefaultParagraphFont"/>
    <w:rPr>
      <w:rFonts w:ascii="Times New Roman" w:hAnsi="Times New Roman" w:cs="Times New Roman"/>
      <w:sz w:val="24"/>
      <w:lang w:val="fi-FI"/>
    </w:rPr>
  </w:style>
  <w:style w:type="character" w:customStyle="1" w:styleId="HeaderCouncilLargeChar">
    <w:name w:val="Header Council Large Char"/>
    <w:basedOn w:val="TechnicalBlockChar"/>
    <w:link w:val="HeaderCouncilLarge"/>
    <w:rPr>
      <w:rFonts w:ascii="Times New Roman" w:hAnsi="Times New Roman" w:cs="Times New Roman"/>
      <w:sz w:val="2"/>
      <w:lang w:val="fi-FI"/>
    </w:rPr>
  </w:style>
  <w:style w:type="paragraph" w:customStyle="1" w:styleId="FooterText">
    <w:name w:val="Footer Text"/>
    <w:basedOn w:val="Normal"/>
    <w:pPr>
      <w:spacing w:before="0" w:after="0"/>
      <w:jc w:val="left"/>
    </w:pPr>
    <w:rPr>
      <w:rFonts w:eastAsia="Times New Roman"/>
      <w:szCs w:val="24"/>
    </w:rPr>
  </w:style>
  <w:style w:type="character" w:styleId="PlaceholderText">
    <w:name w:val="Placeholder Text"/>
    <w:basedOn w:val="DefaultParagraphFont"/>
    <w:uiPriority w:val="99"/>
    <w:semiHidden/>
    <w:rPr>
      <w:color w:val="808080"/>
    </w:rPr>
  </w:style>
  <w:style w:type="paragraph" w:customStyle="1" w:styleId="Normal1">
    <w:name w:val="Normal1"/>
    <w:basedOn w:val="Normal"/>
    <w:pPr>
      <w:spacing w:before="100" w:beforeAutospacing="1" w:after="100" w:afterAutospacing="1"/>
      <w:jc w:val="left"/>
    </w:pPr>
    <w:rPr>
      <w:rFonts w:eastAsia="Times New Roman"/>
      <w:szCs w:val="24"/>
      <w:lang w:eastAsia="en-GB"/>
    </w:rPr>
  </w:style>
  <w:style w:type="numbering" w:customStyle="1" w:styleId="NoList12">
    <w:name w:val="No List12"/>
    <w:next w:val="NoList"/>
    <w:uiPriority w:val="99"/>
    <w:semiHidden/>
    <w:unhideWhenUsed/>
  </w:style>
  <w:style w:type="numbering" w:customStyle="1" w:styleId="NoList112">
    <w:name w:val="No List112"/>
    <w:next w:val="NoList"/>
    <w:semiHidden/>
  </w:style>
  <w:style w:type="table" w:customStyle="1" w:styleId="TableGrid20">
    <w:name w:val="Table Grid2"/>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11">
    <w:name w:val="Table 3D effects 11"/>
    <w:basedOn w:val="TableNormal"/>
    <w:next w:val="Table3Deffects1"/>
    <w:pPr>
      <w:spacing w:before="120" w:after="120" w:line="240" w:lineRule="auto"/>
      <w:jc w:val="both"/>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pPr>
      <w:spacing w:before="120" w:after="120" w:line="240" w:lineRule="auto"/>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pPr>
      <w:spacing w:before="120" w:after="120" w:line="240" w:lineRule="auto"/>
      <w:jc w:val="both"/>
    </w:pPr>
    <w:rPr>
      <w:rFonts w:ascii="Times New Roman" w:eastAsia="Times New Roman" w:hAnsi="Times New Roman" w:cs="Times New Roman"/>
      <w:sz w:val="20"/>
      <w:szCs w:val="20"/>
      <w:lang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pPr>
      <w:spacing w:before="120" w:after="120" w:line="240" w:lineRule="auto"/>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pPr>
      <w:spacing w:before="120" w:after="120" w:line="240" w:lineRule="auto"/>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pPr>
      <w:spacing w:before="120" w:after="120" w:line="240" w:lineRule="auto"/>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pPr>
      <w:spacing w:before="120" w:after="120" w:line="240" w:lineRule="auto"/>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pPr>
      <w:spacing w:before="120" w:after="120" w:line="240" w:lineRule="auto"/>
      <w:jc w:val="both"/>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pPr>
      <w:spacing w:before="120" w:after="120" w:line="240" w:lineRule="auto"/>
      <w:jc w:val="both"/>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TableColumns51">
    <w:name w:val="Table Columns 51"/>
    <w:basedOn w:val="TableNormal"/>
    <w:next w:val="TableColumns5"/>
    <w:pPr>
      <w:spacing w:before="120" w:after="120" w:line="240" w:lineRule="auto"/>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TableContemporary1">
    <w:name w:val="Table Contemporary1"/>
    <w:basedOn w:val="TableNormal"/>
    <w:next w:val="TableContemporary"/>
    <w:pPr>
      <w:spacing w:before="120" w:after="120" w:line="240" w:lineRule="auto"/>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pPr>
      <w:spacing w:before="120" w:after="120" w:line="24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0"/>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customStyle="1" w:styleId="TableGrid21">
    <w:name w:val="Table Grid 21"/>
    <w:basedOn w:val="TableNormal"/>
    <w:next w:val="TableGrid2"/>
    <w:pPr>
      <w:spacing w:before="120" w:after="120" w:line="240" w:lineRule="auto"/>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leGrid31">
    <w:name w:val="Table Grid 31"/>
    <w:basedOn w:val="TableNormal"/>
    <w:next w:val="TableGrid3"/>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customStyle="1" w:styleId="TableGrid41">
    <w:name w:val="Table Grid 41"/>
    <w:basedOn w:val="TableNormal"/>
    <w:next w:val="TableGrid4"/>
    <w:pPr>
      <w:spacing w:before="120" w:after="120" w:line="240" w:lineRule="auto"/>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61">
    <w:name w:val="Table Grid 61"/>
    <w:basedOn w:val="TableNormal"/>
    <w:next w:val="TableGrid6"/>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71">
    <w:name w:val="Table Grid 71"/>
    <w:basedOn w:val="TableNormal"/>
    <w:next w:val="TableGrid7"/>
    <w:pPr>
      <w:spacing w:before="120" w:after="120" w:line="240" w:lineRule="auto"/>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81">
    <w:name w:val="Table Grid 81"/>
    <w:basedOn w:val="TableNormal"/>
    <w:next w:val="TableGrid8"/>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21">
    <w:name w:val="Table List 21"/>
    <w:basedOn w:val="TableNormal"/>
    <w:next w:val="TableList2"/>
    <w:pPr>
      <w:spacing w:before="120" w:after="120" w:line="240" w:lineRule="auto"/>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31">
    <w:name w:val="Table List 31"/>
    <w:basedOn w:val="TableNormal"/>
    <w:next w:val="TableList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TableList61">
    <w:name w:val="Table List 61"/>
    <w:basedOn w:val="TableNormal"/>
    <w:next w:val="TableList6"/>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pPr>
      <w:spacing w:before="120" w:after="120" w:line="240" w:lineRule="auto"/>
      <w:jc w:val="both"/>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pPr>
      <w:spacing w:before="120" w:after="120" w:line="240" w:lineRule="auto"/>
      <w:jc w:val="both"/>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pPr>
      <w:spacing w:before="120" w:after="120" w:line="240" w:lineRule="auto"/>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Theme1">
    <w:name w:val="Table Theme1"/>
    <w:basedOn w:val="TableNormal"/>
    <w:next w:val="TableTheme"/>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1ai1">
    <w:name w:val="1 / a / i1"/>
    <w:basedOn w:val="NoList"/>
    <w:next w:val="1ai"/>
  </w:style>
  <w:style w:type="numbering" w:customStyle="1" w:styleId="ArticleSection1">
    <w:name w:val="Article / Section1"/>
    <w:basedOn w:val="NoList"/>
    <w:next w:val="ArticleSection"/>
    <w:pPr>
      <w:numPr>
        <w:numId w:val="6"/>
      </w:numPr>
    </w:pPr>
  </w:style>
  <w:style w:type="numbering" w:customStyle="1" w:styleId="1111111">
    <w:name w:val="1 / 1.1 / 1.1.11"/>
    <w:basedOn w:val="NoList"/>
    <w:next w:val="111111"/>
  </w:style>
  <w:style w:type="paragraph" w:customStyle="1" w:styleId="LegalNumPar">
    <w:name w:val="LegalNumPar"/>
    <w:basedOn w:val="Normal"/>
    <w:pPr>
      <w:numPr>
        <w:numId w:val="22"/>
      </w:numPr>
      <w:spacing w:line="360" w:lineRule="auto"/>
    </w:pPr>
  </w:style>
  <w:style w:type="paragraph" w:customStyle="1" w:styleId="LegalNumPar2">
    <w:name w:val="LegalNumPar2"/>
    <w:basedOn w:val="Normal"/>
    <w:pPr>
      <w:numPr>
        <w:ilvl w:val="1"/>
        <w:numId w:val="22"/>
      </w:numPr>
      <w:spacing w:line="360" w:lineRule="auto"/>
    </w:pPr>
  </w:style>
  <w:style w:type="paragraph" w:customStyle="1" w:styleId="LegalNumPar3">
    <w:name w:val="LegalNumPar3"/>
    <w:basedOn w:val="Normal"/>
    <w:pPr>
      <w:numPr>
        <w:ilvl w:val="2"/>
        <w:numId w:val="22"/>
      </w:numPr>
      <w:spacing w:line="360" w:lineRule="auto"/>
    </w:pPr>
  </w:style>
  <w:style w:type="paragraph" w:customStyle="1" w:styleId="pj">
    <w:name w:val="p.j."/>
    <w:basedOn w:val="Normal"/>
    <w:link w:val="pjChar"/>
    <w:pPr>
      <w:spacing w:before="1200"/>
      <w:ind w:left="1440" w:hanging="1440"/>
      <w:jc w:val="left"/>
    </w:pPr>
  </w:style>
  <w:style w:type="character" w:customStyle="1" w:styleId="pjChar">
    <w:name w:val="p.j. Char"/>
    <w:basedOn w:val="TechnicalBlockChar"/>
    <w:link w:val="pj"/>
    <w:rPr>
      <w:rFonts w:ascii="Times New Roman" w:hAnsi="Times New Roman" w:cs="Times New Roman"/>
      <w:sz w:val="24"/>
      <w:lang w:val="fi-FI"/>
    </w:rPr>
  </w:style>
  <w:style w:type="paragraph" w:customStyle="1" w:styleId="nbbordered">
    <w:name w:val="nb bordered"/>
    <w:basedOn w:val="Normal"/>
    <w:link w:val="nbborderedChar"/>
    <w:pPr>
      <w:pBdr>
        <w:top w:val="single" w:sz="4" w:space="1" w:color="auto"/>
        <w:left w:val="single" w:sz="4" w:space="4" w:color="auto"/>
        <w:bottom w:val="single" w:sz="4" w:space="1" w:color="auto"/>
        <w:right w:val="single" w:sz="4" w:space="4" w:color="auto"/>
        <w:between w:val="single" w:sz="4" w:space="0" w:color="auto"/>
      </w:pBdr>
      <w:spacing w:after="160"/>
      <w:ind w:left="480" w:hanging="480"/>
    </w:pPr>
    <w:rPr>
      <w:b/>
    </w:rPr>
  </w:style>
  <w:style w:type="character" w:customStyle="1" w:styleId="nbborderedChar">
    <w:name w:val="nb bordered Char"/>
    <w:basedOn w:val="TechnicalBlockChar"/>
    <w:link w:val="nbbordered"/>
    <w:rPr>
      <w:rFonts w:ascii="Times New Roman" w:hAnsi="Times New Roman" w:cs="Times New Roman"/>
      <w:b/>
      <w:sz w:val="24"/>
      <w:lang w:val="fi-FI"/>
    </w:rPr>
  </w:style>
  <w:style w:type="character" w:customStyle="1" w:styleId="HeaderCouncilChar">
    <w:name w:val="Header Council Char"/>
    <w:basedOn w:val="DefaultParagraphFont"/>
    <w:rPr>
      <w:rFonts w:ascii="Times New Roman" w:hAnsi="Times New Roman" w:cs="Times New Roman"/>
      <w:sz w:val="2"/>
      <w:lang w:val="fi-FI"/>
    </w:rPr>
  </w:style>
  <w:style w:type="character" w:customStyle="1" w:styleId="FooterCouncilChar">
    <w:name w:val="Footer Council Char"/>
    <w:basedOn w:val="DefaultParagraphFont"/>
    <w:rPr>
      <w:rFonts w:ascii="Times New Roman" w:hAnsi="Times New Roman" w:cs="Times New Roman"/>
      <w:sz w:val="2"/>
      <w:lang w:val="fi-FI"/>
    </w:rPr>
  </w:style>
  <w:style w:type="paragraph" w:customStyle="1" w:styleId="Dat">
    <w:name w:val="Dat"/>
    <w:basedOn w:val="Normal"/>
    <w:pPr>
      <w:spacing w:before="360" w:after="0" w:line="360" w:lineRule="auto"/>
      <w:jc w:val="center"/>
    </w:pPr>
    <w:rPr>
      <w:b/>
    </w:rPr>
  </w:style>
  <w:style w:type="paragraph" w:customStyle="1" w:styleId="F">
    <w:name w:val="F]"/>
    <w:basedOn w:val="Normal"/>
    <w:pPr>
      <w:keepNext/>
      <w:spacing w:after="0" w:line="360" w:lineRule="auto"/>
      <w:jc w:val="left"/>
    </w:pPr>
  </w:style>
  <w:style w:type="paragraph" w:customStyle="1" w:styleId="HeaderCouncil">
    <w:name w:val="Header Council"/>
    <w:basedOn w:val="Normal"/>
    <w:pPr>
      <w:spacing w:before="0" w:after="0"/>
      <w:jc w:val="left"/>
    </w:pPr>
    <w:rPr>
      <w:sz w:val="2"/>
    </w:rPr>
  </w:style>
  <w:style w:type="paragraph" w:customStyle="1" w:styleId="FooterCouncil">
    <w:name w:val="Footer Council"/>
    <w:basedOn w:val="Normal"/>
    <w:pPr>
      <w:spacing w:before="0" w:after="0"/>
      <w:jc w:val="left"/>
    </w:pPr>
    <w:rPr>
      <w:sz w:val="2"/>
    </w:rPr>
  </w:style>
  <w:style w:type="paragraph" w:customStyle="1" w:styleId="TechnicalBlock">
    <w:name w:val="Technical Block"/>
    <w:basedOn w:val="Normal"/>
    <w:next w:val="Normal"/>
    <w:pPr>
      <w:spacing w:before="0" w:after="240"/>
      <w:jc w:val="center"/>
    </w:pPr>
  </w:style>
  <w:style w:type="paragraph" w:customStyle="1" w:styleId="Lignefinal">
    <w:name w:val="Ligne final"/>
    <w:basedOn w:val="Normal"/>
    <w:next w:val="Normal"/>
    <w:pPr>
      <w:pBdr>
        <w:bottom w:val="single" w:sz="4" w:space="0" w:color="000000"/>
      </w:pBdr>
      <w:spacing w:before="360" w:line="360" w:lineRule="auto"/>
      <w:ind w:left="3400" w:right="3400"/>
      <w:jc w:val="center"/>
    </w:pPr>
    <w:rPr>
      <w:b/>
    </w:rPr>
  </w:style>
  <w:style w:type="paragraph" w:customStyle="1" w:styleId="LignefinalLandscape">
    <w:name w:val="Ligne final (Landscape)"/>
    <w:basedOn w:val="Normal"/>
    <w:next w:val="Normal"/>
    <w:pPr>
      <w:pBdr>
        <w:bottom w:val="single" w:sz="4" w:space="0" w:color="000000"/>
      </w:pBdr>
      <w:spacing w:before="360" w:line="360" w:lineRule="auto"/>
      <w:ind w:left="5868" w:right="5868"/>
      <w:jc w:val="center"/>
    </w:pPr>
    <w:rPr>
      <w:b/>
    </w:rPr>
  </w:style>
  <w:style w:type="paragraph" w:customStyle="1" w:styleId="EntLogo">
    <w:name w:val="EntLogo"/>
    <w:basedOn w:val="Normal"/>
    <w:pPr>
      <w:tabs>
        <w:tab w:val="right" w:pos="9639"/>
      </w:tabs>
      <w:spacing w:before="0" w:after="0" w:line="360" w:lineRule="auto"/>
      <w:jc w:val="left"/>
    </w:pPr>
    <w:rPr>
      <w:b/>
    </w:rPr>
  </w:style>
  <w:style w:type="paragraph" w:customStyle="1" w:styleId="EntInstit">
    <w:name w:val="EntInstit"/>
    <w:basedOn w:val="Normal"/>
    <w:pPr>
      <w:spacing w:before="0" w:after="0"/>
      <w:jc w:val="right"/>
    </w:pPr>
    <w:rPr>
      <w:b/>
    </w:rPr>
  </w:style>
  <w:style w:type="paragraph" w:customStyle="1" w:styleId="EntRefer">
    <w:name w:val="EntRefer"/>
    <w:basedOn w:val="Normal"/>
    <w:pPr>
      <w:spacing w:before="0" w:after="0"/>
      <w:jc w:val="left"/>
    </w:pPr>
    <w:rPr>
      <w:b/>
    </w:rPr>
  </w:style>
  <w:style w:type="paragraph" w:customStyle="1" w:styleId="EntEmet">
    <w:name w:val="EntEmet"/>
    <w:basedOn w:val="Normal"/>
    <w:pPr>
      <w:spacing w:before="40" w:after="0"/>
      <w:jc w:val="left"/>
    </w:pPr>
  </w:style>
  <w:style w:type="paragraph" w:customStyle="1" w:styleId="EntText">
    <w:name w:val="EntText"/>
    <w:basedOn w:val="Normal"/>
    <w:pPr>
      <w:spacing w:line="360" w:lineRule="auto"/>
      <w:jc w:val="left"/>
    </w:pPr>
  </w:style>
  <w:style w:type="paragraph" w:customStyle="1" w:styleId="EntEU">
    <w:name w:val="EntEU"/>
    <w:basedOn w:val="Normal"/>
    <w:pPr>
      <w:spacing w:before="240" w:after="240"/>
      <w:jc w:val="center"/>
    </w:pPr>
    <w:rPr>
      <w:b/>
      <w:sz w:val="36"/>
    </w:rPr>
  </w:style>
  <w:style w:type="paragraph" w:customStyle="1" w:styleId="EntASSOC">
    <w:name w:val="EntASSOC"/>
    <w:basedOn w:val="Normal"/>
    <w:pPr>
      <w:spacing w:before="0" w:after="0"/>
      <w:jc w:val="center"/>
    </w:pPr>
    <w:rPr>
      <w:b/>
    </w:rPr>
  </w:style>
  <w:style w:type="paragraph" w:customStyle="1" w:styleId="EntACP">
    <w:name w:val="EntACP"/>
    <w:basedOn w:val="Normal"/>
    <w:pPr>
      <w:spacing w:before="0" w:after="180"/>
      <w:jc w:val="center"/>
    </w:pPr>
    <w:rPr>
      <w:b/>
      <w:spacing w:val="40"/>
      <w:sz w:val="28"/>
    </w:rPr>
  </w:style>
  <w:style w:type="paragraph" w:customStyle="1" w:styleId="EntInstitACP">
    <w:name w:val="EntInstitACP"/>
    <w:basedOn w:val="Normal"/>
    <w:pPr>
      <w:spacing w:before="0" w:after="0"/>
      <w:jc w:val="center"/>
    </w:pPr>
    <w:rPr>
      <w:b/>
    </w:rPr>
  </w:style>
  <w:style w:type="paragraph" w:customStyle="1" w:styleId="Genredudocument">
    <w:name w:val="Genre du document"/>
    <w:basedOn w:val="EntRefer"/>
    <w:next w:val="EntRefer"/>
    <w:pPr>
      <w:spacing w:before="240"/>
    </w:pPr>
  </w:style>
  <w:style w:type="paragraph" w:customStyle="1" w:styleId="Accordtitre">
    <w:name w:val="Accord titre"/>
    <w:basedOn w:val="Normal"/>
    <w:pPr>
      <w:spacing w:before="0" w:after="0" w:line="360" w:lineRule="auto"/>
      <w:jc w:val="center"/>
    </w:pPr>
  </w:style>
  <w:style w:type="paragraph" w:customStyle="1" w:styleId="FooterAccord">
    <w:name w:val="Footer Accord"/>
    <w:basedOn w:val="Normal"/>
    <w:pPr>
      <w:tabs>
        <w:tab w:val="center" w:pos="4819"/>
        <w:tab w:val="center" w:pos="7370"/>
        <w:tab w:val="right" w:pos="9638"/>
      </w:tabs>
      <w:spacing w:before="360" w:after="0"/>
      <w:jc w:val="center"/>
    </w:pPr>
  </w:style>
  <w:style w:type="paragraph" w:customStyle="1" w:styleId="FooterLandscapeAccord">
    <w:name w:val="FooterLandscape Accord"/>
    <w:basedOn w:val="Normal"/>
    <w:pPr>
      <w:tabs>
        <w:tab w:val="center" w:pos="7285"/>
        <w:tab w:val="center" w:pos="10930"/>
        <w:tab w:val="right" w:pos="14570"/>
      </w:tabs>
      <w:spacing w:before="360" w:after="0"/>
      <w:jc w:val="center"/>
    </w:pPr>
  </w:style>
  <w:style w:type="paragraph" w:customStyle="1" w:styleId="TitrearticleAccord">
    <w:name w:val="Titre article Accord"/>
    <w:basedOn w:val="Normal"/>
    <w:next w:val="Normal"/>
    <w:pPr>
      <w:keepNext/>
      <w:spacing w:before="600" w:line="360" w:lineRule="auto"/>
      <w:jc w:val="center"/>
    </w:pPr>
    <w:rPr>
      <w:i/>
    </w:rPr>
  </w:style>
  <w:style w:type="paragraph" w:customStyle="1" w:styleId="DESignature">
    <w:name w:val="DE Signature"/>
    <w:basedOn w:val="Normal"/>
    <w:next w:val="Normal"/>
    <w:pPr>
      <w:tabs>
        <w:tab w:val="center" w:pos="5953"/>
      </w:tabs>
      <w:spacing w:before="720" w:line="360" w:lineRule="auto"/>
      <w:jc w:val="left"/>
    </w:pPr>
  </w:style>
  <w:style w:type="numbering" w:customStyle="1" w:styleId="NoList1111">
    <w:name w:val="No List1111"/>
    <w:next w:val="NoList"/>
    <w:semiHidden/>
  </w:style>
  <w:style w:type="table" w:customStyle="1" w:styleId="TableGrid110">
    <w:name w:val="Table Grid11"/>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style>
  <w:style w:type="numbering" w:customStyle="1" w:styleId="NoList13">
    <w:name w:val="No List13"/>
    <w:next w:val="NoList"/>
    <w:uiPriority w:val="99"/>
    <w:semiHidden/>
    <w:unhideWhenUsed/>
  </w:style>
  <w:style w:type="numbering" w:customStyle="1" w:styleId="NoList113">
    <w:name w:val="No List113"/>
    <w:next w:val="NoList"/>
    <w:semiHidden/>
  </w:style>
  <w:style w:type="table" w:customStyle="1" w:styleId="TableGrid30">
    <w:name w:val="Table Grid3"/>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12">
    <w:name w:val="Table 3D effects 12"/>
    <w:basedOn w:val="TableNormal"/>
    <w:next w:val="Table3Deffects1"/>
    <w:pPr>
      <w:spacing w:before="120" w:after="120" w:line="240" w:lineRule="auto"/>
      <w:jc w:val="both"/>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
    <w:name w:val="Table 3D effects 22"/>
    <w:basedOn w:val="TableNormal"/>
    <w:next w:val="Table3Deffects2"/>
    <w:pPr>
      <w:spacing w:before="120" w:after="120" w:line="240" w:lineRule="auto"/>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2">
    <w:name w:val="Table 3D effects 32"/>
    <w:basedOn w:val="TableNormal"/>
    <w:next w:val="Table3Deffects3"/>
    <w:pPr>
      <w:spacing w:before="120" w:after="120" w:line="240" w:lineRule="auto"/>
      <w:jc w:val="both"/>
    </w:pPr>
    <w:rPr>
      <w:rFonts w:ascii="Times New Roman" w:eastAsia="Times New Roman" w:hAnsi="Times New Roman" w:cs="Times New Roman"/>
      <w:sz w:val="20"/>
      <w:szCs w:val="20"/>
      <w:lang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2">
    <w:name w:val="Table Classic 12"/>
    <w:basedOn w:val="TableNormal"/>
    <w:next w:val="TableClassic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2">
    <w:name w:val="Table Classic 22"/>
    <w:basedOn w:val="TableNormal"/>
    <w:next w:val="TableClassic2"/>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lassic32">
    <w:name w:val="Table Classic 32"/>
    <w:basedOn w:val="TableNormal"/>
    <w:next w:val="TableClassic3"/>
    <w:pPr>
      <w:spacing w:before="120" w:after="120" w:line="240" w:lineRule="auto"/>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TableClassic42">
    <w:name w:val="Table Classic 42"/>
    <w:basedOn w:val="TableNormal"/>
    <w:next w:val="TableClassic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olorful12">
    <w:name w:val="Table Colorful 12"/>
    <w:basedOn w:val="TableNormal"/>
    <w:next w:val="TableColorful1"/>
    <w:pPr>
      <w:spacing w:before="120" w:after="120" w:line="240" w:lineRule="auto"/>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22">
    <w:name w:val="Table Colorful 22"/>
    <w:basedOn w:val="TableNormal"/>
    <w:next w:val="TableColorful2"/>
    <w:pPr>
      <w:spacing w:before="120" w:after="120" w:line="240" w:lineRule="auto"/>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32">
    <w:name w:val="Table Colorful 32"/>
    <w:basedOn w:val="TableNormal"/>
    <w:next w:val="TableColorful3"/>
    <w:pPr>
      <w:spacing w:before="120" w:after="120" w:line="240" w:lineRule="auto"/>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Columns12">
    <w:name w:val="Table Columns 12"/>
    <w:basedOn w:val="TableNormal"/>
    <w:next w:val="TableColumns1"/>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22">
    <w:name w:val="Table Columns 22"/>
    <w:basedOn w:val="TableNormal"/>
    <w:next w:val="TableColumns2"/>
    <w:pPr>
      <w:spacing w:before="120" w:after="120" w:line="240" w:lineRule="auto"/>
      <w:jc w:val="both"/>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pPr>
      <w:spacing w:before="120" w:after="120" w:line="240" w:lineRule="auto"/>
      <w:jc w:val="both"/>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TableColumns52">
    <w:name w:val="Table Columns 52"/>
    <w:basedOn w:val="TableNormal"/>
    <w:next w:val="TableColumns5"/>
    <w:pPr>
      <w:spacing w:before="120" w:after="120" w:line="240" w:lineRule="auto"/>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TableContemporary2">
    <w:name w:val="Table Contemporary2"/>
    <w:basedOn w:val="TableNormal"/>
    <w:next w:val="TableContemporary"/>
    <w:pPr>
      <w:spacing w:before="120" w:after="120" w:line="240" w:lineRule="auto"/>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Elegant2">
    <w:name w:val="Table Elegant2"/>
    <w:basedOn w:val="TableNormal"/>
    <w:next w:val="TableElegant"/>
    <w:pPr>
      <w:spacing w:before="120" w:after="120" w:line="24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eGrid12">
    <w:name w:val="Table Grid 12"/>
    <w:basedOn w:val="TableNormal"/>
    <w:next w:val="TableGrid10"/>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customStyle="1" w:styleId="TableGrid22">
    <w:name w:val="Table Grid 22"/>
    <w:basedOn w:val="TableNormal"/>
    <w:next w:val="TableGrid2"/>
    <w:pPr>
      <w:spacing w:before="120" w:after="120" w:line="240" w:lineRule="auto"/>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leGrid32">
    <w:name w:val="Table Grid 32"/>
    <w:basedOn w:val="TableNormal"/>
    <w:next w:val="TableGrid3"/>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customStyle="1" w:styleId="TableGrid42">
    <w:name w:val="Table Grid 42"/>
    <w:basedOn w:val="TableNormal"/>
    <w:next w:val="TableGrid4"/>
    <w:pPr>
      <w:spacing w:before="120" w:after="120" w:line="240" w:lineRule="auto"/>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Grid52">
    <w:name w:val="Table Grid 52"/>
    <w:basedOn w:val="TableNormal"/>
    <w:next w:val="TableGrid5"/>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62">
    <w:name w:val="Table Grid 62"/>
    <w:basedOn w:val="TableNormal"/>
    <w:next w:val="TableGrid6"/>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72">
    <w:name w:val="Table Grid 72"/>
    <w:basedOn w:val="TableNormal"/>
    <w:next w:val="TableGrid7"/>
    <w:pPr>
      <w:spacing w:before="120" w:after="120" w:line="240" w:lineRule="auto"/>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82">
    <w:name w:val="Table Grid 82"/>
    <w:basedOn w:val="TableNormal"/>
    <w:next w:val="TableGrid8"/>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List12">
    <w:name w:val="Table List 12"/>
    <w:basedOn w:val="TableNormal"/>
    <w:next w:val="TableList1"/>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22">
    <w:name w:val="Table List 22"/>
    <w:basedOn w:val="TableNormal"/>
    <w:next w:val="TableList2"/>
    <w:pPr>
      <w:spacing w:before="120" w:after="120" w:line="240" w:lineRule="auto"/>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32">
    <w:name w:val="Table List 32"/>
    <w:basedOn w:val="TableNormal"/>
    <w:next w:val="TableList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TableList42">
    <w:name w:val="Table List 42"/>
    <w:basedOn w:val="TableNormal"/>
    <w:next w:val="TableList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2">
    <w:name w:val="Table List 52"/>
    <w:basedOn w:val="TableNormal"/>
    <w:next w:val="TableList5"/>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TableList62">
    <w:name w:val="Table List 62"/>
    <w:basedOn w:val="TableNormal"/>
    <w:next w:val="TableList6"/>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TableList72">
    <w:name w:val="Table List 72"/>
    <w:basedOn w:val="TableNormal"/>
    <w:next w:val="TableList7"/>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TableList82">
    <w:name w:val="Table List 82"/>
    <w:basedOn w:val="TableNormal"/>
    <w:next w:val="TableList8"/>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TableProfessional2">
    <w:name w:val="Table Professional2"/>
    <w:basedOn w:val="TableNormal"/>
    <w:next w:val="TableProfession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Simple12">
    <w:name w:val="Table Simple 12"/>
    <w:basedOn w:val="TableNormal"/>
    <w:next w:val="TableSimple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eSimple22">
    <w:name w:val="Table Simple 22"/>
    <w:basedOn w:val="TableNormal"/>
    <w:next w:val="TableSimple2"/>
    <w:pPr>
      <w:spacing w:before="120" w:after="120" w:line="240" w:lineRule="auto"/>
      <w:jc w:val="both"/>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TableSimple32">
    <w:name w:val="Table Simple 32"/>
    <w:basedOn w:val="TableNormal"/>
    <w:next w:val="TableSimple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ubtle12">
    <w:name w:val="Table Subtle 12"/>
    <w:basedOn w:val="TableNormal"/>
    <w:next w:val="TableSubtle1"/>
    <w:pPr>
      <w:spacing w:before="120" w:after="120" w:line="240" w:lineRule="auto"/>
      <w:jc w:val="both"/>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Subtle22">
    <w:name w:val="Table Subtle 22"/>
    <w:basedOn w:val="TableNormal"/>
    <w:next w:val="TableSubtle2"/>
    <w:pPr>
      <w:spacing w:before="120" w:after="120" w:line="240" w:lineRule="auto"/>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Theme2">
    <w:name w:val="Table Theme2"/>
    <w:basedOn w:val="TableNormal"/>
    <w:next w:val="TableTheme"/>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2">
    <w:name w:val="Table Web 12"/>
    <w:basedOn w:val="TableNormal"/>
    <w:next w:val="TableWeb1"/>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22">
    <w:name w:val="Table Web 22"/>
    <w:basedOn w:val="TableNormal"/>
    <w:next w:val="TableWeb2"/>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32">
    <w:name w:val="Table Web 32"/>
    <w:basedOn w:val="TableNormal"/>
    <w:next w:val="TableWeb3"/>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1ai2">
    <w:name w:val="1 / a / i2"/>
    <w:basedOn w:val="NoList"/>
    <w:next w:val="1ai"/>
    <w:pPr>
      <w:numPr>
        <w:numId w:val="9"/>
      </w:numPr>
    </w:pPr>
  </w:style>
  <w:style w:type="numbering" w:customStyle="1" w:styleId="ArticleSection2">
    <w:name w:val="Article / Section2"/>
    <w:basedOn w:val="NoList"/>
    <w:next w:val="ArticleSection"/>
    <w:pPr>
      <w:numPr>
        <w:numId w:val="7"/>
      </w:numPr>
    </w:pPr>
  </w:style>
  <w:style w:type="numbering" w:customStyle="1" w:styleId="1111112">
    <w:name w:val="1 / 1.1 / 1.1.12"/>
    <w:basedOn w:val="NoList"/>
    <w:next w:val="111111"/>
    <w:pPr>
      <w:numPr>
        <w:numId w:val="8"/>
      </w:numPr>
    </w:pPr>
  </w:style>
  <w:style w:type="numbering" w:customStyle="1" w:styleId="NoList1112">
    <w:name w:val="No List1112"/>
    <w:next w:val="NoList"/>
    <w:semiHidden/>
  </w:style>
  <w:style w:type="table" w:customStyle="1" w:styleId="TableGrid120">
    <w:name w:val="Table Grid12"/>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terTitle8">
    <w:name w:val="ChapterTitle"/>
    <w:basedOn w:val="Normal"/>
    <w:next w:val="Normal"/>
    <w:pPr>
      <w:keepNext/>
      <w:spacing w:after="360"/>
      <w:jc w:val="center"/>
    </w:pPr>
    <w:rPr>
      <w:b/>
      <w:sz w:val="32"/>
    </w:rPr>
  </w:style>
  <w:style w:type="paragraph" w:customStyle="1" w:styleId="PartTitle8">
    <w:name w:val="PartTitle"/>
    <w:basedOn w:val="Normal"/>
    <w:next w:val="ChapterTitle8"/>
    <w:pPr>
      <w:keepNext/>
      <w:pageBreakBefore/>
      <w:spacing w:after="360"/>
      <w:jc w:val="center"/>
    </w:pPr>
    <w:rPr>
      <w:b/>
      <w:sz w:val="36"/>
    </w:rPr>
  </w:style>
  <w:style w:type="paragraph" w:customStyle="1" w:styleId="ChapterTitle9">
    <w:name w:val="ChapterTitle"/>
    <w:basedOn w:val="Normal"/>
    <w:next w:val="Normal"/>
    <w:pPr>
      <w:keepNext/>
      <w:spacing w:after="360"/>
      <w:jc w:val="center"/>
    </w:pPr>
    <w:rPr>
      <w:b/>
      <w:sz w:val="32"/>
    </w:rPr>
  </w:style>
  <w:style w:type="paragraph" w:customStyle="1" w:styleId="PartTitle9">
    <w:name w:val="PartTitle"/>
    <w:basedOn w:val="Normal"/>
    <w:next w:val="ChapterTitle9"/>
    <w:pPr>
      <w:keepNext/>
      <w:pageBreakBefore/>
      <w:spacing w:after="360"/>
      <w:jc w:val="center"/>
    </w:pPr>
    <w:rPr>
      <w:b/>
      <w:sz w:val="36"/>
    </w:rPr>
  </w:style>
  <w:style w:type="paragraph" w:customStyle="1" w:styleId="ChapterTitlea">
    <w:name w:val="ChapterTitle"/>
    <w:basedOn w:val="Normal"/>
    <w:next w:val="Normal"/>
    <w:pPr>
      <w:keepNext/>
      <w:spacing w:after="360"/>
      <w:jc w:val="center"/>
    </w:pPr>
    <w:rPr>
      <w:b/>
      <w:sz w:val="32"/>
    </w:rPr>
  </w:style>
  <w:style w:type="paragraph" w:customStyle="1" w:styleId="PartTitlea">
    <w:name w:val="PartTitle"/>
    <w:basedOn w:val="Normal"/>
    <w:next w:val="ChapterTitlea"/>
    <w:pPr>
      <w:keepNext/>
      <w:pageBreakBefore/>
      <w:spacing w:after="360"/>
      <w:jc w:val="center"/>
    </w:pPr>
    <w:rPr>
      <w:b/>
      <w:sz w:val="36"/>
    </w:rPr>
  </w:style>
  <w:style w:type="paragraph" w:customStyle="1" w:styleId="ChapterTitleb">
    <w:name w:val="ChapterTitle"/>
    <w:basedOn w:val="Normal"/>
    <w:next w:val="Normal"/>
    <w:pPr>
      <w:keepNext/>
      <w:spacing w:after="360"/>
      <w:jc w:val="center"/>
    </w:pPr>
    <w:rPr>
      <w:b/>
      <w:sz w:val="32"/>
    </w:rPr>
  </w:style>
  <w:style w:type="paragraph" w:customStyle="1" w:styleId="PartTitleb">
    <w:name w:val="PartTitle"/>
    <w:basedOn w:val="Normal"/>
    <w:next w:val="ChapterTitleb"/>
    <w:pPr>
      <w:keepNext/>
      <w:pageBreakBefore/>
      <w:spacing w:after="360"/>
      <w:jc w:val="center"/>
    </w:pPr>
    <w:rPr>
      <w:b/>
      <w:sz w:val="36"/>
    </w:rPr>
  </w:style>
  <w:style w:type="paragraph" w:customStyle="1" w:styleId="ChapterTitlec">
    <w:name w:val="ChapterTitle"/>
    <w:basedOn w:val="Normal"/>
    <w:next w:val="Normal"/>
    <w:pPr>
      <w:keepNext/>
      <w:spacing w:after="360"/>
      <w:jc w:val="center"/>
    </w:pPr>
    <w:rPr>
      <w:b/>
      <w:sz w:val="32"/>
    </w:rPr>
  </w:style>
  <w:style w:type="paragraph" w:customStyle="1" w:styleId="PartTitlec">
    <w:name w:val="PartTitle"/>
    <w:basedOn w:val="Normal"/>
    <w:next w:val="ChapterTitlec"/>
    <w:pPr>
      <w:keepNext/>
      <w:pageBreakBefore/>
      <w:spacing w:after="360"/>
      <w:jc w:val="center"/>
    </w:pPr>
    <w:rPr>
      <w:b/>
      <w:sz w:val="36"/>
    </w:rPr>
  </w:style>
  <w:style w:type="paragraph" w:customStyle="1" w:styleId="ChapterTitled">
    <w:name w:val="ChapterTitle"/>
    <w:basedOn w:val="Normal"/>
    <w:next w:val="Normal"/>
    <w:pPr>
      <w:keepNext/>
      <w:spacing w:after="360"/>
      <w:jc w:val="center"/>
    </w:pPr>
    <w:rPr>
      <w:b/>
      <w:sz w:val="32"/>
    </w:rPr>
  </w:style>
  <w:style w:type="paragraph" w:customStyle="1" w:styleId="PartTitled">
    <w:name w:val="PartTitle"/>
    <w:basedOn w:val="Normal"/>
    <w:next w:val="ChapterTitled"/>
    <w:pPr>
      <w:keepNext/>
      <w:pageBreakBefore/>
      <w:spacing w:after="360"/>
      <w:jc w:val="center"/>
    </w:pPr>
    <w:rPr>
      <w:b/>
      <w:sz w:val="36"/>
    </w:rPr>
  </w:style>
  <w:style w:type="paragraph" w:customStyle="1" w:styleId="ChapterTitlee">
    <w:name w:val="ChapterTitle"/>
    <w:basedOn w:val="Normal"/>
    <w:next w:val="Normal"/>
    <w:pPr>
      <w:keepNext/>
      <w:spacing w:after="360"/>
      <w:jc w:val="center"/>
    </w:pPr>
    <w:rPr>
      <w:b/>
      <w:sz w:val="32"/>
    </w:rPr>
  </w:style>
  <w:style w:type="paragraph" w:customStyle="1" w:styleId="PartTitlee">
    <w:name w:val="PartTitle"/>
    <w:basedOn w:val="Normal"/>
    <w:next w:val="ChapterTitlee"/>
    <w:pPr>
      <w:keepNext/>
      <w:pageBreakBefore/>
      <w:spacing w:after="360"/>
      <w:jc w:val="center"/>
    </w:pPr>
    <w:rPr>
      <w:b/>
      <w:sz w:val="36"/>
    </w:rPr>
  </w:style>
  <w:style w:type="paragraph" w:customStyle="1" w:styleId="ChapterTitlef">
    <w:name w:val="ChapterTitle"/>
    <w:basedOn w:val="Normal"/>
    <w:next w:val="Normal"/>
    <w:pPr>
      <w:keepNext/>
      <w:spacing w:after="360"/>
      <w:jc w:val="center"/>
    </w:pPr>
    <w:rPr>
      <w:b/>
      <w:sz w:val="32"/>
    </w:rPr>
  </w:style>
  <w:style w:type="paragraph" w:customStyle="1" w:styleId="PartTitlef">
    <w:name w:val="PartTitle"/>
    <w:basedOn w:val="Normal"/>
    <w:next w:val="ChapterTitlef"/>
    <w:pPr>
      <w:keepNext/>
      <w:pageBreakBefore/>
      <w:spacing w:after="360"/>
      <w:jc w:val="center"/>
    </w:pPr>
    <w:rPr>
      <w:b/>
      <w:sz w:val="36"/>
    </w:rPr>
  </w:style>
  <w:style w:type="paragraph" w:customStyle="1" w:styleId="ChapterTitlef0">
    <w:name w:val="ChapterTitle"/>
    <w:basedOn w:val="Normal"/>
    <w:next w:val="Normal"/>
    <w:pPr>
      <w:keepNext/>
      <w:spacing w:after="360"/>
      <w:jc w:val="center"/>
    </w:pPr>
    <w:rPr>
      <w:b/>
      <w:sz w:val="32"/>
    </w:rPr>
  </w:style>
  <w:style w:type="paragraph" w:customStyle="1" w:styleId="PartTitlef0">
    <w:name w:val="PartTitle"/>
    <w:basedOn w:val="Normal"/>
    <w:next w:val="ChapterTitlef0"/>
    <w:pPr>
      <w:keepNext/>
      <w:pageBreakBefore/>
      <w:spacing w:after="360"/>
      <w:jc w:val="center"/>
    </w:pPr>
    <w:rPr>
      <w:b/>
      <w:sz w:val="36"/>
    </w:rPr>
  </w:style>
  <w:style w:type="paragraph" w:customStyle="1" w:styleId="ChapterTitlef1">
    <w:name w:val="ChapterTitle"/>
    <w:basedOn w:val="Normal"/>
    <w:next w:val="Normal"/>
    <w:pPr>
      <w:keepNext/>
      <w:spacing w:after="360"/>
      <w:jc w:val="center"/>
    </w:pPr>
    <w:rPr>
      <w:b/>
      <w:sz w:val="32"/>
    </w:rPr>
  </w:style>
  <w:style w:type="paragraph" w:customStyle="1" w:styleId="PartTitlef1">
    <w:name w:val="PartTitle"/>
    <w:basedOn w:val="Normal"/>
    <w:next w:val="ChapterTitlef1"/>
    <w:pPr>
      <w:keepNext/>
      <w:pageBreakBefore/>
      <w:spacing w:after="360"/>
      <w:jc w:val="center"/>
    </w:pPr>
    <w:rPr>
      <w:b/>
      <w:sz w:val="36"/>
    </w:rPr>
  </w:style>
  <w:style w:type="paragraph" w:customStyle="1" w:styleId="ChapterTitlef2">
    <w:name w:val="ChapterTitle"/>
    <w:basedOn w:val="Normal"/>
    <w:next w:val="Normal"/>
    <w:pPr>
      <w:keepNext/>
      <w:spacing w:after="360"/>
      <w:jc w:val="center"/>
    </w:pPr>
    <w:rPr>
      <w:b/>
      <w:sz w:val="32"/>
    </w:rPr>
  </w:style>
  <w:style w:type="paragraph" w:customStyle="1" w:styleId="PartTitlef2">
    <w:name w:val="PartTitle"/>
    <w:basedOn w:val="Normal"/>
    <w:next w:val="ChapterTitlef2"/>
    <w:pPr>
      <w:keepNext/>
      <w:pageBreakBefore/>
      <w:spacing w:after="360"/>
      <w:jc w:val="center"/>
    </w:pPr>
    <w:rPr>
      <w:b/>
      <w:sz w:val="36"/>
    </w:rPr>
  </w:style>
  <w:style w:type="paragraph" w:customStyle="1" w:styleId="ChapterTitlef3">
    <w:name w:val="ChapterTitle"/>
    <w:basedOn w:val="Normal"/>
    <w:next w:val="Normal"/>
    <w:pPr>
      <w:keepNext/>
      <w:spacing w:after="360"/>
      <w:jc w:val="center"/>
    </w:pPr>
    <w:rPr>
      <w:b/>
      <w:sz w:val="32"/>
    </w:rPr>
  </w:style>
  <w:style w:type="paragraph" w:customStyle="1" w:styleId="PartTitlef3">
    <w:name w:val="PartTitle"/>
    <w:basedOn w:val="Normal"/>
    <w:next w:val="ChapterTitlef3"/>
    <w:pPr>
      <w:keepNext/>
      <w:pageBreakBefore/>
      <w:spacing w:after="360"/>
      <w:jc w:val="center"/>
    </w:pPr>
    <w:rPr>
      <w:b/>
      <w:sz w:val="36"/>
    </w:rPr>
  </w:style>
  <w:style w:type="paragraph" w:customStyle="1" w:styleId="ChapterTitlef4">
    <w:name w:val="ChapterTitle"/>
    <w:basedOn w:val="Normal"/>
    <w:next w:val="Normal"/>
    <w:pPr>
      <w:keepNext/>
      <w:spacing w:after="360"/>
      <w:jc w:val="center"/>
    </w:pPr>
    <w:rPr>
      <w:b/>
      <w:sz w:val="32"/>
    </w:rPr>
  </w:style>
  <w:style w:type="paragraph" w:customStyle="1" w:styleId="PartTitlef4">
    <w:name w:val="PartTitle"/>
    <w:basedOn w:val="Normal"/>
    <w:next w:val="ChapterTitlef4"/>
    <w:pPr>
      <w:keepNext/>
      <w:pageBreakBefore/>
      <w:spacing w:after="360"/>
      <w:jc w:val="center"/>
    </w:pPr>
    <w:rPr>
      <w:b/>
      <w:sz w:val="36"/>
    </w:rPr>
  </w:style>
  <w:style w:type="paragraph" w:customStyle="1" w:styleId="ChapterTitlef5">
    <w:name w:val="ChapterTitle"/>
    <w:basedOn w:val="Normal"/>
    <w:next w:val="Normal"/>
    <w:pPr>
      <w:keepNext/>
      <w:spacing w:after="360"/>
      <w:jc w:val="center"/>
    </w:pPr>
    <w:rPr>
      <w:b/>
      <w:sz w:val="32"/>
    </w:rPr>
  </w:style>
  <w:style w:type="paragraph" w:customStyle="1" w:styleId="PartTitlef5">
    <w:name w:val="PartTitle"/>
    <w:basedOn w:val="Normal"/>
    <w:next w:val="ChapterTitlef5"/>
    <w:pPr>
      <w:keepNext/>
      <w:pageBreakBefore/>
      <w:spacing w:after="360"/>
      <w:jc w:val="center"/>
    </w:pPr>
    <w:rPr>
      <w:b/>
      <w:sz w:val="36"/>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fi-FI"/>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fi-F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f6">
    <w:name w:val="ChapterTitle"/>
    <w:basedOn w:val="Normal"/>
    <w:next w:val="Normal"/>
    <w:pPr>
      <w:keepNext/>
      <w:spacing w:after="360"/>
      <w:jc w:val="center"/>
    </w:pPr>
    <w:rPr>
      <w:b/>
      <w:sz w:val="32"/>
    </w:rPr>
  </w:style>
  <w:style w:type="paragraph" w:customStyle="1" w:styleId="PartTitlef6">
    <w:name w:val="PartTitle"/>
    <w:basedOn w:val="Normal"/>
    <w:next w:val="ChapterTitlef6"/>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endnote reference"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spacing w:before="120" w:after="120" w:line="240" w:lineRule="auto"/>
      <w:jc w:val="both"/>
    </w:pPr>
    <w:rPr>
      <w:rFonts w:ascii="Times New Roman" w:hAnsi="Times New Roman" w:cs="Times New Roman"/>
      <w:sz w:val="24"/>
      <w:lang w:val="fi-FI"/>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Normal"/>
    <w:link w:val="Heading5Char"/>
    <w:qFormat/>
    <w:pPr>
      <w:autoSpaceDE w:val="0"/>
      <w:autoSpaceDN w:val="0"/>
      <w:spacing w:before="240" w:after="60"/>
      <w:outlineLvl w:val="4"/>
    </w:pPr>
    <w:rPr>
      <w:rFonts w:ascii="Arial" w:eastAsia="Times New Roman" w:hAnsi="Arial" w:cs="Arial"/>
      <w:sz w:val="22"/>
      <w:lang w:eastAsia="en-GB"/>
    </w:rPr>
  </w:style>
  <w:style w:type="paragraph" w:styleId="Heading6">
    <w:name w:val="heading 6"/>
    <w:basedOn w:val="Normal"/>
    <w:next w:val="Normal"/>
    <w:link w:val="Heading6Char"/>
    <w:qFormat/>
    <w:pPr>
      <w:autoSpaceDE w:val="0"/>
      <w:autoSpaceDN w:val="0"/>
      <w:spacing w:before="240" w:after="60"/>
      <w:outlineLvl w:val="5"/>
    </w:pPr>
    <w:rPr>
      <w:rFonts w:ascii="Arial" w:eastAsia="Times New Roman" w:hAnsi="Arial" w:cs="Arial"/>
      <w:i/>
      <w:iCs/>
      <w:sz w:val="22"/>
      <w:lang w:eastAsia="en-GB"/>
    </w:rPr>
  </w:style>
  <w:style w:type="paragraph" w:styleId="Heading7">
    <w:name w:val="heading 7"/>
    <w:basedOn w:val="Normal"/>
    <w:next w:val="Normal"/>
    <w:link w:val="Heading7Char"/>
    <w:qFormat/>
    <w:pPr>
      <w:autoSpaceDE w:val="0"/>
      <w:autoSpaceDN w:val="0"/>
      <w:spacing w:before="240" w:after="60"/>
      <w:outlineLvl w:val="6"/>
    </w:pPr>
    <w:rPr>
      <w:rFonts w:ascii="Arial" w:eastAsia="Times New Roman" w:hAnsi="Arial" w:cs="Arial"/>
      <w:sz w:val="20"/>
      <w:szCs w:val="20"/>
      <w:lang w:eastAsia="en-GB"/>
    </w:rPr>
  </w:style>
  <w:style w:type="paragraph" w:styleId="Heading8">
    <w:name w:val="heading 8"/>
    <w:basedOn w:val="Normal"/>
    <w:next w:val="Normal"/>
    <w:link w:val="Heading8Char"/>
    <w:qFormat/>
    <w:pPr>
      <w:autoSpaceDE w:val="0"/>
      <w:autoSpaceDN w:val="0"/>
      <w:spacing w:before="240" w:after="60"/>
      <w:outlineLvl w:val="7"/>
    </w:pPr>
    <w:rPr>
      <w:rFonts w:ascii="Arial" w:eastAsia="Times New Roman" w:hAnsi="Arial" w:cs="Arial"/>
      <w:i/>
      <w:iCs/>
      <w:sz w:val="20"/>
      <w:szCs w:val="20"/>
      <w:lang w:eastAsia="en-GB"/>
    </w:rPr>
  </w:style>
  <w:style w:type="paragraph" w:styleId="Heading9">
    <w:name w:val="heading 9"/>
    <w:basedOn w:val="Normal"/>
    <w:next w:val="Normal"/>
    <w:link w:val="Heading9Char"/>
    <w:qFormat/>
    <w:pPr>
      <w:autoSpaceDE w:val="0"/>
      <w:autoSpaceDN w:val="0"/>
      <w:spacing w:before="240" w:after="60"/>
      <w:outlineLvl w:val="8"/>
    </w:pPr>
    <w:rPr>
      <w:rFonts w:ascii="Arial" w:eastAsia="Times New Roman" w:hAnsi="Arial" w:cs="Arial"/>
      <w:i/>
      <w:iCs/>
      <w:sz w:val="18"/>
      <w:szCs w:val="1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paragraph" w:styleId="ListBullet">
    <w:name w:val="List Bullet"/>
    <w:basedOn w:val="Normal"/>
    <w:unhideWhenUsed/>
    <w:pPr>
      <w:numPr>
        <w:numId w:val="2"/>
      </w:numPr>
      <w:contextualSpacing/>
    </w:pPr>
  </w:style>
  <w:style w:type="paragraph" w:styleId="ListBullet2">
    <w:name w:val="List Bullet 2"/>
    <w:basedOn w:val="Normal"/>
    <w:unhideWhenUsed/>
    <w:pPr>
      <w:numPr>
        <w:numId w:val="3"/>
      </w:numPr>
      <w:contextualSpacing/>
    </w:pPr>
  </w:style>
  <w:style w:type="paragraph" w:styleId="ListBullet3">
    <w:name w:val="List Bullet 3"/>
    <w:basedOn w:val="Normal"/>
    <w:unhideWhenUsed/>
    <w:pPr>
      <w:numPr>
        <w:numId w:val="4"/>
      </w:numPr>
      <w:contextualSpacing/>
    </w:pPr>
  </w:style>
  <w:style w:type="paragraph" w:styleId="ListBullet4">
    <w:name w:val="List Bullet 4"/>
    <w:basedOn w:val="Normal"/>
    <w:unhideWhenUsed/>
    <w:pPr>
      <w:numPr>
        <w:numId w:val="5"/>
      </w:numPr>
      <w:contextualSpacing/>
    </w:pPr>
  </w:style>
  <w:style w:type="paragraph" w:styleId="BalloonText">
    <w:name w:val="Balloon Text"/>
    <w:basedOn w:val="Normal"/>
    <w:link w:val="BalloonTextChar"/>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lang w:val="fi-FI"/>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lang w:val="fi-FI"/>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cs="Times New Roman"/>
      <w:b/>
      <w:bCs/>
      <w:sz w:val="20"/>
      <w:szCs w:val="20"/>
      <w:lang w:val="fi-FI"/>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ListParagraph">
    <w:name w:val="List Paragraph"/>
    <w:basedOn w:val="Normal"/>
    <w:uiPriority w:val="34"/>
    <w:qFormat/>
    <w:pPr>
      <w:ind w:left="720"/>
      <w:contextualSpacing/>
    </w:p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Pr>
      <w:rFonts w:ascii="Arial" w:eastAsia="Times New Roman" w:hAnsi="Arial" w:cs="Arial"/>
      <w:lang w:val="fi-FI" w:eastAsia="en-GB"/>
    </w:rPr>
  </w:style>
  <w:style w:type="character" w:customStyle="1" w:styleId="Heading6Char">
    <w:name w:val="Heading 6 Char"/>
    <w:basedOn w:val="DefaultParagraphFont"/>
    <w:link w:val="Heading6"/>
    <w:rPr>
      <w:rFonts w:ascii="Arial" w:eastAsia="Times New Roman" w:hAnsi="Arial" w:cs="Arial"/>
      <w:i/>
      <w:iCs/>
      <w:lang w:val="fi-FI" w:eastAsia="en-GB"/>
    </w:rPr>
  </w:style>
  <w:style w:type="character" w:customStyle="1" w:styleId="Heading7Char">
    <w:name w:val="Heading 7 Char"/>
    <w:basedOn w:val="DefaultParagraphFont"/>
    <w:link w:val="Heading7"/>
    <w:rPr>
      <w:rFonts w:ascii="Arial" w:eastAsia="Times New Roman" w:hAnsi="Arial" w:cs="Arial"/>
      <w:sz w:val="20"/>
      <w:szCs w:val="20"/>
      <w:lang w:val="fi-FI" w:eastAsia="en-GB"/>
    </w:rPr>
  </w:style>
  <w:style w:type="character" w:customStyle="1" w:styleId="Heading8Char">
    <w:name w:val="Heading 8 Char"/>
    <w:basedOn w:val="DefaultParagraphFont"/>
    <w:link w:val="Heading8"/>
    <w:rPr>
      <w:rFonts w:ascii="Arial" w:eastAsia="Times New Roman" w:hAnsi="Arial" w:cs="Arial"/>
      <w:i/>
      <w:iCs/>
      <w:sz w:val="20"/>
      <w:szCs w:val="20"/>
      <w:lang w:val="fi-FI" w:eastAsia="en-GB"/>
    </w:rPr>
  </w:style>
  <w:style w:type="character" w:customStyle="1" w:styleId="Heading9Char">
    <w:name w:val="Heading 9 Char"/>
    <w:basedOn w:val="DefaultParagraphFont"/>
    <w:link w:val="Heading9"/>
    <w:rPr>
      <w:rFonts w:ascii="Arial" w:eastAsia="Times New Roman" w:hAnsi="Arial" w:cs="Arial"/>
      <w:i/>
      <w:iCs/>
      <w:sz w:val="18"/>
      <w:szCs w:val="18"/>
      <w:lang w:val="fi-FI" w:eastAsia="en-GB"/>
    </w:rPr>
  </w:style>
  <w:style w:type="numbering" w:customStyle="1" w:styleId="NoList1">
    <w:name w:val="No List1"/>
    <w:next w:val="NoList"/>
    <w:uiPriority w:val="99"/>
    <w:semiHidden/>
    <w:unhideWhenUsed/>
  </w:style>
  <w:style w:type="numbering" w:customStyle="1" w:styleId="NoList11">
    <w:name w:val="No List11"/>
    <w:next w:val="NoList"/>
    <w:semiHidden/>
    <w:unhideWhenUsed/>
  </w:style>
  <w:style w:type="paragraph" w:customStyle="1" w:styleId="Annexetitreacte">
    <w:name w:val="Annexe titre (acte)"/>
    <w:basedOn w:val="Normal"/>
    <w:next w:val="Normal"/>
    <w:pPr>
      <w:autoSpaceDE w:val="0"/>
      <w:autoSpaceDN w:val="0"/>
      <w:jc w:val="center"/>
    </w:pPr>
    <w:rPr>
      <w:rFonts w:eastAsia="Times New Roman"/>
      <w:b/>
      <w:bCs/>
      <w:szCs w:val="24"/>
      <w:u w:val="single"/>
      <w:lang w:eastAsia="en-GB"/>
    </w:rPr>
  </w:style>
  <w:style w:type="paragraph" w:customStyle="1" w:styleId="Annexetitreexposglobal">
    <w:name w:val="Annexe titre (exposé global)"/>
    <w:basedOn w:val="Normal"/>
    <w:next w:val="Normal"/>
    <w:pPr>
      <w:autoSpaceDE w:val="0"/>
      <w:autoSpaceDN w:val="0"/>
      <w:jc w:val="center"/>
    </w:pPr>
    <w:rPr>
      <w:rFonts w:eastAsia="Times New Roman"/>
      <w:b/>
      <w:bCs/>
      <w:szCs w:val="24"/>
      <w:u w:val="single"/>
      <w:lang w:eastAsia="en-GB"/>
    </w:rPr>
  </w:style>
  <w:style w:type="paragraph" w:customStyle="1" w:styleId="Annexetitrefichefinacte">
    <w:name w:val="Annexe titre (fiche fin. acte)"/>
    <w:basedOn w:val="Normal"/>
    <w:next w:val="Normal"/>
    <w:pPr>
      <w:autoSpaceDE w:val="0"/>
      <w:autoSpaceDN w:val="0"/>
      <w:jc w:val="center"/>
    </w:pPr>
    <w:rPr>
      <w:rFonts w:eastAsia="Times New Roman"/>
      <w:b/>
      <w:bCs/>
      <w:szCs w:val="24"/>
      <w:u w:val="single"/>
      <w:lang w:eastAsia="en-GB"/>
    </w:rPr>
  </w:style>
  <w:style w:type="paragraph" w:customStyle="1" w:styleId="Annexetitrefichefinglobale">
    <w:name w:val="Annexe titre (fiche fin. globale)"/>
    <w:basedOn w:val="Normal"/>
    <w:next w:val="Normal"/>
    <w:pPr>
      <w:autoSpaceDE w:val="0"/>
      <w:autoSpaceDN w:val="0"/>
      <w:jc w:val="center"/>
    </w:pPr>
    <w:rPr>
      <w:rFonts w:eastAsia="Times New Roman"/>
      <w:b/>
      <w:bCs/>
      <w:szCs w:val="24"/>
      <w:u w:val="single"/>
      <w:lang w:eastAsia="en-GB"/>
    </w:rPr>
  </w:style>
  <w:style w:type="paragraph" w:customStyle="1" w:styleId="Annexetitreglobale">
    <w:name w:val="Annexe titre (globale)"/>
    <w:basedOn w:val="Normal"/>
    <w:next w:val="Normal"/>
    <w:pPr>
      <w:autoSpaceDE w:val="0"/>
      <w:autoSpaceDN w:val="0"/>
      <w:jc w:val="center"/>
    </w:pPr>
    <w:rPr>
      <w:rFonts w:eastAsia="Times New Roman"/>
      <w:b/>
      <w:bCs/>
      <w:szCs w:val="24"/>
      <w:u w:val="single"/>
      <w:lang w:eastAsia="en-GB"/>
    </w:rPr>
  </w:style>
  <w:style w:type="paragraph" w:styleId="Caption">
    <w:name w:val="caption"/>
    <w:basedOn w:val="Normal"/>
    <w:next w:val="Normal"/>
    <w:qFormat/>
    <w:pPr>
      <w:autoSpaceDE w:val="0"/>
      <w:autoSpaceDN w:val="0"/>
    </w:pPr>
    <w:rPr>
      <w:rFonts w:eastAsia="Times New Roman"/>
      <w:b/>
      <w:bCs/>
      <w:szCs w:val="24"/>
      <w:lang w:eastAsia="en-GB"/>
    </w:rPr>
  </w:style>
  <w:style w:type="paragraph" w:customStyle="1" w:styleId="Rfrenceinstitutionelle">
    <w:name w:val="Référence institutionelle"/>
    <w:basedOn w:val="Normal"/>
    <w:next w:val="Statut"/>
    <w:pPr>
      <w:autoSpaceDE w:val="0"/>
      <w:autoSpaceDN w:val="0"/>
      <w:spacing w:before="0" w:after="240"/>
      <w:ind w:left="5103"/>
      <w:jc w:val="left"/>
    </w:pPr>
    <w:rPr>
      <w:rFonts w:eastAsia="Times New Roman"/>
      <w:szCs w:val="24"/>
      <w:lang w:eastAsia="en-GB"/>
    </w:rPr>
  </w:style>
  <w:style w:type="paragraph" w:customStyle="1" w:styleId="Titreobjet">
    <w:name w:val="Titre objet"/>
    <w:basedOn w:val="Normal"/>
    <w:next w:val="Sous-titreobjet"/>
    <w:pPr>
      <w:autoSpaceDE w:val="0"/>
      <w:autoSpaceDN w:val="0"/>
      <w:spacing w:before="360" w:after="360"/>
      <w:jc w:val="center"/>
    </w:pPr>
    <w:rPr>
      <w:rFonts w:eastAsia="Times New Roman"/>
      <w:b/>
      <w:bCs/>
      <w:szCs w:val="24"/>
      <w:lang w:eastAsia="en-GB"/>
    </w:rPr>
  </w:style>
  <w:style w:type="paragraph" w:customStyle="1" w:styleId="Sous-titreobjet">
    <w:name w:val="Sous-titre objet"/>
    <w:basedOn w:val="Titreobjet"/>
    <w:pPr>
      <w:spacing w:before="0" w:after="0"/>
    </w:pPr>
  </w:style>
  <w:style w:type="paragraph" w:customStyle="1" w:styleId="Exposdesmotifstitreglobal">
    <w:name w:val="Exposé des motifs titre (global)"/>
    <w:basedOn w:val="Normal"/>
    <w:next w:val="Normal"/>
    <w:pPr>
      <w:autoSpaceDE w:val="0"/>
      <w:autoSpaceDN w:val="0"/>
      <w:jc w:val="center"/>
    </w:pPr>
    <w:rPr>
      <w:rFonts w:eastAsia="Times New Roman"/>
      <w:b/>
      <w:bCs/>
      <w:szCs w:val="24"/>
      <w:u w:val="single"/>
      <w:lang w:eastAsia="en-GB"/>
    </w:rPr>
  </w:style>
  <w:style w:type="paragraph" w:customStyle="1" w:styleId="FichedimpactPMEtitre">
    <w:name w:val="Fiche d'impact PME titre"/>
    <w:basedOn w:val="Normal"/>
    <w:next w:val="Normal"/>
    <w:pPr>
      <w:autoSpaceDE w:val="0"/>
      <w:autoSpaceDN w:val="0"/>
      <w:jc w:val="center"/>
    </w:pPr>
    <w:rPr>
      <w:rFonts w:eastAsia="Times New Roman"/>
      <w:b/>
      <w:bCs/>
      <w:szCs w:val="24"/>
      <w:lang w:eastAsia="en-GB"/>
    </w:rPr>
  </w:style>
  <w:style w:type="paragraph" w:customStyle="1" w:styleId="Fichefinanciretextetable">
    <w:name w:val="Fiche financière texte (table)"/>
    <w:basedOn w:val="Normal"/>
    <w:pPr>
      <w:autoSpaceDE w:val="0"/>
      <w:autoSpaceDN w:val="0"/>
      <w:spacing w:before="0" w:after="0"/>
      <w:jc w:val="left"/>
    </w:pPr>
    <w:rPr>
      <w:rFonts w:eastAsia="Times New Roman"/>
      <w:sz w:val="20"/>
      <w:szCs w:val="20"/>
      <w:lang w:eastAsia="en-GB"/>
    </w:rPr>
  </w:style>
  <w:style w:type="paragraph" w:customStyle="1" w:styleId="Fichefinanciretitreactetable">
    <w:name w:val="Fiche financière titre (acte table)"/>
    <w:basedOn w:val="Normal"/>
    <w:next w:val="Normal"/>
    <w:pPr>
      <w:autoSpaceDE w:val="0"/>
      <w:autoSpaceDN w:val="0"/>
      <w:jc w:val="center"/>
    </w:pPr>
    <w:rPr>
      <w:rFonts w:eastAsia="Times New Roman"/>
      <w:b/>
      <w:bCs/>
      <w:sz w:val="40"/>
      <w:szCs w:val="40"/>
      <w:lang w:eastAsia="en-GB"/>
    </w:rPr>
  </w:style>
  <w:style w:type="paragraph" w:customStyle="1" w:styleId="Fichefinanciretitreacte">
    <w:name w:val="Fiche financière titre (acte)"/>
    <w:basedOn w:val="Normal"/>
    <w:next w:val="Normal"/>
    <w:pPr>
      <w:autoSpaceDE w:val="0"/>
      <w:autoSpaceDN w:val="0"/>
      <w:jc w:val="center"/>
    </w:pPr>
    <w:rPr>
      <w:rFonts w:eastAsia="Times New Roman"/>
      <w:b/>
      <w:bCs/>
      <w:szCs w:val="24"/>
      <w:u w:val="single"/>
      <w:lang w:eastAsia="en-GB"/>
    </w:rPr>
  </w:style>
  <w:style w:type="paragraph" w:customStyle="1" w:styleId="Fichefinanciretitretable">
    <w:name w:val="Fiche financière titre (table)"/>
    <w:basedOn w:val="Normal"/>
    <w:pPr>
      <w:autoSpaceDE w:val="0"/>
      <w:autoSpaceDN w:val="0"/>
      <w:jc w:val="center"/>
    </w:pPr>
    <w:rPr>
      <w:rFonts w:eastAsia="Times New Roman"/>
      <w:b/>
      <w:bCs/>
      <w:sz w:val="40"/>
      <w:szCs w:val="40"/>
      <w:lang w:eastAsia="en-GB"/>
    </w:rPr>
  </w:style>
  <w:style w:type="paragraph" w:customStyle="1" w:styleId="Langueoriginale">
    <w:name w:val="Langue originale"/>
    <w:basedOn w:val="Normal"/>
    <w:next w:val="Phrasefinale"/>
    <w:pPr>
      <w:autoSpaceDE w:val="0"/>
      <w:autoSpaceDN w:val="0"/>
      <w:spacing w:before="360"/>
      <w:jc w:val="center"/>
    </w:pPr>
    <w:rPr>
      <w:rFonts w:eastAsia="Times New Roman"/>
      <w:caps/>
      <w:szCs w:val="24"/>
      <w:lang w:eastAsia="en-GB"/>
    </w:rPr>
  </w:style>
  <w:style w:type="paragraph" w:customStyle="1" w:styleId="Phrasefinale">
    <w:name w:val="Phrase finale"/>
    <w:basedOn w:val="Normal"/>
    <w:next w:val="Normal"/>
    <w:pPr>
      <w:autoSpaceDE w:val="0"/>
      <w:autoSpaceDN w:val="0"/>
      <w:spacing w:before="360" w:after="0"/>
      <w:jc w:val="center"/>
    </w:pPr>
    <w:rPr>
      <w:rFonts w:eastAsia="Times New Roman"/>
      <w:szCs w:val="24"/>
      <w:lang w:eastAsia="en-GB"/>
    </w:rPr>
  </w:style>
  <w:style w:type="character" w:styleId="PageNumber">
    <w:name w:val="page number"/>
  </w:style>
  <w:style w:type="paragraph" w:customStyle="1" w:styleId="Prliminairetitre">
    <w:name w:val="Préliminaire titre"/>
    <w:basedOn w:val="Normal"/>
    <w:next w:val="Normal"/>
    <w:pPr>
      <w:autoSpaceDE w:val="0"/>
      <w:autoSpaceDN w:val="0"/>
      <w:spacing w:before="360" w:after="360"/>
      <w:jc w:val="center"/>
    </w:pPr>
    <w:rPr>
      <w:rFonts w:eastAsia="Times New Roman"/>
      <w:b/>
      <w:bCs/>
      <w:szCs w:val="24"/>
      <w:lang w:eastAsia="en-GB"/>
    </w:rPr>
  </w:style>
  <w:style w:type="paragraph" w:customStyle="1" w:styleId="Prliminairetype">
    <w:name w:val="Préliminaire type"/>
    <w:basedOn w:val="Normal"/>
    <w:next w:val="Normal"/>
    <w:pPr>
      <w:autoSpaceDE w:val="0"/>
      <w:autoSpaceDN w:val="0"/>
      <w:spacing w:before="360" w:after="0"/>
      <w:jc w:val="center"/>
    </w:pPr>
    <w:rPr>
      <w:rFonts w:eastAsia="Times New Roman"/>
      <w:b/>
      <w:bCs/>
      <w:szCs w:val="24"/>
      <w:lang w:eastAsia="en-GB"/>
    </w:rPr>
  </w:style>
  <w:style w:type="paragraph" w:customStyle="1" w:styleId="Rfrenceinterinstitutionelle">
    <w:name w:val="Référence interinstitutionelle"/>
    <w:basedOn w:val="Normal"/>
    <w:next w:val="Statut"/>
    <w:pPr>
      <w:autoSpaceDE w:val="0"/>
      <w:autoSpaceDN w:val="0"/>
      <w:spacing w:before="0" w:after="0"/>
      <w:ind w:left="5103"/>
      <w:jc w:val="left"/>
    </w:pPr>
    <w:rPr>
      <w:rFonts w:eastAsia="Times New Roman"/>
      <w:szCs w:val="24"/>
      <w:lang w:eastAsia="en-GB"/>
    </w:rPr>
  </w:style>
  <w:style w:type="paragraph" w:styleId="TOAHeading">
    <w:name w:val="toa heading"/>
    <w:basedOn w:val="Normal"/>
    <w:next w:val="Normal"/>
    <w:pPr>
      <w:autoSpaceDE w:val="0"/>
      <w:autoSpaceDN w:val="0"/>
    </w:pPr>
    <w:rPr>
      <w:rFonts w:ascii="Arial" w:eastAsia="Times New Roman" w:hAnsi="Arial" w:cs="Arial"/>
      <w:b/>
      <w:bCs/>
      <w:szCs w:val="24"/>
      <w:lang w:eastAsia="en-GB"/>
    </w:rPr>
  </w:style>
  <w:style w:type="paragraph" w:customStyle="1" w:styleId="Titredumodificateur">
    <w:name w:val="Titre du modificateur"/>
    <w:basedOn w:val="Normal"/>
    <w:next w:val="Annexetitrefichefinacte"/>
    <w:uiPriority w:val="99"/>
    <w:pPr>
      <w:autoSpaceDE w:val="0"/>
      <w:autoSpaceDN w:val="0"/>
      <w:spacing w:before="240" w:after="60"/>
      <w:jc w:val="left"/>
    </w:pPr>
    <w:rPr>
      <w:rFonts w:eastAsia="Times New Roman"/>
      <w:b/>
      <w:bCs/>
      <w:szCs w:val="24"/>
      <w:lang w:eastAsia="en-GB"/>
    </w:rPr>
  </w:style>
  <w:style w:type="paragraph" w:customStyle="1" w:styleId="Referencedumodificateur">
    <w:name w:val="Reference du modificateur"/>
    <w:basedOn w:val="Normal"/>
    <w:next w:val="Annexetitrefichefinglobale"/>
    <w:uiPriority w:val="99"/>
    <w:pPr>
      <w:autoSpaceDE w:val="0"/>
      <w:autoSpaceDN w:val="0"/>
      <w:spacing w:before="0"/>
      <w:jc w:val="left"/>
    </w:pPr>
    <w:rPr>
      <w:rFonts w:eastAsia="Times New Roman"/>
      <w:szCs w:val="24"/>
      <w:lang w:eastAsia="en-GB"/>
    </w:rPr>
  </w:style>
  <w:style w:type="paragraph" w:customStyle="1" w:styleId="NormalParagraph">
    <w:name w:val="Normal Paragraph"/>
    <w:pPr>
      <w:tabs>
        <w:tab w:val="left" w:pos="576"/>
        <w:tab w:val="left" w:pos="1152"/>
        <w:tab w:val="left" w:pos="1728"/>
        <w:tab w:val="left" w:pos="5760"/>
      </w:tabs>
      <w:spacing w:after="0" w:line="312" w:lineRule="exact"/>
      <w:jc w:val="both"/>
    </w:pPr>
    <w:rPr>
      <w:rFonts w:ascii="Bookman" w:eastAsia="Times New Roman" w:hAnsi="Bookman" w:cs="Times New Roman"/>
      <w:sz w:val="24"/>
      <w:szCs w:val="20"/>
    </w:rPr>
  </w:style>
  <w:style w:type="paragraph" w:customStyle="1" w:styleId="Hurtig1">
    <w:name w:val="Hurtig 1)"/>
    <w:basedOn w:val="Normal"/>
    <w:pPr>
      <w:spacing w:before="0" w:after="0"/>
      <w:ind w:left="720" w:hanging="720"/>
      <w:jc w:val="left"/>
    </w:pPr>
    <w:rPr>
      <w:rFonts w:eastAsia="Times New Roman"/>
      <w:sz w:val="22"/>
      <w:szCs w:val="20"/>
    </w:rPr>
  </w:style>
  <w:style w:type="paragraph" w:styleId="Date">
    <w:name w:val="Date"/>
    <w:basedOn w:val="Normal"/>
    <w:next w:val="References"/>
    <w:link w:val="DateChar"/>
    <w:pPr>
      <w:spacing w:before="0" w:after="0"/>
      <w:ind w:left="5103" w:right="-567"/>
      <w:jc w:val="left"/>
    </w:pPr>
    <w:rPr>
      <w:rFonts w:eastAsia="Times New Roman"/>
      <w:szCs w:val="20"/>
    </w:rPr>
  </w:style>
  <w:style w:type="character" w:customStyle="1" w:styleId="DateChar">
    <w:name w:val="Date Char"/>
    <w:basedOn w:val="DefaultParagraphFont"/>
    <w:link w:val="Date"/>
    <w:rPr>
      <w:rFonts w:ascii="Times New Roman" w:eastAsia="Times New Roman" w:hAnsi="Times New Roman" w:cs="Times New Roman"/>
      <w:sz w:val="24"/>
      <w:szCs w:val="20"/>
      <w:lang w:val="fi-FI"/>
    </w:rPr>
  </w:style>
  <w:style w:type="paragraph" w:customStyle="1" w:styleId="References">
    <w:name w:val="References"/>
    <w:basedOn w:val="Normal"/>
    <w:next w:val="Normal"/>
    <w:pPr>
      <w:spacing w:before="0" w:after="240"/>
      <w:ind w:left="5103"/>
      <w:jc w:val="left"/>
    </w:pPr>
    <w:rPr>
      <w:rFonts w:eastAsia="Times New Roman"/>
      <w:sz w:val="20"/>
      <w:szCs w:val="20"/>
    </w:rPr>
  </w:style>
  <w:style w:type="paragraph" w:customStyle="1" w:styleId="ZCom">
    <w:name w:val="Z_Com"/>
    <w:basedOn w:val="Normal"/>
    <w:next w:val="ZDGName"/>
    <w:pPr>
      <w:widowControl w:val="0"/>
      <w:autoSpaceDE w:val="0"/>
      <w:autoSpaceDN w:val="0"/>
      <w:spacing w:before="0" w:after="0"/>
      <w:ind w:right="85"/>
    </w:pPr>
    <w:rPr>
      <w:rFonts w:ascii="Arial" w:eastAsia="Times New Roman" w:hAnsi="Arial" w:cs="Arial"/>
      <w:szCs w:val="24"/>
      <w:lang w:eastAsia="en-GB"/>
    </w:rPr>
  </w:style>
  <w:style w:type="paragraph" w:customStyle="1" w:styleId="ZDGName">
    <w:name w:val="Z_DGName"/>
    <w:basedOn w:val="Normal"/>
    <w:pPr>
      <w:widowControl w:val="0"/>
      <w:autoSpaceDE w:val="0"/>
      <w:autoSpaceDN w:val="0"/>
      <w:spacing w:before="0" w:after="0"/>
      <w:ind w:right="85"/>
      <w:jc w:val="left"/>
    </w:pPr>
    <w:rPr>
      <w:rFonts w:ascii="Arial" w:eastAsia="Times New Roman" w:hAnsi="Arial" w:cs="Arial"/>
      <w:sz w:val="16"/>
      <w:szCs w:val="16"/>
      <w:lang w:eastAsia="en-GB"/>
    </w:rPr>
  </w:style>
  <w:style w:type="character" w:styleId="Hyperlink">
    <w:name w:val="Hyperlink"/>
    <w:basedOn w:val="DefaultParagraphFont"/>
    <w:unhideWhenUsed/>
    <w:rPr>
      <w:color w:val="0000FF" w:themeColor="hyperlink"/>
      <w:u w:val="single"/>
    </w:rPr>
  </w:style>
  <w:style w:type="character" w:styleId="FollowedHyperlink">
    <w:name w:val="FollowedHyperlink"/>
    <w:basedOn w:val="DefaultParagraphFont"/>
    <w:unhideWhenUsed/>
    <w:rPr>
      <w:color w:val="800080" w:themeColor="followedHyperlink"/>
      <w:u w:val="single"/>
    </w:rPr>
  </w:style>
  <w:style w:type="paragraph" w:customStyle="1" w:styleId="Contact">
    <w:name w:val="Contact"/>
    <w:basedOn w:val="Normal"/>
    <w:next w:val="Normal"/>
    <w:pPr>
      <w:spacing w:before="480" w:after="0"/>
      <w:ind w:left="567" w:hanging="567"/>
      <w:jc w:val="left"/>
    </w:pPr>
    <w:rPr>
      <w:rFonts w:eastAsia="Times New Roman"/>
      <w:szCs w:val="20"/>
    </w:rPr>
  </w:style>
  <w:style w:type="paragraph" w:customStyle="1" w:styleId="ListBullet1">
    <w:name w:val="List Bullet 1"/>
    <w:basedOn w:val="Text1"/>
    <w:pPr>
      <w:numPr>
        <w:numId w:val="11"/>
      </w:numPr>
      <w:spacing w:before="0" w:after="240"/>
    </w:pPr>
    <w:rPr>
      <w:rFonts w:eastAsia="Times New Roman"/>
      <w:szCs w:val="20"/>
    </w:rPr>
  </w:style>
  <w:style w:type="paragraph" w:customStyle="1" w:styleId="ListDash">
    <w:name w:val="List Dash"/>
    <w:basedOn w:val="Normal"/>
    <w:pPr>
      <w:numPr>
        <w:numId w:val="12"/>
      </w:numPr>
      <w:spacing w:before="0" w:after="240"/>
    </w:pPr>
    <w:rPr>
      <w:rFonts w:eastAsia="Times New Roman"/>
      <w:szCs w:val="20"/>
    </w:rPr>
  </w:style>
  <w:style w:type="paragraph" w:customStyle="1" w:styleId="ListDash1">
    <w:name w:val="List Dash 1"/>
    <w:basedOn w:val="Text1"/>
    <w:pPr>
      <w:numPr>
        <w:numId w:val="13"/>
      </w:numPr>
      <w:spacing w:before="0" w:after="240"/>
    </w:pPr>
    <w:rPr>
      <w:rFonts w:eastAsia="Times New Roman"/>
      <w:szCs w:val="20"/>
    </w:rPr>
  </w:style>
  <w:style w:type="paragraph" w:customStyle="1" w:styleId="ListDash2">
    <w:name w:val="List Dash 2"/>
    <w:basedOn w:val="Text2"/>
    <w:pPr>
      <w:numPr>
        <w:numId w:val="14"/>
      </w:numPr>
      <w:spacing w:before="0" w:after="240"/>
    </w:pPr>
    <w:rPr>
      <w:rFonts w:eastAsia="Times New Roman"/>
      <w:szCs w:val="20"/>
    </w:rPr>
  </w:style>
  <w:style w:type="paragraph" w:customStyle="1" w:styleId="ListDash3">
    <w:name w:val="List Dash 3"/>
    <w:basedOn w:val="Text3"/>
    <w:pPr>
      <w:numPr>
        <w:numId w:val="15"/>
      </w:numPr>
      <w:spacing w:before="0" w:after="240"/>
    </w:pPr>
    <w:rPr>
      <w:rFonts w:eastAsia="Times New Roman"/>
      <w:szCs w:val="20"/>
    </w:rPr>
  </w:style>
  <w:style w:type="paragraph" w:customStyle="1" w:styleId="ListDash4">
    <w:name w:val="List Dash 4"/>
    <w:basedOn w:val="Text4"/>
    <w:pPr>
      <w:numPr>
        <w:numId w:val="16"/>
      </w:numPr>
      <w:spacing w:before="0" w:after="240"/>
    </w:pPr>
    <w:rPr>
      <w:rFonts w:eastAsia="Times New Roman"/>
      <w:szCs w:val="20"/>
    </w:rPr>
  </w:style>
  <w:style w:type="paragraph" w:styleId="ListNumber">
    <w:name w:val="List Number"/>
    <w:basedOn w:val="Normal"/>
    <w:pPr>
      <w:numPr>
        <w:numId w:val="17"/>
      </w:numPr>
      <w:spacing w:before="0" w:after="240"/>
    </w:pPr>
    <w:rPr>
      <w:rFonts w:eastAsia="Times New Roman"/>
      <w:szCs w:val="20"/>
    </w:rPr>
  </w:style>
  <w:style w:type="paragraph" w:customStyle="1" w:styleId="ListNumber1">
    <w:name w:val="List Number 1"/>
    <w:basedOn w:val="Text1"/>
    <w:pPr>
      <w:numPr>
        <w:numId w:val="18"/>
      </w:numPr>
      <w:spacing w:before="0" w:after="240"/>
    </w:pPr>
    <w:rPr>
      <w:rFonts w:eastAsia="Times New Roman"/>
      <w:szCs w:val="20"/>
    </w:rPr>
  </w:style>
  <w:style w:type="paragraph" w:styleId="ListNumber2">
    <w:name w:val="List Number 2"/>
    <w:basedOn w:val="Text2"/>
    <w:pPr>
      <w:numPr>
        <w:numId w:val="19"/>
      </w:numPr>
      <w:spacing w:before="0" w:after="240"/>
    </w:pPr>
    <w:rPr>
      <w:rFonts w:eastAsia="Times New Roman"/>
      <w:szCs w:val="20"/>
    </w:rPr>
  </w:style>
  <w:style w:type="paragraph" w:styleId="ListNumber3">
    <w:name w:val="List Number 3"/>
    <w:basedOn w:val="Text3"/>
    <w:pPr>
      <w:numPr>
        <w:numId w:val="20"/>
      </w:numPr>
      <w:spacing w:before="0" w:after="240"/>
    </w:pPr>
    <w:rPr>
      <w:rFonts w:eastAsia="Times New Roman"/>
      <w:szCs w:val="20"/>
    </w:rPr>
  </w:style>
  <w:style w:type="paragraph" w:styleId="ListNumber4">
    <w:name w:val="List Number 4"/>
    <w:basedOn w:val="Text4"/>
    <w:pPr>
      <w:numPr>
        <w:numId w:val="21"/>
      </w:numPr>
      <w:spacing w:before="0" w:after="240"/>
    </w:pPr>
    <w:rPr>
      <w:rFonts w:eastAsia="Times New Roman"/>
      <w:szCs w:val="20"/>
    </w:rPr>
  </w:style>
  <w:style w:type="paragraph" w:customStyle="1" w:styleId="ListNumberLevel2">
    <w:name w:val="List Number (Level 2)"/>
    <w:basedOn w:val="Normal"/>
    <w:pPr>
      <w:numPr>
        <w:ilvl w:val="1"/>
        <w:numId w:val="17"/>
      </w:numPr>
      <w:spacing w:before="0" w:after="240"/>
    </w:pPr>
    <w:rPr>
      <w:rFonts w:eastAsia="Times New Roman"/>
      <w:szCs w:val="20"/>
    </w:rPr>
  </w:style>
  <w:style w:type="paragraph" w:customStyle="1" w:styleId="ListNumber1Level2">
    <w:name w:val="List Number 1 (Level 2)"/>
    <w:basedOn w:val="Text1"/>
    <w:pPr>
      <w:numPr>
        <w:ilvl w:val="1"/>
        <w:numId w:val="18"/>
      </w:numPr>
      <w:spacing w:before="0" w:after="240"/>
    </w:pPr>
    <w:rPr>
      <w:rFonts w:eastAsia="Times New Roman"/>
      <w:szCs w:val="20"/>
    </w:rPr>
  </w:style>
  <w:style w:type="paragraph" w:customStyle="1" w:styleId="ListNumber2Level2">
    <w:name w:val="List Number 2 (Level 2)"/>
    <w:basedOn w:val="Text2"/>
    <w:pPr>
      <w:numPr>
        <w:ilvl w:val="1"/>
        <w:numId w:val="19"/>
      </w:numPr>
      <w:spacing w:before="0" w:after="240"/>
    </w:pPr>
    <w:rPr>
      <w:rFonts w:eastAsia="Times New Roman"/>
      <w:szCs w:val="20"/>
    </w:rPr>
  </w:style>
  <w:style w:type="paragraph" w:customStyle="1" w:styleId="ListNumber3Level2">
    <w:name w:val="List Number 3 (Level 2)"/>
    <w:basedOn w:val="Text3"/>
    <w:pPr>
      <w:numPr>
        <w:ilvl w:val="1"/>
        <w:numId w:val="20"/>
      </w:numPr>
      <w:spacing w:before="0" w:after="240"/>
    </w:pPr>
    <w:rPr>
      <w:rFonts w:eastAsia="Times New Roman"/>
      <w:szCs w:val="20"/>
    </w:rPr>
  </w:style>
  <w:style w:type="paragraph" w:customStyle="1" w:styleId="ListNumber4Level2">
    <w:name w:val="List Number 4 (Level 2)"/>
    <w:basedOn w:val="Text4"/>
    <w:pPr>
      <w:numPr>
        <w:ilvl w:val="1"/>
        <w:numId w:val="21"/>
      </w:numPr>
      <w:spacing w:before="0" w:after="240"/>
    </w:pPr>
    <w:rPr>
      <w:rFonts w:eastAsia="Times New Roman"/>
      <w:szCs w:val="20"/>
    </w:rPr>
  </w:style>
  <w:style w:type="paragraph" w:customStyle="1" w:styleId="ListNumberLevel3">
    <w:name w:val="List Number (Level 3)"/>
    <w:basedOn w:val="Normal"/>
    <w:pPr>
      <w:numPr>
        <w:ilvl w:val="2"/>
        <w:numId w:val="17"/>
      </w:numPr>
      <w:spacing w:before="0" w:after="240"/>
    </w:pPr>
    <w:rPr>
      <w:rFonts w:eastAsia="Times New Roman"/>
      <w:szCs w:val="20"/>
    </w:rPr>
  </w:style>
  <w:style w:type="paragraph" w:customStyle="1" w:styleId="ListNumber1Level3">
    <w:name w:val="List Number 1 (Level 3)"/>
    <w:basedOn w:val="Text1"/>
    <w:pPr>
      <w:numPr>
        <w:ilvl w:val="2"/>
        <w:numId w:val="18"/>
      </w:numPr>
      <w:spacing w:before="0" w:after="240"/>
    </w:pPr>
    <w:rPr>
      <w:rFonts w:eastAsia="Times New Roman"/>
      <w:szCs w:val="20"/>
    </w:rPr>
  </w:style>
  <w:style w:type="paragraph" w:customStyle="1" w:styleId="ListNumber2Level3">
    <w:name w:val="List Number 2 (Level 3)"/>
    <w:basedOn w:val="Text2"/>
    <w:pPr>
      <w:numPr>
        <w:ilvl w:val="2"/>
        <w:numId w:val="19"/>
      </w:numPr>
      <w:spacing w:before="0" w:after="240"/>
    </w:pPr>
    <w:rPr>
      <w:rFonts w:eastAsia="Times New Roman"/>
      <w:szCs w:val="20"/>
    </w:rPr>
  </w:style>
  <w:style w:type="paragraph" w:customStyle="1" w:styleId="ListNumber3Level3">
    <w:name w:val="List Number 3 (Level 3)"/>
    <w:basedOn w:val="Text3"/>
    <w:pPr>
      <w:numPr>
        <w:ilvl w:val="2"/>
        <w:numId w:val="20"/>
      </w:numPr>
      <w:spacing w:before="0" w:after="240"/>
    </w:pPr>
    <w:rPr>
      <w:rFonts w:eastAsia="Times New Roman"/>
      <w:szCs w:val="20"/>
    </w:rPr>
  </w:style>
  <w:style w:type="paragraph" w:customStyle="1" w:styleId="ListNumber4Level3">
    <w:name w:val="List Number 4 (Level 3)"/>
    <w:basedOn w:val="Text4"/>
    <w:pPr>
      <w:numPr>
        <w:ilvl w:val="2"/>
        <w:numId w:val="21"/>
      </w:numPr>
      <w:spacing w:before="0" w:after="240"/>
    </w:pPr>
    <w:rPr>
      <w:rFonts w:eastAsia="Times New Roman"/>
      <w:szCs w:val="20"/>
    </w:rPr>
  </w:style>
  <w:style w:type="paragraph" w:customStyle="1" w:styleId="ListNumberLevel4">
    <w:name w:val="List Number (Level 4)"/>
    <w:basedOn w:val="Normal"/>
    <w:pPr>
      <w:numPr>
        <w:ilvl w:val="3"/>
        <w:numId w:val="17"/>
      </w:numPr>
      <w:spacing w:before="0" w:after="240"/>
    </w:pPr>
    <w:rPr>
      <w:rFonts w:eastAsia="Times New Roman"/>
      <w:szCs w:val="20"/>
    </w:rPr>
  </w:style>
  <w:style w:type="paragraph" w:customStyle="1" w:styleId="ListNumber1Level4">
    <w:name w:val="List Number 1 (Level 4)"/>
    <w:basedOn w:val="Text1"/>
    <w:pPr>
      <w:numPr>
        <w:ilvl w:val="3"/>
        <w:numId w:val="18"/>
      </w:numPr>
      <w:spacing w:before="0" w:after="240"/>
    </w:pPr>
    <w:rPr>
      <w:rFonts w:eastAsia="Times New Roman"/>
      <w:szCs w:val="20"/>
    </w:rPr>
  </w:style>
  <w:style w:type="paragraph" w:customStyle="1" w:styleId="ListNumber2Level4">
    <w:name w:val="List Number 2 (Level 4)"/>
    <w:basedOn w:val="Text2"/>
    <w:pPr>
      <w:numPr>
        <w:ilvl w:val="3"/>
        <w:numId w:val="19"/>
      </w:numPr>
      <w:spacing w:before="0" w:after="240"/>
    </w:pPr>
    <w:rPr>
      <w:rFonts w:eastAsia="Times New Roman"/>
      <w:szCs w:val="20"/>
    </w:rPr>
  </w:style>
  <w:style w:type="paragraph" w:customStyle="1" w:styleId="ListNumber3Level4">
    <w:name w:val="List Number 3 (Level 4)"/>
    <w:basedOn w:val="Text3"/>
    <w:pPr>
      <w:numPr>
        <w:ilvl w:val="3"/>
        <w:numId w:val="20"/>
      </w:numPr>
      <w:spacing w:before="0" w:after="240"/>
    </w:pPr>
    <w:rPr>
      <w:rFonts w:eastAsia="Times New Roman"/>
      <w:szCs w:val="20"/>
    </w:rPr>
  </w:style>
  <w:style w:type="paragraph" w:customStyle="1" w:styleId="ListNumber4Level4">
    <w:name w:val="List Number 4 (Level 4)"/>
    <w:basedOn w:val="Text4"/>
    <w:pPr>
      <w:numPr>
        <w:ilvl w:val="3"/>
        <w:numId w:val="21"/>
      </w:numPr>
      <w:spacing w:before="0" w:after="240"/>
    </w:pPr>
    <w:rPr>
      <w:rFonts w:eastAsia="Times New Roman"/>
      <w:szCs w:val="20"/>
    </w:rPr>
  </w:style>
  <w:style w:type="paragraph" w:styleId="EndnoteText">
    <w:name w:val="endnote text"/>
    <w:basedOn w:val="Normal"/>
    <w:link w:val="EndnoteTextChar"/>
    <w:semiHidden/>
    <w:pPr>
      <w:spacing w:before="0" w:after="240"/>
    </w:pPr>
    <w:rPr>
      <w:rFonts w:eastAsia="Times New Roman"/>
      <w:sz w:val="20"/>
      <w:szCs w:val="20"/>
    </w:rPr>
  </w:style>
  <w:style w:type="character" w:customStyle="1" w:styleId="EndnoteTextChar">
    <w:name w:val="Endnote Text Char"/>
    <w:basedOn w:val="DefaultParagraphFont"/>
    <w:link w:val="EndnoteText"/>
    <w:semiHidden/>
    <w:rPr>
      <w:rFonts w:ascii="Times New Roman" w:eastAsia="Times New Roman" w:hAnsi="Times New Roman" w:cs="Times New Roman"/>
      <w:sz w:val="20"/>
      <w:szCs w:val="20"/>
      <w:lang w:val="fi-FI"/>
    </w:rPr>
  </w:style>
  <w:style w:type="character" w:styleId="EndnoteReference">
    <w:name w:val="endnote reference"/>
    <w:uiPriority w:val="99"/>
    <w:rPr>
      <w:vertAlign w:val="superscript"/>
    </w:rPr>
  </w:style>
  <w:style w:type="numbering" w:customStyle="1" w:styleId="NoList111">
    <w:name w:val="No List111"/>
    <w:next w:val="NoList"/>
    <w:semiHidden/>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szCs w:val="24"/>
      <w:lang w:eastAsia="de-DE"/>
    </w:rPr>
  </w:style>
  <w:style w:type="paragraph" w:customStyle="1" w:styleId="Sous-titreobjetprliminaire">
    <w:name w:val="Sous-titre objet (préliminaire)"/>
    <w:basedOn w:val="Normal"/>
    <w:pPr>
      <w:spacing w:before="0" w:after="0"/>
      <w:jc w:val="center"/>
    </w:pPr>
    <w:rPr>
      <w:rFonts w:eastAsia="Times New Roman"/>
      <w:b/>
      <w:szCs w:val="24"/>
      <w:lang w:eastAsia="de-DE"/>
    </w:rPr>
  </w:style>
  <w:style w:type="paragraph" w:customStyle="1" w:styleId="Statutprliminaire">
    <w:name w:val="Statut (préliminaire)"/>
    <w:basedOn w:val="Normal"/>
    <w:next w:val="Normal"/>
    <w:pPr>
      <w:spacing w:before="360" w:after="0"/>
      <w:jc w:val="center"/>
    </w:pPr>
    <w:rPr>
      <w:rFonts w:eastAsia="Times New Roman"/>
      <w:szCs w:val="24"/>
      <w:lang w:eastAsia="de-DE"/>
    </w:rPr>
  </w:style>
  <w:style w:type="paragraph" w:customStyle="1" w:styleId="Titreobjetprliminaire">
    <w:name w:val="Titre objet (préliminaire)"/>
    <w:basedOn w:val="Normal"/>
    <w:next w:val="Normal"/>
    <w:pPr>
      <w:spacing w:before="360" w:after="360"/>
      <w:jc w:val="center"/>
    </w:pPr>
    <w:rPr>
      <w:rFonts w:eastAsia="Times New Roman"/>
      <w:b/>
      <w:szCs w:val="24"/>
      <w:lang w:eastAsia="de-DE"/>
    </w:rPr>
  </w:style>
  <w:style w:type="paragraph" w:customStyle="1" w:styleId="Typedudocumentprliminaire">
    <w:name w:val="Type du document (préliminaire)"/>
    <w:basedOn w:val="Normal"/>
    <w:next w:val="Normal"/>
    <w:pPr>
      <w:spacing w:before="360" w:after="0"/>
      <w:jc w:val="center"/>
    </w:pPr>
    <w:rPr>
      <w:rFonts w:eastAsia="Times New Roman"/>
      <w:b/>
      <w:szCs w:val="24"/>
      <w:lang w:eastAsia="de-DE"/>
    </w:rPr>
  </w:style>
  <w:style w:type="paragraph" w:customStyle="1" w:styleId="Fichefinancirestandardtitre">
    <w:name w:val="Fiche financière (standard) titre"/>
    <w:basedOn w:val="Normal"/>
    <w:next w:val="Normal"/>
    <w:pPr>
      <w:jc w:val="center"/>
    </w:pPr>
    <w:rPr>
      <w:rFonts w:eastAsia="Times New Roman"/>
      <w:b/>
      <w:szCs w:val="24"/>
      <w:u w:val="single"/>
      <w:lang w:eastAsia="de-DE"/>
    </w:rPr>
  </w:style>
  <w:style w:type="paragraph" w:customStyle="1" w:styleId="Fichefinancirestandardtitreacte">
    <w:name w:val="Fiche financière (standard) titre (acte)"/>
    <w:basedOn w:val="Normal"/>
    <w:next w:val="Normal"/>
    <w:pPr>
      <w:jc w:val="center"/>
    </w:pPr>
    <w:rPr>
      <w:rFonts w:eastAsia="Times New Roman"/>
      <w:b/>
      <w:szCs w:val="24"/>
      <w:u w:val="single"/>
      <w:lang w:eastAsia="de-DE"/>
    </w:rPr>
  </w:style>
  <w:style w:type="paragraph" w:customStyle="1" w:styleId="Fichefinanciretravailtitre">
    <w:name w:val="Fiche financière (travail) titre"/>
    <w:basedOn w:val="Normal"/>
    <w:next w:val="Normal"/>
    <w:pPr>
      <w:jc w:val="center"/>
    </w:pPr>
    <w:rPr>
      <w:rFonts w:eastAsia="Times New Roman"/>
      <w:b/>
      <w:szCs w:val="24"/>
      <w:u w:val="single"/>
      <w:lang w:eastAsia="de-DE"/>
    </w:rPr>
  </w:style>
  <w:style w:type="paragraph" w:customStyle="1" w:styleId="Fichefinanciretravailtitreacte">
    <w:name w:val="Fiche financière (travail) titre (acte)"/>
    <w:basedOn w:val="Normal"/>
    <w:next w:val="Normal"/>
    <w:pPr>
      <w:jc w:val="center"/>
    </w:pPr>
    <w:rPr>
      <w:rFonts w:eastAsia="Times New Roman"/>
      <w:b/>
      <w:szCs w:val="24"/>
      <w:u w:val="single"/>
      <w:lang w:eastAsia="de-DE"/>
    </w:rPr>
  </w:style>
  <w:style w:type="paragraph" w:customStyle="1" w:styleId="Fichefinancireattributiontitre">
    <w:name w:val="Fiche financière (attribution) titre"/>
    <w:basedOn w:val="Normal"/>
    <w:next w:val="Normal"/>
    <w:pPr>
      <w:jc w:val="center"/>
    </w:pPr>
    <w:rPr>
      <w:rFonts w:eastAsia="Times New Roman"/>
      <w:b/>
      <w:szCs w:val="24"/>
      <w:u w:val="single"/>
      <w:lang w:eastAsia="de-DE"/>
    </w:rPr>
  </w:style>
  <w:style w:type="paragraph" w:customStyle="1" w:styleId="Fichefinancireattributiontitreacte">
    <w:name w:val="Fiche financière (attribution) titre (acte)"/>
    <w:basedOn w:val="Normal"/>
    <w:next w:val="Normal"/>
    <w:pPr>
      <w:jc w:val="center"/>
    </w:pPr>
    <w:rPr>
      <w:rFonts w:eastAsia="Times New Roman"/>
      <w:b/>
      <w:szCs w:val="24"/>
      <w:u w:val="single"/>
      <w:lang w:eastAsia="de-DE"/>
    </w:rPr>
  </w:style>
  <w:style w:type="paragraph" w:customStyle="1" w:styleId="AddressTL">
    <w:name w:val="AddressTL"/>
    <w:basedOn w:val="Normal"/>
    <w:next w:val="Normal"/>
    <w:pPr>
      <w:spacing w:before="0" w:after="720"/>
      <w:jc w:val="left"/>
    </w:pPr>
    <w:rPr>
      <w:rFonts w:eastAsia="Times New Roman"/>
      <w:szCs w:val="20"/>
    </w:rPr>
  </w:style>
  <w:style w:type="paragraph" w:customStyle="1" w:styleId="AddressTR">
    <w:name w:val="AddressTR"/>
    <w:basedOn w:val="Normal"/>
    <w:next w:val="Normal"/>
    <w:pPr>
      <w:spacing w:before="0" w:after="720"/>
      <w:ind w:left="5103"/>
      <w:jc w:val="left"/>
    </w:pPr>
    <w:rPr>
      <w:rFonts w:eastAsia="Times New Roman"/>
      <w:szCs w:val="20"/>
    </w:rPr>
  </w:style>
  <w:style w:type="paragraph" w:styleId="BlockText">
    <w:name w:val="Block Text"/>
    <w:basedOn w:val="Normal"/>
    <w:pPr>
      <w:spacing w:before="0"/>
      <w:ind w:left="1440" w:right="1440"/>
    </w:pPr>
    <w:rPr>
      <w:rFonts w:eastAsia="Times New Roman"/>
      <w:szCs w:val="20"/>
    </w:rPr>
  </w:style>
  <w:style w:type="paragraph" w:styleId="BodyText">
    <w:name w:val="Body Text"/>
    <w:basedOn w:val="Normal"/>
    <w:link w:val="BodyTextChar"/>
    <w:pPr>
      <w:spacing w:before="0"/>
    </w:pPr>
    <w:rPr>
      <w:rFonts w:eastAsia="Times New Roman"/>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lang w:val="fi-FI"/>
    </w:rPr>
  </w:style>
  <w:style w:type="paragraph" w:styleId="BodyText2">
    <w:name w:val="Body Text 2"/>
    <w:basedOn w:val="Normal"/>
    <w:link w:val="BodyText2Char"/>
    <w:pPr>
      <w:spacing w:before="0" w:line="480" w:lineRule="auto"/>
    </w:pPr>
    <w:rPr>
      <w:rFonts w:eastAsia="Times New Roman"/>
      <w:szCs w:val="20"/>
    </w:rPr>
  </w:style>
  <w:style w:type="character" w:customStyle="1" w:styleId="BodyText2Char">
    <w:name w:val="Body Text 2 Char"/>
    <w:basedOn w:val="DefaultParagraphFont"/>
    <w:link w:val="BodyText2"/>
    <w:rPr>
      <w:rFonts w:ascii="Times New Roman" w:eastAsia="Times New Roman" w:hAnsi="Times New Roman" w:cs="Times New Roman"/>
      <w:sz w:val="24"/>
      <w:szCs w:val="20"/>
      <w:lang w:val="fi-FI"/>
    </w:rPr>
  </w:style>
  <w:style w:type="paragraph" w:styleId="BodyText3">
    <w:name w:val="Body Text 3"/>
    <w:basedOn w:val="Normal"/>
    <w:link w:val="BodyText3Char"/>
    <w:pPr>
      <w:spacing w:before="0"/>
    </w:pPr>
    <w:rPr>
      <w:rFonts w:eastAsia="Times New Roman"/>
      <w:sz w:val="16"/>
      <w:szCs w:val="20"/>
    </w:rPr>
  </w:style>
  <w:style w:type="character" w:customStyle="1" w:styleId="BodyText3Char">
    <w:name w:val="Body Text 3 Char"/>
    <w:basedOn w:val="DefaultParagraphFont"/>
    <w:link w:val="BodyText3"/>
    <w:rPr>
      <w:rFonts w:ascii="Times New Roman" w:eastAsia="Times New Roman" w:hAnsi="Times New Roman" w:cs="Times New Roman"/>
      <w:sz w:val="16"/>
      <w:szCs w:val="20"/>
      <w:lang w:val="fi-FI"/>
    </w:rPr>
  </w:style>
  <w:style w:type="paragraph" w:styleId="BodyTextFirstIndent">
    <w:name w:val="Body Text First Indent"/>
    <w:basedOn w:val="BodyText"/>
    <w:link w:val="BodyTextFirstIndentChar"/>
    <w:pPr>
      <w:ind w:firstLine="210"/>
    </w:pPr>
  </w:style>
  <w:style w:type="character" w:customStyle="1" w:styleId="BodyTextFirstIndentChar">
    <w:name w:val="Body Text First Indent Char"/>
    <w:basedOn w:val="BodyTextChar"/>
    <w:link w:val="BodyTextFirstIndent"/>
    <w:rPr>
      <w:rFonts w:ascii="Times New Roman" w:eastAsia="Times New Roman" w:hAnsi="Times New Roman" w:cs="Times New Roman"/>
      <w:sz w:val="24"/>
      <w:szCs w:val="20"/>
      <w:lang w:val="fi-FI"/>
    </w:rPr>
  </w:style>
  <w:style w:type="paragraph" w:styleId="BodyTextIndent">
    <w:name w:val="Body Text Indent"/>
    <w:basedOn w:val="Normal"/>
    <w:link w:val="BodyTextIndentChar"/>
    <w:pPr>
      <w:spacing w:before="0"/>
      <w:ind w:left="283"/>
    </w:pPr>
    <w:rPr>
      <w:rFonts w:eastAsia="Times New Roman"/>
      <w:szCs w:val="20"/>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0"/>
      <w:lang w:val="fi-FI"/>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basedOn w:val="BodyTextIndentChar"/>
    <w:link w:val="BodyTextFirstIndent2"/>
    <w:rPr>
      <w:rFonts w:ascii="Times New Roman" w:eastAsia="Times New Roman" w:hAnsi="Times New Roman" w:cs="Times New Roman"/>
      <w:sz w:val="24"/>
      <w:szCs w:val="20"/>
      <w:lang w:val="fi-FI"/>
    </w:rPr>
  </w:style>
  <w:style w:type="paragraph" w:styleId="BodyTextIndent2">
    <w:name w:val="Body Text Indent 2"/>
    <w:basedOn w:val="Normal"/>
    <w:link w:val="BodyTextIndent2Char"/>
    <w:pPr>
      <w:spacing w:before="0" w:line="480" w:lineRule="auto"/>
      <w:ind w:left="283"/>
    </w:pPr>
    <w:rPr>
      <w:rFonts w:eastAsia="Times New Roman"/>
      <w:szCs w:val="20"/>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lang w:val="fi-FI"/>
    </w:rPr>
  </w:style>
  <w:style w:type="paragraph" w:styleId="BodyTextIndent3">
    <w:name w:val="Body Text Indent 3"/>
    <w:basedOn w:val="Normal"/>
    <w:link w:val="BodyTextIndent3Char"/>
    <w:pPr>
      <w:spacing w:before="0"/>
      <w:ind w:left="283"/>
    </w:pPr>
    <w:rPr>
      <w:rFonts w:eastAsia="Times New Roman"/>
      <w:sz w:val="16"/>
      <w:szCs w:val="20"/>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20"/>
      <w:lang w:val="fi-FI"/>
    </w:rPr>
  </w:style>
  <w:style w:type="paragraph" w:styleId="Closing">
    <w:name w:val="Closing"/>
    <w:basedOn w:val="Normal"/>
    <w:next w:val="Signature"/>
    <w:link w:val="ClosingChar"/>
    <w:pPr>
      <w:tabs>
        <w:tab w:val="left" w:pos="5103"/>
      </w:tabs>
      <w:spacing w:before="240" w:after="240"/>
      <w:ind w:left="5103"/>
      <w:jc w:val="left"/>
    </w:pPr>
    <w:rPr>
      <w:rFonts w:eastAsia="Times New Roman"/>
      <w:szCs w:val="20"/>
    </w:rPr>
  </w:style>
  <w:style w:type="character" w:customStyle="1" w:styleId="ClosingChar">
    <w:name w:val="Closing Char"/>
    <w:basedOn w:val="DefaultParagraphFont"/>
    <w:link w:val="Closing"/>
    <w:rPr>
      <w:rFonts w:ascii="Times New Roman" w:eastAsia="Times New Roman" w:hAnsi="Times New Roman" w:cs="Times New Roman"/>
      <w:sz w:val="24"/>
      <w:szCs w:val="20"/>
      <w:lang w:val="fi-FI"/>
    </w:rPr>
  </w:style>
  <w:style w:type="paragraph" w:styleId="Signature">
    <w:name w:val="Signature"/>
    <w:basedOn w:val="Normal"/>
    <w:next w:val="Contact"/>
    <w:link w:val="SignatureChar"/>
    <w:pPr>
      <w:tabs>
        <w:tab w:val="left" w:pos="5103"/>
      </w:tabs>
      <w:spacing w:before="1200" w:after="0"/>
      <w:ind w:left="5103"/>
      <w:jc w:val="center"/>
    </w:pPr>
    <w:rPr>
      <w:rFonts w:eastAsia="Times New Roman"/>
      <w:szCs w:val="20"/>
    </w:rPr>
  </w:style>
  <w:style w:type="character" w:customStyle="1" w:styleId="SignatureChar">
    <w:name w:val="Signature Char"/>
    <w:basedOn w:val="DefaultParagraphFont"/>
    <w:link w:val="Signature"/>
    <w:rPr>
      <w:rFonts w:ascii="Times New Roman" w:eastAsia="Times New Roman" w:hAnsi="Times New Roman" w:cs="Times New Roman"/>
      <w:sz w:val="24"/>
      <w:szCs w:val="20"/>
      <w:lang w:val="fi-FI"/>
    </w:rPr>
  </w:style>
  <w:style w:type="paragraph" w:customStyle="1" w:styleId="Enclosures">
    <w:name w:val="Enclosures"/>
    <w:basedOn w:val="Normal"/>
    <w:next w:val="Participants"/>
    <w:pPr>
      <w:keepNext/>
      <w:keepLines/>
      <w:tabs>
        <w:tab w:val="left" w:pos="5670"/>
      </w:tabs>
      <w:spacing w:before="480" w:after="0"/>
      <w:ind w:left="1985" w:hanging="1985"/>
      <w:jc w:val="left"/>
    </w:pPr>
    <w:rPr>
      <w:rFonts w:eastAsia="Times New Roman"/>
      <w:szCs w:val="20"/>
    </w:r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rPr>
      <w:rFonts w:eastAsia="Times New Roman"/>
      <w:szCs w:val="20"/>
    </w:r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rPr>
      <w:rFonts w:eastAsia="Times New Roman"/>
      <w:szCs w:val="20"/>
    </w:rPr>
  </w:style>
  <w:style w:type="paragraph" w:styleId="DocumentMap">
    <w:name w:val="Document Map"/>
    <w:basedOn w:val="Normal"/>
    <w:link w:val="DocumentMapChar"/>
    <w:semiHidden/>
    <w:pPr>
      <w:shd w:val="clear" w:color="auto" w:fill="000080"/>
      <w:spacing w:before="0" w:after="240"/>
    </w:pPr>
    <w:rPr>
      <w:rFonts w:ascii="Tahoma" w:eastAsia="Times New Roman" w:hAnsi="Tahoma"/>
      <w:szCs w:val="20"/>
    </w:rPr>
  </w:style>
  <w:style w:type="character" w:customStyle="1" w:styleId="DocumentMapChar">
    <w:name w:val="Document Map Char"/>
    <w:basedOn w:val="DefaultParagraphFont"/>
    <w:link w:val="DocumentMap"/>
    <w:semiHidden/>
    <w:rPr>
      <w:rFonts w:ascii="Tahoma" w:eastAsia="Times New Roman" w:hAnsi="Tahoma" w:cs="Times New Roman"/>
      <w:sz w:val="24"/>
      <w:szCs w:val="20"/>
      <w:shd w:val="clear" w:color="auto" w:fill="000080"/>
      <w:lang w:val="fi-FI"/>
    </w:rPr>
  </w:style>
  <w:style w:type="paragraph" w:customStyle="1" w:styleId="DoubSign">
    <w:name w:val="DoubSign"/>
    <w:basedOn w:val="Normal"/>
    <w:next w:val="Contact"/>
    <w:pPr>
      <w:tabs>
        <w:tab w:val="left" w:pos="5103"/>
      </w:tabs>
      <w:spacing w:before="1200" w:after="0"/>
      <w:jc w:val="left"/>
    </w:pPr>
    <w:rPr>
      <w:rFonts w:eastAsia="Times New Roman"/>
      <w:szCs w:val="20"/>
    </w:rPr>
  </w:style>
  <w:style w:type="paragraph" w:styleId="EnvelopeAddress">
    <w:name w:val="envelope address"/>
    <w:basedOn w:val="Normal"/>
    <w:pPr>
      <w:framePr w:w="7920" w:h="1980" w:hRule="exact" w:hSpace="180" w:wrap="auto" w:hAnchor="page" w:xAlign="center" w:yAlign="bottom"/>
      <w:spacing w:before="0" w:after="0"/>
    </w:pPr>
    <w:rPr>
      <w:rFonts w:eastAsia="Times New Roman"/>
      <w:szCs w:val="20"/>
    </w:rPr>
  </w:style>
  <w:style w:type="paragraph" w:styleId="EnvelopeReturn">
    <w:name w:val="envelope return"/>
    <w:basedOn w:val="Normal"/>
    <w:pPr>
      <w:spacing w:before="0" w:after="0"/>
    </w:pPr>
    <w:rPr>
      <w:rFonts w:eastAsia="Times New Roman"/>
      <w:sz w:val="20"/>
      <w:szCs w:val="20"/>
    </w:rPr>
  </w:style>
  <w:style w:type="paragraph" w:styleId="Index1">
    <w:name w:val="index 1"/>
    <w:basedOn w:val="Normal"/>
    <w:next w:val="Normal"/>
    <w:autoRedefine/>
    <w:semiHidden/>
    <w:pPr>
      <w:spacing w:before="0" w:after="240"/>
      <w:ind w:left="240" w:hanging="240"/>
    </w:pPr>
    <w:rPr>
      <w:rFonts w:eastAsia="Times New Roman"/>
      <w:szCs w:val="20"/>
    </w:rPr>
  </w:style>
  <w:style w:type="paragraph" w:styleId="Index2">
    <w:name w:val="index 2"/>
    <w:basedOn w:val="Normal"/>
    <w:next w:val="Normal"/>
    <w:autoRedefine/>
    <w:semiHidden/>
    <w:pPr>
      <w:spacing w:before="0" w:after="240"/>
      <w:ind w:left="480" w:hanging="240"/>
    </w:pPr>
    <w:rPr>
      <w:rFonts w:eastAsia="Times New Roman"/>
      <w:szCs w:val="20"/>
    </w:rPr>
  </w:style>
  <w:style w:type="paragraph" w:styleId="Index3">
    <w:name w:val="index 3"/>
    <w:basedOn w:val="Normal"/>
    <w:next w:val="Normal"/>
    <w:autoRedefine/>
    <w:semiHidden/>
    <w:pPr>
      <w:spacing w:before="0" w:after="240"/>
      <w:ind w:left="720" w:hanging="240"/>
    </w:pPr>
    <w:rPr>
      <w:rFonts w:eastAsia="Times New Roman"/>
      <w:szCs w:val="20"/>
    </w:rPr>
  </w:style>
  <w:style w:type="paragraph" w:styleId="Index4">
    <w:name w:val="index 4"/>
    <w:basedOn w:val="Normal"/>
    <w:next w:val="Normal"/>
    <w:autoRedefine/>
    <w:semiHidden/>
    <w:pPr>
      <w:spacing w:before="0" w:after="240"/>
      <w:ind w:left="960" w:hanging="240"/>
    </w:pPr>
    <w:rPr>
      <w:rFonts w:eastAsia="Times New Roman"/>
      <w:szCs w:val="20"/>
    </w:rPr>
  </w:style>
  <w:style w:type="paragraph" w:styleId="Index5">
    <w:name w:val="index 5"/>
    <w:basedOn w:val="Normal"/>
    <w:next w:val="Normal"/>
    <w:autoRedefine/>
    <w:semiHidden/>
    <w:pPr>
      <w:spacing w:before="0" w:after="240"/>
      <w:ind w:left="1200" w:hanging="240"/>
    </w:pPr>
    <w:rPr>
      <w:rFonts w:eastAsia="Times New Roman"/>
      <w:szCs w:val="20"/>
    </w:rPr>
  </w:style>
  <w:style w:type="paragraph" w:styleId="Index6">
    <w:name w:val="index 6"/>
    <w:basedOn w:val="Normal"/>
    <w:next w:val="Normal"/>
    <w:autoRedefine/>
    <w:semiHidden/>
    <w:pPr>
      <w:spacing w:before="0" w:after="240"/>
      <w:ind w:left="1440" w:hanging="240"/>
    </w:pPr>
    <w:rPr>
      <w:rFonts w:eastAsia="Times New Roman"/>
      <w:szCs w:val="20"/>
    </w:rPr>
  </w:style>
  <w:style w:type="paragraph" w:styleId="Index7">
    <w:name w:val="index 7"/>
    <w:basedOn w:val="Normal"/>
    <w:next w:val="Normal"/>
    <w:autoRedefine/>
    <w:semiHidden/>
    <w:pPr>
      <w:spacing w:before="0" w:after="240"/>
      <w:ind w:left="1680" w:hanging="240"/>
    </w:pPr>
    <w:rPr>
      <w:rFonts w:eastAsia="Times New Roman"/>
      <w:szCs w:val="20"/>
    </w:rPr>
  </w:style>
  <w:style w:type="paragraph" w:styleId="Index8">
    <w:name w:val="index 8"/>
    <w:basedOn w:val="Normal"/>
    <w:next w:val="Normal"/>
    <w:autoRedefine/>
    <w:semiHidden/>
    <w:pPr>
      <w:spacing w:before="0" w:after="240"/>
      <w:ind w:left="1920" w:hanging="240"/>
    </w:pPr>
    <w:rPr>
      <w:rFonts w:eastAsia="Times New Roman"/>
      <w:szCs w:val="20"/>
    </w:rPr>
  </w:style>
  <w:style w:type="paragraph" w:styleId="Index9">
    <w:name w:val="index 9"/>
    <w:basedOn w:val="Normal"/>
    <w:next w:val="Normal"/>
    <w:autoRedefine/>
    <w:semiHidden/>
    <w:pPr>
      <w:spacing w:before="0" w:after="240"/>
      <w:ind w:left="2160" w:hanging="240"/>
    </w:pPr>
    <w:rPr>
      <w:rFonts w:eastAsia="Times New Roman"/>
      <w:szCs w:val="20"/>
    </w:rPr>
  </w:style>
  <w:style w:type="paragraph" w:styleId="IndexHeading">
    <w:name w:val="index heading"/>
    <w:basedOn w:val="Normal"/>
    <w:next w:val="Index1"/>
    <w:semiHidden/>
    <w:pPr>
      <w:spacing w:before="0" w:after="240"/>
    </w:pPr>
    <w:rPr>
      <w:rFonts w:ascii="Arial" w:eastAsia="Times New Roman" w:hAnsi="Arial"/>
      <w:b/>
      <w:szCs w:val="20"/>
    </w:rPr>
  </w:style>
  <w:style w:type="paragraph" w:styleId="List">
    <w:name w:val="List"/>
    <w:basedOn w:val="Normal"/>
    <w:pPr>
      <w:spacing w:before="0" w:after="240"/>
      <w:ind w:left="283" w:hanging="283"/>
    </w:pPr>
    <w:rPr>
      <w:rFonts w:eastAsia="Times New Roman"/>
      <w:szCs w:val="20"/>
    </w:rPr>
  </w:style>
  <w:style w:type="paragraph" w:styleId="List2">
    <w:name w:val="List 2"/>
    <w:basedOn w:val="Normal"/>
    <w:pPr>
      <w:spacing w:before="0" w:after="240"/>
      <w:ind w:left="566" w:hanging="283"/>
    </w:pPr>
    <w:rPr>
      <w:rFonts w:eastAsia="Times New Roman"/>
      <w:szCs w:val="20"/>
    </w:rPr>
  </w:style>
  <w:style w:type="paragraph" w:styleId="List3">
    <w:name w:val="List 3"/>
    <w:basedOn w:val="Normal"/>
    <w:pPr>
      <w:spacing w:before="0" w:after="240"/>
      <w:ind w:left="849" w:hanging="283"/>
    </w:pPr>
    <w:rPr>
      <w:rFonts w:eastAsia="Times New Roman"/>
      <w:szCs w:val="20"/>
    </w:rPr>
  </w:style>
  <w:style w:type="paragraph" w:styleId="List4">
    <w:name w:val="List 4"/>
    <w:basedOn w:val="Normal"/>
    <w:pPr>
      <w:spacing w:before="0" w:after="240"/>
      <w:ind w:left="1132" w:hanging="283"/>
    </w:pPr>
    <w:rPr>
      <w:rFonts w:eastAsia="Times New Roman"/>
      <w:szCs w:val="20"/>
    </w:rPr>
  </w:style>
  <w:style w:type="paragraph" w:styleId="List5">
    <w:name w:val="List 5"/>
    <w:basedOn w:val="Normal"/>
    <w:pPr>
      <w:spacing w:before="0" w:after="240"/>
      <w:ind w:left="1415" w:hanging="283"/>
    </w:pPr>
    <w:rPr>
      <w:rFonts w:eastAsia="Times New Roman"/>
      <w:szCs w:val="20"/>
    </w:rPr>
  </w:style>
  <w:style w:type="paragraph" w:styleId="ListBullet5">
    <w:name w:val="List Bullet 5"/>
    <w:basedOn w:val="Normal"/>
    <w:autoRedefine/>
    <w:pPr>
      <w:numPr>
        <w:numId w:val="6"/>
      </w:numPr>
      <w:spacing w:before="0" w:after="240"/>
    </w:pPr>
    <w:rPr>
      <w:rFonts w:eastAsia="Times New Roman"/>
      <w:szCs w:val="20"/>
    </w:rPr>
  </w:style>
  <w:style w:type="paragraph" w:styleId="ListContinue">
    <w:name w:val="List Continue"/>
    <w:basedOn w:val="Normal"/>
    <w:pPr>
      <w:spacing w:before="0"/>
      <w:ind w:left="283"/>
    </w:pPr>
    <w:rPr>
      <w:rFonts w:eastAsia="Times New Roman"/>
      <w:szCs w:val="20"/>
    </w:rPr>
  </w:style>
  <w:style w:type="paragraph" w:styleId="ListContinue2">
    <w:name w:val="List Continue 2"/>
    <w:basedOn w:val="Normal"/>
    <w:pPr>
      <w:spacing w:before="0"/>
      <w:ind w:left="566"/>
    </w:pPr>
    <w:rPr>
      <w:rFonts w:eastAsia="Times New Roman"/>
      <w:szCs w:val="20"/>
    </w:rPr>
  </w:style>
  <w:style w:type="paragraph" w:styleId="ListContinue3">
    <w:name w:val="List Continue 3"/>
    <w:basedOn w:val="Normal"/>
    <w:pPr>
      <w:spacing w:before="0"/>
      <w:ind w:left="849"/>
    </w:pPr>
    <w:rPr>
      <w:rFonts w:eastAsia="Times New Roman"/>
      <w:szCs w:val="20"/>
    </w:rPr>
  </w:style>
  <w:style w:type="paragraph" w:styleId="ListContinue4">
    <w:name w:val="List Continue 4"/>
    <w:basedOn w:val="Normal"/>
    <w:pPr>
      <w:spacing w:before="0"/>
      <w:ind w:left="1132"/>
    </w:pPr>
    <w:rPr>
      <w:rFonts w:eastAsia="Times New Roman"/>
      <w:szCs w:val="20"/>
    </w:rPr>
  </w:style>
  <w:style w:type="paragraph" w:styleId="ListContinue5">
    <w:name w:val="List Continue 5"/>
    <w:basedOn w:val="Normal"/>
    <w:pPr>
      <w:spacing w:before="0"/>
      <w:ind w:left="1415"/>
    </w:pPr>
    <w:rPr>
      <w:rFonts w:eastAsia="Times New Roman"/>
      <w:szCs w:val="20"/>
    </w:rPr>
  </w:style>
  <w:style w:type="paragraph" w:styleId="ListNumber5">
    <w:name w:val="List Number 5"/>
    <w:basedOn w:val="Normal"/>
    <w:pPr>
      <w:numPr>
        <w:numId w:val="7"/>
      </w:numPr>
      <w:spacing w:before="0" w:after="240"/>
    </w:pPr>
    <w:rPr>
      <w:rFonts w:eastAsia="Times New Roman"/>
      <w:szCs w:val="20"/>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basedOn w:val="DefaultParagraphFont"/>
    <w:link w:val="MacroText"/>
    <w:semiHidden/>
    <w:rPr>
      <w:rFonts w:ascii="Courier New" w:eastAsia="Times New Roman" w:hAnsi="Courier New" w:cs="Times New Roman"/>
      <w:sz w:val="20"/>
      <w:szCs w:val="20"/>
      <w:lang w:val="fi-FI"/>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before="0" w:after="240"/>
      <w:ind w:left="1134" w:hanging="1134"/>
    </w:pPr>
    <w:rPr>
      <w:rFonts w:ascii="Arial" w:eastAsia="Times New Roman" w:hAnsi="Arial"/>
      <w:szCs w:val="20"/>
    </w:rPr>
  </w:style>
  <w:style w:type="character" w:customStyle="1" w:styleId="MessageHeaderChar">
    <w:name w:val="Message Header Char"/>
    <w:basedOn w:val="DefaultParagraphFont"/>
    <w:link w:val="MessageHeader"/>
    <w:rPr>
      <w:rFonts w:ascii="Arial" w:eastAsia="Times New Roman" w:hAnsi="Arial" w:cs="Times New Roman"/>
      <w:sz w:val="24"/>
      <w:szCs w:val="20"/>
      <w:shd w:val="pct20" w:color="auto" w:fill="auto"/>
      <w:lang w:val="fi-FI"/>
    </w:rPr>
  </w:style>
  <w:style w:type="paragraph" w:styleId="NormalIndent">
    <w:name w:val="Normal Indent"/>
    <w:basedOn w:val="Normal"/>
    <w:pPr>
      <w:spacing w:before="0" w:after="240"/>
      <w:ind w:left="720"/>
    </w:pPr>
    <w:rPr>
      <w:rFonts w:eastAsia="Times New Roman"/>
      <w:szCs w:val="20"/>
    </w:rPr>
  </w:style>
  <w:style w:type="paragraph" w:styleId="NoteHeading">
    <w:name w:val="Note Heading"/>
    <w:basedOn w:val="Normal"/>
    <w:next w:val="Normal"/>
    <w:link w:val="NoteHeadingChar"/>
    <w:pPr>
      <w:spacing w:before="0" w:after="240"/>
    </w:pPr>
    <w:rPr>
      <w:rFonts w:eastAsia="Times New Roman"/>
      <w:szCs w:val="20"/>
    </w:rPr>
  </w:style>
  <w:style w:type="character" w:customStyle="1" w:styleId="NoteHeadingChar">
    <w:name w:val="Note Heading Char"/>
    <w:basedOn w:val="DefaultParagraphFont"/>
    <w:link w:val="NoteHeading"/>
    <w:rPr>
      <w:rFonts w:ascii="Times New Roman" w:eastAsia="Times New Roman" w:hAnsi="Times New Roman" w:cs="Times New Roman"/>
      <w:sz w:val="24"/>
      <w:szCs w:val="20"/>
      <w:lang w:val="fi-FI"/>
    </w:rPr>
  </w:style>
  <w:style w:type="paragraph" w:customStyle="1" w:styleId="NoteHead">
    <w:name w:val="NoteHead"/>
    <w:basedOn w:val="Normal"/>
    <w:next w:val="Subject"/>
    <w:pPr>
      <w:spacing w:before="720" w:after="720"/>
      <w:jc w:val="center"/>
    </w:pPr>
    <w:rPr>
      <w:rFonts w:eastAsia="Times New Roman"/>
      <w:b/>
      <w:smallCaps/>
      <w:szCs w:val="20"/>
    </w:rPr>
  </w:style>
  <w:style w:type="paragraph" w:customStyle="1" w:styleId="Subject">
    <w:name w:val="Subject"/>
    <w:basedOn w:val="Normal"/>
    <w:next w:val="Normal"/>
    <w:pPr>
      <w:spacing w:before="0" w:after="480"/>
      <w:ind w:left="1531" w:hanging="1531"/>
      <w:jc w:val="left"/>
    </w:pPr>
    <w:rPr>
      <w:rFonts w:eastAsia="Times New Roman"/>
      <w:b/>
      <w:szCs w:val="20"/>
    </w:rPr>
  </w:style>
  <w:style w:type="paragraph" w:customStyle="1" w:styleId="NoteList">
    <w:name w:val="NoteList"/>
    <w:basedOn w:val="Normal"/>
    <w:next w:val="Subject"/>
    <w:pPr>
      <w:tabs>
        <w:tab w:val="left" w:pos="5823"/>
      </w:tabs>
      <w:spacing w:before="720" w:after="720"/>
      <w:ind w:left="5104" w:hanging="3119"/>
      <w:jc w:val="left"/>
    </w:pPr>
    <w:rPr>
      <w:rFonts w:eastAsia="Times New Roman"/>
      <w:b/>
      <w:smallCaps/>
      <w:szCs w:val="20"/>
    </w:rPr>
  </w:style>
  <w:style w:type="paragraph" w:styleId="PlainText">
    <w:name w:val="Plain Text"/>
    <w:basedOn w:val="Normal"/>
    <w:link w:val="PlainTextChar"/>
    <w:pPr>
      <w:spacing w:before="0" w:after="240"/>
    </w:pPr>
    <w:rPr>
      <w:rFonts w:ascii="Courier New" w:eastAsia="Times New Roman" w:hAnsi="Courier New"/>
      <w:sz w:val="20"/>
      <w:szCs w:val="20"/>
    </w:rPr>
  </w:style>
  <w:style w:type="character" w:customStyle="1" w:styleId="PlainTextChar">
    <w:name w:val="Plain Text Char"/>
    <w:basedOn w:val="DefaultParagraphFont"/>
    <w:link w:val="PlainText"/>
    <w:rPr>
      <w:rFonts w:ascii="Courier New" w:eastAsia="Times New Roman" w:hAnsi="Courier New" w:cs="Times New Roman"/>
      <w:sz w:val="20"/>
      <w:szCs w:val="20"/>
      <w:lang w:val="fi-FI"/>
    </w:rPr>
  </w:style>
  <w:style w:type="paragraph" w:styleId="Salutation">
    <w:name w:val="Salutation"/>
    <w:basedOn w:val="Normal"/>
    <w:next w:val="Normal"/>
    <w:link w:val="SalutationChar"/>
    <w:pPr>
      <w:spacing w:before="0" w:after="240"/>
    </w:pPr>
    <w:rPr>
      <w:rFonts w:eastAsia="Times New Roman"/>
      <w:szCs w:val="20"/>
    </w:rPr>
  </w:style>
  <w:style w:type="character" w:customStyle="1" w:styleId="SalutationChar">
    <w:name w:val="Salutation Char"/>
    <w:basedOn w:val="DefaultParagraphFont"/>
    <w:link w:val="Salutation"/>
    <w:rPr>
      <w:rFonts w:ascii="Times New Roman" w:eastAsia="Times New Roman" w:hAnsi="Times New Roman" w:cs="Times New Roman"/>
      <w:sz w:val="24"/>
      <w:szCs w:val="20"/>
      <w:lang w:val="fi-FI"/>
    </w:rPr>
  </w:style>
  <w:style w:type="paragraph" w:styleId="Subtitle">
    <w:name w:val="Subtitle"/>
    <w:basedOn w:val="Normal"/>
    <w:link w:val="SubtitleChar"/>
    <w:qFormat/>
    <w:pPr>
      <w:spacing w:before="0" w:after="60"/>
      <w:jc w:val="center"/>
      <w:outlineLvl w:val="1"/>
    </w:pPr>
    <w:rPr>
      <w:rFonts w:ascii="Arial" w:eastAsia="Times New Roman" w:hAnsi="Arial"/>
      <w:szCs w:val="20"/>
    </w:rPr>
  </w:style>
  <w:style w:type="character" w:customStyle="1" w:styleId="SubtitleChar">
    <w:name w:val="Subtitle Char"/>
    <w:basedOn w:val="DefaultParagraphFont"/>
    <w:link w:val="Subtitle"/>
    <w:rPr>
      <w:rFonts w:ascii="Arial" w:eastAsia="Times New Roman" w:hAnsi="Arial" w:cs="Times New Roman"/>
      <w:sz w:val="24"/>
      <w:szCs w:val="20"/>
      <w:lang w:val="fi-FI"/>
    </w:rPr>
  </w:style>
  <w:style w:type="paragraph" w:styleId="TableofAuthorities">
    <w:name w:val="table of authorities"/>
    <w:basedOn w:val="Normal"/>
    <w:next w:val="Normal"/>
    <w:semiHidden/>
    <w:pPr>
      <w:spacing w:before="0" w:after="240"/>
      <w:ind w:left="240" w:hanging="240"/>
    </w:pPr>
    <w:rPr>
      <w:rFonts w:eastAsia="Times New Roman"/>
      <w:szCs w:val="20"/>
    </w:rPr>
  </w:style>
  <w:style w:type="paragraph" w:styleId="TableofFigures">
    <w:name w:val="table of figures"/>
    <w:basedOn w:val="Normal"/>
    <w:next w:val="Normal"/>
    <w:semiHidden/>
    <w:pPr>
      <w:spacing w:before="0" w:after="240"/>
      <w:ind w:left="480" w:hanging="480"/>
    </w:pPr>
    <w:rPr>
      <w:rFonts w:eastAsia="Times New Roman"/>
      <w:szCs w:val="20"/>
    </w:rPr>
  </w:style>
  <w:style w:type="paragraph" w:styleId="Title">
    <w:name w:val="Title"/>
    <w:basedOn w:val="Normal"/>
    <w:link w:val="TitleChar"/>
    <w:qFormat/>
    <w:pPr>
      <w:spacing w:before="240" w:after="60"/>
      <w:jc w:val="center"/>
      <w:outlineLvl w:val="0"/>
    </w:pPr>
    <w:rPr>
      <w:rFonts w:ascii="Arial" w:eastAsia="Times New Roman" w:hAnsi="Arial"/>
      <w:b/>
      <w:kern w:val="28"/>
      <w:sz w:val="32"/>
      <w:szCs w:val="20"/>
    </w:rPr>
  </w:style>
  <w:style w:type="character" w:customStyle="1" w:styleId="TitleChar">
    <w:name w:val="Title Char"/>
    <w:basedOn w:val="DefaultParagraphFont"/>
    <w:link w:val="Title"/>
    <w:rPr>
      <w:rFonts w:ascii="Arial" w:eastAsia="Times New Roman" w:hAnsi="Arial" w:cs="Times New Roman"/>
      <w:b/>
      <w:kern w:val="28"/>
      <w:sz w:val="32"/>
      <w:szCs w:val="20"/>
      <w:lang w:val="fi-FI"/>
    </w:rPr>
  </w:style>
  <w:style w:type="paragraph" w:customStyle="1" w:styleId="YReferences">
    <w:name w:val="YReferences"/>
    <w:basedOn w:val="Normal"/>
    <w:next w:val="Normal"/>
    <w:pPr>
      <w:spacing w:before="0" w:after="480"/>
      <w:ind w:left="1531" w:hanging="1531"/>
    </w:pPr>
    <w:rPr>
      <w:rFonts w:eastAsia="Times New Roman"/>
      <w:szCs w:val="20"/>
    </w:rPr>
  </w:style>
  <w:style w:type="paragraph" w:customStyle="1" w:styleId="DisclaimerNotice">
    <w:name w:val="Disclaimer Notice"/>
    <w:basedOn w:val="Normal"/>
    <w:next w:val="AddressTR"/>
    <w:pPr>
      <w:spacing w:before="0" w:after="240"/>
      <w:ind w:left="5103"/>
      <w:jc w:val="left"/>
    </w:pPr>
    <w:rPr>
      <w:rFonts w:eastAsia="Times New Roman"/>
      <w:i/>
      <w:sz w:val="20"/>
      <w:szCs w:val="20"/>
    </w:rPr>
  </w:style>
  <w:style w:type="paragraph" w:customStyle="1" w:styleId="DisclaimerSJ">
    <w:name w:val="Disclaimer_SJ"/>
    <w:basedOn w:val="Normal"/>
    <w:next w:val="Normal"/>
    <w:pPr>
      <w:spacing w:before="0" w:after="0"/>
    </w:pPr>
    <w:rPr>
      <w:rFonts w:ascii="Arial" w:eastAsia="Times New Roman" w:hAnsi="Arial"/>
      <w:b/>
      <w:sz w:val="16"/>
      <w:szCs w:val="20"/>
    </w:rPr>
  </w:style>
  <w:style w:type="table" w:customStyle="1" w:styleId="TableGrid1">
    <w:name w:val="Table Grid1"/>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mailSignature">
    <w:name w:val="E-mail Signature"/>
    <w:basedOn w:val="Normal"/>
    <w:link w:val="E-mailSignatureChar"/>
    <w:rPr>
      <w:rFonts w:eastAsia="Times New Roman"/>
      <w:szCs w:val="24"/>
      <w:lang w:eastAsia="en-GB"/>
    </w:rPr>
  </w:style>
  <w:style w:type="character" w:customStyle="1" w:styleId="E-mailSignatureChar">
    <w:name w:val="E-mail Signature Char"/>
    <w:basedOn w:val="DefaultParagraphFont"/>
    <w:link w:val="E-mailSignature"/>
    <w:rPr>
      <w:rFonts w:ascii="Times New Roman" w:eastAsia="Times New Roman" w:hAnsi="Times New Roman" w:cs="Times New Roman"/>
      <w:sz w:val="24"/>
      <w:szCs w:val="24"/>
      <w:lang w:val="fi-FI" w:eastAsia="en-GB"/>
    </w:rPr>
  </w:style>
  <w:style w:type="character" w:styleId="Emphasis">
    <w:name w:val="Emphasis"/>
    <w:basedOn w:val="DefaultParagraphFont"/>
    <w:qFormat/>
    <w:rPr>
      <w:rFonts w:cs="Times New Roman"/>
      <w:i/>
      <w:iCs/>
    </w:rPr>
  </w:style>
  <w:style w:type="character" w:styleId="HTMLAcronym">
    <w:name w:val="HTML Acronym"/>
    <w:basedOn w:val="DefaultParagraphFont"/>
    <w:rPr>
      <w:rFonts w:cs="Times New Roman"/>
    </w:rPr>
  </w:style>
  <w:style w:type="paragraph" w:styleId="HTMLAddress">
    <w:name w:val="HTML Address"/>
    <w:basedOn w:val="Normal"/>
    <w:link w:val="HTMLAddressChar"/>
    <w:rPr>
      <w:rFonts w:eastAsia="Times New Roman"/>
      <w:i/>
      <w:iCs/>
      <w:szCs w:val="24"/>
      <w:lang w:eastAsia="en-GB"/>
    </w:rPr>
  </w:style>
  <w:style w:type="character" w:customStyle="1" w:styleId="HTMLAddressChar">
    <w:name w:val="HTML Address Char"/>
    <w:basedOn w:val="DefaultParagraphFont"/>
    <w:link w:val="HTMLAddress"/>
    <w:rPr>
      <w:rFonts w:ascii="Times New Roman" w:eastAsia="Times New Roman" w:hAnsi="Times New Roman" w:cs="Times New Roman"/>
      <w:i/>
      <w:iCs/>
      <w:sz w:val="24"/>
      <w:szCs w:val="24"/>
      <w:lang w:val="fi-FI" w:eastAsia="en-GB"/>
    </w:rPr>
  </w:style>
  <w:style w:type="character" w:styleId="HTMLCite">
    <w:name w:val="HTML Cite"/>
    <w:basedOn w:val="DefaultParagraphFont"/>
    <w:rPr>
      <w:rFonts w:cs="Times New Roman"/>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rFonts w:cs="Times New Roman"/>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link w:val="HTMLPreformattedChar"/>
    <w:rPr>
      <w:rFonts w:ascii="Courier New" w:eastAsia="Times New Roman" w:hAnsi="Courier New" w:cs="Courier New"/>
      <w:sz w:val="20"/>
      <w:szCs w:val="24"/>
      <w:lang w:eastAsia="en-GB"/>
    </w:rPr>
  </w:style>
  <w:style w:type="character" w:customStyle="1" w:styleId="HTMLPreformattedChar">
    <w:name w:val="HTML Preformatted Char"/>
    <w:basedOn w:val="DefaultParagraphFont"/>
    <w:link w:val="HTMLPreformatted"/>
    <w:rPr>
      <w:rFonts w:ascii="Courier New" w:eastAsia="Times New Roman" w:hAnsi="Courier New" w:cs="Courier New"/>
      <w:sz w:val="20"/>
      <w:szCs w:val="24"/>
      <w:lang w:val="fi-FI" w:eastAsia="en-GB"/>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rFonts w:cs="Times New Roman"/>
      <w:i/>
      <w:iCs/>
    </w:rPr>
  </w:style>
  <w:style w:type="character" w:styleId="LineNumber">
    <w:name w:val="line number"/>
    <w:basedOn w:val="DefaultParagraphFont"/>
    <w:rPr>
      <w:rFonts w:cs="Times New Roman"/>
    </w:rPr>
  </w:style>
  <w:style w:type="paragraph" w:styleId="NormalWeb">
    <w:name w:val="Normal (Web)"/>
    <w:basedOn w:val="Normal"/>
    <w:rPr>
      <w:rFonts w:eastAsia="Times New Roman"/>
      <w:szCs w:val="24"/>
      <w:lang w:eastAsia="en-GB"/>
    </w:rPr>
  </w:style>
  <w:style w:type="table" w:styleId="Table3Deffects1">
    <w:name w:val="Table 3D effects 1"/>
    <w:basedOn w:val="TableNormal"/>
    <w:pPr>
      <w:spacing w:before="120" w:after="120" w:line="240" w:lineRule="auto"/>
      <w:jc w:val="both"/>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line="240" w:lineRule="auto"/>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line="240" w:lineRule="auto"/>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line="240" w:lineRule="auto"/>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line="240" w:lineRule="auto"/>
      <w:jc w:val="both"/>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line="240" w:lineRule="auto"/>
      <w:jc w:val="both"/>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pPr>
      <w:spacing w:before="120" w:after="120" w:line="240" w:lineRule="auto"/>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pPr>
      <w:spacing w:before="120" w:after="120" w:line="240" w:lineRule="auto"/>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pPr>
      <w:spacing w:before="120" w:after="120" w:line="240" w:lineRule="auto"/>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pPr>
      <w:spacing w:before="120" w:after="120" w:line="240" w:lineRule="auto"/>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line="240" w:lineRule="auto"/>
      <w:jc w:val="both"/>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line="240" w:lineRule="auto"/>
      <w:jc w:val="both"/>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pPr>
      <w:spacing w:before="120" w:after="120" w:line="240" w:lineRule="auto"/>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w4winError">
    <w:name w:val="tw4winError"/>
    <w:rPr>
      <w:color w:val="00FF00"/>
      <w:sz w:val="4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tw4winJump">
    <w:name w:val="tw4winJump"/>
    <w:rPr>
      <w:noProof/>
      <w:color w:val="008080"/>
    </w:rPr>
  </w:style>
  <w:style w:type="character" w:customStyle="1" w:styleId="tw4winMark">
    <w:name w:val="tw4winMark"/>
    <w:rPr>
      <w:rFonts w:ascii="Times New Roman" w:hAnsi="Times New Roman"/>
      <w:vanish/>
      <w:color w:val="800080"/>
      <w:sz w:val="24"/>
      <w:vertAlign w:val="subscript"/>
    </w:rPr>
  </w:style>
  <w:style w:type="character" w:customStyle="1" w:styleId="tw4winPopup">
    <w:name w:val="tw4winPopup"/>
    <w:rPr>
      <w:noProof/>
      <w:color w:val="008000"/>
    </w:rPr>
  </w:style>
  <w:style w:type="character" w:customStyle="1" w:styleId="tw4winTerm">
    <w:name w:val="tw4winTerm"/>
    <w:rPr>
      <w:color w:val="0000FF"/>
    </w:rPr>
  </w:style>
  <w:style w:type="paragraph" w:customStyle="1" w:styleId="S3">
    <w:name w:val="S3"/>
    <w:basedOn w:val="Normal"/>
    <w:next w:val="Normal"/>
    <w:pPr>
      <w:jc w:val="center"/>
    </w:pPr>
    <w:rPr>
      <w:rFonts w:eastAsia="Times New Roman"/>
      <w:b/>
      <w:szCs w:val="20"/>
      <w:u w:val="single"/>
      <w:lang w:eastAsia="ko-KR"/>
    </w:rPr>
  </w:style>
  <w:style w:type="paragraph" w:customStyle="1" w:styleId="S4">
    <w:name w:val="S4"/>
    <w:basedOn w:val="Normal"/>
    <w:next w:val="Normal"/>
    <w:pPr>
      <w:jc w:val="center"/>
    </w:pPr>
    <w:rPr>
      <w:rFonts w:eastAsia="Times New Roman"/>
      <w:b/>
      <w:szCs w:val="20"/>
      <w:u w:val="single"/>
      <w:lang w:eastAsia="ko-KR"/>
    </w:rPr>
  </w:style>
  <w:style w:type="paragraph" w:customStyle="1" w:styleId="S9">
    <w:name w:val="S9"/>
    <w:basedOn w:val="Normal"/>
    <w:next w:val="Normal"/>
    <w:pPr>
      <w:keepNext/>
      <w:spacing w:after="360"/>
      <w:jc w:val="center"/>
    </w:pPr>
    <w:rPr>
      <w:rFonts w:eastAsia="Times New Roman"/>
      <w:b/>
      <w:sz w:val="32"/>
      <w:szCs w:val="20"/>
      <w:lang w:eastAsia="ko-KR"/>
    </w:rPr>
  </w:style>
  <w:style w:type="paragraph" w:customStyle="1" w:styleId="S2">
    <w:name w:val="S2"/>
    <w:basedOn w:val="Normal"/>
    <w:next w:val="Normal"/>
    <w:pPr>
      <w:jc w:val="center"/>
    </w:pPr>
    <w:rPr>
      <w:rFonts w:eastAsia="Times New Roman"/>
      <w:b/>
      <w:szCs w:val="20"/>
      <w:u w:val="single"/>
      <w:lang w:eastAsia="ko-KR"/>
    </w:rPr>
  </w:style>
  <w:style w:type="paragraph" w:customStyle="1" w:styleId="S1">
    <w:name w:val="S1"/>
    <w:basedOn w:val="Normal"/>
    <w:next w:val="Normal"/>
    <w:pPr>
      <w:jc w:val="center"/>
    </w:pPr>
    <w:rPr>
      <w:rFonts w:eastAsia="Times New Roman"/>
      <w:b/>
      <w:szCs w:val="20"/>
      <w:u w:val="single"/>
      <w:lang w:eastAsia="ko-KR"/>
    </w:rPr>
  </w:style>
  <w:style w:type="paragraph" w:customStyle="1" w:styleId="S5">
    <w:name w:val="S5"/>
    <w:basedOn w:val="Normal"/>
    <w:next w:val="Normal"/>
    <w:pPr>
      <w:jc w:val="center"/>
    </w:pPr>
    <w:rPr>
      <w:rFonts w:eastAsia="Times New Roman"/>
      <w:b/>
      <w:szCs w:val="20"/>
      <w:u w:val="single"/>
      <w:lang w:eastAsia="ko-KR"/>
    </w:rPr>
  </w:style>
  <w:style w:type="paragraph" w:customStyle="1" w:styleId="S6">
    <w:name w:val="S6"/>
    <w:basedOn w:val="Normal"/>
    <w:pPr>
      <w:jc w:val="center"/>
    </w:pPr>
    <w:rPr>
      <w:rFonts w:eastAsia="Times New Roman"/>
      <w:b/>
      <w:sz w:val="40"/>
      <w:szCs w:val="20"/>
      <w:lang w:eastAsia="ko-KR"/>
    </w:rPr>
  </w:style>
  <w:style w:type="paragraph" w:customStyle="1" w:styleId="S8">
    <w:name w:val="S8"/>
    <w:basedOn w:val="Normal"/>
    <w:next w:val="S9"/>
    <w:pPr>
      <w:keepNext/>
      <w:pageBreakBefore/>
      <w:spacing w:after="360"/>
      <w:jc w:val="center"/>
    </w:pPr>
    <w:rPr>
      <w:rFonts w:eastAsia="Times New Roman"/>
      <w:b/>
      <w:sz w:val="36"/>
      <w:szCs w:val="20"/>
      <w:lang w:eastAsia="ko-KR"/>
    </w:rPr>
  </w:style>
  <w:style w:type="paragraph" w:customStyle="1" w:styleId="S10">
    <w:name w:val="S10"/>
    <w:basedOn w:val="Normal"/>
    <w:next w:val="Heading1"/>
    <w:pPr>
      <w:keepNext/>
      <w:spacing w:after="360"/>
      <w:jc w:val="center"/>
    </w:pPr>
    <w:rPr>
      <w:rFonts w:eastAsia="Times New Roman"/>
      <w:b/>
      <w:smallCaps/>
      <w:sz w:val="28"/>
      <w:szCs w:val="20"/>
      <w:lang w:eastAsia="ko-KR"/>
    </w:rPr>
  </w:style>
  <w:style w:type="paragraph" w:customStyle="1" w:styleId="S7">
    <w:name w:val="S7"/>
    <w:basedOn w:val="Normal"/>
    <w:next w:val="Normal"/>
    <w:pPr>
      <w:jc w:val="center"/>
    </w:pPr>
    <w:rPr>
      <w:rFonts w:eastAsia="Times New Roman"/>
      <w:b/>
      <w:szCs w:val="20"/>
      <w:lang w:eastAsia="ko-KR"/>
    </w:rPr>
  </w:style>
  <w:style w:type="character" w:customStyle="1" w:styleId="Initial">
    <w:name w:val="Initial"/>
    <w:basedOn w:val="DefaultParagraphFont"/>
    <w:rPr>
      <w:rFonts w:ascii="CG Times" w:hAnsi="CG Times" w:cs="Times New Roman"/>
      <w:sz w:val="24"/>
      <w:lang w:val="fi-FI" w:eastAsia="x-none"/>
    </w:rPr>
  </w:style>
  <w:style w:type="paragraph" w:customStyle="1" w:styleId="parttitle">
    <w:name w:val="parttitle"/>
    <w:basedOn w:val="Normal"/>
    <w:pPr>
      <w:spacing w:before="100" w:beforeAutospacing="1" w:after="100" w:afterAutospacing="1"/>
      <w:jc w:val="left"/>
    </w:pPr>
    <w:rPr>
      <w:rFonts w:eastAsia="Times New Roman"/>
      <w:szCs w:val="24"/>
      <w:lang w:eastAsia="en-GB"/>
    </w:rPr>
  </w:style>
  <w:style w:type="paragraph" w:customStyle="1" w:styleId="chaptertitle">
    <w:name w:val="chaptertitle"/>
    <w:basedOn w:val="Normal"/>
    <w:pPr>
      <w:spacing w:before="100" w:beforeAutospacing="1" w:after="100" w:afterAutospacing="1"/>
      <w:jc w:val="left"/>
    </w:pPr>
    <w:rPr>
      <w:rFonts w:eastAsia="Times New Roman"/>
      <w:szCs w:val="24"/>
      <w:lang w:eastAsia="en-GB"/>
    </w:rPr>
  </w:style>
  <w:style w:type="numbering" w:styleId="1ai">
    <w:name w:val="Outline List 1"/>
    <w:basedOn w:val="NoList"/>
    <w:pPr>
      <w:numPr>
        <w:numId w:val="10"/>
      </w:numPr>
    </w:pPr>
  </w:style>
  <w:style w:type="numbering" w:styleId="ArticleSection">
    <w:name w:val="Outline List 3"/>
    <w:basedOn w:val="NoList"/>
  </w:style>
  <w:style w:type="numbering" w:styleId="111111">
    <w:name w:val="Outline List 2"/>
    <w:basedOn w:val="NoList"/>
  </w:style>
  <w:style w:type="paragraph" w:customStyle="1" w:styleId="Default">
    <w:name w:val="Default"/>
    <w:pPr>
      <w:autoSpaceDE w:val="0"/>
      <w:autoSpaceDN w:val="0"/>
      <w:adjustRightInd w:val="0"/>
      <w:spacing w:after="0" w:line="240" w:lineRule="auto"/>
    </w:pPr>
    <w:rPr>
      <w:rFonts w:ascii="Verdana" w:eastAsia="Times New Roman" w:hAnsi="Verdana" w:cs="Verdana"/>
      <w:color w:val="000000"/>
      <w:sz w:val="24"/>
      <w:szCs w:val="24"/>
      <w:lang w:eastAsia="en-GB"/>
    </w:rPr>
  </w:style>
  <w:style w:type="paragraph" w:customStyle="1" w:styleId="ChapterTitle0">
    <w:name w:val="ChapterTitle"/>
    <w:basedOn w:val="Normal"/>
    <w:next w:val="Normal"/>
    <w:pPr>
      <w:keepNext/>
      <w:spacing w:after="360"/>
      <w:jc w:val="center"/>
    </w:pPr>
    <w:rPr>
      <w:b/>
      <w:sz w:val="32"/>
    </w:rPr>
  </w:style>
  <w:style w:type="paragraph" w:customStyle="1" w:styleId="PartTitle0">
    <w:name w:val="PartTitle"/>
    <w:basedOn w:val="Normal"/>
    <w:next w:val="ChapterTitle0"/>
    <w:pPr>
      <w:keepNext/>
      <w:pageBreakBefore/>
      <w:spacing w:after="360"/>
      <w:jc w:val="center"/>
    </w:pPr>
    <w:rPr>
      <w:b/>
      <w:sz w:val="36"/>
    </w:rPr>
  </w:style>
  <w:style w:type="paragraph" w:customStyle="1" w:styleId="ChapterTitle1">
    <w:name w:val="ChapterTitle"/>
    <w:basedOn w:val="Normal"/>
    <w:next w:val="Normal"/>
    <w:pPr>
      <w:keepNext/>
      <w:spacing w:after="360"/>
      <w:jc w:val="center"/>
    </w:pPr>
    <w:rPr>
      <w:b/>
      <w:sz w:val="32"/>
    </w:rPr>
  </w:style>
  <w:style w:type="paragraph" w:customStyle="1" w:styleId="PartTitle1">
    <w:name w:val="PartTitle"/>
    <w:basedOn w:val="Normal"/>
    <w:next w:val="ChapterTitle1"/>
    <w:pPr>
      <w:keepNext/>
      <w:pageBreakBefore/>
      <w:spacing w:after="360"/>
      <w:jc w:val="center"/>
    </w:pPr>
    <w:rPr>
      <w:b/>
      <w:sz w:val="36"/>
    </w:rPr>
  </w:style>
  <w:style w:type="paragraph" w:customStyle="1" w:styleId="ChapterTitle2">
    <w:name w:val="ChapterTitle"/>
    <w:basedOn w:val="Normal"/>
    <w:next w:val="Normal"/>
    <w:pPr>
      <w:keepNext/>
      <w:spacing w:after="360"/>
      <w:jc w:val="center"/>
    </w:pPr>
    <w:rPr>
      <w:b/>
      <w:sz w:val="32"/>
    </w:rPr>
  </w:style>
  <w:style w:type="paragraph" w:customStyle="1" w:styleId="PartTitle2">
    <w:name w:val="PartTitle"/>
    <w:basedOn w:val="Normal"/>
    <w:next w:val="ChapterTitle2"/>
    <w:pPr>
      <w:keepNext/>
      <w:pageBreakBefore/>
      <w:spacing w:after="360"/>
      <w:jc w:val="center"/>
    </w:pPr>
    <w:rPr>
      <w:b/>
      <w:sz w:val="36"/>
    </w:rPr>
  </w:style>
  <w:style w:type="paragraph" w:customStyle="1" w:styleId="ChapterTitle3">
    <w:name w:val="ChapterTitle"/>
    <w:basedOn w:val="Normal"/>
    <w:next w:val="Normal"/>
    <w:pPr>
      <w:keepNext/>
      <w:spacing w:after="360"/>
      <w:jc w:val="center"/>
    </w:pPr>
    <w:rPr>
      <w:b/>
      <w:sz w:val="32"/>
    </w:rPr>
  </w:style>
  <w:style w:type="paragraph" w:customStyle="1" w:styleId="PartTitle3">
    <w:name w:val="PartTitle"/>
    <w:basedOn w:val="Normal"/>
    <w:next w:val="ChapterTitle3"/>
    <w:pPr>
      <w:keepNext/>
      <w:pageBreakBefore/>
      <w:spacing w:after="360"/>
      <w:jc w:val="center"/>
    </w:pPr>
    <w:rPr>
      <w:b/>
      <w:sz w:val="36"/>
    </w:rPr>
  </w:style>
  <w:style w:type="paragraph" w:customStyle="1" w:styleId="ChapterTitle4">
    <w:name w:val="ChapterTitle"/>
    <w:basedOn w:val="Normal"/>
    <w:next w:val="Normal"/>
    <w:pPr>
      <w:keepNext/>
      <w:spacing w:after="360"/>
      <w:jc w:val="center"/>
    </w:pPr>
    <w:rPr>
      <w:b/>
      <w:sz w:val="32"/>
    </w:rPr>
  </w:style>
  <w:style w:type="paragraph" w:customStyle="1" w:styleId="PartTitle4">
    <w:name w:val="PartTitle"/>
    <w:basedOn w:val="Normal"/>
    <w:next w:val="ChapterTitle4"/>
    <w:pPr>
      <w:keepNext/>
      <w:pageBreakBefore/>
      <w:spacing w:after="360"/>
      <w:jc w:val="center"/>
    </w:pPr>
    <w:rPr>
      <w:b/>
      <w:sz w:val="36"/>
    </w:rPr>
  </w:style>
  <w:style w:type="paragraph" w:customStyle="1" w:styleId="ChapterTitle5">
    <w:name w:val="ChapterTitle"/>
    <w:basedOn w:val="Normal"/>
    <w:next w:val="Normal"/>
    <w:pPr>
      <w:keepNext/>
      <w:spacing w:after="360"/>
      <w:jc w:val="center"/>
    </w:pPr>
    <w:rPr>
      <w:b/>
      <w:sz w:val="32"/>
    </w:rPr>
  </w:style>
  <w:style w:type="paragraph" w:customStyle="1" w:styleId="PartTitle5">
    <w:name w:val="PartTitle"/>
    <w:basedOn w:val="Normal"/>
    <w:next w:val="ChapterTitle5"/>
    <w:pPr>
      <w:keepNext/>
      <w:pageBreakBefore/>
      <w:spacing w:after="360"/>
      <w:jc w:val="center"/>
    </w:pPr>
    <w:rPr>
      <w:b/>
      <w:sz w:val="36"/>
    </w:rPr>
  </w:style>
  <w:style w:type="paragraph" w:customStyle="1" w:styleId="ChapterTitle6">
    <w:name w:val="ChapterTitle"/>
    <w:basedOn w:val="Normal"/>
    <w:next w:val="Normal"/>
    <w:pPr>
      <w:keepNext/>
      <w:spacing w:after="360"/>
      <w:jc w:val="center"/>
    </w:pPr>
    <w:rPr>
      <w:b/>
      <w:sz w:val="32"/>
    </w:rPr>
  </w:style>
  <w:style w:type="paragraph" w:customStyle="1" w:styleId="PartTitle6">
    <w:name w:val="PartTitle"/>
    <w:basedOn w:val="Normal"/>
    <w:next w:val="ChapterTitle6"/>
    <w:pPr>
      <w:keepNext/>
      <w:pageBreakBefore/>
      <w:spacing w:after="360"/>
      <w:jc w:val="center"/>
    </w:pPr>
    <w:rPr>
      <w:b/>
      <w:sz w:val="36"/>
    </w:rPr>
  </w:style>
  <w:style w:type="paragraph" w:customStyle="1" w:styleId="ChapterTitle7">
    <w:name w:val="ChapterTitle"/>
    <w:basedOn w:val="Normal"/>
    <w:next w:val="Normal"/>
    <w:pPr>
      <w:keepNext/>
      <w:spacing w:after="360"/>
      <w:jc w:val="center"/>
    </w:pPr>
    <w:rPr>
      <w:b/>
      <w:sz w:val="32"/>
    </w:rPr>
  </w:style>
  <w:style w:type="paragraph" w:customStyle="1" w:styleId="PartTitle7">
    <w:name w:val="PartTitle"/>
    <w:basedOn w:val="Normal"/>
    <w:next w:val="ChapterTitle7"/>
    <w:pPr>
      <w:keepNext/>
      <w:pageBreakBefore/>
      <w:spacing w:after="360"/>
      <w:jc w:val="center"/>
    </w:pPr>
    <w:rPr>
      <w:b/>
      <w:sz w:val="36"/>
    </w:rPr>
  </w:style>
  <w:style w:type="numbering" w:customStyle="1" w:styleId="NoList2">
    <w:name w:val="No List2"/>
    <w:next w:val="NoList"/>
    <w:uiPriority w:val="99"/>
    <w:semiHidden/>
    <w:unhideWhenUsed/>
  </w:style>
  <w:style w:type="paragraph" w:customStyle="1" w:styleId="HeaderCouncilLarge">
    <w:name w:val="Header Council Large"/>
    <w:basedOn w:val="Normal"/>
    <w:link w:val="HeaderCouncilLargeChar"/>
    <w:pPr>
      <w:spacing w:before="0" w:after="440" w:line="360" w:lineRule="auto"/>
      <w:ind w:left="-1134" w:right="-1134"/>
      <w:jc w:val="left"/>
    </w:pPr>
    <w:rPr>
      <w:sz w:val="2"/>
    </w:rPr>
  </w:style>
  <w:style w:type="character" w:customStyle="1" w:styleId="TechnicalBlockChar">
    <w:name w:val="Technical Block Char"/>
    <w:basedOn w:val="DefaultParagraphFont"/>
    <w:rPr>
      <w:rFonts w:ascii="Times New Roman" w:hAnsi="Times New Roman" w:cs="Times New Roman"/>
      <w:sz w:val="24"/>
      <w:lang w:val="fi-FI"/>
    </w:rPr>
  </w:style>
  <w:style w:type="character" w:customStyle="1" w:styleId="HeaderCouncilLargeChar">
    <w:name w:val="Header Council Large Char"/>
    <w:basedOn w:val="TechnicalBlockChar"/>
    <w:link w:val="HeaderCouncilLarge"/>
    <w:rPr>
      <w:rFonts w:ascii="Times New Roman" w:hAnsi="Times New Roman" w:cs="Times New Roman"/>
      <w:sz w:val="2"/>
      <w:lang w:val="fi-FI"/>
    </w:rPr>
  </w:style>
  <w:style w:type="paragraph" w:customStyle="1" w:styleId="FooterText">
    <w:name w:val="Footer Text"/>
    <w:basedOn w:val="Normal"/>
    <w:pPr>
      <w:spacing w:before="0" w:after="0"/>
      <w:jc w:val="left"/>
    </w:pPr>
    <w:rPr>
      <w:rFonts w:eastAsia="Times New Roman"/>
      <w:szCs w:val="24"/>
    </w:rPr>
  </w:style>
  <w:style w:type="character" w:styleId="PlaceholderText">
    <w:name w:val="Placeholder Text"/>
    <w:basedOn w:val="DefaultParagraphFont"/>
    <w:uiPriority w:val="99"/>
    <w:semiHidden/>
    <w:rPr>
      <w:color w:val="808080"/>
    </w:rPr>
  </w:style>
  <w:style w:type="paragraph" w:customStyle="1" w:styleId="Normal1">
    <w:name w:val="Normal1"/>
    <w:basedOn w:val="Normal"/>
    <w:pPr>
      <w:spacing w:before="100" w:beforeAutospacing="1" w:after="100" w:afterAutospacing="1"/>
      <w:jc w:val="left"/>
    </w:pPr>
    <w:rPr>
      <w:rFonts w:eastAsia="Times New Roman"/>
      <w:szCs w:val="24"/>
      <w:lang w:eastAsia="en-GB"/>
    </w:rPr>
  </w:style>
  <w:style w:type="numbering" w:customStyle="1" w:styleId="NoList12">
    <w:name w:val="No List12"/>
    <w:next w:val="NoList"/>
    <w:uiPriority w:val="99"/>
    <w:semiHidden/>
    <w:unhideWhenUsed/>
  </w:style>
  <w:style w:type="numbering" w:customStyle="1" w:styleId="NoList112">
    <w:name w:val="No List112"/>
    <w:next w:val="NoList"/>
    <w:semiHidden/>
  </w:style>
  <w:style w:type="table" w:customStyle="1" w:styleId="TableGrid20">
    <w:name w:val="Table Grid2"/>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11">
    <w:name w:val="Table 3D effects 11"/>
    <w:basedOn w:val="TableNormal"/>
    <w:next w:val="Table3Deffects1"/>
    <w:pPr>
      <w:spacing w:before="120" w:after="120" w:line="240" w:lineRule="auto"/>
      <w:jc w:val="both"/>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pPr>
      <w:spacing w:before="120" w:after="120" w:line="240" w:lineRule="auto"/>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pPr>
      <w:spacing w:before="120" w:after="120" w:line="240" w:lineRule="auto"/>
      <w:jc w:val="both"/>
    </w:pPr>
    <w:rPr>
      <w:rFonts w:ascii="Times New Roman" w:eastAsia="Times New Roman" w:hAnsi="Times New Roman" w:cs="Times New Roman"/>
      <w:sz w:val="20"/>
      <w:szCs w:val="20"/>
      <w:lang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pPr>
      <w:spacing w:before="120" w:after="120" w:line="240" w:lineRule="auto"/>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pPr>
      <w:spacing w:before="120" w:after="120" w:line="240" w:lineRule="auto"/>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pPr>
      <w:spacing w:before="120" w:after="120" w:line="240" w:lineRule="auto"/>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pPr>
      <w:spacing w:before="120" w:after="120" w:line="240" w:lineRule="auto"/>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pPr>
      <w:spacing w:before="120" w:after="120" w:line="240" w:lineRule="auto"/>
      <w:jc w:val="both"/>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pPr>
      <w:spacing w:before="120" w:after="120" w:line="240" w:lineRule="auto"/>
      <w:jc w:val="both"/>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TableColumns51">
    <w:name w:val="Table Columns 51"/>
    <w:basedOn w:val="TableNormal"/>
    <w:next w:val="TableColumns5"/>
    <w:pPr>
      <w:spacing w:before="120" w:after="120" w:line="240" w:lineRule="auto"/>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TableContemporary1">
    <w:name w:val="Table Contemporary1"/>
    <w:basedOn w:val="TableNormal"/>
    <w:next w:val="TableContemporary"/>
    <w:pPr>
      <w:spacing w:before="120" w:after="120" w:line="240" w:lineRule="auto"/>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pPr>
      <w:spacing w:before="120" w:after="120" w:line="24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0"/>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customStyle="1" w:styleId="TableGrid21">
    <w:name w:val="Table Grid 21"/>
    <w:basedOn w:val="TableNormal"/>
    <w:next w:val="TableGrid2"/>
    <w:pPr>
      <w:spacing w:before="120" w:after="120" w:line="240" w:lineRule="auto"/>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leGrid31">
    <w:name w:val="Table Grid 31"/>
    <w:basedOn w:val="TableNormal"/>
    <w:next w:val="TableGrid3"/>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customStyle="1" w:styleId="TableGrid41">
    <w:name w:val="Table Grid 41"/>
    <w:basedOn w:val="TableNormal"/>
    <w:next w:val="TableGrid4"/>
    <w:pPr>
      <w:spacing w:before="120" w:after="120" w:line="240" w:lineRule="auto"/>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61">
    <w:name w:val="Table Grid 61"/>
    <w:basedOn w:val="TableNormal"/>
    <w:next w:val="TableGrid6"/>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71">
    <w:name w:val="Table Grid 71"/>
    <w:basedOn w:val="TableNormal"/>
    <w:next w:val="TableGrid7"/>
    <w:pPr>
      <w:spacing w:before="120" w:after="120" w:line="240" w:lineRule="auto"/>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81">
    <w:name w:val="Table Grid 81"/>
    <w:basedOn w:val="TableNormal"/>
    <w:next w:val="TableGrid8"/>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21">
    <w:name w:val="Table List 21"/>
    <w:basedOn w:val="TableNormal"/>
    <w:next w:val="TableList2"/>
    <w:pPr>
      <w:spacing w:before="120" w:after="120" w:line="240" w:lineRule="auto"/>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31">
    <w:name w:val="Table List 31"/>
    <w:basedOn w:val="TableNormal"/>
    <w:next w:val="TableList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TableList61">
    <w:name w:val="Table List 61"/>
    <w:basedOn w:val="TableNormal"/>
    <w:next w:val="TableList6"/>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pPr>
      <w:spacing w:before="120" w:after="120" w:line="240" w:lineRule="auto"/>
      <w:jc w:val="both"/>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pPr>
      <w:spacing w:before="120" w:after="120" w:line="240" w:lineRule="auto"/>
      <w:jc w:val="both"/>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pPr>
      <w:spacing w:before="120" w:after="120" w:line="240" w:lineRule="auto"/>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Theme1">
    <w:name w:val="Table Theme1"/>
    <w:basedOn w:val="TableNormal"/>
    <w:next w:val="TableTheme"/>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1ai1">
    <w:name w:val="1 / a / i1"/>
    <w:basedOn w:val="NoList"/>
    <w:next w:val="1ai"/>
  </w:style>
  <w:style w:type="numbering" w:customStyle="1" w:styleId="ArticleSection1">
    <w:name w:val="Article / Section1"/>
    <w:basedOn w:val="NoList"/>
    <w:next w:val="ArticleSection"/>
    <w:pPr>
      <w:numPr>
        <w:numId w:val="6"/>
      </w:numPr>
    </w:pPr>
  </w:style>
  <w:style w:type="numbering" w:customStyle="1" w:styleId="1111111">
    <w:name w:val="1 / 1.1 / 1.1.11"/>
    <w:basedOn w:val="NoList"/>
    <w:next w:val="111111"/>
  </w:style>
  <w:style w:type="paragraph" w:customStyle="1" w:styleId="LegalNumPar">
    <w:name w:val="LegalNumPar"/>
    <w:basedOn w:val="Normal"/>
    <w:pPr>
      <w:numPr>
        <w:numId w:val="22"/>
      </w:numPr>
      <w:spacing w:line="360" w:lineRule="auto"/>
    </w:pPr>
  </w:style>
  <w:style w:type="paragraph" w:customStyle="1" w:styleId="LegalNumPar2">
    <w:name w:val="LegalNumPar2"/>
    <w:basedOn w:val="Normal"/>
    <w:pPr>
      <w:numPr>
        <w:ilvl w:val="1"/>
        <w:numId w:val="22"/>
      </w:numPr>
      <w:spacing w:line="360" w:lineRule="auto"/>
    </w:pPr>
  </w:style>
  <w:style w:type="paragraph" w:customStyle="1" w:styleId="LegalNumPar3">
    <w:name w:val="LegalNumPar3"/>
    <w:basedOn w:val="Normal"/>
    <w:pPr>
      <w:numPr>
        <w:ilvl w:val="2"/>
        <w:numId w:val="22"/>
      </w:numPr>
      <w:spacing w:line="360" w:lineRule="auto"/>
    </w:pPr>
  </w:style>
  <w:style w:type="paragraph" w:customStyle="1" w:styleId="pj">
    <w:name w:val="p.j."/>
    <w:basedOn w:val="Normal"/>
    <w:link w:val="pjChar"/>
    <w:pPr>
      <w:spacing w:before="1200"/>
      <w:ind w:left="1440" w:hanging="1440"/>
      <w:jc w:val="left"/>
    </w:pPr>
  </w:style>
  <w:style w:type="character" w:customStyle="1" w:styleId="pjChar">
    <w:name w:val="p.j. Char"/>
    <w:basedOn w:val="TechnicalBlockChar"/>
    <w:link w:val="pj"/>
    <w:rPr>
      <w:rFonts w:ascii="Times New Roman" w:hAnsi="Times New Roman" w:cs="Times New Roman"/>
      <w:sz w:val="24"/>
      <w:lang w:val="fi-FI"/>
    </w:rPr>
  </w:style>
  <w:style w:type="paragraph" w:customStyle="1" w:styleId="nbbordered">
    <w:name w:val="nb bordered"/>
    <w:basedOn w:val="Normal"/>
    <w:link w:val="nbborderedChar"/>
    <w:pPr>
      <w:pBdr>
        <w:top w:val="single" w:sz="4" w:space="1" w:color="auto"/>
        <w:left w:val="single" w:sz="4" w:space="4" w:color="auto"/>
        <w:bottom w:val="single" w:sz="4" w:space="1" w:color="auto"/>
        <w:right w:val="single" w:sz="4" w:space="4" w:color="auto"/>
        <w:between w:val="single" w:sz="4" w:space="0" w:color="auto"/>
      </w:pBdr>
      <w:spacing w:after="160"/>
      <w:ind w:left="480" w:hanging="480"/>
    </w:pPr>
    <w:rPr>
      <w:b/>
    </w:rPr>
  </w:style>
  <w:style w:type="character" w:customStyle="1" w:styleId="nbborderedChar">
    <w:name w:val="nb bordered Char"/>
    <w:basedOn w:val="TechnicalBlockChar"/>
    <w:link w:val="nbbordered"/>
    <w:rPr>
      <w:rFonts w:ascii="Times New Roman" w:hAnsi="Times New Roman" w:cs="Times New Roman"/>
      <w:b/>
      <w:sz w:val="24"/>
      <w:lang w:val="fi-FI"/>
    </w:rPr>
  </w:style>
  <w:style w:type="character" w:customStyle="1" w:styleId="HeaderCouncilChar">
    <w:name w:val="Header Council Char"/>
    <w:basedOn w:val="DefaultParagraphFont"/>
    <w:rPr>
      <w:rFonts w:ascii="Times New Roman" w:hAnsi="Times New Roman" w:cs="Times New Roman"/>
      <w:sz w:val="2"/>
      <w:lang w:val="fi-FI"/>
    </w:rPr>
  </w:style>
  <w:style w:type="character" w:customStyle="1" w:styleId="FooterCouncilChar">
    <w:name w:val="Footer Council Char"/>
    <w:basedOn w:val="DefaultParagraphFont"/>
    <w:rPr>
      <w:rFonts w:ascii="Times New Roman" w:hAnsi="Times New Roman" w:cs="Times New Roman"/>
      <w:sz w:val="2"/>
      <w:lang w:val="fi-FI"/>
    </w:rPr>
  </w:style>
  <w:style w:type="paragraph" w:customStyle="1" w:styleId="Dat">
    <w:name w:val="Dat"/>
    <w:basedOn w:val="Normal"/>
    <w:pPr>
      <w:spacing w:before="360" w:after="0" w:line="360" w:lineRule="auto"/>
      <w:jc w:val="center"/>
    </w:pPr>
    <w:rPr>
      <w:b/>
    </w:rPr>
  </w:style>
  <w:style w:type="paragraph" w:customStyle="1" w:styleId="F">
    <w:name w:val="F]"/>
    <w:basedOn w:val="Normal"/>
    <w:pPr>
      <w:keepNext/>
      <w:spacing w:after="0" w:line="360" w:lineRule="auto"/>
      <w:jc w:val="left"/>
    </w:pPr>
  </w:style>
  <w:style w:type="paragraph" w:customStyle="1" w:styleId="HeaderCouncil">
    <w:name w:val="Header Council"/>
    <w:basedOn w:val="Normal"/>
    <w:pPr>
      <w:spacing w:before="0" w:after="0"/>
      <w:jc w:val="left"/>
    </w:pPr>
    <w:rPr>
      <w:sz w:val="2"/>
    </w:rPr>
  </w:style>
  <w:style w:type="paragraph" w:customStyle="1" w:styleId="FooterCouncil">
    <w:name w:val="Footer Council"/>
    <w:basedOn w:val="Normal"/>
    <w:pPr>
      <w:spacing w:before="0" w:after="0"/>
      <w:jc w:val="left"/>
    </w:pPr>
    <w:rPr>
      <w:sz w:val="2"/>
    </w:rPr>
  </w:style>
  <w:style w:type="paragraph" w:customStyle="1" w:styleId="TechnicalBlock">
    <w:name w:val="Technical Block"/>
    <w:basedOn w:val="Normal"/>
    <w:next w:val="Normal"/>
    <w:pPr>
      <w:spacing w:before="0" w:after="240"/>
      <w:jc w:val="center"/>
    </w:pPr>
  </w:style>
  <w:style w:type="paragraph" w:customStyle="1" w:styleId="Lignefinal">
    <w:name w:val="Ligne final"/>
    <w:basedOn w:val="Normal"/>
    <w:next w:val="Normal"/>
    <w:pPr>
      <w:pBdr>
        <w:bottom w:val="single" w:sz="4" w:space="0" w:color="000000"/>
      </w:pBdr>
      <w:spacing w:before="360" w:line="360" w:lineRule="auto"/>
      <w:ind w:left="3400" w:right="3400"/>
      <w:jc w:val="center"/>
    </w:pPr>
    <w:rPr>
      <w:b/>
    </w:rPr>
  </w:style>
  <w:style w:type="paragraph" w:customStyle="1" w:styleId="LignefinalLandscape">
    <w:name w:val="Ligne final (Landscape)"/>
    <w:basedOn w:val="Normal"/>
    <w:next w:val="Normal"/>
    <w:pPr>
      <w:pBdr>
        <w:bottom w:val="single" w:sz="4" w:space="0" w:color="000000"/>
      </w:pBdr>
      <w:spacing w:before="360" w:line="360" w:lineRule="auto"/>
      <w:ind w:left="5868" w:right="5868"/>
      <w:jc w:val="center"/>
    </w:pPr>
    <w:rPr>
      <w:b/>
    </w:rPr>
  </w:style>
  <w:style w:type="paragraph" w:customStyle="1" w:styleId="EntLogo">
    <w:name w:val="EntLogo"/>
    <w:basedOn w:val="Normal"/>
    <w:pPr>
      <w:tabs>
        <w:tab w:val="right" w:pos="9639"/>
      </w:tabs>
      <w:spacing w:before="0" w:after="0" w:line="360" w:lineRule="auto"/>
      <w:jc w:val="left"/>
    </w:pPr>
    <w:rPr>
      <w:b/>
    </w:rPr>
  </w:style>
  <w:style w:type="paragraph" w:customStyle="1" w:styleId="EntInstit">
    <w:name w:val="EntInstit"/>
    <w:basedOn w:val="Normal"/>
    <w:pPr>
      <w:spacing w:before="0" w:after="0"/>
      <w:jc w:val="right"/>
    </w:pPr>
    <w:rPr>
      <w:b/>
    </w:rPr>
  </w:style>
  <w:style w:type="paragraph" w:customStyle="1" w:styleId="EntRefer">
    <w:name w:val="EntRefer"/>
    <w:basedOn w:val="Normal"/>
    <w:pPr>
      <w:spacing w:before="0" w:after="0"/>
      <w:jc w:val="left"/>
    </w:pPr>
    <w:rPr>
      <w:b/>
    </w:rPr>
  </w:style>
  <w:style w:type="paragraph" w:customStyle="1" w:styleId="EntEmet">
    <w:name w:val="EntEmet"/>
    <w:basedOn w:val="Normal"/>
    <w:pPr>
      <w:spacing w:before="40" w:after="0"/>
      <w:jc w:val="left"/>
    </w:pPr>
  </w:style>
  <w:style w:type="paragraph" w:customStyle="1" w:styleId="EntText">
    <w:name w:val="EntText"/>
    <w:basedOn w:val="Normal"/>
    <w:pPr>
      <w:spacing w:line="360" w:lineRule="auto"/>
      <w:jc w:val="left"/>
    </w:pPr>
  </w:style>
  <w:style w:type="paragraph" w:customStyle="1" w:styleId="EntEU">
    <w:name w:val="EntEU"/>
    <w:basedOn w:val="Normal"/>
    <w:pPr>
      <w:spacing w:before="240" w:after="240"/>
      <w:jc w:val="center"/>
    </w:pPr>
    <w:rPr>
      <w:b/>
      <w:sz w:val="36"/>
    </w:rPr>
  </w:style>
  <w:style w:type="paragraph" w:customStyle="1" w:styleId="EntASSOC">
    <w:name w:val="EntASSOC"/>
    <w:basedOn w:val="Normal"/>
    <w:pPr>
      <w:spacing w:before="0" w:after="0"/>
      <w:jc w:val="center"/>
    </w:pPr>
    <w:rPr>
      <w:b/>
    </w:rPr>
  </w:style>
  <w:style w:type="paragraph" w:customStyle="1" w:styleId="EntACP">
    <w:name w:val="EntACP"/>
    <w:basedOn w:val="Normal"/>
    <w:pPr>
      <w:spacing w:before="0" w:after="180"/>
      <w:jc w:val="center"/>
    </w:pPr>
    <w:rPr>
      <w:b/>
      <w:spacing w:val="40"/>
      <w:sz w:val="28"/>
    </w:rPr>
  </w:style>
  <w:style w:type="paragraph" w:customStyle="1" w:styleId="EntInstitACP">
    <w:name w:val="EntInstitACP"/>
    <w:basedOn w:val="Normal"/>
    <w:pPr>
      <w:spacing w:before="0" w:after="0"/>
      <w:jc w:val="center"/>
    </w:pPr>
    <w:rPr>
      <w:b/>
    </w:rPr>
  </w:style>
  <w:style w:type="paragraph" w:customStyle="1" w:styleId="Genredudocument">
    <w:name w:val="Genre du document"/>
    <w:basedOn w:val="EntRefer"/>
    <w:next w:val="EntRefer"/>
    <w:pPr>
      <w:spacing w:before="240"/>
    </w:pPr>
  </w:style>
  <w:style w:type="paragraph" w:customStyle="1" w:styleId="Accordtitre">
    <w:name w:val="Accord titre"/>
    <w:basedOn w:val="Normal"/>
    <w:pPr>
      <w:spacing w:before="0" w:after="0" w:line="360" w:lineRule="auto"/>
      <w:jc w:val="center"/>
    </w:pPr>
  </w:style>
  <w:style w:type="paragraph" w:customStyle="1" w:styleId="FooterAccord">
    <w:name w:val="Footer Accord"/>
    <w:basedOn w:val="Normal"/>
    <w:pPr>
      <w:tabs>
        <w:tab w:val="center" w:pos="4819"/>
        <w:tab w:val="center" w:pos="7370"/>
        <w:tab w:val="right" w:pos="9638"/>
      </w:tabs>
      <w:spacing w:before="360" w:after="0"/>
      <w:jc w:val="center"/>
    </w:pPr>
  </w:style>
  <w:style w:type="paragraph" w:customStyle="1" w:styleId="FooterLandscapeAccord">
    <w:name w:val="FooterLandscape Accord"/>
    <w:basedOn w:val="Normal"/>
    <w:pPr>
      <w:tabs>
        <w:tab w:val="center" w:pos="7285"/>
        <w:tab w:val="center" w:pos="10930"/>
        <w:tab w:val="right" w:pos="14570"/>
      </w:tabs>
      <w:spacing w:before="360" w:after="0"/>
      <w:jc w:val="center"/>
    </w:pPr>
  </w:style>
  <w:style w:type="paragraph" w:customStyle="1" w:styleId="TitrearticleAccord">
    <w:name w:val="Titre article Accord"/>
    <w:basedOn w:val="Normal"/>
    <w:next w:val="Normal"/>
    <w:pPr>
      <w:keepNext/>
      <w:spacing w:before="600" w:line="360" w:lineRule="auto"/>
      <w:jc w:val="center"/>
    </w:pPr>
    <w:rPr>
      <w:i/>
    </w:rPr>
  </w:style>
  <w:style w:type="paragraph" w:customStyle="1" w:styleId="DESignature">
    <w:name w:val="DE Signature"/>
    <w:basedOn w:val="Normal"/>
    <w:next w:val="Normal"/>
    <w:pPr>
      <w:tabs>
        <w:tab w:val="center" w:pos="5953"/>
      </w:tabs>
      <w:spacing w:before="720" w:line="360" w:lineRule="auto"/>
      <w:jc w:val="left"/>
    </w:pPr>
  </w:style>
  <w:style w:type="numbering" w:customStyle="1" w:styleId="NoList1111">
    <w:name w:val="No List1111"/>
    <w:next w:val="NoList"/>
    <w:semiHidden/>
  </w:style>
  <w:style w:type="table" w:customStyle="1" w:styleId="TableGrid110">
    <w:name w:val="Table Grid11"/>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style>
  <w:style w:type="numbering" w:customStyle="1" w:styleId="NoList13">
    <w:name w:val="No List13"/>
    <w:next w:val="NoList"/>
    <w:uiPriority w:val="99"/>
    <w:semiHidden/>
    <w:unhideWhenUsed/>
  </w:style>
  <w:style w:type="numbering" w:customStyle="1" w:styleId="NoList113">
    <w:name w:val="No List113"/>
    <w:next w:val="NoList"/>
    <w:semiHidden/>
  </w:style>
  <w:style w:type="table" w:customStyle="1" w:styleId="TableGrid30">
    <w:name w:val="Table Grid3"/>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3Deffects12">
    <w:name w:val="Table 3D effects 12"/>
    <w:basedOn w:val="TableNormal"/>
    <w:next w:val="Table3Deffects1"/>
    <w:pPr>
      <w:spacing w:before="120" w:after="120" w:line="240" w:lineRule="auto"/>
      <w:jc w:val="both"/>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
    <w:name w:val="Table 3D effects 22"/>
    <w:basedOn w:val="TableNormal"/>
    <w:next w:val="Table3Deffects2"/>
    <w:pPr>
      <w:spacing w:before="120" w:after="120" w:line="240" w:lineRule="auto"/>
      <w:jc w:val="both"/>
    </w:pPr>
    <w:rPr>
      <w:rFonts w:ascii="Times New Roman" w:eastAsia="Times New Roman" w:hAnsi="Times New Roman" w:cs="Times New Roman"/>
      <w:sz w:val="20"/>
      <w:szCs w:val="20"/>
      <w:lang w:eastAsia="en-GB"/>
    </w:rPr>
    <w:tblPr>
      <w:tblStyleRowBandSize w:val="1"/>
    </w:tblPr>
    <w:tcPr>
      <w:shd w:val="solid" w:color="C0C0C0" w:fill="FFFFFF"/>
    </w:tc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2">
    <w:name w:val="Table 3D effects 32"/>
    <w:basedOn w:val="TableNormal"/>
    <w:next w:val="Table3Deffects3"/>
    <w:pPr>
      <w:spacing w:before="120" w:after="120" w:line="240" w:lineRule="auto"/>
      <w:jc w:val="both"/>
    </w:pPr>
    <w:rPr>
      <w:rFonts w:ascii="Times New Roman" w:eastAsia="Times New Roman" w:hAnsi="Times New Roman" w:cs="Times New Roman"/>
      <w:sz w:val="20"/>
      <w:szCs w:val="20"/>
      <w:lang w:eastAsia="en-GB"/>
    </w:rPr>
    <w:tblPr>
      <w:tblStyleRowBandSize w:val="1"/>
      <w:tblStyleColBandSize w:val="1"/>
    </w:tbl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2">
    <w:name w:val="Table Classic 12"/>
    <w:basedOn w:val="TableNormal"/>
    <w:next w:val="TableClassic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2">
    <w:name w:val="Table Classic 22"/>
    <w:basedOn w:val="TableNormal"/>
    <w:next w:val="TableClassic2"/>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lassic32">
    <w:name w:val="Table Classic 32"/>
    <w:basedOn w:val="TableNormal"/>
    <w:next w:val="TableClassic3"/>
    <w:pPr>
      <w:spacing w:before="120" w:after="120" w:line="240" w:lineRule="auto"/>
      <w:jc w:val="both"/>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TableClassic42">
    <w:name w:val="Table Classic 42"/>
    <w:basedOn w:val="TableNormal"/>
    <w:next w:val="TableClassic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Colorful12">
    <w:name w:val="Table Colorful 12"/>
    <w:basedOn w:val="TableNormal"/>
    <w:next w:val="TableColorful1"/>
    <w:pPr>
      <w:spacing w:before="120" w:after="120" w:line="240" w:lineRule="auto"/>
      <w:jc w:val="both"/>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22">
    <w:name w:val="Table Colorful 22"/>
    <w:basedOn w:val="TableNormal"/>
    <w:next w:val="TableColorful2"/>
    <w:pPr>
      <w:spacing w:before="120" w:after="120" w:line="240" w:lineRule="auto"/>
      <w:jc w:val="both"/>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TableColorful32">
    <w:name w:val="Table Colorful 32"/>
    <w:basedOn w:val="TableNormal"/>
    <w:next w:val="TableColorful3"/>
    <w:pPr>
      <w:spacing w:before="120" w:after="120" w:line="240" w:lineRule="auto"/>
      <w:jc w:val="both"/>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Columns12">
    <w:name w:val="Table Columns 12"/>
    <w:basedOn w:val="TableNormal"/>
    <w:next w:val="TableColumns1"/>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22">
    <w:name w:val="Table Columns 22"/>
    <w:basedOn w:val="TableNormal"/>
    <w:next w:val="TableColumns2"/>
    <w:pPr>
      <w:spacing w:before="120" w:after="120" w:line="240" w:lineRule="auto"/>
      <w:jc w:val="both"/>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pPr>
      <w:spacing w:before="120" w:after="120" w:line="240" w:lineRule="auto"/>
      <w:jc w:val="both"/>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pPr>
      <w:spacing w:before="120" w:after="120" w:line="240" w:lineRule="auto"/>
      <w:jc w:val="both"/>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TableColumns52">
    <w:name w:val="Table Columns 52"/>
    <w:basedOn w:val="TableNormal"/>
    <w:next w:val="TableColumns5"/>
    <w:pPr>
      <w:spacing w:before="120" w:after="120" w:line="240" w:lineRule="auto"/>
      <w:jc w:val="both"/>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TableContemporary2">
    <w:name w:val="Table Contemporary2"/>
    <w:basedOn w:val="TableNormal"/>
    <w:next w:val="TableContemporary"/>
    <w:pPr>
      <w:spacing w:before="120" w:after="120" w:line="240" w:lineRule="auto"/>
      <w:jc w:val="both"/>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Elegant2">
    <w:name w:val="Table Elegant2"/>
    <w:basedOn w:val="TableNormal"/>
    <w:next w:val="TableElegant"/>
    <w:pPr>
      <w:spacing w:before="120" w:after="120" w:line="240" w:lineRule="auto"/>
      <w:jc w:val="both"/>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eGrid12">
    <w:name w:val="Table Grid 12"/>
    <w:basedOn w:val="TableNormal"/>
    <w:next w:val="TableGrid10"/>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table" w:customStyle="1" w:styleId="TableGrid22">
    <w:name w:val="Table Grid 22"/>
    <w:basedOn w:val="TableNormal"/>
    <w:next w:val="TableGrid2"/>
    <w:pPr>
      <w:spacing w:before="120" w:after="120" w:line="240" w:lineRule="auto"/>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TableGrid32">
    <w:name w:val="Table Grid 32"/>
    <w:basedOn w:val="TableNormal"/>
    <w:next w:val="TableGrid3"/>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Col">
      <w:rPr>
        <w:rFonts w:cs="Times New Roman"/>
        <w:b/>
        <w:bCs/>
      </w:rPr>
      <w:tblPr/>
      <w:tcPr>
        <w:tcBorders>
          <w:tl2br w:val="none" w:sz="0" w:space="0" w:color="auto"/>
          <w:tr2bl w:val="none" w:sz="0" w:space="0" w:color="auto"/>
        </w:tcBorders>
      </w:tcPr>
    </w:tblStylePr>
  </w:style>
  <w:style w:type="table" w:customStyle="1" w:styleId="TableGrid42">
    <w:name w:val="Table Grid 42"/>
    <w:basedOn w:val="TableNormal"/>
    <w:next w:val="TableGrid4"/>
    <w:pPr>
      <w:spacing w:before="120" w:after="120" w:line="240" w:lineRule="auto"/>
      <w:jc w:val="both"/>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Grid52">
    <w:name w:val="Table Grid 52"/>
    <w:basedOn w:val="TableNormal"/>
    <w:next w:val="TableGrid5"/>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62">
    <w:name w:val="Table Grid 62"/>
    <w:basedOn w:val="TableNormal"/>
    <w:next w:val="TableGrid6"/>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72">
    <w:name w:val="Table Grid 72"/>
    <w:basedOn w:val="TableNormal"/>
    <w:next w:val="TableGrid7"/>
    <w:pPr>
      <w:spacing w:before="120" w:after="120" w:line="240" w:lineRule="auto"/>
      <w:jc w:val="both"/>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TableGrid82">
    <w:name w:val="Table Grid 82"/>
    <w:basedOn w:val="TableNormal"/>
    <w:next w:val="TableGrid8"/>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TableList12">
    <w:name w:val="Table List 12"/>
    <w:basedOn w:val="TableNormal"/>
    <w:next w:val="TableList1"/>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22">
    <w:name w:val="Table List 22"/>
    <w:basedOn w:val="TableNormal"/>
    <w:next w:val="TableList2"/>
    <w:pPr>
      <w:spacing w:before="120" w:after="120" w:line="240" w:lineRule="auto"/>
      <w:jc w:val="both"/>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List32">
    <w:name w:val="Table List 32"/>
    <w:basedOn w:val="TableNormal"/>
    <w:next w:val="TableList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TableList42">
    <w:name w:val="Table List 42"/>
    <w:basedOn w:val="TableNormal"/>
    <w:next w:val="TableList4"/>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2">
    <w:name w:val="Table List 52"/>
    <w:basedOn w:val="TableNormal"/>
    <w:next w:val="TableList5"/>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TableList62">
    <w:name w:val="Table List 62"/>
    <w:basedOn w:val="TableNormal"/>
    <w:next w:val="TableList6"/>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TableList72">
    <w:name w:val="Table List 72"/>
    <w:basedOn w:val="TableNormal"/>
    <w:next w:val="TableList7"/>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TableList82">
    <w:name w:val="Table List 82"/>
    <w:basedOn w:val="TableNormal"/>
    <w:next w:val="TableList8"/>
    <w:pPr>
      <w:spacing w:before="120" w:after="120" w:line="240" w:lineRule="auto"/>
      <w:jc w:val="both"/>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customStyle="1" w:styleId="TableProfessional2">
    <w:name w:val="Table Professional2"/>
    <w:basedOn w:val="TableNormal"/>
    <w:next w:val="TableProfessional"/>
    <w:pPr>
      <w:spacing w:before="120" w:after="120" w:line="240" w:lineRule="auto"/>
      <w:jc w:val="both"/>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TableSimple12">
    <w:name w:val="Table Simple 12"/>
    <w:basedOn w:val="TableNormal"/>
    <w:next w:val="TableSimple1"/>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eSimple22">
    <w:name w:val="Table Simple 22"/>
    <w:basedOn w:val="TableNormal"/>
    <w:next w:val="TableSimple2"/>
    <w:pPr>
      <w:spacing w:before="120" w:after="120" w:line="240" w:lineRule="auto"/>
      <w:jc w:val="both"/>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TableSimple32">
    <w:name w:val="Table Simple 32"/>
    <w:basedOn w:val="TableNormal"/>
    <w:next w:val="TableSimple3"/>
    <w:pPr>
      <w:spacing w:before="120" w:after="120" w:line="240" w:lineRule="auto"/>
      <w:jc w:val="both"/>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TableSubtle12">
    <w:name w:val="Table Subtle 12"/>
    <w:basedOn w:val="TableNormal"/>
    <w:next w:val="TableSubtle1"/>
    <w:pPr>
      <w:spacing w:before="120" w:after="120" w:line="240" w:lineRule="auto"/>
      <w:jc w:val="both"/>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Subtle22">
    <w:name w:val="Table Subtle 22"/>
    <w:basedOn w:val="TableNormal"/>
    <w:next w:val="TableSubtle2"/>
    <w:pPr>
      <w:spacing w:before="120" w:after="120" w:line="240" w:lineRule="auto"/>
      <w:jc w:val="both"/>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swCell">
      <w:rPr>
        <w:rFonts w:cs="Times New Roman"/>
        <w:b/>
        <w:bCs/>
      </w:rPr>
      <w:tblPr/>
      <w:tcPr>
        <w:tcBorders>
          <w:tl2br w:val="none" w:sz="0" w:space="0" w:color="auto"/>
          <w:tr2bl w:val="none" w:sz="0" w:space="0" w:color="auto"/>
        </w:tcBorders>
      </w:tcPr>
    </w:tblStylePr>
  </w:style>
  <w:style w:type="table" w:customStyle="1" w:styleId="TableTheme2">
    <w:name w:val="Table Theme2"/>
    <w:basedOn w:val="TableNormal"/>
    <w:next w:val="TableTheme"/>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2">
    <w:name w:val="Table Web 12"/>
    <w:basedOn w:val="TableNormal"/>
    <w:next w:val="TableWeb1"/>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22">
    <w:name w:val="Table Web 22"/>
    <w:basedOn w:val="TableNormal"/>
    <w:next w:val="TableWeb2"/>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eWeb32">
    <w:name w:val="Table Web 32"/>
    <w:basedOn w:val="TableNormal"/>
    <w:next w:val="TableWeb3"/>
    <w:pPr>
      <w:spacing w:before="120" w:after="120" w:line="240" w:lineRule="auto"/>
      <w:jc w:val="both"/>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numbering" w:customStyle="1" w:styleId="1ai2">
    <w:name w:val="1 / a / i2"/>
    <w:basedOn w:val="NoList"/>
    <w:next w:val="1ai"/>
    <w:pPr>
      <w:numPr>
        <w:numId w:val="9"/>
      </w:numPr>
    </w:pPr>
  </w:style>
  <w:style w:type="numbering" w:customStyle="1" w:styleId="ArticleSection2">
    <w:name w:val="Article / Section2"/>
    <w:basedOn w:val="NoList"/>
    <w:next w:val="ArticleSection"/>
    <w:pPr>
      <w:numPr>
        <w:numId w:val="7"/>
      </w:numPr>
    </w:pPr>
  </w:style>
  <w:style w:type="numbering" w:customStyle="1" w:styleId="1111112">
    <w:name w:val="1 / 1.1 / 1.1.12"/>
    <w:basedOn w:val="NoList"/>
    <w:next w:val="111111"/>
    <w:pPr>
      <w:numPr>
        <w:numId w:val="8"/>
      </w:numPr>
    </w:pPr>
  </w:style>
  <w:style w:type="numbering" w:customStyle="1" w:styleId="NoList1112">
    <w:name w:val="No List1112"/>
    <w:next w:val="NoList"/>
    <w:semiHidden/>
  </w:style>
  <w:style w:type="table" w:customStyle="1" w:styleId="TableGrid120">
    <w:name w:val="Table Grid12"/>
    <w:basedOn w:val="TableNormal"/>
    <w:next w:val="TableGrid"/>
    <w:pPr>
      <w:spacing w:before="120"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pterTitle8">
    <w:name w:val="ChapterTitle"/>
    <w:basedOn w:val="Normal"/>
    <w:next w:val="Normal"/>
    <w:pPr>
      <w:keepNext/>
      <w:spacing w:after="360"/>
      <w:jc w:val="center"/>
    </w:pPr>
    <w:rPr>
      <w:b/>
      <w:sz w:val="32"/>
    </w:rPr>
  </w:style>
  <w:style w:type="paragraph" w:customStyle="1" w:styleId="PartTitle8">
    <w:name w:val="PartTitle"/>
    <w:basedOn w:val="Normal"/>
    <w:next w:val="ChapterTitle8"/>
    <w:pPr>
      <w:keepNext/>
      <w:pageBreakBefore/>
      <w:spacing w:after="360"/>
      <w:jc w:val="center"/>
    </w:pPr>
    <w:rPr>
      <w:b/>
      <w:sz w:val="36"/>
    </w:rPr>
  </w:style>
  <w:style w:type="paragraph" w:customStyle="1" w:styleId="ChapterTitle9">
    <w:name w:val="ChapterTitle"/>
    <w:basedOn w:val="Normal"/>
    <w:next w:val="Normal"/>
    <w:pPr>
      <w:keepNext/>
      <w:spacing w:after="360"/>
      <w:jc w:val="center"/>
    </w:pPr>
    <w:rPr>
      <w:b/>
      <w:sz w:val="32"/>
    </w:rPr>
  </w:style>
  <w:style w:type="paragraph" w:customStyle="1" w:styleId="PartTitle9">
    <w:name w:val="PartTitle"/>
    <w:basedOn w:val="Normal"/>
    <w:next w:val="ChapterTitle9"/>
    <w:pPr>
      <w:keepNext/>
      <w:pageBreakBefore/>
      <w:spacing w:after="360"/>
      <w:jc w:val="center"/>
    </w:pPr>
    <w:rPr>
      <w:b/>
      <w:sz w:val="36"/>
    </w:rPr>
  </w:style>
  <w:style w:type="paragraph" w:customStyle="1" w:styleId="ChapterTitlea">
    <w:name w:val="ChapterTitle"/>
    <w:basedOn w:val="Normal"/>
    <w:next w:val="Normal"/>
    <w:pPr>
      <w:keepNext/>
      <w:spacing w:after="360"/>
      <w:jc w:val="center"/>
    </w:pPr>
    <w:rPr>
      <w:b/>
      <w:sz w:val="32"/>
    </w:rPr>
  </w:style>
  <w:style w:type="paragraph" w:customStyle="1" w:styleId="PartTitlea">
    <w:name w:val="PartTitle"/>
    <w:basedOn w:val="Normal"/>
    <w:next w:val="ChapterTitlea"/>
    <w:pPr>
      <w:keepNext/>
      <w:pageBreakBefore/>
      <w:spacing w:after="360"/>
      <w:jc w:val="center"/>
    </w:pPr>
    <w:rPr>
      <w:b/>
      <w:sz w:val="36"/>
    </w:rPr>
  </w:style>
  <w:style w:type="paragraph" w:customStyle="1" w:styleId="ChapterTitleb">
    <w:name w:val="ChapterTitle"/>
    <w:basedOn w:val="Normal"/>
    <w:next w:val="Normal"/>
    <w:pPr>
      <w:keepNext/>
      <w:spacing w:after="360"/>
      <w:jc w:val="center"/>
    </w:pPr>
    <w:rPr>
      <w:b/>
      <w:sz w:val="32"/>
    </w:rPr>
  </w:style>
  <w:style w:type="paragraph" w:customStyle="1" w:styleId="PartTitleb">
    <w:name w:val="PartTitle"/>
    <w:basedOn w:val="Normal"/>
    <w:next w:val="ChapterTitleb"/>
    <w:pPr>
      <w:keepNext/>
      <w:pageBreakBefore/>
      <w:spacing w:after="360"/>
      <w:jc w:val="center"/>
    </w:pPr>
    <w:rPr>
      <w:b/>
      <w:sz w:val="36"/>
    </w:rPr>
  </w:style>
  <w:style w:type="paragraph" w:customStyle="1" w:styleId="ChapterTitlec">
    <w:name w:val="ChapterTitle"/>
    <w:basedOn w:val="Normal"/>
    <w:next w:val="Normal"/>
    <w:pPr>
      <w:keepNext/>
      <w:spacing w:after="360"/>
      <w:jc w:val="center"/>
    </w:pPr>
    <w:rPr>
      <w:b/>
      <w:sz w:val="32"/>
    </w:rPr>
  </w:style>
  <w:style w:type="paragraph" w:customStyle="1" w:styleId="PartTitlec">
    <w:name w:val="PartTitle"/>
    <w:basedOn w:val="Normal"/>
    <w:next w:val="ChapterTitlec"/>
    <w:pPr>
      <w:keepNext/>
      <w:pageBreakBefore/>
      <w:spacing w:after="360"/>
      <w:jc w:val="center"/>
    </w:pPr>
    <w:rPr>
      <w:b/>
      <w:sz w:val="36"/>
    </w:rPr>
  </w:style>
  <w:style w:type="paragraph" w:customStyle="1" w:styleId="ChapterTitled">
    <w:name w:val="ChapterTitle"/>
    <w:basedOn w:val="Normal"/>
    <w:next w:val="Normal"/>
    <w:pPr>
      <w:keepNext/>
      <w:spacing w:after="360"/>
      <w:jc w:val="center"/>
    </w:pPr>
    <w:rPr>
      <w:b/>
      <w:sz w:val="32"/>
    </w:rPr>
  </w:style>
  <w:style w:type="paragraph" w:customStyle="1" w:styleId="PartTitled">
    <w:name w:val="PartTitle"/>
    <w:basedOn w:val="Normal"/>
    <w:next w:val="ChapterTitled"/>
    <w:pPr>
      <w:keepNext/>
      <w:pageBreakBefore/>
      <w:spacing w:after="360"/>
      <w:jc w:val="center"/>
    </w:pPr>
    <w:rPr>
      <w:b/>
      <w:sz w:val="36"/>
    </w:rPr>
  </w:style>
  <w:style w:type="paragraph" w:customStyle="1" w:styleId="ChapterTitlee">
    <w:name w:val="ChapterTitle"/>
    <w:basedOn w:val="Normal"/>
    <w:next w:val="Normal"/>
    <w:pPr>
      <w:keepNext/>
      <w:spacing w:after="360"/>
      <w:jc w:val="center"/>
    </w:pPr>
    <w:rPr>
      <w:b/>
      <w:sz w:val="32"/>
    </w:rPr>
  </w:style>
  <w:style w:type="paragraph" w:customStyle="1" w:styleId="PartTitlee">
    <w:name w:val="PartTitle"/>
    <w:basedOn w:val="Normal"/>
    <w:next w:val="ChapterTitlee"/>
    <w:pPr>
      <w:keepNext/>
      <w:pageBreakBefore/>
      <w:spacing w:after="360"/>
      <w:jc w:val="center"/>
    </w:pPr>
    <w:rPr>
      <w:b/>
      <w:sz w:val="36"/>
    </w:rPr>
  </w:style>
  <w:style w:type="paragraph" w:customStyle="1" w:styleId="ChapterTitlef">
    <w:name w:val="ChapterTitle"/>
    <w:basedOn w:val="Normal"/>
    <w:next w:val="Normal"/>
    <w:pPr>
      <w:keepNext/>
      <w:spacing w:after="360"/>
      <w:jc w:val="center"/>
    </w:pPr>
    <w:rPr>
      <w:b/>
      <w:sz w:val="32"/>
    </w:rPr>
  </w:style>
  <w:style w:type="paragraph" w:customStyle="1" w:styleId="PartTitlef">
    <w:name w:val="PartTitle"/>
    <w:basedOn w:val="Normal"/>
    <w:next w:val="ChapterTitlef"/>
    <w:pPr>
      <w:keepNext/>
      <w:pageBreakBefore/>
      <w:spacing w:after="360"/>
      <w:jc w:val="center"/>
    </w:pPr>
    <w:rPr>
      <w:b/>
      <w:sz w:val="36"/>
    </w:rPr>
  </w:style>
  <w:style w:type="paragraph" w:customStyle="1" w:styleId="ChapterTitlef0">
    <w:name w:val="ChapterTitle"/>
    <w:basedOn w:val="Normal"/>
    <w:next w:val="Normal"/>
    <w:pPr>
      <w:keepNext/>
      <w:spacing w:after="360"/>
      <w:jc w:val="center"/>
    </w:pPr>
    <w:rPr>
      <w:b/>
      <w:sz w:val="32"/>
    </w:rPr>
  </w:style>
  <w:style w:type="paragraph" w:customStyle="1" w:styleId="PartTitlef0">
    <w:name w:val="PartTitle"/>
    <w:basedOn w:val="Normal"/>
    <w:next w:val="ChapterTitlef0"/>
    <w:pPr>
      <w:keepNext/>
      <w:pageBreakBefore/>
      <w:spacing w:after="360"/>
      <w:jc w:val="center"/>
    </w:pPr>
    <w:rPr>
      <w:b/>
      <w:sz w:val="36"/>
    </w:rPr>
  </w:style>
  <w:style w:type="paragraph" w:customStyle="1" w:styleId="ChapterTitlef1">
    <w:name w:val="ChapterTitle"/>
    <w:basedOn w:val="Normal"/>
    <w:next w:val="Normal"/>
    <w:pPr>
      <w:keepNext/>
      <w:spacing w:after="360"/>
      <w:jc w:val="center"/>
    </w:pPr>
    <w:rPr>
      <w:b/>
      <w:sz w:val="32"/>
    </w:rPr>
  </w:style>
  <w:style w:type="paragraph" w:customStyle="1" w:styleId="PartTitlef1">
    <w:name w:val="PartTitle"/>
    <w:basedOn w:val="Normal"/>
    <w:next w:val="ChapterTitlef1"/>
    <w:pPr>
      <w:keepNext/>
      <w:pageBreakBefore/>
      <w:spacing w:after="360"/>
      <w:jc w:val="center"/>
    </w:pPr>
    <w:rPr>
      <w:b/>
      <w:sz w:val="36"/>
    </w:rPr>
  </w:style>
  <w:style w:type="paragraph" w:customStyle="1" w:styleId="ChapterTitlef2">
    <w:name w:val="ChapterTitle"/>
    <w:basedOn w:val="Normal"/>
    <w:next w:val="Normal"/>
    <w:pPr>
      <w:keepNext/>
      <w:spacing w:after="360"/>
      <w:jc w:val="center"/>
    </w:pPr>
    <w:rPr>
      <w:b/>
      <w:sz w:val="32"/>
    </w:rPr>
  </w:style>
  <w:style w:type="paragraph" w:customStyle="1" w:styleId="PartTitlef2">
    <w:name w:val="PartTitle"/>
    <w:basedOn w:val="Normal"/>
    <w:next w:val="ChapterTitlef2"/>
    <w:pPr>
      <w:keepNext/>
      <w:pageBreakBefore/>
      <w:spacing w:after="360"/>
      <w:jc w:val="center"/>
    </w:pPr>
    <w:rPr>
      <w:b/>
      <w:sz w:val="36"/>
    </w:rPr>
  </w:style>
  <w:style w:type="paragraph" w:customStyle="1" w:styleId="ChapterTitlef3">
    <w:name w:val="ChapterTitle"/>
    <w:basedOn w:val="Normal"/>
    <w:next w:val="Normal"/>
    <w:pPr>
      <w:keepNext/>
      <w:spacing w:after="360"/>
      <w:jc w:val="center"/>
    </w:pPr>
    <w:rPr>
      <w:b/>
      <w:sz w:val="32"/>
    </w:rPr>
  </w:style>
  <w:style w:type="paragraph" w:customStyle="1" w:styleId="PartTitlef3">
    <w:name w:val="PartTitle"/>
    <w:basedOn w:val="Normal"/>
    <w:next w:val="ChapterTitlef3"/>
    <w:pPr>
      <w:keepNext/>
      <w:pageBreakBefore/>
      <w:spacing w:after="360"/>
      <w:jc w:val="center"/>
    </w:pPr>
    <w:rPr>
      <w:b/>
      <w:sz w:val="36"/>
    </w:rPr>
  </w:style>
  <w:style w:type="paragraph" w:customStyle="1" w:styleId="ChapterTitlef4">
    <w:name w:val="ChapterTitle"/>
    <w:basedOn w:val="Normal"/>
    <w:next w:val="Normal"/>
    <w:pPr>
      <w:keepNext/>
      <w:spacing w:after="360"/>
      <w:jc w:val="center"/>
    </w:pPr>
    <w:rPr>
      <w:b/>
      <w:sz w:val="32"/>
    </w:rPr>
  </w:style>
  <w:style w:type="paragraph" w:customStyle="1" w:styleId="PartTitlef4">
    <w:name w:val="PartTitle"/>
    <w:basedOn w:val="Normal"/>
    <w:next w:val="ChapterTitlef4"/>
    <w:pPr>
      <w:keepNext/>
      <w:pageBreakBefore/>
      <w:spacing w:after="360"/>
      <w:jc w:val="center"/>
    </w:pPr>
    <w:rPr>
      <w:b/>
      <w:sz w:val="36"/>
    </w:rPr>
  </w:style>
  <w:style w:type="paragraph" w:customStyle="1" w:styleId="ChapterTitlef5">
    <w:name w:val="ChapterTitle"/>
    <w:basedOn w:val="Normal"/>
    <w:next w:val="Normal"/>
    <w:pPr>
      <w:keepNext/>
      <w:spacing w:after="360"/>
      <w:jc w:val="center"/>
    </w:pPr>
    <w:rPr>
      <w:b/>
      <w:sz w:val="32"/>
    </w:rPr>
  </w:style>
  <w:style w:type="paragraph" w:customStyle="1" w:styleId="PartTitlef5">
    <w:name w:val="PartTitle"/>
    <w:basedOn w:val="Normal"/>
    <w:next w:val="ChapterTitlef5"/>
    <w:pPr>
      <w:keepNext/>
      <w:pageBreakBefore/>
      <w:spacing w:after="360"/>
      <w:jc w:val="center"/>
    </w:pPr>
    <w:rPr>
      <w:b/>
      <w:sz w:val="36"/>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fi-FI"/>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fi-F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f6">
    <w:name w:val="ChapterTitle"/>
    <w:basedOn w:val="Normal"/>
    <w:next w:val="Normal"/>
    <w:pPr>
      <w:keepNext/>
      <w:spacing w:after="360"/>
      <w:jc w:val="center"/>
    </w:pPr>
    <w:rPr>
      <w:b/>
      <w:sz w:val="32"/>
    </w:rPr>
  </w:style>
  <w:style w:type="paragraph" w:customStyle="1" w:styleId="PartTitlef6">
    <w:name w:val="PartTitle"/>
    <w:basedOn w:val="Normal"/>
    <w:next w:val="ChapterTitlef6"/>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35964">
      <w:bodyDiv w:val="1"/>
      <w:marLeft w:val="0"/>
      <w:marRight w:val="0"/>
      <w:marTop w:val="0"/>
      <w:marBottom w:val="0"/>
      <w:divBdr>
        <w:top w:val="none" w:sz="0" w:space="0" w:color="auto"/>
        <w:left w:val="none" w:sz="0" w:space="0" w:color="auto"/>
        <w:bottom w:val="none" w:sz="0" w:space="0" w:color="auto"/>
        <w:right w:val="none" w:sz="0" w:space="0" w:color="auto"/>
      </w:divBdr>
    </w:div>
    <w:div w:id="253826544">
      <w:bodyDiv w:val="1"/>
      <w:marLeft w:val="0"/>
      <w:marRight w:val="0"/>
      <w:marTop w:val="0"/>
      <w:marBottom w:val="0"/>
      <w:divBdr>
        <w:top w:val="none" w:sz="0" w:space="0" w:color="auto"/>
        <w:left w:val="none" w:sz="0" w:space="0" w:color="auto"/>
        <w:bottom w:val="none" w:sz="0" w:space="0" w:color="auto"/>
        <w:right w:val="none" w:sz="0" w:space="0" w:color="auto"/>
      </w:divBdr>
    </w:div>
    <w:div w:id="467093326">
      <w:bodyDiv w:val="1"/>
      <w:marLeft w:val="0"/>
      <w:marRight w:val="0"/>
      <w:marTop w:val="0"/>
      <w:marBottom w:val="0"/>
      <w:divBdr>
        <w:top w:val="none" w:sz="0" w:space="0" w:color="auto"/>
        <w:left w:val="none" w:sz="0" w:space="0" w:color="auto"/>
        <w:bottom w:val="none" w:sz="0" w:space="0" w:color="auto"/>
        <w:right w:val="none" w:sz="0" w:space="0" w:color="auto"/>
      </w:divBdr>
    </w:div>
    <w:div w:id="520629854">
      <w:bodyDiv w:val="1"/>
      <w:marLeft w:val="0"/>
      <w:marRight w:val="0"/>
      <w:marTop w:val="0"/>
      <w:marBottom w:val="0"/>
      <w:divBdr>
        <w:top w:val="none" w:sz="0" w:space="0" w:color="auto"/>
        <w:left w:val="none" w:sz="0" w:space="0" w:color="auto"/>
        <w:bottom w:val="none" w:sz="0" w:space="0" w:color="auto"/>
        <w:right w:val="none" w:sz="0" w:space="0" w:color="auto"/>
      </w:divBdr>
    </w:div>
    <w:div w:id="615866084">
      <w:bodyDiv w:val="1"/>
      <w:marLeft w:val="0"/>
      <w:marRight w:val="0"/>
      <w:marTop w:val="0"/>
      <w:marBottom w:val="0"/>
      <w:divBdr>
        <w:top w:val="none" w:sz="0" w:space="0" w:color="auto"/>
        <w:left w:val="none" w:sz="0" w:space="0" w:color="auto"/>
        <w:bottom w:val="none" w:sz="0" w:space="0" w:color="auto"/>
        <w:right w:val="none" w:sz="0" w:space="0" w:color="auto"/>
      </w:divBdr>
    </w:div>
    <w:div w:id="860049709">
      <w:bodyDiv w:val="1"/>
      <w:marLeft w:val="0"/>
      <w:marRight w:val="0"/>
      <w:marTop w:val="0"/>
      <w:marBottom w:val="0"/>
      <w:divBdr>
        <w:top w:val="none" w:sz="0" w:space="0" w:color="auto"/>
        <w:left w:val="none" w:sz="0" w:space="0" w:color="auto"/>
        <w:bottom w:val="none" w:sz="0" w:space="0" w:color="auto"/>
        <w:right w:val="none" w:sz="0" w:space="0" w:color="auto"/>
      </w:divBdr>
    </w:div>
    <w:div w:id="1578636179">
      <w:bodyDiv w:val="1"/>
      <w:marLeft w:val="0"/>
      <w:marRight w:val="0"/>
      <w:marTop w:val="0"/>
      <w:marBottom w:val="0"/>
      <w:divBdr>
        <w:top w:val="none" w:sz="0" w:space="0" w:color="auto"/>
        <w:left w:val="none" w:sz="0" w:space="0" w:color="auto"/>
        <w:bottom w:val="none" w:sz="0" w:space="0" w:color="auto"/>
        <w:right w:val="none" w:sz="0" w:space="0" w:color="auto"/>
      </w:divBdr>
    </w:div>
    <w:div w:id="176124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4.emf"/><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emf"/><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image" Target="media/image2.emf"/><Relationship Id="rId27" Type="http://schemas.openxmlformats.org/officeDocument/2006/relationships/header" Target="header7.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751F8-FA12-4EEF-8600-39871BF5E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3</TotalTime>
  <Pages>127</Pages>
  <Words>20916</Words>
  <Characters>165244</Characters>
  <Application>Microsoft Office Word</Application>
  <DocSecurity>0</DocSecurity>
  <Lines>4131</Lines>
  <Paragraphs>2298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183862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9</cp:revision>
  <cp:lastPrinted>2019-08-28T11:52:00Z</cp:lastPrinted>
  <dcterms:created xsi:type="dcterms:W3CDTF">2020-09-04T10:31:00Z</dcterms:created>
  <dcterms:modified xsi:type="dcterms:W3CDTF">2020-09-08T05:01:00Z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6.0.1.0</vt:lpwstr>
  </property>
  <property fmtid="{D5CDD505-2E9C-101B-9397-08002B2CF9AE}" pid="4" name="Last edited using">
    <vt:lpwstr>LW 7.0, Build 20190717</vt:lpwstr>
  </property>
  <property fmtid="{D5CDD505-2E9C-101B-9397-08002B2CF9AE}" pid="5" name="Created using">
    <vt:lpwstr>LW 6.0, Build 20171009</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