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bookmarkStart w:id="0" w:name="LW_BM_COVERPAG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alt="98632362-C428-468E-B37A-BEFF3B801D43" style="width:450.35pt;height:320.6pt">
            <v:imagedata r:id="rId9" o:title=""/>
          </v:shape>
        </w:pict>
      </w:r>
    </w:p>
    <w:bookmarkEnd w:id="0"/>
    <w:p>
      <w:pPr>
        <w:rPr>
          <w:noProof/>
        </w:rPr>
        <w:sectPr>
          <w:headerReference w:type="even" r:id="rId10"/>
          <w:headerReference w:type="default" r:id="rId11"/>
          <w:footerReference w:type="even" r:id="rId12"/>
          <w:footerReference w:type="default" r:id="rId13"/>
          <w:headerReference w:type="first" r:id="rId14"/>
          <w:footerReference w:type="first" r:id="rId15"/>
          <w:pgSz w:w="11907" w:h="16839"/>
          <w:pgMar w:top="1134" w:right="1417" w:bottom="1134" w:left="1417" w:header="709" w:footer="709" w:gutter="0"/>
          <w:pgNumType w:start="0"/>
          <w:cols w:space="720"/>
          <w:docGrid w:linePitch="360"/>
        </w:sectPr>
      </w:pPr>
    </w:p>
    <w:p>
      <w:pPr>
        <w:pStyle w:val="ManualHeading1"/>
        <w:numPr>
          <w:ilvl w:val="0"/>
          <w:numId w:val="1"/>
        </w:numPr>
        <w:rPr>
          <w:noProof/>
        </w:rPr>
      </w:pPr>
      <w:bookmarkStart w:id="1" w:name="_GoBack"/>
      <w:bookmarkEnd w:id="1"/>
      <w:r>
        <w:rPr>
          <w:noProof/>
        </w:rPr>
        <w:lastRenderedPageBreak/>
        <w:t>Uvod</w:t>
      </w:r>
    </w:p>
    <w:p>
      <w:pPr>
        <w:pStyle w:val="Text1"/>
        <w:rPr>
          <w:noProof/>
        </w:rPr>
      </w:pPr>
      <w:r>
        <w:rPr>
          <w:noProof/>
        </w:rPr>
        <w:t>Uredba o večletnem finančnem okviru (v nadaljnjem besedilu: uredba o VFO) za obdobje 2014–2020, kakor je bila nazadnje spremenjena z Uredbo Sveta (EU, Euratom) 2017/1123 z dne 20. junija 2017</w:t>
      </w:r>
      <w:r>
        <w:rPr>
          <w:rStyle w:val="FootnoteReference"/>
          <w:noProof/>
        </w:rPr>
        <w:footnoteReference w:id="2"/>
      </w:r>
      <w:r>
        <w:rPr>
          <w:noProof/>
        </w:rPr>
        <w:t xml:space="preserve"> in prilagojena, kakor je prikazano v tehnični prilagoditvi za leto 2019</w:t>
      </w:r>
      <w:r>
        <w:rPr>
          <w:rStyle w:val="FootnoteReference"/>
          <w:noProof/>
        </w:rPr>
        <w:footnoteReference w:id="3"/>
      </w:r>
      <w:r>
        <w:rPr>
          <w:noProof/>
        </w:rPr>
        <w:t>, vsebuje preglednico finančnega okvira za obdobje 2014–2020 v cenah iz leta 2011 (preglednica 1).</w:t>
      </w:r>
    </w:p>
    <w:p>
      <w:pPr>
        <w:pStyle w:val="Text1"/>
        <w:rPr>
          <w:noProof/>
        </w:rPr>
      </w:pPr>
      <w:r>
        <w:rPr>
          <w:noProof/>
        </w:rPr>
        <w:t>V skladu s členom 6(1) uredbe o VFO Komisija vsako leto pred začetkom proračunskega postopka za leto n+1 opravi tehnično prilagoditev večletnega finančnega okvira v skladu z gibanjem bruto nacionalnega dohodka (BND) EU in cen ter rezultate sporoči Svetu in Evropskemu parlamentu. Kar zadeva cene, so zgornje meje odhodkov v tekočih cenah določene na podlagi fiksnega 2-odstotnega letnega deflatorja, določenega v členu 6(2) uredbe o VFO. Kar zadeva gibanje BND, to sporočilo vključuje najnovejše razpoložljive gospodarske napovedi</w:t>
      </w:r>
      <w:r>
        <w:rPr>
          <w:rStyle w:val="FootnoteReference"/>
          <w:noProof/>
        </w:rPr>
        <w:footnoteReference w:id="4"/>
      </w:r>
      <w:r>
        <w:rPr>
          <w:noProof/>
        </w:rPr>
        <w:t>.</w:t>
      </w:r>
    </w:p>
    <w:p>
      <w:pPr>
        <w:pStyle w:val="Text1"/>
        <w:rPr>
          <w:noProof/>
        </w:rPr>
      </w:pPr>
      <w:r>
        <w:rPr>
          <w:noProof/>
        </w:rPr>
        <w:t>Obenem Komisija izračuna razliko, ki je na voljo do zgornje meje lastnih sredstev, določene na podlagi novega sklepa o sistemu virov lastnih sredstev iz leta 2014 (2014/335/EU, Euratom)</w:t>
      </w:r>
      <w:r>
        <w:rPr>
          <w:rStyle w:val="FootnoteReference"/>
          <w:noProof/>
        </w:rPr>
        <w:footnoteReference w:id="5"/>
      </w:r>
      <w:r>
        <w:rPr>
          <w:noProof/>
        </w:rPr>
        <w:t>, absolutni znesek varnostne rezerve iz člena 13 uredbe o VFO, skupno razliko v okviru zgornje meje za plačila iz člena 5, skupno razliko v okviru zgornje meje za obveznosti iz člena 14 ter zneske, ki se dajo na razpolago instrumentu prilagodljivosti na podlagi drugega pododstavka člena 11(1). Poleg tega se po prerazporeditvah med prvim stebrom in razvojem podeželja prilagodi posebna zgornja meja za razdelek 2 v zvezi z odhodki, povezanimi s trgom, in neposrednimi plačili.</w:t>
      </w:r>
    </w:p>
    <w:p>
      <w:pPr>
        <w:pStyle w:val="Text1"/>
        <w:rPr>
          <w:noProof/>
        </w:rPr>
      </w:pPr>
      <w:bookmarkStart w:id="2" w:name="_Toc360453126"/>
      <w:r>
        <w:rPr>
          <w:noProof/>
        </w:rPr>
        <w:t>Zaradi veljavnosti sklepa o sistemu virov lastnih sredstev iz leta 2014 so bile zgornje meje lastnih sredstev in zgornje meje odobritev za prevzem obveznosti prilagojene novim podatkom o BND v skladu z evropskim sistemom računov (ESR 2010). Najvišji znesek lastnih sredstev je zdaj določen v višini 1,20 % BND (prej: 1,23 %), najvišji znesek obveznosti pa v višini 1,26 % BND (prej: 1,29 %)</w:t>
      </w:r>
      <w:r>
        <w:rPr>
          <w:rStyle w:val="FootnoteReference"/>
          <w:noProof/>
        </w:rPr>
        <w:footnoteReference w:id="6"/>
      </w:r>
      <w:r>
        <w:rPr>
          <w:noProof/>
        </w:rPr>
        <w:t>.</w:t>
      </w:r>
    </w:p>
    <w:p>
      <w:pPr>
        <w:pStyle w:val="Text1"/>
        <w:rPr>
          <w:noProof/>
        </w:rPr>
      </w:pPr>
      <w:r>
        <w:rPr>
          <w:noProof/>
        </w:rPr>
        <w:t>Združeno kraljestvo je 29. marca 2017 v skladu s členom 50 Pogodbe o Evropski uniji (PEU) Evropski svet uradno obvestilo o svoji nameri, da bo izstopilo iz Evropske unije. Evropski svet je 21. marca 2019 v dogovoru z Združenim kraljestvom sklenil to obdobje</w:t>
      </w:r>
      <w:r>
        <w:rPr>
          <w:rStyle w:val="FootnoteReference"/>
          <w:noProof/>
        </w:rPr>
        <w:footnoteReference w:id="7"/>
      </w:r>
      <w:r>
        <w:rPr>
          <w:noProof/>
        </w:rPr>
        <w:t xml:space="preserve"> pod določenimi pogoji podaljšati, 11. aprila 2019 pa je sprejel sklep o dodatnem podaljšanju pod določenimi pogoji do 31. oktobra 2019</w:t>
      </w:r>
      <w:r>
        <w:rPr>
          <w:rStyle w:val="FootnoteReference"/>
          <w:noProof/>
        </w:rPr>
        <w:footnoteReference w:id="8"/>
      </w:r>
      <w:r>
        <w:rPr>
          <w:noProof/>
        </w:rPr>
        <w:t>, pri čemer Združeno kraljestvo v tem času ostane država članica Unije. V skladu s pogoji iz osnutka Sporazuma o izstopu Združenega kraljestva Velika Britanija in Severna Irska iz Evropske unije in Evropske skupnosti za atomsko energijo</w:t>
      </w:r>
      <w:r>
        <w:rPr>
          <w:rStyle w:val="FootnoteReference"/>
          <w:noProof/>
        </w:rPr>
        <w:footnoteReference w:id="9"/>
      </w:r>
      <w:r>
        <w:rPr>
          <w:noProof/>
        </w:rPr>
        <w:t>, o katerem sta Evropska unija in Združeno kraljestvo sprejela dogovor 25. novembra 2018, vendar še ni bil ratificiran, bi se Pogodbi za Združeno kraljestvo prenehali uporabljati 1. januarja 2021.</w:t>
      </w:r>
    </w:p>
    <w:p>
      <w:pPr>
        <w:pStyle w:val="Text1"/>
        <w:rPr>
          <w:noProof/>
        </w:rPr>
      </w:pPr>
      <w:r>
        <w:rPr>
          <w:noProof/>
        </w:rPr>
        <w:t>Namen tega sporočila je Svetu in Evropskemu parlamentu predstaviti rezultat tehničnih prilagoditev za leto 2020 v skladu s členom 6 uredbe o VFO.</w:t>
      </w:r>
    </w:p>
    <w:p>
      <w:pPr>
        <w:pStyle w:val="Text1"/>
        <w:ind w:left="0"/>
        <w:rPr>
          <w:noProof/>
        </w:rPr>
      </w:pPr>
    </w:p>
    <w:p>
      <w:pPr>
        <w:pStyle w:val="ManualHeading1"/>
        <w:rPr>
          <w:noProof/>
        </w:rPr>
      </w:pPr>
      <w:r>
        <w:rPr>
          <w:noProof/>
        </w:rPr>
        <w:t>2.</w:t>
      </w:r>
      <w:r>
        <w:rPr>
          <w:noProof/>
        </w:rPr>
        <w:tab/>
        <w:t>Pogoji prilagoditve preglednice VFO (Priloga – preglednici 1 in 2)</w:t>
      </w:r>
      <w:bookmarkEnd w:id="2"/>
    </w:p>
    <w:p>
      <w:pPr>
        <w:pStyle w:val="Text1"/>
        <w:rPr>
          <w:noProof/>
        </w:rPr>
      </w:pPr>
      <w:r>
        <w:rPr>
          <w:noProof/>
          <w:u w:val="single"/>
        </w:rPr>
        <w:t>Preglednica 1</w:t>
      </w:r>
      <w:r>
        <w:rPr>
          <w:noProof/>
        </w:rPr>
        <w:t xml:space="preserve"> prikazuje finančni okvir za EU-28 v cenah iz leta 2011, kakor je bil vključen v Prilogo I k uredbi o VFO in prilagojen v skladu s členom 3(1) in členom 5. </w:t>
      </w:r>
    </w:p>
    <w:p>
      <w:pPr>
        <w:pStyle w:val="Text1"/>
        <w:rPr>
          <w:noProof/>
        </w:rPr>
      </w:pPr>
      <w:r>
        <w:rPr>
          <w:noProof/>
          <w:u w:val="single"/>
        </w:rPr>
        <w:t>Preglednica 2</w:t>
      </w:r>
      <w:r>
        <w:rPr>
          <w:noProof/>
        </w:rPr>
        <w:t xml:space="preserve"> prikazuje finančni okvir za EU-28, prilagojen za leto 2020 (tj. v tekočih cenah). </w:t>
      </w:r>
    </w:p>
    <w:p>
      <w:pPr>
        <w:pStyle w:val="Text1"/>
        <w:rPr>
          <w:noProof/>
        </w:rPr>
      </w:pPr>
      <w:r>
        <w:rPr>
          <w:noProof/>
        </w:rPr>
        <w:t>Posodobljeni finančni okvir, izražen kot odstotek BND, vključuje najnovejše razpoložljive gospodarske napovedi (pomlad 2019), poleg tega pa je prilagojen v skladu s členom 3(1) in členom 5 uredbe o VFO.</w:t>
      </w:r>
    </w:p>
    <w:p>
      <w:pPr>
        <w:pStyle w:val="ManualHeading2"/>
        <w:rPr>
          <w:noProof/>
        </w:rPr>
      </w:pPr>
      <w:bookmarkStart w:id="3" w:name="_Toc360453127"/>
      <w:r>
        <w:rPr>
          <w:noProof/>
        </w:rPr>
        <w:t>2.1</w:t>
      </w:r>
      <w:r>
        <w:rPr>
          <w:noProof/>
        </w:rPr>
        <w:tab/>
        <w:t>Skupni znesek BND</w:t>
      </w:r>
      <w:bookmarkEnd w:id="3"/>
    </w:p>
    <w:p>
      <w:pPr>
        <w:pStyle w:val="Text1"/>
        <w:rPr>
          <w:noProof/>
        </w:rPr>
      </w:pPr>
      <w:r>
        <w:rPr>
          <w:noProof/>
        </w:rPr>
        <w:t>V skladu z najnovejšimi razpoložljivimi napovedmi se BND za leto 2020 določi v višini 16 989 408 milijonov EUR v tekočih cenah za EU-28. V skladu s členom 6(4) uredbe o VFO dodatne tehnične prilagoditve za zadevno leto, bodisi med zadevnim letom bodisi kot naknadni popravki v naslednjih letih, niso mogoče. Zato je bil zgolj informativno posodobljeni BND v skladu z ESR 2010 za leto 2014 določen v višini 14 063 162 milijonov EUR, za leto 2015 v višini 14 754 468 milijonov EUR, za leto 2016 v višini 14 902 144 milijonov EUR, za leto 2017 v višini 15 386 916 milijonov EUR, za leto 2018 v višini 15 886 713 milijonov EUR, za leto 2019 pa v višini 16 427 139 milijonov EUR. Iz istega razloga je zgornja meja lastnih sredstev, ki je trenutno določena na 1,20 % BND (po ESR 2010), v preglednici VFO iz priloge prilagojena šele z letom 2018. Za leto 2017 in prejšnja leta je zgornja meja lastnih sredstev prikazana na 1,23 % BND na podlagi ESR 95.</w:t>
      </w:r>
    </w:p>
    <w:p>
      <w:pPr>
        <w:pStyle w:val="ManualHeading2"/>
        <w:rPr>
          <w:noProof/>
        </w:rPr>
      </w:pPr>
      <w:bookmarkStart w:id="4" w:name="_Toc360453128"/>
      <w:r>
        <w:rPr>
          <w:noProof/>
        </w:rPr>
        <w:t>2.2</w:t>
      </w:r>
      <w:r>
        <w:rPr>
          <w:noProof/>
        </w:rPr>
        <w:tab/>
        <w:t xml:space="preserve">Glavni rezultati tehnične prilagoditve VFO za leto </w:t>
      </w:r>
      <w:bookmarkEnd w:id="4"/>
      <w:r>
        <w:rPr>
          <w:noProof/>
        </w:rPr>
        <w:t>2020</w:t>
      </w:r>
    </w:p>
    <w:p>
      <w:pPr>
        <w:pStyle w:val="Text1"/>
        <w:rPr>
          <w:noProof/>
        </w:rPr>
      </w:pPr>
      <w:r>
        <w:rPr>
          <w:noProof/>
        </w:rPr>
        <w:t>Skupna zgornja meja odobritev za prevzem obveznosti za leto 2020 (168 797 milijonov EUR) znaša 0,99 % BND.</w:t>
      </w:r>
    </w:p>
    <w:p>
      <w:pPr>
        <w:pStyle w:val="Text1"/>
        <w:rPr>
          <w:noProof/>
        </w:rPr>
      </w:pPr>
      <w:r>
        <w:rPr>
          <w:noProof/>
        </w:rPr>
        <w:t xml:space="preserve">Ustrezna skupna zgornja meja odobritev plačil (172 420 milijonov EUR) znaša 1,01 % BND. </w:t>
      </w:r>
    </w:p>
    <w:p>
      <w:pPr>
        <w:pStyle w:val="Text1"/>
        <w:rPr>
          <w:noProof/>
        </w:rPr>
      </w:pPr>
      <w:r>
        <w:rPr>
          <w:noProof/>
        </w:rPr>
        <w:t>Na podlagi najnovejših gospodarskih napovedi tako ostane do zgornje meje lastnih sredstev, ki znaša 1,20 %, razlika v višini 31 453 milijonov EUR (ali 0,19 % BND) za EU-28.</w:t>
      </w:r>
    </w:p>
    <w:p>
      <w:pPr>
        <w:pStyle w:val="ManualHeading2"/>
        <w:rPr>
          <w:noProof/>
        </w:rPr>
      </w:pPr>
      <w:r>
        <w:rPr>
          <w:noProof/>
        </w:rPr>
        <w:t>2.3</w:t>
      </w:r>
      <w:r>
        <w:rPr>
          <w:noProof/>
        </w:rPr>
        <w:tab/>
        <w:t>Prilagoditev posebne zgornje meje za razdelek 2</w:t>
      </w:r>
    </w:p>
    <w:p>
      <w:pPr>
        <w:pStyle w:val="Text1"/>
        <w:rPr>
          <w:noProof/>
        </w:rPr>
      </w:pPr>
      <w:r>
        <w:rPr>
          <w:noProof/>
        </w:rPr>
        <w:t>V skladu s členom 3(1) uredbe o VFO se posebna zgornja meja za razdelek 2 v zvezi z odhodki, povezanimi s trgom, in neposrednimi plačili (prvi steber) v obdobju 2014–2020 prilagodi po prerazporeditvah med prvim in drugim stebrom v skladu s pravnim aktom, ki določa te prerazporeditve. Skupni znesek zgornje meje za razdelek 2 se ne spremeni.</w:t>
      </w:r>
    </w:p>
    <w:p>
      <w:pPr>
        <w:pStyle w:val="Text1"/>
        <w:rPr>
          <w:noProof/>
        </w:rPr>
      </w:pPr>
      <w:r>
        <w:rPr>
          <w:noProof/>
        </w:rPr>
        <w:t>Prva prilagoditev: posebna zgornja meja za razdelek 2 je bila prvič prilagojena v okviru tehnične prilagoditve VFO za leto 2015</w:t>
      </w:r>
      <w:r>
        <w:rPr>
          <w:rStyle w:val="FootnoteReference"/>
          <w:noProof/>
        </w:rPr>
        <w:footnoteReference w:id="10"/>
      </w:r>
      <w:r>
        <w:rPr>
          <w:noProof/>
        </w:rPr>
        <w:t>. Ta prilagoditev, kot je podrobno prikazana v prvi preglednici spodaj, je bila vključena v Izvedbeno uredbo Komisije (EU) št. 367/2014 z dne 10. aprila 2014</w:t>
      </w:r>
      <w:r>
        <w:rPr>
          <w:rStyle w:val="FootnoteReference"/>
          <w:noProof/>
        </w:rPr>
        <w:footnoteReference w:id="11"/>
      </w:r>
      <w:r>
        <w:rPr>
          <w:noProof/>
        </w:rPr>
        <w:t xml:space="preserve">. </w:t>
      </w:r>
    </w:p>
    <w:p>
      <w:pPr>
        <w:pStyle w:val="Text1"/>
        <w:rPr>
          <w:noProof/>
        </w:rPr>
      </w:pPr>
      <w:r>
        <w:rPr>
          <w:noProof/>
        </w:rPr>
        <w:t>Druga prilagoditev: dva kroga prerazporeditev med stebroma skupne kmetijske politike (SKP) sta bila vključena v tehnično prilagoditev VFO za leto 2016</w:t>
      </w:r>
      <w:r>
        <w:rPr>
          <w:rStyle w:val="FootnoteReference"/>
          <w:noProof/>
        </w:rPr>
        <w:footnoteReference w:id="12"/>
      </w:r>
      <w:r>
        <w:rPr>
          <w:noProof/>
        </w:rPr>
        <w:t xml:space="preserve"> (glej drugo preglednico spodaj). Te prerazporeditve so v skladu s prožnostjo med stebroma iz člena 136a Uredbe Sveta (ES) št. 73/2009</w:t>
      </w:r>
      <w:r>
        <w:rPr>
          <w:rStyle w:val="FootnoteReference"/>
          <w:noProof/>
        </w:rPr>
        <w:footnoteReference w:id="13"/>
      </w:r>
      <w:r>
        <w:rPr>
          <w:noProof/>
        </w:rPr>
        <w:t xml:space="preserve"> in člena 14 Uredbe (EU) št. 1307/2013</w:t>
      </w:r>
      <w:r>
        <w:rPr>
          <w:rStyle w:val="FootnoteReference"/>
          <w:noProof/>
        </w:rPr>
        <w:footnoteReference w:id="14"/>
      </w:r>
      <w:r>
        <w:rPr>
          <w:noProof/>
        </w:rPr>
        <w:t xml:space="preserve"> ter ocenjenim rezultatom zmanjšanja neposrednih plačil iz člena 7(2) slednje uredbe. Prvi krog prerazporeditev je določen v Delegirani uredbi Komisije (EU) št. 994/2014 z dne 13. maja 2014</w:t>
      </w:r>
      <w:r>
        <w:rPr>
          <w:rStyle w:val="FootnoteReference"/>
          <w:noProof/>
        </w:rPr>
        <w:footnoteReference w:id="15"/>
      </w:r>
      <w:r>
        <w:rPr>
          <w:noProof/>
        </w:rPr>
        <w:t xml:space="preserve"> in vključen v Izvedbeno uredbo Komisije (EU) št. 1089/2014 z dne 16. oktobra 2014</w:t>
      </w:r>
      <w:r>
        <w:rPr>
          <w:rStyle w:val="FootnoteReference"/>
          <w:noProof/>
        </w:rPr>
        <w:footnoteReference w:id="16"/>
      </w:r>
      <w:r>
        <w:rPr>
          <w:noProof/>
        </w:rPr>
        <w:t>. Drugi krog prerazporeditev je določen v Delegirani uredbi Komisije (EU) št. 1378/2014 z dne 17. oktobra 2014</w:t>
      </w:r>
      <w:r>
        <w:rPr>
          <w:rStyle w:val="FootnoteReference"/>
          <w:noProof/>
        </w:rPr>
        <w:footnoteReference w:id="17"/>
      </w:r>
      <w:r>
        <w:rPr>
          <w:noProof/>
        </w:rPr>
        <w:t xml:space="preserve"> in vključen v Izvedbeno uredbo Komisije (EU) 2015/141 z dne 29. januarja 2015</w:t>
      </w:r>
      <w:r>
        <w:rPr>
          <w:rStyle w:val="FootnoteReference"/>
          <w:noProof/>
        </w:rPr>
        <w:footnoteReference w:id="18"/>
      </w:r>
      <w:r>
        <w:rPr>
          <w:noProof/>
        </w:rPr>
        <w:t>.</w:t>
      </w:r>
    </w:p>
    <w:p>
      <w:pPr>
        <w:pStyle w:val="Text1"/>
        <w:rPr>
          <w:noProof/>
        </w:rPr>
      </w:pPr>
      <w:r>
        <w:rPr>
          <w:noProof/>
        </w:rPr>
        <w:t>Nepredvidena manjša prilagoditev je bila opravljena, ko je bila zakonodaja za izvajanje pravil Unije o neposrednih plačilih v Walesu leta 2015 razveljavljena z odredbo nacionalnega sodišča. Ta sprememba je določena v Delegirani uredbi Komisije (EU) 2016/142 z dne 2. decembra 2015</w:t>
      </w:r>
      <w:r>
        <w:rPr>
          <w:rStyle w:val="FootnoteReference"/>
          <w:noProof/>
        </w:rPr>
        <w:footnoteReference w:id="19"/>
      </w:r>
      <w:r>
        <w:rPr>
          <w:noProof/>
        </w:rPr>
        <w:t xml:space="preserve"> in vključena v Izvedbeno uredbo Komisije (EU) 2016/257 z dne 24. februarja 2016</w:t>
      </w:r>
      <w:r>
        <w:rPr>
          <w:rStyle w:val="FootnoteReference"/>
          <w:noProof/>
        </w:rPr>
        <w:footnoteReference w:id="20"/>
      </w:r>
      <w:r>
        <w:rPr>
          <w:noProof/>
        </w:rPr>
        <w:t>.</w:t>
      </w:r>
    </w:p>
    <w:p>
      <w:pPr>
        <w:pStyle w:val="Text1"/>
        <w:rPr>
          <w:noProof/>
        </w:rPr>
      </w:pPr>
      <w:r>
        <w:rPr>
          <w:noProof/>
        </w:rPr>
        <w:t>Komisija je bila o pregledu prerazporeditev med stebroma za proračunski leti 2019 in 2020 obveščena do 1. avgusta 2017, pri čemer so prerazporeditve določene v Delegirani uredbi Komisije (EU) 2018/162 z dne 23. novembra 2017</w:t>
      </w:r>
      <w:r>
        <w:rPr>
          <w:rStyle w:val="FootnoteReference"/>
          <w:noProof/>
        </w:rPr>
        <w:footnoteReference w:id="21"/>
      </w:r>
      <w:r>
        <w:rPr>
          <w:noProof/>
        </w:rPr>
        <w:t xml:space="preserve"> in vključene v Izvedbeno uredbo Komisije (EU) 2018/288 z dne 19. februarja 2018</w:t>
      </w:r>
      <w:r>
        <w:rPr>
          <w:rStyle w:val="FootnoteReference"/>
          <w:noProof/>
        </w:rPr>
        <w:footnoteReference w:id="22"/>
      </w:r>
      <w:r>
        <w:rPr>
          <w:noProof/>
        </w:rPr>
        <w:t xml:space="preserve"> (glej četrto preglednico spodaj).</w:t>
      </w:r>
    </w:p>
    <w:p>
      <w:pPr>
        <w:pStyle w:val="Text1"/>
        <w:rPr>
          <w:noProof/>
        </w:rPr>
      </w:pPr>
      <w:r>
        <w:rPr>
          <w:noProof/>
        </w:rPr>
        <w:t>Rok za predložitev obvestil Komisiji za zadnji krog prerazporeditev znotraj tega VFO je bil 1. avgust 2018. Ena država članica je Komisijo obvestila o svoji odločitvi, da bo zmanjšala znesek neposrednih plačil, in o ocenjenem rezultatu zmanjšanja. Rezultat je bil določen v Delegirani uredbi Komisije (EU) 2019/71 z dne 9. novembra 2018</w:t>
      </w:r>
      <w:r>
        <w:rPr>
          <w:rStyle w:val="FootnoteReference"/>
          <w:noProof/>
        </w:rPr>
        <w:footnoteReference w:id="23"/>
      </w:r>
      <w:r>
        <w:rPr>
          <w:noProof/>
        </w:rPr>
        <w:t xml:space="preserve"> in vključen v Izvedbeno uredbo Komisije 2019/445 z dne 19. marca 2019</w:t>
      </w:r>
      <w:r>
        <w:rPr>
          <w:rStyle w:val="FootnoteReference"/>
          <w:noProof/>
        </w:rPr>
        <w:footnoteReference w:id="24"/>
      </w:r>
      <w:r>
        <w:rPr>
          <w:noProof/>
        </w:rPr>
        <w:t xml:space="preserve"> (glej peto preglednico spodaj).</w:t>
      </w:r>
    </w:p>
    <w:p>
      <w:pPr>
        <w:pStyle w:val="Text1"/>
        <w:ind w:left="0"/>
        <w:rPr>
          <w:noProof/>
        </w:rPr>
      </w:pPr>
    </w:p>
    <w:p>
      <w:pPr>
        <w:pStyle w:val="Text1"/>
        <w:ind w:left="0"/>
        <w:rPr>
          <w:noProof/>
        </w:rPr>
      </w:pPr>
      <w:r>
        <w:rPr>
          <w:noProof/>
          <w:lang w:val="en-GB" w:eastAsia="en-GB" w:bidi="ar-SA"/>
        </w:rPr>
        <w:drawing>
          <wp:inline distT="0" distB="0" distL="0" distR="0">
            <wp:extent cx="5761355" cy="4550579"/>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1355" cy="4550579"/>
                    </a:xfrm>
                    <a:prstGeom prst="rect">
                      <a:avLst/>
                    </a:prstGeom>
                    <a:noFill/>
                    <a:ln>
                      <a:noFill/>
                    </a:ln>
                  </pic:spPr>
                </pic:pic>
              </a:graphicData>
            </a:graphic>
          </wp:inline>
        </w:drawing>
      </w:r>
    </w:p>
    <w:p>
      <w:pPr>
        <w:pStyle w:val="Text1"/>
        <w:ind w:left="0"/>
        <w:rPr>
          <w:noProof/>
        </w:rPr>
      </w:pPr>
      <w:r>
        <w:rPr>
          <w:noProof/>
          <w:lang w:val="en-GB" w:eastAsia="en-GB" w:bidi="ar-SA"/>
        </w:rPr>
        <w:drawing>
          <wp:inline distT="0" distB="0" distL="0" distR="0">
            <wp:extent cx="5761355" cy="970602"/>
            <wp:effectExtent l="0" t="0" r="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1355" cy="970602"/>
                    </a:xfrm>
                    <a:prstGeom prst="rect">
                      <a:avLst/>
                    </a:prstGeom>
                    <a:noFill/>
                    <a:ln>
                      <a:noFill/>
                    </a:ln>
                  </pic:spPr>
                </pic:pic>
              </a:graphicData>
            </a:graphic>
          </wp:inline>
        </w:drawing>
      </w:r>
    </w:p>
    <w:p>
      <w:pPr>
        <w:pStyle w:val="Text1"/>
        <w:rPr>
          <w:noProof/>
        </w:rPr>
      </w:pPr>
      <w:r>
        <w:rPr>
          <w:noProof/>
        </w:rPr>
        <w:t>Spremembo posebne zgornje meje za razdelek 2 v tekočih cenah je treba zaradi tehnične prilagoditve preglednice VFO, ki vsebuje zneske v cenah iz leta 2011, pretvoriti v cene iz leta 2011. V ta namen se neto zneski najprej pretvorijo v cene iz leta 2011 z uporabo 2-odstotnega fiksnega deflatorja. Ta znesek se nato zaokroži navzgor, da se oblikuje prilagojena posebna zgornja meja, saj so zgornje meje VFO lahko izražene samo v milijonih eurov. Samo s tako zaokrožitvijo navzgor je mogoče zagotoviti, da je posebna zgornja meja VFO vedno višja od neto zneskov, ki so na voljo za odhodke v okviru Evropskega kmetijskega jamstvenega sklada (EKJS). Majhna razlika, ki pri tem nastane, ne pomeni razpoložljive razlike do zgornje meje, temveč nastane izključno kot posledica zaokrožitve, saj morajo biti vse številke v preglednici VFO izražene v milijonih eurov. Komisija bo za vsak letni proračun uporabila natančne neto zneske, ki so na voljo za odhodke EKJS. Enak pristop je bil uporabljen tudi pri prejšnjih tehničnih prilagoditvah VFO.</w:t>
      </w:r>
    </w:p>
    <w:p>
      <w:pPr>
        <w:pStyle w:val="Text1"/>
        <w:rPr>
          <w:noProof/>
        </w:rPr>
      </w:pPr>
      <w:r>
        <w:rPr>
          <w:noProof/>
        </w:rPr>
        <w:t>V spodnji preglednici je prikazan neto rezultat prerazporeditev med stebroma SKP in njihov učinek na posebno zgornjo mejo razdelka 2.</w:t>
      </w:r>
    </w:p>
    <w:p>
      <w:pPr>
        <w:pStyle w:val="Text1"/>
        <w:ind w:left="0"/>
        <w:rPr>
          <w:noProof/>
        </w:rPr>
      </w:pPr>
      <w:r>
        <w:rPr>
          <w:noProof/>
          <w:lang w:val="en-GB" w:eastAsia="en-GB" w:bidi="ar-SA"/>
        </w:rPr>
        <w:drawing>
          <wp:inline distT="0" distB="0" distL="0" distR="0">
            <wp:extent cx="5761355" cy="3440613"/>
            <wp:effectExtent l="0" t="0" r="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1355" cy="3440613"/>
                    </a:xfrm>
                    <a:prstGeom prst="rect">
                      <a:avLst/>
                    </a:prstGeom>
                    <a:noFill/>
                    <a:ln>
                      <a:noFill/>
                    </a:ln>
                  </pic:spPr>
                </pic:pic>
              </a:graphicData>
            </a:graphic>
          </wp:inline>
        </w:drawing>
      </w:r>
    </w:p>
    <w:p>
      <w:pPr>
        <w:pStyle w:val="Text1"/>
        <w:rPr>
          <w:noProof/>
        </w:rPr>
      </w:pPr>
    </w:p>
    <w:p>
      <w:pPr>
        <w:pStyle w:val="ManualHeading1"/>
        <w:rPr>
          <w:noProof/>
        </w:rPr>
      </w:pPr>
      <w:bookmarkStart w:id="5" w:name="_Toc360453129"/>
      <w:r>
        <w:rPr>
          <w:noProof/>
        </w:rPr>
        <w:t>3.</w:t>
      </w:r>
      <w:r>
        <w:rPr>
          <w:noProof/>
        </w:rPr>
        <w:tab/>
        <w:t>Skupna razlika v okviru zgornje meje za plačila</w:t>
      </w:r>
      <w:bookmarkEnd w:id="5"/>
    </w:p>
    <w:p>
      <w:pPr>
        <w:pStyle w:val="Text1"/>
        <w:rPr>
          <w:noProof/>
        </w:rPr>
      </w:pPr>
      <w:r>
        <w:rPr>
          <w:noProof/>
        </w:rPr>
        <w:t>Na podlagi člena 5 uredbe o VFO Komisija prilagodi zgornjo mejo za plačila za obdobje 2015–2020 navzgor za znesek, ki ustreza razliki med izvršenimi plačili in zgornjo mejo za plačila VFO leta n–1. Vsaka prilagoditev navzgor se v celoti izravna z ustreznim znižanjem zgornje meje za plačila za leto n–1 v stalnih cenah iz leta 2011.</w:t>
      </w:r>
    </w:p>
    <w:p>
      <w:pPr>
        <w:pStyle w:val="Text1"/>
        <w:rPr>
          <w:noProof/>
        </w:rPr>
      </w:pPr>
      <w:r>
        <w:rPr>
          <w:noProof/>
        </w:rPr>
        <w:t>Pri tehnični prilagoditvi za leto 2016 je bila preostala razlika do zgornje meje za leto 2014 (104 milijoni EUR v tekočih cenah) prenesena v leto 2015 (106 milijonov EUR v tekočih cenah), zgornje meje pa so bile ustrezno prilagojene. Pri tehnični prilagoditvi za leto 2017 je bila preostala razlika do zgornje meje za leto 2015 (1 288 milijonov EUR) prenesena v obdobje 2018–2020. Pri tehnični prilagoditvi za leto 2018 je bila preostala razlika do zgornje meje za leto 2016 (13 991 milijonov EUR) prenesena v obdobje 2018–2020. Pri tehnični prilagoditvi za leto 2019 je bila preostala razlika do zgornje meje za leto 2017 (16 414 milijonov EUR) prenesena v obdobje 2019–2020. Pri letošnji tehnični prilagoditvi se izračuna skupna razlika v okviru zgornje meje za plačila za leto 2018.</w:t>
      </w:r>
    </w:p>
    <w:p>
      <w:pPr>
        <w:pStyle w:val="Text1"/>
        <w:rPr>
          <w:noProof/>
        </w:rPr>
      </w:pPr>
      <w:r>
        <w:rPr>
          <w:noProof/>
        </w:rPr>
        <w:t xml:space="preserve">Plačila za druge posebne instrumente se obravnavajo, kot da presegajo zgornje meje VFO. Zgornja meja za plačila za leto 2018 je znašala 154 565 milijonov EUR v tekočih cenah. Plačila, izvršena v letu 2018, znašajo 144 369,8 milijona EUR. Ta znesek vključuje izvršena plačila v okviru odobritev plačil, odobrenih v proračunu za leto 2018 (142 694,6 milijona EUR), in prenose iz leta 2018 v leto 2019 (1 675,1 milijona EUR). Plačila za posebne instrumente so izključena iz izvršenih plačil (1 060,8 milijona EUR, od tega 1 060,6 milijona EUR izvršenih in 0,2 milijona EUR prenesenih). Zato se pri izračunu skupne razlike v okviru zgornje meje za plačila upošteva znesek izvrševanja v višini 143 309,0 milijona EUR (142 694,6 milijona EUR + 1 675,1 milijona EUR – 1 060,8 milijona EUR). </w:t>
      </w:r>
    </w:p>
    <w:p>
      <w:pPr>
        <w:pStyle w:val="Text1"/>
        <w:rPr>
          <w:noProof/>
        </w:rPr>
      </w:pPr>
      <w:r>
        <w:rPr>
          <w:noProof/>
        </w:rPr>
        <w:t>Vsi prenosi iz leta 2017 v leto 2018 so bili za namene izračuna skupne razlike v okviru zgornje meje za plačila za leto 2017 obravnavani kot izvršeni, vendar vsi dejansko niso bili izvršeni. Zato je zapadle prenose treba dodati k izračunu, saj dejansko pomenijo nezadostno izvrševanje. Zapadli prenosi iz leta 2017 v leto 2018 znašajo 129,7 milijona EUR, od tega 0,07 milijona EUR za posebne instrumente. Skupni upoštevani znesek zapadlih prenosov tako znaša 129,6 milijona EUR.</w:t>
      </w:r>
    </w:p>
    <w:p>
      <w:pPr>
        <w:pStyle w:val="Text1"/>
        <w:rPr>
          <w:noProof/>
        </w:rPr>
      </w:pPr>
      <w:r>
        <w:rPr>
          <w:noProof/>
        </w:rPr>
        <w:t>Preostala razlika v okviru zgornje meje za plačila za leto 2018 znaša 11 385,5 milijona EUR v tekočih cenah (tj. 154 566 milijonov EUR – 143 309,0 milijona EUR + 129,6 milijona EUR).</w:t>
      </w:r>
    </w:p>
    <w:p>
      <w:pPr>
        <w:pStyle w:val="Text1"/>
        <w:rPr>
          <w:noProof/>
        </w:rPr>
      </w:pPr>
      <w:r>
        <w:rPr>
          <w:noProof/>
        </w:rPr>
        <w:t>Zaradi prenosov skupne razlike v okviru zgornje meje za plačila v prejšnjih letih se v leto 2020 prenese le 183 milijonov EUR (v cenah iz leta 2011), tj. preostali znesek pod pragom, ki znaša 13 milijard EUR. To pomeni, da se skupna zgornja meja za plačila za obdobje 2014–2020 v cenah iz leta 2011 ne spremeni, v tekočih cenah pa se skupna zgornja meja za plačila poveča za 9 milijonov EUR.</w:t>
      </w:r>
    </w:p>
    <w:p>
      <w:pPr>
        <w:pStyle w:val="Text1"/>
        <w:rPr>
          <w:noProof/>
        </w:rPr>
      </w:pPr>
      <w:r>
        <w:rPr>
          <w:noProof/>
        </w:rPr>
        <w:t>V spodnji preglednici je podroben pregled izračuna skupne razlike v okviru zgornje meje za plačila za leto 2018:</w:t>
      </w:r>
    </w:p>
    <w:p>
      <w:pPr>
        <w:pStyle w:val="Text1"/>
        <w:ind w:left="0"/>
        <w:jc w:val="center"/>
        <w:rPr>
          <w:noProof/>
        </w:rPr>
      </w:pPr>
      <w:r>
        <w:rPr>
          <w:noProof/>
          <w:lang w:val="en-GB" w:eastAsia="en-GB" w:bidi="ar-SA"/>
        </w:rPr>
        <w:drawing>
          <wp:inline distT="0" distB="0" distL="0" distR="0">
            <wp:extent cx="5761355" cy="6649434"/>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1355" cy="6649434"/>
                    </a:xfrm>
                    <a:prstGeom prst="rect">
                      <a:avLst/>
                    </a:prstGeom>
                    <a:noFill/>
                    <a:ln>
                      <a:noFill/>
                    </a:ln>
                  </pic:spPr>
                </pic:pic>
              </a:graphicData>
            </a:graphic>
          </wp:inline>
        </w:drawing>
      </w:r>
    </w:p>
    <w:p>
      <w:pPr>
        <w:pStyle w:val="Text1"/>
        <w:keepNext/>
        <w:ind w:left="851"/>
        <w:rPr>
          <w:noProof/>
        </w:rPr>
      </w:pPr>
      <w:r>
        <w:rPr>
          <w:noProof/>
        </w:rPr>
        <w:t>V spodnji preglednici so prikazane ustrezne prilagoditve zgornjih mej za plačila:</w:t>
      </w:r>
    </w:p>
    <w:p>
      <w:pPr>
        <w:pStyle w:val="Text1"/>
        <w:ind w:left="0"/>
        <w:jc w:val="center"/>
        <w:rPr>
          <w:noProof/>
        </w:rPr>
      </w:pPr>
      <w:bookmarkStart w:id="6" w:name="_Toc360453132"/>
      <w:r>
        <w:rPr>
          <w:noProof/>
          <w:lang w:val="en-GB" w:eastAsia="en-GB" w:bidi="ar-SA"/>
        </w:rPr>
        <w:drawing>
          <wp:inline distT="0" distB="0" distL="0" distR="0">
            <wp:extent cx="5761355" cy="5327207"/>
            <wp:effectExtent l="0" t="0" r="0" b="69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61355" cy="5327207"/>
                    </a:xfrm>
                    <a:prstGeom prst="rect">
                      <a:avLst/>
                    </a:prstGeom>
                    <a:noFill/>
                    <a:ln>
                      <a:noFill/>
                    </a:ln>
                  </pic:spPr>
                </pic:pic>
              </a:graphicData>
            </a:graphic>
          </wp:inline>
        </w:drawing>
      </w:r>
    </w:p>
    <w:p>
      <w:pPr>
        <w:pStyle w:val="Text1"/>
        <w:ind w:left="0"/>
        <w:jc w:val="center"/>
        <w:rPr>
          <w:noProof/>
        </w:rPr>
      </w:pPr>
    </w:p>
    <w:p>
      <w:pPr>
        <w:pStyle w:val="ManualHeading1"/>
        <w:rPr>
          <w:noProof/>
        </w:rPr>
      </w:pPr>
      <w:r>
        <w:rPr>
          <w:noProof/>
        </w:rPr>
        <w:t>4.</w:t>
      </w:r>
      <w:r>
        <w:rPr>
          <w:noProof/>
        </w:rPr>
        <w:tab/>
        <w:t>Posebni instrumenti</w:t>
      </w:r>
      <w:bookmarkEnd w:id="6"/>
    </w:p>
    <w:p>
      <w:pPr>
        <w:pStyle w:val="Text1"/>
        <w:rPr>
          <w:noProof/>
        </w:rPr>
      </w:pPr>
      <w:r>
        <w:rPr>
          <w:noProof/>
        </w:rPr>
        <w:t>Nad zgornjimi mejami odhodkov, dogovorjenimi v finančnem okviru za obdobje 2014–2020, je na voljo več instrumentov. Namen teh instrumentov je zagotoviti hitro ukrepanje v primeru izjemnih ali nepredvidenih dogodkov ter znotraj določenih meja omogočiti nekaj prilagodljivosti nad dogovorjenimi zgornjimi mejami odhodkov.</w:t>
      </w:r>
    </w:p>
    <w:p>
      <w:pPr>
        <w:pStyle w:val="Text1"/>
        <w:rPr>
          <w:noProof/>
        </w:rPr>
      </w:pPr>
    </w:p>
    <w:p>
      <w:pPr>
        <w:pStyle w:val="ManualHeading2"/>
        <w:rPr>
          <w:noProof/>
        </w:rPr>
      </w:pPr>
      <w:bookmarkStart w:id="7" w:name="_Toc360453133"/>
      <w:r>
        <w:rPr>
          <w:noProof/>
        </w:rPr>
        <w:t>4.1</w:t>
      </w:r>
      <w:r>
        <w:rPr>
          <w:noProof/>
        </w:rPr>
        <w:tab/>
        <w:t>Rezerva za nujno pomoč</w:t>
      </w:r>
      <w:bookmarkEnd w:id="7"/>
    </w:p>
    <w:p>
      <w:pPr>
        <w:pStyle w:val="Text1"/>
        <w:rPr>
          <w:noProof/>
        </w:rPr>
      </w:pPr>
      <w:r>
        <w:rPr>
          <w:noProof/>
        </w:rPr>
        <w:t xml:space="preserve">V skladu s členom 9 spremenjene uredbe o VFO se lahko iz </w:t>
      </w:r>
      <w:r>
        <w:rPr>
          <w:i/>
          <w:noProof/>
        </w:rPr>
        <w:t>rezerve za nujno pomoč</w:t>
      </w:r>
      <w:r>
        <w:rPr>
          <w:noProof/>
        </w:rPr>
        <w:t xml:space="preserve"> zagotovi največ 300 milijonov EUR na leto v cenah iz leta 2011; v letu 2020 to pomeni 358,5 milijona EUR v tekočih cenah (2 301,4 milijona EUR za celotno obdobje v tekočih cenah). Del neporabljenega zneska iz prejšnjega leta se lahko prenese v naslednje leto. Prenos iz leta 2018 v leto 2019 znaša 34,1 milijona EUR.</w:t>
      </w:r>
    </w:p>
    <w:p>
      <w:pPr>
        <w:pStyle w:val="Text1"/>
        <w:rPr>
          <w:noProof/>
        </w:rPr>
      </w:pPr>
      <w:r>
        <w:rPr>
          <w:noProof/>
        </w:rPr>
        <w:t>V spodnji preglednici je podroben pregled razpoložljivih sredstev in uporabe rezerve za nujno pomoč po letih od leta 2014:</w:t>
      </w:r>
    </w:p>
    <w:p>
      <w:pPr>
        <w:pStyle w:val="ManualHeading2"/>
        <w:rPr>
          <w:noProof/>
        </w:rPr>
      </w:pPr>
      <w:bookmarkStart w:id="8" w:name="_Toc360453134"/>
      <w:r>
        <w:rPr>
          <w:noProof/>
          <w:lang w:val="en-GB" w:eastAsia="en-GB" w:bidi="ar-SA"/>
        </w:rPr>
        <w:drawing>
          <wp:inline distT="0" distB="0" distL="0" distR="0">
            <wp:extent cx="5761355" cy="1249270"/>
            <wp:effectExtent l="0" t="0" r="0" b="825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61355" cy="1249270"/>
                    </a:xfrm>
                    <a:prstGeom prst="rect">
                      <a:avLst/>
                    </a:prstGeom>
                    <a:noFill/>
                    <a:ln>
                      <a:noFill/>
                    </a:ln>
                  </pic:spPr>
                </pic:pic>
              </a:graphicData>
            </a:graphic>
          </wp:inline>
        </w:drawing>
      </w:r>
    </w:p>
    <w:p>
      <w:pPr>
        <w:pStyle w:val="ManualHeading2"/>
        <w:rPr>
          <w:noProof/>
        </w:rPr>
      </w:pPr>
      <w:r>
        <w:rPr>
          <w:noProof/>
        </w:rPr>
        <w:t>4.2</w:t>
      </w:r>
      <w:r>
        <w:rPr>
          <w:noProof/>
        </w:rPr>
        <w:tab/>
        <w:t>Solidarnostni sklad Evropske unije</w:t>
      </w:r>
      <w:bookmarkEnd w:id="8"/>
    </w:p>
    <w:p>
      <w:pPr>
        <w:pStyle w:val="Text1"/>
        <w:rPr>
          <w:noProof/>
        </w:rPr>
      </w:pPr>
      <w:r>
        <w:rPr>
          <w:noProof/>
        </w:rPr>
        <w:t xml:space="preserve">V skladu s členom 10 uredbe o VFO se lahko iz </w:t>
      </w:r>
      <w:r>
        <w:rPr>
          <w:i/>
          <w:noProof/>
        </w:rPr>
        <w:t>Solidarnostnega sklada EU</w:t>
      </w:r>
      <w:r>
        <w:rPr>
          <w:noProof/>
        </w:rPr>
        <w:t xml:space="preserve"> zagotovi največ 500 milijonov EUR na leto v cenah iz leta 2011; v letu 2020 to pomeni 597,5 milijona EUR v tekočih cenah (3 944,7 milijona EUR za celotno obdobje v tekočih cenah). Del neporabljenega zneska iz prejšnjega leta se lahko prenese v naslednje leto. Prenos iz leta 2018 v leto 2019 znaša 265,3 milijona EUR. Konec leta 2018 ni zapadel noben znesek. 294 milijonov EUR sredstev za leto 2018 je bilo izplačanih že leta 2017, da bi se zagotovila zadostna sredstva glede na potrebe (potres v Italiji).</w:t>
      </w:r>
    </w:p>
    <w:p>
      <w:pPr>
        <w:pStyle w:val="Text1"/>
        <w:rPr>
          <w:noProof/>
        </w:rPr>
      </w:pPr>
      <w:r>
        <w:rPr>
          <w:noProof/>
        </w:rPr>
        <w:t>V spodnji preglednici je podroben pregled razpoložljivih sredstev in uporabe Solidarnostnega sklada Evropske unije po letih od leta 2014:</w:t>
      </w:r>
    </w:p>
    <w:p>
      <w:pPr>
        <w:pStyle w:val="ManualHeading2"/>
        <w:rPr>
          <w:noProof/>
        </w:rPr>
      </w:pPr>
      <w:bookmarkStart w:id="9" w:name="_Toc360453135"/>
      <w:r>
        <w:rPr>
          <w:noProof/>
          <w:lang w:val="en-GB" w:eastAsia="en-GB" w:bidi="ar-SA"/>
        </w:rPr>
        <w:drawing>
          <wp:inline distT="0" distB="0" distL="0" distR="0">
            <wp:extent cx="5761355" cy="1389483"/>
            <wp:effectExtent l="0" t="0" r="0" b="12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61355" cy="1389483"/>
                    </a:xfrm>
                    <a:prstGeom prst="rect">
                      <a:avLst/>
                    </a:prstGeom>
                    <a:noFill/>
                    <a:ln>
                      <a:noFill/>
                    </a:ln>
                  </pic:spPr>
                </pic:pic>
              </a:graphicData>
            </a:graphic>
          </wp:inline>
        </w:drawing>
      </w:r>
    </w:p>
    <w:p>
      <w:pPr>
        <w:pStyle w:val="ManualHeading2"/>
        <w:rPr>
          <w:noProof/>
        </w:rPr>
      </w:pPr>
      <w:r>
        <w:rPr>
          <w:noProof/>
        </w:rPr>
        <w:t>4.3</w:t>
      </w:r>
      <w:r>
        <w:rPr>
          <w:noProof/>
        </w:rPr>
        <w:tab/>
        <w:t>Instrument prilagodljivosti</w:t>
      </w:r>
      <w:bookmarkEnd w:id="9"/>
    </w:p>
    <w:p>
      <w:pPr>
        <w:pStyle w:val="Text1"/>
        <w:rPr>
          <w:noProof/>
        </w:rPr>
      </w:pPr>
      <w:r>
        <w:rPr>
          <w:noProof/>
        </w:rPr>
        <w:t xml:space="preserve">V skladu s členom 11 spremenjene uredbe o VFO se lahko iz </w:t>
      </w:r>
      <w:r>
        <w:rPr>
          <w:i/>
          <w:noProof/>
        </w:rPr>
        <w:t>instrumenta prilagodljivosti</w:t>
      </w:r>
      <w:r>
        <w:rPr>
          <w:noProof/>
        </w:rPr>
        <w:t xml:space="preserve"> zagotovi</w:t>
      </w:r>
      <w:r>
        <w:rPr>
          <w:i/>
          <w:noProof/>
        </w:rPr>
        <w:t xml:space="preserve"> </w:t>
      </w:r>
      <w:r>
        <w:rPr>
          <w:noProof/>
        </w:rPr>
        <w:t>največ 600 milijonov EUR na leto v cenah iz leta 2011; v letu 2020 to pomeni 717 milijonov EUR v tekočih cenah (4 315 milijonov EUR za celotno obdobje v tekočih cenah). Del neporabljenega letnega zneska iz prejšnjih 3 let se lahko prenese v naslednje leto.</w:t>
      </w:r>
    </w:p>
    <w:p>
      <w:pPr>
        <w:pStyle w:val="Text1"/>
        <w:rPr>
          <w:noProof/>
        </w:rPr>
      </w:pPr>
      <w:r>
        <w:rPr>
          <w:noProof/>
        </w:rPr>
        <w:t xml:space="preserve">V skladu s členom 6(1)(f), ki se sklicuje na drugi pododstavek člena 11(1), se </w:t>
      </w:r>
      <w:r>
        <w:rPr>
          <w:i/>
          <w:noProof/>
        </w:rPr>
        <w:t>letni znesek, ki je na razpolago za instrument prilagodljivosti, od leta 2017 vsako leto poveča za</w:t>
      </w:r>
      <w:r>
        <w:rPr>
          <w:noProof/>
        </w:rPr>
        <w:t xml:space="preserve"> zneska, enaka delu letnega zneska za Solidarnostni sklad Evropske unije in Evropski sklad za prilagoditev globalizaciji, ki sta zapadla v prejšnjem letu. </w:t>
      </w:r>
    </w:p>
    <w:p>
      <w:pPr>
        <w:pStyle w:val="Text1"/>
        <w:rPr>
          <w:noProof/>
        </w:rPr>
      </w:pPr>
      <w:r>
        <w:rPr>
          <w:noProof/>
        </w:rPr>
        <w:t>V spodnji preglednici je podroben pregled razpoložljivih sredstev in uporabe instrumenta prilagodljivosti po letih od leta 2014:</w:t>
      </w:r>
    </w:p>
    <w:p>
      <w:pPr>
        <w:pStyle w:val="Text1"/>
        <w:ind w:left="0"/>
        <w:rPr>
          <w:noProof/>
        </w:rPr>
      </w:pPr>
      <w:r>
        <w:rPr>
          <w:noProof/>
          <w:lang w:val="en-GB" w:eastAsia="en-GB" w:bidi="ar-SA"/>
        </w:rPr>
        <w:drawing>
          <wp:inline distT="0" distB="0" distL="0" distR="0">
            <wp:extent cx="5761355" cy="178038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61355" cy="1780380"/>
                    </a:xfrm>
                    <a:prstGeom prst="rect">
                      <a:avLst/>
                    </a:prstGeom>
                    <a:noFill/>
                    <a:ln>
                      <a:noFill/>
                    </a:ln>
                  </pic:spPr>
                </pic:pic>
              </a:graphicData>
            </a:graphic>
          </wp:inline>
        </w:drawing>
      </w:r>
      <w:r>
        <w:rPr>
          <w:noProof/>
        </w:rPr>
        <w:t xml:space="preserve"> </w:t>
      </w:r>
    </w:p>
    <w:p>
      <w:pPr>
        <w:pStyle w:val="ManualHeading2"/>
        <w:rPr>
          <w:noProof/>
        </w:rPr>
      </w:pPr>
      <w:bookmarkStart w:id="10" w:name="_Toc360453136"/>
      <w:r>
        <w:rPr>
          <w:noProof/>
        </w:rPr>
        <w:t>4.4</w:t>
      </w:r>
      <w:r>
        <w:rPr>
          <w:noProof/>
        </w:rPr>
        <w:tab/>
        <w:t>Evropski sklad za prilagoditev globalizaciji</w:t>
      </w:r>
      <w:bookmarkEnd w:id="10"/>
    </w:p>
    <w:p>
      <w:pPr>
        <w:pStyle w:val="Text1"/>
        <w:rPr>
          <w:noProof/>
        </w:rPr>
      </w:pPr>
      <w:r>
        <w:rPr>
          <w:noProof/>
        </w:rPr>
        <w:t xml:space="preserve">V skladu s členom 12 uredbe o VFO se lahko iz </w:t>
      </w:r>
      <w:r>
        <w:rPr>
          <w:i/>
          <w:noProof/>
        </w:rPr>
        <w:t>Evropskega sklada za prilagoditev globalizaciji</w:t>
      </w:r>
      <w:r>
        <w:rPr>
          <w:noProof/>
        </w:rPr>
        <w:t xml:space="preserve"> zagotovi največ 150 milijonov EUR na leto v cenah iz leta 2011; v letu 2020 to pomeni 179,3 milijona EUR v tekočih cenah (1 183,4 milijona EUR za celotno obdobje v tekočih cenah). Neporabljenih zneskov iz prejšnjega leta ni mogoče prenesti v naslednje leto. Znesek v višini 144 milijonov EUR, ki je zapadel konec leta 2018, se uporabi za povečanje instrumenta prilagodljivosti v letu 2019.</w:t>
      </w:r>
    </w:p>
    <w:p>
      <w:pPr>
        <w:pStyle w:val="Text1"/>
        <w:rPr>
          <w:noProof/>
        </w:rPr>
      </w:pPr>
      <w:r>
        <w:rPr>
          <w:noProof/>
        </w:rPr>
        <w:t>V spodnji preglednici je podroben pregled razpoložljivih sredstev in uporabe Evropskega sklada za prilagoditev globalizaciji po letih od leta 2014:</w:t>
      </w:r>
    </w:p>
    <w:p>
      <w:pPr>
        <w:pStyle w:val="ManualHeading2"/>
        <w:rPr>
          <w:noProof/>
        </w:rPr>
      </w:pPr>
      <w:bookmarkStart w:id="11" w:name="_Toc360453137"/>
      <w:r>
        <w:rPr>
          <w:noProof/>
          <w:lang w:val="en-GB" w:eastAsia="en-GB" w:bidi="ar-SA"/>
        </w:rPr>
        <w:drawing>
          <wp:inline distT="0" distB="0" distL="0" distR="0">
            <wp:extent cx="5761355" cy="975741"/>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61355" cy="975741"/>
                    </a:xfrm>
                    <a:prstGeom prst="rect">
                      <a:avLst/>
                    </a:prstGeom>
                    <a:noFill/>
                    <a:ln>
                      <a:noFill/>
                    </a:ln>
                  </pic:spPr>
                </pic:pic>
              </a:graphicData>
            </a:graphic>
          </wp:inline>
        </w:drawing>
      </w:r>
    </w:p>
    <w:p>
      <w:pPr>
        <w:pStyle w:val="ManualHeading2"/>
        <w:rPr>
          <w:noProof/>
        </w:rPr>
      </w:pPr>
      <w:r>
        <w:rPr>
          <w:noProof/>
        </w:rPr>
        <w:t>4.5</w:t>
      </w:r>
      <w:r>
        <w:rPr>
          <w:noProof/>
        </w:rPr>
        <w:tab/>
        <w:t>Varnostna rezerva</w:t>
      </w:r>
      <w:bookmarkEnd w:id="11"/>
    </w:p>
    <w:p>
      <w:pPr>
        <w:pStyle w:val="Text1"/>
        <w:rPr>
          <w:bCs/>
          <w:noProof/>
        </w:rPr>
      </w:pPr>
      <w:r>
        <w:rPr>
          <w:noProof/>
        </w:rPr>
        <w:t>V skladu s členom 13 uredbe o VFO se vzpostavi varnostna rezerva v višini do 0,03 % bruto nacionalnega dohodka Unije nad zgornjimi mejami finančnega okvira za obdobje 2014–2020.</w:t>
      </w:r>
    </w:p>
    <w:p>
      <w:pPr>
        <w:pStyle w:val="Text1"/>
        <w:rPr>
          <w:bCs/>
          <w:noProof/>
        </w:rPr>
      </w:pPr>
      <w:r>
        <w:rPr>
          <w:noProof/>
        </w:rPr>
        <w:t>Absolutni znesek varnostne rezerve za leto 2020 znaša 5 096,8 milijona EUR.</w:t>
      </w:r>
    </w:p>
    <w:p>
      <w:pPr>
        <w:pStyle w:val="Text1"/>
        <w:rPr>
          <w:noProof/>
        </w:rPr>
      </w:pPr>
      <w:r>
        <w:rPr>
          <w:noProof/>
        </w:rPr>
        <w:t>V spodnji preglednici je podroben pregled razpoložljivih sredstev in uporabe varnostne rezerve po letih od leta 2014:</w:t>
      </w:r>
    </w:p>
    <w:p>
      <w:pPr>
        <w:pStyle w:val="ManualHeading2"/>
        <w:rPr>
          <w:noProof/>
        </w:rPr>
      </w:pPr>
      <w:r>
        <w:rPr>
          <w:noProof/>
          <w:lang w:val="en-GB" w:eastAsia="en-GB" w:bidi="ar-SA"/>
        </w:rPr>
        <w:drawing>
          <wp:inline distT="0" distB="0" distL="0" distR="0">
            <wp:extent cx="5761355" cy="1401720"/>
            <wp:effectExtent l="0" t="0" r="0" b="825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61355" cy="1401720"/>
                    </a:xfrm>
                    <a:prstGeom prst="rect">
                      <a:avLst/>
                    </a:prstGeom>
                    <a:noFill/>
                    <a:ln>
                      <a:noFill/>
                    </a:ln>
                  </pic:spPr>
                </pic:pic>
              </a:graphicData>
            </a:graphic>
          </wp:inline>
        </w:drawing>
      </w:r>
      <w:bookmarkStart w:id="12" w:name="_Toc360453131"/>
      <w:r>
        <w:rPr>
          <w:noProof/>
        </w:rPr>
        <w:t>4.6</w:t>
      </w:r>
      <w:r>
        <w:rPr>
          <w:noProof/>
        </w:rPr>
        <w:tab/>
        <w:t>Skupna razlika v okviru obveznosti</w:t>
      </w:r>
      <w:bookmarkEnd w:id="12"/>
      <w:r>
        <w:rPr>
          <w:noProof/>
        </w:rPr>
        <w:t xml:space="preserve"> za rast in zaposlovanje, zlasti zaposlovanje mladih, ter za ukrepe na področju migracij in varnosti </w:t>
      </w:r>
    </w:p>
    <w:p>
      <w:pPr>
        <w:pStyle w:val="Text1"/>
        <w:rPr>
          <w:noProof/>
        </w:rPr>
      </w:pPr>
      <w:r>
        <w:rPr>
          <w:noProof/>
        </w:rPr>
        <w:t>V skladu s členom 14 uredbe o VFO, kakor je bila spremenjena z Uredbo Sveta (EU, Euratom) 2017/1123, razpoložljive razlike v okviru zgornjih mej VFO za odobritve za prevzem obveznosti tvorijo skupno razliko VFO v okviru obveznosti, ki je na razpolago nad zgornjimi mejami, določenimi v VFO za leta od 2016 do 2020 za cilje politik, povezane z rastjo in zaposlovanjem, zlasti zaposlovanjem mladih, ter migracijami in varnostjo.</w:t>
      </w:r>
    </w:p>
    <w:p>
      <w:pPr>
        <w:pStyle w:val="Text1"/>
        <w:rPr>
          <w:noProof/>
        </w:rPr>
      </w:pPr>
      <w:r>
        <w:rPr>
          <w:noProof/>
        </w:rPr>
        <w:t>V končnem proračunu za leto 2018 znaša razpoložljiva razlika do zgornje meje za obveznosti 1 390,9 milijona EUR. Obveznosti za posebne instrumente (vključno z uporabo skupne razlike v okviru zgornje meje za obveznosti in varnostne rezerve) se ne upoštevajo, saj se izvršujejo nad zgornjimi mejami VFO.</w:t>
      </w:r>
    </w:p>
    <w:p>
      <w:pPr>
        <w:pStyle w:val="Text1"/>
        <w:rPr>
          <w:noProof/>
        </w:rPr>
      </w:pPr>
      <w:r>
        <w:rPr>
          <w:noProof/>
        </w:rPr>
        <w:t>V skladu s členom 6(2) uredbe o VFO se za izračun skupne razlike v okviru zgornje meje za obveznosti uporabi 2-odstotni letni deflator. Znesek preostale razlike iz leta 2018, ki se da na voljo za leto 2019, znaša 1 390,9 milijona EUR v tekočih cenah iz leta 2018 oziroma 1 418,7 milijona EUR v tekočih cenah iz leta 2019</w:t>
      </w:r>
      <w:r>
        <w:rPr>
          <w:rStyle w:val="FootnoteReference"/>
          <w:noProof/>
        </w:rPr>
        <w:footnoteReference w:id="25"/>
      </w:r>
      <w:r>
        <w:rPr>
          <w:noProof/>
        </w:rPr>
        <w:t xml:space="preserve"> (1 447,1 milijona EUR v tekočih cenah iz leta 2020). Skupna razlika v okviru zgornje meje za obveznosti v cenah iz leta 2011 znaša 1 210,9 milijona EUR.</w:t>
      </w:r>
    </w:p>
    <w:p>
      <w:pPr>
        <w:pStyle w:val="Text1"/>
        <w:rPr>
          <w:noProof/>
        </w:rPr>
      </w:pPr>
      <w:r>
        <w:rPr>
          <w:noProof/>
        </w:rPr>
        <w:t>V spodnji preglednici je podroben pregled izračuna skupne razlike v okviru zgornje meje za obveznosti 2018:</w:t>
      </w:r>
    </w:p>
    <w:p>
      <w:pPr>
        <w:pStyle w:val="Text1"/>
        <w:jc w:val="center"/>
        <w:rPr>
          <w:noProof/>
        </w:rPr>
      </w:pPr>
      <w:r>
        <w:rPr>
          <w:noProof/>
          <w:lang w:val="en-GB" w:eastAsia="en-GB" w:bidi="ar-SA"/>
        </w:rPr>
        <w:drawing>
          <wp:inline distT="0" distB="0" distL="0" distR="0">
            <wp:extent cx="4485640" cy="3347085"/>
            <wp:effectExtent l="0" t="0" r="0" b="571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485640" cy="3347085"/>
                    </a:xfrm>
                    <a:prstGeom prst="rect">
                      <a:avLst/>
                    </a:prstGeom>
                    <a:noFill/>
                    <a:ln>
                      <a:noFill/>
                    </a:ln>
                  </pic:spPr>
                </pic:pic>
              </a:graphicData>
            </a:graphic>
          </wp:inline>
        </w:drawing>
      </w:r>
    </w:p>
    <w:p>
      <w:pPr>
        <w:pStyle w:val="Text1"/>
        <w:rPr>
          <w:noProof/>
        </w:rPr>
      </w:pPr>
    </w:p>
    <w:p>
      <w:pPr>
        <w:pStyle w:val="Text1"/>
        <w:rPr>
          <w:noProof/>
        </w:rPr>
      </w:pPr>
      <w:r>
        <w:rPr>
          <w:noProof/>
        </w:rPr>
        <w:t xml:space="preserve">Trenutno ni na voljo noben del prejšnje skupne razlike v okviru zgornje meje za obveznosti (od leta 2014 do leta 2017). Zato je celotna trenutna razpoložljivost skupne razlike v okviru zgornje meje za obveznosti za leto 2019 omejena na del iz leta 2018. </w:t>
      </w:r>
    </w:p>
    <w:p>
      <w:pPr>
        <w:pStyle w:val="Text1"/>
        <w:rPr>
          <w:noProof/>
        </w:rPr>
      </w:pPr>
      <w:r>
        <w:rPr>
          <w:noProof/>
        </w:rPr>
        <w:t>V spodnji preglednici je podroben pregled razpoložljivih sredstev in uporabe skupne razlike v okviru zgornje meje za obveznosti od leta 2014:</w:t>
      </w:r>
    </w:p>
    <w:p>
      <w:pPr>
        <w:pStyle w:val="Text1"/>
        <w:ind w:left="0"/>
        <w:jc w:val="center"/>
        <w:rPr>
          <w:noProof/>
        </w:rPr>
      </w:pPr>
      <w:r>
        <w:rPr>
          <w:noProof/>
          <w:lang w:val="en-GB" w:eastAsia="en-GB" w:bidi="ar-SA"/>
        </w:rPr>
        <w:drawing>
          <wp:inline distT="0" distB="0" distL="0" distR="0">
            <wp:extent cx="5382895" cy="6728460"/>
            <wp:effectExtent l="0" t="0" r="825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382895" cy="6728460"/>
                    </a:xfrm>
                    <a:prstGeom prst="rect">
                      <a:avLst/>
                    </a:prstGeom>
                    <a:noFill/>
                    <a:ln>
                      <a:noFill/>
                    </a:ln>
                  </pic:spPr>
                </pic:pic>
              </a:graphicData>
            </a:graphic>
          </wp:inline>
        </w:drawing>
      </w:r>
    </w:p>
    <w:p>
      <w:pPr>
        <w:pStyle w:val="Text1"/>
        <w:ind w:left="0"/>
        <w:rPr>
          <w:noProof/>
        </w:rPr>
      </w:pPr>
    </w:p>
    <w:p>
      <w:pPr>
        <w:pStyle w:val="ManualHeading1"/>
        <w:rPr>
          <w:noProof/>
        </w:rPr>
      </w:pPr>
      <w:r>
        <w:rPr>
          <w:noProof/>
        </w:rPr>
        <w:t>5.</w:t>
      </w:r>
      <w:r>
        <w:rPr>
          <w:noProof/>
        </w:rPr>
        <w:tab/>
        <w:t>Zbirna preglednica in zaključek</w:t>
      </w:r>
    </w:p>
    <w:p>
      <w:pPr>
        <w:pStyle w:val="Text1"/>
        <w:rPr>
          <w:noProof/>
        </w:rPr>
      </w:pPr>
      <w:r>
        <w:rPr>
          <w:noProof/>
        </w:rPr>
        <w:t>V spodnjih preglednicah so povzete spremembe zgornjih mej za odobritve za prevzem obveznosti in odobritve plačil v finančnem okviru na podlagi člena 3(1) in člena 5 uredbe o VFO v tekočih cenah in cenah iz leta 2011:</w:t>
      </w:r>
    </w:p>
    <w:p>
      <w:pPr>
        <w:pStyle w:val="Text1"/>
        <w:ind w:left="0"/>
        <w:rPr>
          <w:noProof/>
        </w:rPr>
      </w:pPr>
      <w:r>
        <w:rPr>
          <w:noProof/>
          <w:lang w:val="en-GB" w:eastAsia="en-GB" w:bidi="ar-SA"/>
        </w:rPr>
        <w:drawing>
          <wp:inline distT="0" distB="0" distL="0" distR="0">
            <wp:extent cx="5761355" cy="2280334"/>
            <wp:effectExtent l="0" t="0" r="0" b="571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61355" cy="2280334"/>
                    </a:xfrm>
                    <a:prstGeom prst="rect">
                      <a:avLst/>
                    </a:prstGeom>
                    <a:noFill/>
                    <a:ln>
                      <a:noFill/>
                    </a:ln>
                  </pic:spPr>
                </pic:pic>
              </a:graphicData>
            </a:graphic>
          </wp:inline>
        </w:drawing>
      </w:r>
    </w:p>
    <w:p>
      <w:pPr>
        <w:rPr>
          <w:noProof/>
        </w:rPr>
      </w:pPr>
    </w:p>
    <w:sectPr>
      <w:headerReference w:type="even" r:id="rId29"/>
      <w:headerReference w:type="default" r:id="rId30"/>
      <w:footerReference w:type="even" r:id="rId31"/>
      <w:footerReference w:type="default" r:id="rId32"/>
      <w:headerReference w:type="first" r:id="rId33"/>
      <w:footerReference w:type="first" r:id="rId34"/>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 w:type="continuationNotice" w:id="1">
    <w:p>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rPr>
        <w:rFonts w:ascii="Arial" w:hAnsi="Arial" w:cs="Arial"/>
        <w:b/>
        <w:sz w:val="48"/>
      </w:rPr>
    </w:pPr>
    <w:r>
      <w:rPr>
        <w:rFonts w:ascii="Arial" w:hAnsi="Arial" w:cs="Arial"/>
        <w:b/>
        <w:sz w:val="48"/>
      </w:rPr>
      <w:t>SL</w:t>
    </w:r>
    <w:r>
      <w:rPr>
        <w:rFonts w:ascii="Arial" w:hAnsi="Arial" w:cs="Arial"/>
        <w:b/>
        <w:sz w:val="48"/>
      </w:rPr>
      <w:tab/>
    </w:r>
    <w:r>
      <w:rPr>
        <w:rFonts w:ascii="Arial" w:hAnsi="Arial" w:cs="Arial"/>
        <w:b/>
        <w:sz w:val="48"/>
      </w:rPr>
      <w:tab/>
    </w:r>
    <w:r>
      <w:tab/>
    </w:r>
    <w:r>
      <w:rPr>
        <w:rFonts w:ascii="Arial" w:hAnsi="Arial" w:cs="Arial"/>
        <w:b/>
        <w:sz w:val="48"/>
      </w:rPr>
      <w:t>SL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9671446"/>
      <w:docPartObj>
        <w:docPartGallery w:val="Page Numbers (Bottom of Page)"/>
        <w:docPartUnique/>
      </w:docPartObj>
    </w:sdtPr>
    <w:sdtEndPr>
      <w:rPr>
        <w:noProof/>
      </w:rPr>
    </w:sdtEndPr>
    <w:sdtContent>
      <w:p>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type="continuationNotice" w:id="1">
    <w:p>
      <w:pPr>
        <w:spacing w:before="0" w:after="0"/>
      </w:pPr>
    </w:p>
  </w:footnote>
  <w:footnote w:id="2">
    <w:p>
      <w:pPr>
        <w:pStyle w:val="FootnoteText"/>
        <w:rPr>
          <w:lang w:val="pl-PL"/>
        </w:rPr>
      </w:pPr>
      <w:r>
        <w:rPr>
          <w:rStyle w:val="FootnoteReference"/>
        </w:rPr>
        <w:footnoteRef/>
      </w:r>
      <w:r>
        <w:tab/>
        <w:t>UL L 163, 24.6.2017, str. 1.</w:t>
      </w:r>
    </w:p>
  </w:footnote>
  <w:footnote w:id="3">
    <w:p>
      <w:pPr>
        <w:pStyle w:val="FootnoteText"/>
        <w:rPr>
          <w:lang w:val="pl-PL"/>
        </w:rPr>
      </w:pPr>
      <w:r>
        <w:rPr>
          <w:rStyle w:val="FootnoteReference"/>
        </w:rPr>
        <w:footnoteRef/>
      </w:r>
      <w:r>
        <w:t xml:space="preserve"> </w:t>
      </w:r>
      <w:r>
        <w:tab/>
        <w:t>COM(2018) 282 final z dne 23. maja 2018.</w:t>
      </w:r>
    </w:p>
  </w:footnote>
  <w:footnote w:id="4">
    <w:p>
      <w:pPr>
        <w:pStyle w:val="FootnoteText"/>
        <w:rPr>
          <w:rStyle w:val="FootnoteReference"/>
          <w:lang w:val="pl-PL"/>
        </w:rPr>
      </w:pPr>
      <w:r>
        <w:rPr>
          <w:rStyle w:val="FootnoteReference"/>
        </w:rPr>
        <w:footnoteRef/>
      </w:r>
      <w:r>
        <w:rPr>
          <w:rStyle w:val="FootnoteReference"/>
        </w:rPr>
        <w:t xml:space="preserve"> </w:t>
      </w:r>
      <w:r>
        <w:tab/>
        <w:t>https://ec.europa.eu/info/business-economy-euro/economic-performance-and-forecasts/economic-forecasts/spring-2019-economic-forecast_en</w:t>
      </w:r>
    </w:p>
  </w:footnote>
  <w:footnote w:id="5">
    <w:p>
      <w:pPr>
        <w:pStyle w:val="FootnoteText"/>
      </w:pPr>
      <w:r>
        <w:rPr>
          <w:rStyle w:val="FootnoteReference"/>
        </w:rPr>
        <w:footnoteRef/>
      </w:r>
      <w:r>
        <w:t xml:space="preserve"> </w:t>
      </w:r>
      <w:r>
        <w:tab/>
        <w:t>UL L 168, 7.6.2014.</w:t>
      </w:r>
    </w:p>
  </w:footnote>
  <w:footnote w:id="6">
    <w:p>
      <w:pPr>
        <w:pStyle w:val="FootnoteText"/>
      </w:pPr>
      <w:r>
        <w:rPr>
          <w:rStyle w:val="FootnoteReference"/>
        </w:rPr>
        <w:footnoteRef/>
      </w:r>
      <w:r>
        <w:t xml:space="preserve"> </w:t>
      </w:r>
      <w:r>
        <w:tab/>
        <w:t>COM(2016) 829 final z dne 21. decembra 2016.</w:t>
      </w:r>
    </w:p>
  </w:footnote>
  <w:footnote w:id="7">
    <w:p>
      <w:pPr>
        <w:pStyle w:val="FootnoteText"/>
      </w:pPr>
      <w:r>
        <w:rPr>
          <w:rStyle w:val="FootnoteReference"/>
        </w:rPr>
        <w:footnoteRef/>
      </w:r>
      <w:r>
        <w:t xml:space="preserve"> </w:t>
      </w:r>
      <w:r>
        <w:tab/>
        <w:t>Sklep Evropskega sveta (EU) 2019/476, sprejet v dogovoru z Združenim kraljestvom, z dne 22. marca 2019 o podaljšanju obdobja na podlagi člena 50(3) PEU (UL L 80, 22.3.2019, str. 1).</w:t>
      </w:r>
    </w:p>
  </w:footnote>
  <w:footnote w:id="8">
    <w:p>
      <w:pPr>
        <w:pStyle w:val="FootnoteText"/>
      </w:pPr>
      <w:r>
        <w:rPr>
          <w:rStyle w:val="FootnoteReference"/>
        </w:rPr>
        <w:footnoteRef/>
      </w:r>
      <w:r>
        <w:t xml:space="preserve"> </w:t>
      </w:r>
      <w:r>
        <w:tab/>
        <w:t>Sklep Evropskega sveta (EU) 2019/584, sprejet v dogovoru z Združenim kraljestvom, z dne 11. aprila 2019 o podaljšanju obdobja na podlagi člena 50(3) PEU (UL L 101, 11.4.2019, str. 1).</w:t>
      </w:r>
    </w:p>
  </w:footnote>
  <w:footnote w:id="9">
    <w:p>
      <w:pPr>
        <w:pStyle w:val="FootnoteText"/>
      </w:pPr>
      <w:r>
        <w:rPr>
          <w:rStyle w:val="FootnoteReference"/>
        </w:rPr>
        <w:footnoteRef/>
      </w:r>
      <w:r>
        <w:t xml:space="preserve"> </w:t>
      </w:r>
      <w:r>
        <w:tab/>
        <w:t xml:space="preserve">UL C 66I, 19.2.2019, str. 1. </w:t>
      </w:r>
    </w:p>
  </w:footnote>
  <w:footnote w:id="10">
    <w:p>
      <w:pPr>
        <w:pStyle w:val="FootnoteText"/>
        <w:rPr>
          <w:lang w:val="pl-PL"/>
        </w:rPr>
      </w:pPr>
      <w:r>
        <w:rPr>
          <w:rStyle w:val="FootnoteReference"/>
        </w:rPr>
        <w:footnoteRef/>
      </w:r>
      <w:r>
        <w:t xml:space="preserve"> </w:t>
      </w:r>
      <w:r>
        <w:tab/>
        <w:t>COM(2014) 307 final z dne 28. maja 2014.</w:t>
      </w:r>
    </w:p>
  </w:footnote>
  <w:footnote w:id="11">
    <w:p>
      <w:pPr>
        <w:pStyle w:val="FootnoteText"/>
      </w:pPr>
      <w:r>
        <w:rPr>
          <w:rStyle w:val="FootnoteReference"/>
        </w:rPr>
        <w:footnoteRef/>
      </w:r>
      <w:r>
        <w:t xml:space="preserve"> </w:t>
      </w:r>
      <w:r>
        <w:tab/>
        <w:t>Izvedbena uredba Komisije (EU) št. 367/2014 o določitvi neto zneskov, ki so na voljo za odhodke EKJS (UL L 108, 11.4.2014, str. 13).</w:t>
      </w:r>
    </w:p>
  </w:footnote>
  <w:footnote w:id="12">
    <w:p>
      <w:pPr>
        <w:pStyle w:val="FootnoteText"/>
      </w:pPr>
      <w:r>
        <w:rPr>
          <w:rStyle w:val="FootnoteReference"/>
        </w:rPr>
        <w:footnoteRef/>
      </w:r>
      <w:r>
        <w:t xml:space="preserve"> </w:t>
      </w:r>
      <w:r>
        <w:tab/>
        <w:t>COM(2015) 320 final z dne 22. maja 2015.</w:t>
      </w:r>
    </w:p>
  </w:footnote>
  <w:footnote w:id="13">
    <w:p>
      <w:pPr>
        <w:pStyle w:val="FootnoteText"/>
      </w:pPr>
      <w:r>
        <w:rPr>
          <w:rStyle w:val="FootnoteReference"/>
        </w:rPr>
        <w:footnoteRef/>
      </w:r>
      <w:r>
        <w:tab/>
        <w:t>Uredba Sveta (ES) št. 73/2009 z dne 19. januarja 2009 o skupnih pravilih za sheme neposrednih podpor za kmete v okviru skupne kmetijske politike in o uvedbi nekaterih shem podpor za kmete, spremembi uredb (ES) št. 1290/2005, (ES) št. 247/2006, (ES) št. 378/2007 in razveljavitvi Uredbe (ES) št. 1782/2003 (UL L 30, 31.1.2009, str. 16).</w:t>
      </w:r>
    </w:p>
  </w:footnote>
  <w:footnote w:id="14">
    <w:p>
      <w:pPr>
        <w:pStyle w:val="FootnoteText"/>
      </w:pPr>
      <w:r>
        <w:rPr>
          <w:rStyle w:val="FootnoteReference"/>
        </w:rPr>
        <w:footnoteRef/>
      </w:r>
      <w:r>
        <w:tab/>
        <w:t>Uredba (EU) št. 1307/2013 Evropskega parlamenta in Sveta z dne 17. decembra 2013 o pravilih za neposredna plačila kmetom na podlagi shem podpore v okviru skupne kmetijske politike ter razveljavitvi Uredbe Sveta (ES) št. 637/2008 in Uredbe Sveta (ES) št. 73/2009 (UL L 347, 20.12.2013, str. 608).</w:t>
      </w:r>
    </w:p>
  </w:footnote>
  <w:footnote w:id="15">
    <w:p>
      <w:pPr>
        <w:pStyle w:val="FootnoteText"/>
      </w:pPr>
      <w:r>
        <w:rPr>
          <w:rStyle w:val="FootnoteReference"/>
        </w:rPr>
        <w:footnoteRef/>
      </w:r>
      <w:r>
        <w:tab/>
        <w:t>Delegirana uredba Komisije (EU) št. 994/2014 z dne 13. maja 2014 o spremembi prilog VIII in VIIIc k Uredbi Sveta (ES) št. 73/2009, Priloge I k Uredbi (EU) št. 1305/2013 Evropskega parlamenta in Sveta ter prilog II, III in VI k Uredbi (EU) št. 1307/2013 Evropskega parlamenta in Sveta (UL L 280, 24.9.2014, str. 1).</w:t>
      </w:r>
    </w:p>
  </w:footnote>
  <w:footnote w:id="16">
    <w:p>
      <w:pPr>
        <w:pStyle w:val="FootnoteText"/>
      </w:pPr>
      <w:r>
        <w:rPr>
          <w:rStyle w:val="FootnoteReference"/>
        </w:rPr>
        <w:footnoteRef/>
      </w:r>
      <w:r>
        <w:t xml:space="preserve"> </w:t>
      </w:r>
      <w:r>
        <w:tab/>
        <w:t>Izvedbena uredba Komisije (EU) št. 1089/2014 z dne 16. oktobra 2014 o spremembi Izvedbene uredbe (EU) št. 367/2014 o določitvi neto zneskov, ki so na voljo za odhodke EKJS (UL L 299, 17.10.2014, str. 7).</w:t>
      </w:r>
    </w:p>
  </w:footnote>
  <w:footnote w:id="17">
    <w:p>
      <w:pPr>
        <w:pStyle w:val="FootnoteText"/>
        <w:rPr>
          <w:lang w:val="cs-CZ"/>
        </w:rPr>
      </w:pPr>
      <w:r>
        <w:rPr>
          <w:rStyle w:val="FootnoteReference"/>
        </w:rPr>
        <w:footnoteRef/>
      </w:r>
      <w:r>
        <w:tab/>
        <w:t>Delegirana uredba Komisije (EU) št. 1378/2014 z dne 17. oktobra 2014 o spremembi Priloge I k Uredbi (EU) št. 1305/2013 Evropskega parlamenta in Sveta ter prilog II in III k Uredbi (EU) št. 1307/2013 Evropskega parlamenta in Sveta (UL L 367, 23.12.2014, str. 16).</w:t>
      </w:r>
    </w:p>
  </w:footnote>
  <w:footnote w:id="18">
    <w:p>
      <w:pPr>
        <w:pStyle w:val="FootnoteText"/>
      </w:pPr>
      <w:r>
        <w:rPr>
          <w:rStyle w:val="FootnoteReference"/>
        </w:rPr>
        <w:footnoteRef/>
      </w:r>
      <w:r>
        <w:tab/>
        <w:t>Izvedbena uredba Komisije (EU) 2015/141 z dne 29. januarja 2015 o spremembi Izvedbene uredbe (EU) št. 367/2014 o določitvi neto zneskov, ki so na voljo za odhodke EKJS (UL L 24, 30.1.2015, str. 11).</w:t>
      </w:r>
    </w:p>
  </w:footnote>
  <w:footnote w:id="19">
    <w:p>
      <w:pPr>
        <w:pStyle w:val="FootnoteText"/>
      </w:pPr>
      <w:r>
        <w:rPr>
          <w:rStyle w:val="FootnoteReference"/>
        </w:rPr>
        <w:footnoteRef/>
      </w:r>
      <w:r>
        <w:t xml:space="preserve"> </w:t>
      </w:r>
      <w:r>
        <w:tab/>
        <w:t>Delegirana uredba Komisije (EU) 2016/142 z dne 2. decembra 2015 o spremembi Priloge I k Uredbi (EU) št. 1305/2013 Evropskega parlamenta in Sveta ter Priloge III k Uredbi (EU) št. 1307/2013 Evropskega parlamenta in Sveta (UL L 28, 4.2.2016, str. 8).</w:t>
      </w:r>
    </w:p>
  </w:footnote>
  <w:footnote w:id="20">
    <w:p>
      <w:pPr>
        <w:pStyle w:val="FootnoteText"/>
      </w:pPr>
      <w:r>
        <w:rPr>
          <w:rStyle w:val="FootnoteReference"/>
        </w:rPr>
        <w:footnoteRef/>
      </w:r>
      <w:r>
        <w:t xml:space="preserve"> </w:t>
      </w:r>
      <w:r>
        <w:tab/>
        <w:t>Izvedbena uredba Komisije (EU) 2016/257 z dne 24. februarja 2016 o spremembi Izvedbene uredbe (EU) št. 367/2014 o določitvi neto zneskov, ki so na voljo za odhodke EKJS (UL L 49, 25.2.2016, str. 1).</w:t>
      </w:r>
    </w:p>
  </w:footnote>
  <w:footnote w:id="21">
    <w:p>
      <w:pPr>
        <w:pStyle w:val="FootnoteText"/>
      </w:pPr>
      <w:r>
        <w:rPr>
          <w:rStyle w:val="FootnoteReference"/>
        </w:rPr>
        <w:footnoteRef/>
      </w:r>
      <w:r>
        <w:t xml:space="preserve"> </w:t>
      </w:r>
      <w:r>
        <w:tab/>
        <w:t>Delegirana uredba Komisije (EU) 2018/162 z dne 23. novembra 2017 o spremembi Priloge I k Uredbi (EU) št. 1305/2013 Evropskega parlamenta in Sveta ter prilog II in III k Uredbi (EU) št. 1307/2013 Evropskega parlamenta in Sveta (UL L 30, 2.2.2018, str. 6).</w:t>
      </w:r>
    </w:p>
  </w:footnote>
  <w:footnote w:id="22">
    <w:p>
      <w:pPr>
        <w:pStyle w:val="FootnoteText"/>
      </w:pPr>
      <w:r>
        <w:rPr>
          <w:rStyle w:val="FootnoteReference"/>
        </w:rPr>
        <w:footnoteRef/>
      </w:r>
      <w:r>
        <w:t xml:space="preserve"> </w:t>
      </w:r>
      <w:r>
        <w:tab/>
        <w:t>Izvedbena uredba Komisije (EU) 2018/288 z dne 19. februarja 2018 o spremembi Izvedbene uredbe (EU) št. 367/2014 o določitvi neto zneskov, ki so na voljo za odhodke EKJS (UL L 55, 27.2.2018, str. 18).</w:t>
      </w:r>
    </w:p>
  </w:footnote>
  <w:footnote w:id="23">
    <w:p>
      <w:pPr>
        <w:pStyle w:val="FootnoteText"/>
      </w:pPr>
      <w:r>
        <w:rPr>
          <w:rStyle w:val="FootnoteReference"/>
        </w:rPr>
        <w:footnoteRef/>
      </w:r>
      <w:r>
        <w:t xml:space="preserve"> </w:t>
      </w:r>
      <w:r>
        <w:tab/>
        <w:t>Delegirana uredba Komisije (EU) 2019/71 z dne 9. novembra 2018 o spremembi Priloge I k Uredbi (EU) št. 1305/2013 Evropskega parlamenta in Sveta ter Priloge III k Uredbi (EU) št. 1307/2013 Evropskega parlamenta in Sveta (UL L 16, 18.1.2019, str. 1).</w:t>
      </w:r>
    </w:p>
  </w:footnote>
  <w:footnote w:id="24">
    <w:p>
      <w:pPr>
        <w:pStyle w:val="FootnoteText"/>
      </w:pPr>
      <w:r>
        <w:rPr>
          <w:rStyle w:val="FootnoteReference"/>
        </w:rPr>
        <w:footnoteRef/>
      </w:r>
      <w:r>
        <w:t xml:space="preserve"> </w:t>
      </w:r>
      <w:r>
        <w:tab/>
        <w:t>Izvedbena uredba Komisije (EU) 2019/445 z dne 19. marca 2019 o spremembi Izvedbene uredbe (EU) št. 367/2014 o določitvi neto zneskov, ki so na voljo za odhodke EKJS (UL L 77, 20.3.2019, str. 64).</w:t>
      </w:r>
    </w:p>
  </w:footnote>
  <w:footnote w:id="25">
    <w:p>
      <w:pPr>
        <w:pStyle w:val="FootnoteText"/>
        <w:rPr>
          <w:lang w:val="cs-CZ"/>
        </w:rPr>
      </w:pPr>
      <w:r>
        <w:rPr>
          <w:rStyle w:val="FootnoteReference"/>
        </w:rPr>
        <w:footnoteRef/>
      </w:r>
      <w:r>
        <w:tab/>
        <w:t>Če bo znesek delno ali v celoti porabljen v letih 2019–2020, se bo znesek ustrezno prilagodil z uporabo 2-odstotnega letnega deflatorja v skladu s členom 6(2) uredbe o VFO.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8B29F9"/>
    <w:multiLevelType w:val="hybridMultilevel"/>
    <w:tmpl w:val="32229D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revisionView w:markup="0"/>
  <w:defaultTabStop w:val="720"/>
  <w:hyphenationZone w:val="425"/>
  <w:characterSpacingControl w:val="doNotCompress"/>
  <w:hdrShapeDefaults>
    <o:shapedefaults v:ext="edit" spidmax="1044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Status" w:val="Green"/>
    <w:docVar w:name="LW_CORRIGENDUM" w:val="&lt;UNUSED&gt;"/>
    <w:docVar w:name="LW_COVERPAGE_EXISTS" w:val="True"/>
    <w:docVar w:name="LW_COVERPAGE_GUID" w:val="98632362-C428-468E-B37A-BEFF3B801D43"/>
    <w:docVar w:name="LW_COVERPAGE_TYPE" w:val="1"/>
    <w:docVar w:name="LW_CROSSREFERENCE" w:val="&lt;UNUSED&gt;"/>
    <w:docVar w:name="LW_DocType" w:val="NORMAL"/>
    <w:docVar w:name="LW_EMISSION" w:val="15.5.2019"/>
    <w:docVar w:name="LW_EMISSION_ISODATE" w:val="2019-05-15"/>
    <w:docVar w:name="LW_EMISSION_LOCATION" w:val="BRX"/>
    <w:docVar w:name="LW_EMISSION_PREFIX" w:val="Bruselj, "/>
    <w:docVar w:name="LW_EMISSION_SUFFIX" w:val=" "/>
    <w:docVar w:name="LW_ID_DOCTYPE_NONLW" w:val="CP-011"/>
    <w:docVar w:name="LW_LANGUE" w:val="SL"/>
    <w:docVar w:name="LW_LEVEL_OF_SENSITIVITY" w:val="Standard treatment"/>
    <w:docVar w:name="LW_NOM.INST" w:val="EVROPSKA KOMISIJA"/>
    <w:docVar w:name="LW_NOM.INST_JOINTDOC" w:val="&lt;EMPTY&gt;"/>
    <w:docVar w:name="LW_PART_NBR" w:val="1"/>
    <w:docVar w:name="LW_PART_NBR_TOTAL" w:val="1"/>
    <w:docVar w:name="LW_REF.INST.NEW" w:val="COM"/>
    <w:docVar w:name="LW_REF.INST.NEW_ADOPTED" w:val="final"/>
    <w:docVar w:name="LW_REF.INST.NEW_TEXT" w:val="(2019) 310"/>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UPERTITRE" w:val="&lt;UNUSED&gt;"/>
    <w:docVar w:name="LW_TITRE.OBJ.CP" w:val="Tehni\u269?na prilagoditev finan\u269?nega okvira za leto 2020 v skladu z gibanjem BND (ESR 2010) (\u269?len 6 Uredbe Sveta \u353?t. 1311/2013 o ve\u269?letnem finan\u269?nem okviru za obdobje 2014\u8211?2020)"/>
    <w:docVar w:name="LW_TYPE.DOC.CP" w:val="SPORO\u268?ILO KOMISIJE SVETU IN EVROPSKEMU PARLAMENTU"/>
    <w:docVar w:name="LW_TYPE.DOC.CP.USERTEXT" w:val="&lt;EMPTY&gt;"/>
  </w:docVar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4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l-SI" w:eastAsia="sl-SI" w:bidi="sl-SI"/>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eastAsia="Times New Roman" w:hAnsi="Times New Roman" w:cs="Times New Roman"/>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rPr>
      <w:rFonts w:eastAsiaTheme="minorHAnsi"/>
    </w:rPr>
  </w:style>
  <w:style w:type="character" w:customStyle="1" w:styleId="FooterChar">
    <w:name w:val="Footer Char"/>
    <w:basedOn w:val="DefaultParagraphFont"/>
    <w:link w:val="Footer"/>
    <w:uiPriority w:val="99"/>
    <w:rPr>
      <w:rFonts w:ascii="Times New Roman" w:hAnsi="Times New Roman" w:cs="Times New Roman"/>
      <w:sz w:val="24"/>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eastAsia="Times New Roman" w:hAnsi="Times New Roman" w:cs="Times New Roman"/>
      <w:sz w:val="20"/>
      <w:szCs w:val="20"/>
      <w:lang w:eastAsia="sl-SI"/>
    </w:rPr>
  </w:style>
  <w:style w:type="character" w:styleId="FootnoteReference">
    <w:name w:val="footnote reference"/>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ManualHeading1">
    <w:name w:val="Manual Heading 1"/>
    <w:basedOn w:val="Normal"/>
    <w:next w:val="Text1"/>
    <w:link w:val="ManualHeading1Char"/>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styleId="Header">
    <w:name w:val="header"/>
    <w:basedOn w:val="Normal"/>
    <w:link w:val="HeaderChar"/>
    <w:uiPriority w:val="99"/>
    <w:unhideWhenUsed/>
    <w:pPr>
      <w:tabs>
        <w:tab w:val="center" w:pos="4535"/>
        <w:tab w:val="right" w:pos="9071"/>
      </w:tabs>
      <w:spacing w:before="0"/>
    </w:pPr>
    <w:rPr>
      <w:rFonts w:eastAsiaTheme="minorHAnsi"/>
    </w:rPr>
  </w:style>
  <w:style w:type="character" w:customStyle="1" w:styleId="HeaderChar">
    <w:name w:val="Header Char"/>
    <w:basedOn w:val="DefaultParagraphFont"/>
    <w:link w:val="Header"/>
    <w:uiPriority w:val="99"/>
    <w:rPr>
      <w:rFonts w:ascii="Times New Roman" w:hAnsi="Times New Roman" w:cs="Times New Roman"/>
      <w:sz w:val="24"/>
    </w:rPr>
  </w:style>
  <w:style w:type="character" w:customStyle="1" w:styleId="Marker">
    <w:name w:val="Marker"/>
    <w:basedOn w:val="DefaultParagraphFont"/>
    <w:rPr>
      <w:color w:val="0000FF"/>
      <w:shd w:val="clear" w:color="auto" w:fill="auto"/>
    </w:r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eastAsia="sl-SI"/>
    </w:rPr>
  </w:style>
  <w:style w:type="paragraph" w:customStyle="1" w:styleId="Pagedecouverture">
    <w:name w:val="Page de couverture"/>
    <w:basedOn w:val="Normal"/>
    <w:next w:val="Normal"/>
    <w:pPr>
      <w:spacing w:before="0" w:after="0"/>
    </w:pPr>
    <w:rPr>
      <w:rFonts w:eastAsiaTheme="minorHAnsi"/>
    </w:rPr>
  </w:style>
  <w:style w:type="paragraph" w:customStyle="1" w:styleId="FooterCoverPage">
    <w:name w:val="Footer Cover Page"/>
    <w:basedOn w:val="Normal"/>
    <w:link w:val="FooterCoverPageChar"/>
    <w:pPr>
      <w:tabs>
        <w:tab w:val="center" w:pos="4535"/>
        <w:tab w:val="right" w:pos="9071"/>
        <w:tab w:val="right" w:pos="9921"/>
      </w:tabs>
      <w:spacing w:before="360" w:after="0"/>
      <w:ind w:left="-850" w:right="-850"/>
      <w:jc w:val="left"/>
    </w:pPr>
  </w:style>
  <w:style w:type="character" w:customStyle="1" w:styleId="ManualHeading1Char">
    <w:name w:val="Manual Heading 1 Char"/>
    <w:basedOn w:val="DefaultParagraphFont"/>
    <w:link w:val="ManualHeading1"/>
    <w:rPr>
      <w:rFonts w:ascii="Times New Roman" w:eastAsia="Times New Roman" w:hAnsi="Times New Roman" w:cs="Times New Roman"/>
      <w:b/>
      <w:smallCaps/>
      <w:sz w:val="24"/>
      <w:lang w:eastAsia="sl-SI"/>
    </w:rPr>
  </w:style>
  <w:style w:type="character" w:customStyle="1" w:styleId="FooterCoverPageChar">
    <w:name w:val="Footer Cover Page Char"/>
    <w:basedOn w:val="ManualHeading1Char"/>
    <w:link w:val="FooterCoverPage"/>
    <w:rPr>
      <w:rFonts w:ascii="Times New Roman" w:eastAsia="Times New Roman" w:hAnsi="Times New Roman" w:cs="Times New Roman"/>
      <w:b w:val="0"/>
      <w:smallCaps w:val="0"/>
      <w:sz w:val="24"/>
      <w:lang w:eastAsia="sl-SI"/>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character" w:customStyle="1" w:styleId="FooterSensitivityChar">
    <w:name w:val="Footer Sensitivity Char"/>
    <w:basedOn w:val="ManualHeading1Char"/>
    <w:link w:val="FooterSensitivity"/>
    <w:rPr>
      <w:rFonts w:ascii="Times New Roman" w:eastAsia="Times New Roman" w:hAnsi="Times New Roman" w:cs="Times New Roman"/>
      <w:b/>
      <w:smallCaps w:val="0"/>
      <w:sz w:val="32"/>
      <w:lang w:eastAsia="sl-SI"/>
    </w:rPr>
  </w:style>
  <w:style w:type="paragraph" w:customStyle="1" w:styleId="HeaderCoverPage">
    <w:name w:val="Header Cover Page"/>
    <w:basedOn w:val="Normal"/>
    <w:link w:val="HeaderCoverPageChar"/>
    <w:pPr>
      <w:tabs>
        <w:tab w:val="center" w:pos="4535"/>
        <w:tab w:val="right" w:pos="9071"/>
      </w:tabs>
      <w:spacing w:before="0"/>
    </w:pPr>
  </w:style>
  <w:style w:type="character" w:customStyle="1" w:styleId="HeaderCoverPageChar">
    <w:name w:val="Header Cover Page Char"/>
    <w:basedOn w:val="ManualHeading1Char"/>
    <w:link w:val="HeaderCoverPage"/>
    <w:rPr>
      <w:rFonts w:ascii="Times New Roman" w:eastAsia="Times New Roman" w:hAnsi="Times New Roman" w:cs="Times New Roman"/>
      <w:b w:val="0"/>
      <w:smallCaps w:val="0"/>
      <w:sz w:val="24"/>
      <w:lang w:eastAsia="sl-SI"/>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character" w:customStyle="1" w:styleId="HeaderSensitivityChar">
    <w:name w:val="Header Sensitivity Char"/>
    <w:basedOn w:val="ManualHeading1Char"/>
    <w:link w:val="HeaderSensitivity"/>
    <w:rPr>
      <w:rFonts w:ascii="Times New Roman" w:eastAsia="Times New Roman" w:hAnsi="Times New Roman" w:cs="Times New Roman"/>
      <w:b/>
      <w:smallCaps w:val="0"/>
      <w:sz w:val="32"/>
      <w:lang w:eastAsia="sl-SI"/>
    </w:rPr>
  </w:style>
  <w:style w:type="paragraph" w:styleId="Revision">
    <w:name w:val="Revision"/>
    <w:hidden/>
    <w:uiPriority w:val="99"/>
    <w:semiHidden/>
    <w:pPr>
      <w:spacing w:after="0" w:line="240" w:lineRule="auto"/>
    </w:pPr>
    <w:rPr>
      <w:rFonts w:ascii="Times New Roman" w:eastAsia="Times New Roman" w:hAnsi="Times New Roman" w:cs="Times New Roman"/>
      <w:sz w:val="24"/>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lang w:eastAsia="sl-SI"/>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eastAsia="Times New Roman" w:hAnsi="Times New Roman" w:cs="Times New Roman"/>
      <w:b/>
      <w:bCs/>
      <w:sz w:val="20"/>
      <w:szCs w:val="20"/>
      <w:lang w:eastAsia="sl-S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l-SI" w:eastAsia="sl-SI" w:bidi="sl-SI"/>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eastAsia="Times New Roman" w:hAnsi="Times New Roman" w:cs="Times New Roman"/>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rPr>
      <w:rFonts w:eastAsiaTheme="minorHAnsi"/>
    </w:rPr>
  </w:style>
  <w:style w:type="character" w:customStyle="1" w:styleId="FooterChar">
    <w:name w:val="Footer Char"/>
    <w:basedOn w:val="DefaultParagraphFont"/>
    <w:link w:val="Footer"/>
    <w:uiPriority w:val="99"/>
    <w:rPr>
      <w:rFonts w:ascii="Times New Roman" w:hAnsi="Times New Roman" w:cs="Times New Roman"/>
      <w:sz w:val="24"/>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eastAsia="Times New Roman" w:hAnsi="Times New Roman" w:cs="Times New Roman"/>
      <w:sz w:val="20"/>
      <w:szCs w:val="20"/>
      <w:lang w:eastAsia="sl-SI"/>
    </w:rPr>
  </w:style>
  <w:style w:type="character" w:styleId="FootnoteReference">
    <w:name w:val="footnote reference"/>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ManualHeading1">
    <w:name w:val="Manual Heading 1"/>
    <w:basedOn w:val="Normal"/>
    <w:next w:val="Text1"/>
    <w:link w:val="ManualHeading1Char"/>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styleId="Header">
    <w:name w:val="header"/>
    <w:basedOn w:val="Normal"/>
    <w:link w:val="HeaderChar"/>
    <w:uiPriority w:val="99"/>
    <w:unhideWhenUsed/>
    <w:pPr>
      <w:tabs>
        <w:tab w:val="center" w:pos="4535"/>
        <w:tab w:val="right" w:pos="9071"/>
      </w:tabs>
      <w:spacing w:before="0"/>
    </w:pPr>
    <w:rPr>
      <w:rFonts w:eastAsiaTheme="minorHAnsi"/>
    </w:rPr>
  </w:style>
  <w:style w:type="character" w:customStyle="1" w:styleId="HeaderChar">
    <w:name w:val="Header Char"/>
    <w:basedOn w:val="DefaultParagraphFont"/>
    <w:link w:val="Header"/>
    <w:uiPriority w:val="99"/>
    <w:rPr>
      <w:rFonts w:ascii="Times New Roman" w:hAnsi="Times New Roman" w:cs="Times New Roman"/>
      <w:sz w:val="24"/>
    </w:rPr>
  </w:style>
  <w:style w:type="character" w:customStyle="1" w:styleId="Marker">
    <w:name w:val="Marker"/>
    <w:basedOn w:val="DefaultParagraphFont"/>
    <w:rPr>
      <w:color w:val="0000FF"/>
      <w:shd w:val="clear" w:color="auto" w:fill="auto"/>
    </w:r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eastAsia="sl-SI"/>
    </w:rPr>
  </w:style>
  <w:style w:type="paragraph" w:customStyle="1" w:styleId="Pagedecouverture">
    <w:name w:val="Page de couverture"/>
    <w:basedOn w:val="Normal"/>
    <w:next w:val="Normal"/>
    <w:pPr>
      <w:spacing w:before="0" w:after="0"/>
    </w:pPr>
    <w:rPr>
      <w:rFonts w:eastAsiaTheme="minorHAnsi"/>
    </w:rPr>
  </w:style>
  <w:style w:type="paragraph" w:customStyle="1" w:styleId="FooterCoverPage">
    <w:name w:val="Footer Cover Page"/>
    <w:basedOn w:val="Normal"/>
    <w:link w:val="FooterCoverPageChar"/>
    <w:pPr>
      <w:tabs>
        <w:tab w:val="center" w:pos="4535"/>
        <w:tab w:val="right" w:pos="9071"/>
        <w:tab w:val="right" w:pos="9921"/>
      </w:tabs>
      <w:spacing w:before="360" w:after="0"/>
      <w:ind w:left="-850" w:right="-850"/>
      <w:jc w:val="left"/>
    </w:pPr>
  </w:style>
  <w:style w:type="character" w:customStyle="1" w:styleId="ManualHeading1Char">
    <w:name w:val="Manual Heading 1 Char"/>
    <w:basedOn w:val="DefaultParagraphFont"/>
    <w:link w:val="ManualHeading1"/>
    <w:rPr>
      <w:rFonts w:ascii="Times New Roman" w:eastAsia="Times New Roman" w:hAnsi="Times New Roman" w:cs="Times New Roman"/>
      <w:b/>
      <w:smallCaps/>
      <w:sz w:val="24"/>
      <w:lang w:eastAsia="sl-SI"/>
    </w:rPr>
  </w:style>
  <w:style w:type="character" w:customStyle="1" w:styleId="FooterCoverPageChar">
    <w:name w:val="Footer Cover Page Char"/>
    <w:basedOn w:val="ManualHeading1Char"/>
    <w:link w:val="FooterCoverPage"/>
    <w:rPr>
      <w:rFonts w:ascii="Times New Roman" w:eastAsia="Times New Roman" w:hAnsi="Times New Roman" w:cs="Times New Roman"/>
      <w:b w:val="0"/>
      <w:smallCaps w:val="0"/>
      <w:sz w:val="24"/>
      <w:lang w:eastAsia="sl-SI"/>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character" w:customStyle="1" w:styleId="FooterSensitivityChar">
    <w:name w:val="Footer Sensitivity Char"/>
    <w:basedOn w:val="ManualHeading1Char"/>
    <w:link w:val="FooterSensitivity"/>
    <w:rPr>
      <w:rFonts w:ascii="Times New Roman" w:eastAsia="Times New Roman" w:hAnsi="Times New Roman" w:cs="Times New Roman"/>
      <w:b/>
      <w:smallCaps w:val="0"/>
      <w:sz w:val="32"/>
      <w:lang w:eastAsia="sl-SI"/>
    </w:rPr>
  </w:style>
  <w:style w:type="paragraph" w:customStyle="1" w:styleId="HeaderCoverPage">
    <w:name w:val="Header Cover Page"/>
    <w:basedOn w:val="Normal"/>
    <w:link w:val="HeaderCoverPageChar"/>
    <w:pPr>
      <w:tabs>
        <w:tab w:val="center" w:pos="4535"/>
        <w:tab w:val="right" w:pos="9071"/>
      </w:tabs>
      <w:spacing w:before="0"/>
    </w:pPr>
  </w:style>
  <w:style w:type="character" w:customStyle="1" w:styleId="HeaderCoverPageChar">
    <w:name w:val="Header Cover Page Char"/>
    <w:basedOn w:val="ManualHeading1Char"/>
    <w:link w:val="HeaderCoverPage"/>
    <w:rPr>
      <w:rFonts w:ascii="Times New Roman" w:eastAsia="Times New Roman" w:hAnsi="Times New Roman" w:cs="Times New Roman"/>
      <w:b w:val="0"/>
      <w:smallCaps w:val="0"/>
      <w:sz w:val="24"/>
      <w:lang w:eastAsia="sl-SI"/>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character" w:customStyle="1" w:styleId="HeaderSensitivityChar">
    <w:name w:val="Header Sensitivity Char"/>
    <w:basedOn w:val="ManualHeading1Char"/>
    <w:link w:val="HeaderSensitivity"/>
    <w:rPr>
      <w:rFonts w:ascii="Times New Roman" w:eastAsia="Times New Roman" w:hAnsi="Times New Roman" w:cs="Times New Roman"/>
      <w:b/>
      <w:smallCaps w:val="0"/>
      <w:sz w:val="32"/>
      <w:lang w:eastAsia="sl-SI"/>
    </w:rPr>
  </w:style>
  <w:style w:type="paragraph" w:styleId="Revision">
    <w:name w:val="Revision"/>
    <w:hidden/>
    <w:uiPriority w:val="99"/>
    <w:semiHidden/>
    <w:pPr>
      <w:spacing w:after="0" w:line="240" w:lineRule="auto"/>
    </w:pPr>
    <w:rPr>
      <w:rFonts w:ascii="Times New Roman" w:eastAsia="Times New Roman" w:hAnsi="Times New Roman" w:cs="Times New Roman"/>
      <w:sz w:val="24"/>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lang w:eastAsia="sl-SI"/>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eastAsia="Times New Roman" w:hAnsi="Times New Roman" w:cs="Times New Roman"/>
      <w:b/>
      <w:bCs/>
      <w:sz w:val="20"/>
      <w:szCs w:val="20"/>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789913">
      <w:bodyDiv w:val="1"/>
      <w:marLeft w:val="0"/>
      <w:marRight w:val="0"/>
      <w:marTop w:val="0"/>
      <w:marBottom w:val="0"/>
      <w:divBdr>
        <w:top w:val="none" w:sz="0" w:space="0" w:color="auto"/>
        <w:left w:val="none" w:sz="0" w:space="0" w:color="auto"/>
        <w:bottom w:val="none" w:sz="0" w:space="0" w:color="auto"/>
        <w:right w:val="none" w:sz="0" w:space="0" w:color="auto"/>
      </w:divBdr>
    </w:div>
    <w:div w:id="257982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4.emf"/><Relationship Id="rId26" Type="http://schemas.openxmlformats.org/officeDocument/2006/relationships/image" Target="media/image12.emf"/><Relationship Id="rId3" Type="http://schemas.openxmlformats.org/officeDocument/2006/relationships/styles" Target="styles.xml"/><Relationship Id="rId21" Type="http://schemas.openxmlformats.org/officeDocument/2006/relationships/image" Target="media/image7.emf"/><Relationship Id="rId34"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emf"/><Relationship Id="rId25" Type="http://schemas.openxmlformats.org/officeDocument/2006/relationships/image" Target="media/image11.emf"/><Relationship Id="rId33"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image" Target="media/image6.emf"/><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10.emf"/><Relationship Id="rId32"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image" Target="media/image9.emf"/><Relationship Id="rId28" Type="http://schemas.openxmlformats.org/officeDocument/2006/relationships/image" Target="media/image14.emf"/><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5.emf"/><Relationship Id="rId31"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image" Target="media/image8.emf"/><Relationship Id="rId27" Type="http://schemas.openxmlformats.org/officeDocument/2006/relationships/image" Target="media/image13.emf"/><Relationship Id="rId30" Type="http://schemas.openxmlformats.org/officeDocument/2006/relationships/header" Target="header5.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E07250EB-5093-4219-90EE-924B158A1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15</Pages>
  <Words>2847</Words>
  <Characters>14722</Characters>
  <Application>Microsoft Office Word</Application>
  <DocSecurity>0</DocSecurity>
  <Lines>272</Lines>
  <Paragraphs>75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27</cp:revision>
  <cp:lastPrinted>2019-04-11T08:28:00Z</cp:lastPrinted>
  <dcterms:created xsi:type="dcterms:W3CDTF">2019-04-29T09:51:00Z</dcterms:created>
  <dcterms:modified xsi:type="dcterms:W3CDTF">2019-05-20T13:16:00Z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vel of sensitivity">
    <vt:lpwstr>Standard treatment</vt:lpwstr>
  </property>
  <property fmtid="{D5CDD505-2E9C-101B-9397-08002B2CF9AE}" pid="3" name="Part">
    <vt:lpwstr>1</vt:lpwstr>
  </property>
  <property fmtid="{D5CDD505-2E9C-101B-9397-08002B2CF9AE}" pid="4" name="Total parts">
    <vt:lpwstr>1</vt:lpwstr>
  </property>
  <property fmtid="{D5CDD505-2E9C-101B-9397-08002B2CF9AE}" pid="5" name="DocStatus">
    <vt:lpwstr>Green</vt:lpwstr>
  </property>
  <property fmtid="{D5CDD505-2E9C-101B-9397-08002B2CF9AE}" pid="6" name="Last edited using">
    <vt:lpwstr>LW 6.0.1, Build 20180503</vt:lpwstr>
  </property>
  <property fmtid="{D5CDD505-2E9C-101B-9397-08002B2CF9AE}" pid="7" name="Created using">
    <vt:lpwstr>LW 6.0.1, Build 20180503</vt:lpwstr>
  </property>
  <property name="OP_sanitized" fmtid="{D5CDD505-2E9C-101B-9397-08002B2CF9AE}" pid="8">
    <vt:lpwstr>True</vt:lpwstr>
  </property>
</Properties>
</file>