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766C" w:rsidRPr="00BE71FF" w:rsidRDefault="00224BFD" w:rsidP="00224BFD">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F89FCF07-B380-41E6-8AF1-65ED659A5FF2" style="width:455.25pt;height:369.75pt">
            <v:imagedata r:id="rId8" o:title=""/>
          </v:shape>
        </w:pict>
      </w:r>
    </w:p>
    <w:p w:rsidR="009E766C" w:rsidRPr="00BE71FF" w:rsidRDefault="009E766C" w:rsidP="009E766C">
      <w:pPr>
        <w:rPr>
          <w:noProof/>
        </w:rPr>
        <w:sectPr w:rsidR="009E766C" w:rsidRPr="00BE71FF" w:rsidSect="00224BFD">
          <w:footerReference w:type="even" r:id="rId9"/>
          <w:footerReference w:type="default" r:id="rId10"/>
          <w:pgSz w:w="11907" w:h="16839"/>
          <w:pgMar w:top="1134" w:right="1417" w:bottom="1134" w:left="1417" w:header="709" w:footer="709" w:gutter="0"/>
          <w:pgNumType w:start="0"/>
          <w:cols w:space="720"/>
          <w:docGrid w:linePitch="360"/>
        </w:sectPr>
      </w:pPr>
    </w:p>
    <w:p w:rsidR="00163FD4" w:rsidRPr="00BE71FF" w:rsidRDefault="00163FD4" w:rsidP="00163FD4">
      <w:pPr>
        <w:pStyle w:val="Exposdesmotifstitre"/>
        <w:rPr>
          <w:noProof/>
        </w:rPr>
      </w:pPr>
      <w:bookmarkStart w:id="0" w:name="_GoBack"/>
      <w:bookmarkEnd w:id="0"/>
      <w:r w:rsidRPr="00BE71FF">
        <w:rPr>
          <w:noProof/>
        </w:rPr>
        <w:lastRenderedPageBreak/>
        <w:t>DŮVODOVÁ ZPRÁVA</w:t>
      </w:r>
    </w:p>
    <w:p w:rsidR="00163FD4" w:rsidRPr="00BE71FF" w:rsidRDefault="00163FD4" w:rsidP="00163FD4">
      <w:pPr>
        <w:pStyle w:val="ManualHeading1"/>
        <w:rPr>
          <w:noProof/>
        </w:rPr>
      </w:pPr>
      <w:r w:rsidRPr="00BE71FF">
        <w:rPr>
          <w:noProof/>
        </w:rPr>
        <w:t>1.</w:t>
      </w:r>
      <w:r w:rsidRPr="00BE71FF">
        <w:rPr>
          <w:noProof/>
        </w:rPr>
        <w:tab/>
        <w:t>SOUVISLOSTI NÁVRHU</w:t>
      </w:r>
    </w:p>
    <w:p w:rsidR="00163FD4" w:rsidRPr="00BE71FF" w:rsidRDefault="00163FD4" w:rsidP="00163FD4">
      <w:pPr>
        <w:pStyle w:val="ManualHeading2"/>
        <w:rPr>
          <w:rFonts w:eastAsia="Arial Unicode MS"/>
          <w:noProof/>
        </w:rPr>
      </w:pPr>
      <w:r w:rsidRPr="00BE71FF">
        <w:rPr>
          <w:noProof/>
          <w:color w:val="000000"/>
          <w:u w:color="000000"/>
          <w:bdr w:val="nil"/>
        </w:rPr>
        <w:t>•</w:t>
      </w:r>
      <w:r w:rsidRPr="00BE71FF">
        <w:rPr>
          <w:noProof/>
          <w:color w:val="000000"/>
          <w:u w:color="000000"/>
          <w:bdr w:val="nil"/>
        </w:rPr>
        <w:tab/>
      </w:r>
      <w:r w:rsidRPr="00BE71FF">
        <w:rPr>
          <w:noProof/>
        </w:rPr>
        <w:t>Odůvodnění a cíle návrhu</w:t>
      </w:r>
    </w:p>
    <w:p w:rsidR="00163FD4" w:rsidRPr="00BE71FF" w:rsidRDefault="00163FD4" w:rsidP="00163FD4">
      <w:pPr>
        <w:rPr>
          <w:noProof/>
          <w:color w:val="000000" w:themeColor="text1"/>
        </w:rPr>
      </w:pPr>
      <w:r w:rsidRPr="00BE71FF">
        <w:rPr>
          <w:noProof/>
        </w:rPr>
        <w:t>Vnitrozemské vodní cesty EU dosahují délky přes 42 286 km a jsou klíčovým prostředkem spojení mezi námořními přístavy, městy a průmyslovými centry</w:t>
      </w:r>
      <w:r w:rsidRPr="00BE71FF">
        <w:rPr>
          <w:rStyle w:val="FootnoteReference"/>
          <w:noProof/>
        </w:rPr>
        <w:footnoteReference w:id="1"/>
      </w:r>
      <w:r w:rsidRPr="00BE71FF">
        <w:rPr>
          <w:noProof/>
        </w:rPr>
        <w:t>. Síť propojených vodních cest o celkové délce 13 000 km pokrývá třináct členských států</w:t>
      </w:r>
      <w:r w:rsidRPr="00BE71FF">
        <w:rPr>
          <w:rStyle w:val="FootnoteReference"/>
          <w:noProof/>
        </w:rPr>
        <w:footnoteReference w:id="2"/>
      </w:r>
      <w:r w:rsidRPr="00BE71FF">
        <w:rPr>
          <w:noProof/>
        </w:rPr>
        <w:t xml:space="preserve"> a obsluhuje více než 250 vnitrozemských přístavů transevropské dopravní sítě (TEN-T). Z hlediska objemu dopravy na úrovni EU hraje vnitrozemská vodní doprava v celkovém evropském dopravním systému významnou roli, navzdory jejímu relativně malému rozsahu. V roce 2020 byl přes vnitrozemské vody přepraven náklad v objemu 131,7 miliardy tunokilometrů (tkm), což podle jednotlivých druhů dopravy, pokud jde o nákladní dopravu, představuje podíl ve výši 4,1 % (přičemž 54,9 % připadá na silniční dopravu, 29,1 % na námořní dopravu a 11,9 % na železniční dopravu)</w:t>
      </w:r>
      <w:r w:rsidRPr="00BE71FF">
        <w:rPr>
          <w:rStyle w:val="FootnoteReference"/>
          <w:noProof/>
        </w:rPr>
        <w:footnoteReference w:id="3"/>
      </w:r>
      <w:r w:rsidRPr="00BE71FF">
        <w:rPr>
          <w:noProof/>
        </w:rPr>
        <w:t>. Suchý náklad (zemědělské produkty, rudy, kovy, stavební materiály, uhlí atd.) v roce 2020 představoval 59,8 % objemu vnitrozemské vodní dopravy, zatímco kapalný náklad (chemické látky a ropné produkty) dosáhl podílu 28,1 % a kontejnery podílu 12,1 %</w:t>
      </w:r>
      <w:r w:rsidRPr="00BE71FF">
        <w:rPr>
          <w:rStyle w:val="FootnoteReference"/>
          <w:noProof/>
        </w:rPr>
        <w:footnoteReference w:id="4"/>
      </w:r>
      <w:r w:rsidRPr="00BE71FF">
        <w:rPr>
          <w:noProof/>
        </w:rPr>
        <w:t>.</w:t>
      </w:r>
    </w:p>
    <w:p w:rsidR="00163FD4" w:rsidRPr="00BE71FF" w:rsidRDefault="00163FD4" w:rsidP="00163FD4">
      <w:pPr>
        <w:rPr>
          <w:noProof/>
        </w:rPr>
      </w:pPr>
      <w:r w:rsidRPr="00BE71FF">
        <w:rPr>
          <w:noProof/>
        </w:rPr>
        <w:t>Vnitrozemská vodní doprava zajišťuje 0,9 % celkového dovozu a vývozu v EU. Je to ze své podstaty zeměpisně omezená a úzce zaměřená síť, přesto ale nabízí důležitou alternativu k silniční nebo železniční dopravě pro regiony v evropském vnitrozemí, které jsou situovány v blízkosti vnitrozemských vodních cest. Vnitrozemská vodní doprava proto konkuruje především pozemním druhům dopravy – a často je spolu s nimi klasifikována</w:t>
      </w:r>
      <w:r w:rsidRPr="00BE71FF">
        <w:rPr>
          <w:rStyle w:val="FootnoteReference"/>
          <w:noProof/>
        </w:rPr>
        <w:footnoteReference w:id="5"/>
      </w:r>
      <w:r w:rsidRPr="00BE71FF">
        <w:rPr>
          <w:noProof/>
        </w:rPr>
        <w:t xml:space="preserve">, a pokrývá pouze </w:t>
      </w:r>
      <w:r w:rsidRPr="00BE71FF">
        <w:rPr>
          <w:noProof/>
          <w:color w:val="000000" w:themeColor="text1"/>
        </w:rPr>
        <w:t xml:space="preserve">6 % pozemní nákladní dopravy a 0,01 % pozemní osobní dopravy. </w:t>
      </w:r>
      <w:r w:rsidRPr="00BE71FF">
        <w:rPr>
          <w:noProof/>
        </w:rPr>
        <w:t>Rozvoj činnosti vnitrozemské vodní dopravy ve značné míře závisí na: i) zeměpisných podmínkách (poloze řek); ii) druzích zboží, které jsou nebo mohou být přepravovány; iii) umístění míst výroby a spotřeby ve vztahu k síti vnitrozemských vodních cest a iv) dostupnosti překládkové infrastruktury.</w:t>
      </w:r>
    </w:p>
    <w:p w:rsidR="00163FD4" w:rsidRPr="00BE71FF" w:rsidRDefault="00163FD4" w:rsidP="00163FD4">
      <w:pPr>
        <w:rPr>
          <w:noProof/>
        </w:rPr>
      </w:pPr>
      <w:r w:rsidRPr="00BE71FF">
        <w:rPr>
          <w:noProof/>
        </w:rPr>
        <w:t xml:space="preserve">Říční informační služby (RIS) jsou vyspělé služby a funkce, které se týkají zejména aspektů souvisejících buď s provozem, nebo dopravou. Služby související s provozem zahrnují informace o plavební dráze, informace o provozu, řízení provozu a monitorování dopravy a pomoc v případě nehod; služby související s dopravou zahrnují plánování plaveb, správu přístavů a terminálů, správu nákladu a loďstev, statistické služby a poplatky za infrastrukturu vnitrozemských vodních cest. </w:t>
      </w:r>
    </w:p>
    <w:p w:rsidR="00163FD4" w:rsidRPr="00BE71FF" w:rsidRDefault="00163FD4" w:rsidP="00163FD4">
      <w:pPr>
        <w:rPr>
          <w:noProof/>
        </w:rPr>
      </w:pPr>
      <w:r w:rsidRPr="00BE71FF">
        <w:rPr>
          <w:noProof/>
        </w:rPr>
        <w:t xml:space="preserve">RIS podporují řízení provozu a dopravy ve vnitrozemské plavbě. Jejich cílem je přispět k: i) k bezpečnému a efektivnímu dopravnímu procesu a ii) k co největšímu využívání vnitrozemských vodních cest. Legislativní proces regulace RIS na úrovni EU byl zahájen v roce 2005 přijetím směrnice o RIS (směrnice 2005/44/ES). Směrnice stanoví rámec pro </w:t>
      </w:r>
      <w:r w:rsidRPr="00BE71FF">
        <w:rPr>
          <w:noProof/>
        </w:rPr>
        <w:lastRenderedPageBreak/>
        <w:t xml:space="preserve">zavedení a používání harmonizovaných, interoperabilních a otevřených RIS s cílem zvýšit bezpečnost a efektivitu vnitrozemské vodní dopravy v EU a její šetrnost k životnímu prostředí. Zároveň by měla usnadnit propojení vnitrozemské vodní dopravy s ostatními druhy dopravy (tj. multimodální dopravu). V rámci EU směrnice stanoví: i) obecné požadavky na způsob, jakým by členské státy měly zavést RIS; ii) oblasti, v nichž je třeba vypracovat normy, a iii) zásady, které je třeba dodržovat. Samotné technické pokyny a specifikace vypracovává Komise a jsou přijímány prostřednictvím sekundárních právních předpisů. </w:t>
      </w:r>
    </w:p>
    <w:p w:rsidR="00163FD4" w:rsidRPr="00BE71FF" w:rsidRDefault="00163FD4" w:rsidP="00163FD4">
      <w:pPr>
        <w:widowControl w:val="0"/>
        <w:rPr>
          <w:noProof/>
        </w:rPr>
      </w:pPr>
      <w:r w:rsidRPr="00BE71FF">
        <w:rPr>
          <w:noProof/>
        </w:rPr>
        <w:t xml:space="preserve">Komise provedla hodnocení směrnice </w:t>
      </w:r>
      <w:r w:rsidRPr="00BE71FF">
        <w:rPr>
          <w:i/>
          <w:iCs/>
          <w:noProof/>
        </w:rPr>
        <w:t>ex post</w:t>
      </w:r>
      <w:r w:rsidRPr="00BE71FF">
        <w:rPr>
          <w:rStyle w:val="FootnoteReference"/>
          <w:noProof/>
        </w:rPr>
        <w:footnoteReference w:id="6"/>
      </w:r>
      <w:r w:rsidRPr="00BE71FF">
        <w:rPr>
          <w:noProof/>
        </w:rPr>
        <w:t xml:space="preserve">, z něhož vyplynulo, že měla pozitivní dopad, pokud jde o harmonizaci RIS. Hodnocení však také ukázalo, že stále ještě je prostor pro zlepšení. Je tomu proto, že při posuzování provádění směrnice: i) ne všechny technologie RIS dosáhly stejné úrovně provádění a vyspělosti a ii) ne všechny technologie RIS byly ve všech zemích a říčních koridorech plně využity ve stejné míře. Významnou roli v pomalém rozvoji RIS navíc hraje pomalá aktualizace norem. Je tomu tak proto, že v současné situaci je vytváření norem založeno na příspěvcích odborníků z členských států předkládaných volně koordinovaným a časově náročným způsobem předtím, než je k přijetí připravena nová verze v rámci prováděcího aktu. Zkušenosti ukázaly, že příprava a zavedení norem v odvětví trvá pět až dvanáct let. To následně snižuje efektivitu provozovatelů vnitrozemské vodní dopravy, kteří v důsledku toho používají staré normy a technologie. Ve zprávě DINA (2017) byly zkoumány faktory související s digitalizací a jejich dopad na konkurenceschopnost odvětví ve srovnání s jinými druhy dopravy a bylo zjištěno, že RIS by mohly hrát v odvětví vnitrozemské vodní dopravy důležitou roli. Pokud tedy nejsou RIS správně zavedeny, mohou brzdit potenciál konkurenceschopnosti odvětví vnitrozemské vodní dopravy. </w:t>
      </w:r>
    </w:p>
    <w:p w:rsidR="00163FD4" w:rsidRPr="00BE71FF" w:rsidRDefault="00163FD4" w:rsidP="00163FD4">
      <w:pPr>
        <w:widowControl w:val="0"/>
        <w:rPr>
          <w:noProof/>
        </w:rPr>
      </w:pPr>
      <w:r w:rsidRPr="00BE71FF">
        <w:rPr>
          <w:noProof/>
        </w:rPr>
        <w:t xml:space="preserve">Zelená dohoda pro Evropu navíc vyžaduje, aby všechny druhy dopravy, včetně vnitrozemské vodní dopravy, přispívaly k dosažení cíle EU stát se klimaticky neutrálním hospodářstvím a chránit životní prostředí. Pro vnitrozemskou vodní dopravu to znamená také zlepšení propojení s různými druhy dopravy do podoby bezproblémového intermodálního logistického řetězce. V odvětví dopravy již došlo k vývoji v oblasti jiných druhů dopravy. Například v roce 2019 byly zavedeny právní předpisy upravující digitální nástroje v souvislosti s nákladem pro evropské prostředí jednotného námořního portálu a v roce 2020 pro službu eFTI. Směrnice o RIS se však dosud zaměřovala na bezpečnost plavby a neumožňovala začlenění vnitrozemské vodní dopravy do multimodálních dodavatelských řetězců. Pro efektivní systém dopravy je navíc důležitá účinná přeshraniční výměna informací mezi orgány. Přestože se spolupráce členských států v průběhu času zlepšila, ne všechny zprávy používané ve vnitrozemské vodní dopravě jsou digitalizovány. A i tehdy, pokud jsou tyto zprávy digitalizovány, používají členské státy různé aplikace pro podávání zpráv, které nejsou vzájemně kompatibilní. To znamená, že v posledních letech nebylo zjištěno žádné podstatné snížení počtu opětovně podaných elektronických zpráv o údajích z lodí na hranicích. Směrnice o RIS navíc v současné době nestanoví povinnost výměny osobních údajů prostřednictvím RIS. Některé zúčastněné strany, zejména provozovatelé plavidel, však vyjádřily obavy ohledně důvěrnosti informací o poloze plavidel, což vedlo k neochotě členských států sdílet informace RIS. Tento příklad ukazuje, že členské státy i zúčastněné strany si zřejmě nejsou vědomy toho, do jaké míry a pro jaké účely jsou nebo by mohly být osobní údaje prostřednictvím RIS vyměňovány zákonným způsobem. Při hodnocení (částečně ovlivněném značným nedostatkem dostupných údajů) nakonec nebylo možné zjistit dopad RIS na udržitelnost ani na přechod na jiné druhy dopravy v tomto odvětví. </w:t>
      </w:r>
    </w:p>
    <w:p w:rsidR="00163FD4" w:rsidRPr="00BE71FF" w:rsidRDefault="00163FD4" w:rsidP="00163FD4">
      <w:pPr>
        <w:widowControl w:val="0"/>
        <w:rPr>
          <w:noProof/>
        </w:rPr>
      </w:pPr>
      <w:r w:rsidRPr="00BE71FF">
        <w:rPr>
          <w:noProof/>
          <w:color w:val="000000" w:themeColor="text1"/>
        </w:rPr>
        <w:t xml:space="preserve">Hlavním problémem je proto </w:t>
      </w:r>
      <w:r w:rsidRPr="00BE71FF">
        <w:rPr>
          <w:noProof/>
        </w:rPr>
        <w:t xml:space="preserve">pomalé a roztříštěné zavádění RIS, které negativně ovlivňuje konkurenceschopnost a bezpečnost tohoto odvětví a brzdí jeho přínos k cílům Zelené dohody </w:t>
      </w:r>
      <w:r w:rsidRPr="00BE71FF">
        <w:rPr>
          <w:noProof/>
        </w:rPr>
        <w:lastRenderedPageBreak/>
        <w:t xml:space="preserve">pro Evropu. </w:t>
      </w:r>
    </w:p>
    <w:p w:rsidR="00163FD4" w:rsidRPr="00BE71FF" w:rsidRDefault="00163FD4" w:rsidP="00163FD4">
      <w:pPr>
        <w:widowControl w:val="0"/>
        <w:rPr>
          <w:noProof/>
          <w:color w:val="000000" w:themeColor="text1"/>
        </w:rPr>
      </w:pPr>
      <w:r w:rsidRPr="00BE71FF">
        <w:rPr>
          <w:noProof/>
          <w:color w:val="000000" w:themeColor="text1"/>
        </w:rPr>
        <w:t xml:space="preserve">Vzhledem k tomu, že se vnitrozemská vodní doprava soustředí na splavné vodní cesty, vyskytují se problémy uvedené v předchozích odstavcích pouze u těch vodních cest, kde jsou zavedeny a používány RIS. Tyto problémy jsou proto vysoce zeměpisně zaměřené a specializované. Vzhledem k velikosti tohoto odvětví bude rozsah problémů v jakémkoli srovnání se zbytkem odvětví dopravy nutně omezen. </w:t>
      </w:r>
    </w:p>
    <w:p w:rsidR="00163FD4" w:rsidRPr="00BE71FF" w:rsidRDefault="00163FD4" w:rsidP="00163FD4">
      <w:pPr>
        <w:pBdr>
          <w:top w:val="nil"/>
          <w:left w:val="nil"/>
          <w:bottom w:val="nil"/>
          <w:right w:val="nil"/>
          <w:between w:val="nil"/>
          <w:bar w:val="nil"/>
        </w:pBdr>
        <w:spacing w:before="0" w:after="240"/>
        <w:rPr>
          <w:noProof/>
        </w:rPr>
      </w:pPr>
      <w:r w:rsidRPr="00BE71FF">
        <w:rPr>
          <w:noProof/>
        </w:rPr>
        <w:t>Za tímto účelem se iniciativa zaměřuje na řešení zjištěných problémů. Obecným cílem změny směrnice je vytvořit účinný rámec pro zavedení a používání RIS. Mezi specifické cíle patří:</w:t>
      </w:r>
    </w:p>
    <w:p w:rsidR="00163FD4" w:rsidRPr="00BE71FF" w:rsidRDefault="00163FD4" w:rsidP="00FD7DD8">
      <w:pPr>
        <w:pStyle w:val="Tiret0"/>
        <w:numPr>
          <w:ilvl w:val="0"/>
          <w:numId w:val="3"/>
        </w:numPr>
        <w:rPr>
          <w:noProof/>
        </w:rPr>
      </w:pPr>
      <w:r w:rsidRPr="00BE71FF">
        <w:rPr>
          <w:noProof/>
        </w:rPr>
        <w:t>zajistit dostupnost údajů RIS a harmonizované normy,</w:t>
      </w:r>
    </w:p>
    <w:p w:rsidR="00163FD4" w:rsidRPr="00BE71FF" w:rsidRDefault="00163FD4" w:rsidP="00163FD4">
      <w:pPr>
        <w:pStyle w:val="Tiret0"/>
        <w:rPr>
          <w:noProof/>
        </w:rPr>
      </w:pPr>
      <w:r w:rsidRPr="00BE71FF">
        <w:rPr>
          <w:noProof/>
        </w:rPr>
        <w:t>usnadnit začlenění vnitrozemské vodní dopravy do multimodálního řetězce,</w:t>
      </w:r>
    </w:p>
    <w:p w:rsidR="00163FD4" w:rsidRPr="00BE71FF" w:rsidRDefault="00163FD4" w:rsidP="00FE0699">
      <w:pPr>
        <w:pStyle w:val="Tiret0"/>
        <w:spacing w:before="0" w:after="240"/>
        <w:ind w:left="851" w:hanging="851"/>
        <w:rPr>
          <w:noProof/>
        </w:rPr>
      </w:pPr>
      <w:r w:rsidRPr="00BE71FF">
        <w:rPr>
          <w:noProof/>
        </w:rPr>
        <w:t>zajistit větší rozšíření a interoperabilitu digitálních řešení a řešit problémy související s ochranou údajů.</w:t>
      </w:r>
    </w:p>
    <w:p w:rsidR="00163FD4" w:rsidRPr="00BE71FF" w:rsidRDefault="00163FD4" w:rsidP="00163FD4">
      <w:pPr>
        <w:pStyle w:val="ManualHeading2"/>
        <w:rPr>
          <w:rFonts w:eastAsia="Arial Unicode MS"/>
          <w:noProof/>
          <w:color w:val="000000"/>
          <w:u w:color="000000"/>
          <w:bdr w:val="nil"/>
        </w:rPr>
      </w:pPr>
      <w:r w:rsidRPr="00BE71FF">
        <w:rPr>
          <w:noProof/>
          <w:color w:val="000000"/>
          <w:u w:color="000000"/>
          <w:bdr w:val="nil"/>
        </w:rPr>
        <w:t>•</w:t>
      </w:r>
      <w:r w:rsidRPr="00BE71FF">
        <w:rPr>
          <w:noProof/>
          <w:color w:val="000000"/>
          <w:u w:color="000000"/>
          <w:bdr w:val="nil"/>
        </w:rPr>
        <w:tab/>
      </w:r>
      <w:r w:rsidRPr="00BE71FF">
        <w:rPr>
          <w:noProof/>
        </w:rPr>
        <w:t>Soulad s platnými předpisy v této oblasti politiky</w:t>
      </w:r>
    </w:p>
    <w:p w:rsidR="00163FD4" w:rsidRPr="00BE71FF" w:rsidRDefault="00163FD4" w:rsidP="00163FD4">
      <w:pPr>
        <w:pBdr>
          <w:top w:val="nil"/>
          <w:left w:val="nil"/>
          <w:bottom w:val="nil"/>
          <w:right w:val="nil"/>
          <w:between w:val="nil"/>
          <w:bar w:val="nil"/>
        </w:pBdr>
        <w:spacing w:before="0" w:after="240"/>
        <w:rPr>
          <w:noProof/>
        </w:rPr>
      </w:pPr>
      <w:r w:rsidRPr="00BE71FF">
        <w:rPr>
          <w:noProof/>
        </w:rPr>
        <w:t>Důvod pro revizi směrnice o RIS je úzce spjat s klíčovými cíli současné politiky EU stanovenými v Zelené dohodě pro Evropu</w:t>
      </w:r>
      <w:r w:rsidRPr="00BE71FF">
        <w:rPr>
          <w:rStyle w:val="FootnoteReference"/>
          <w:noProof/>
        </w:rPr>
        <w:footnoteReference w:id="7"/>
      </w:r>
      <w:r w:rsidRPr="00BE71FF">
        <w:rPr>
          <w:noProof/>
        </w:rPr>
        <w:t xml:space="preserve">. V návaznosti na Strategii pro udržitelnou a inteligentní mobilitu, která stanovuje milník v podobě nárůstu vnitrozemské vodní dopravy a námořní dopravy na krátké vzdálenosti o 25 % do roku 2030 a o 50 % do roku 2050, předložila Evropská komise v červnu 2021 akční plán NAIADES III o 35 bodech, jehož cílem je posílit úlohu vnitrozemské vodní dopravy v našich systémech mobility a logistiky. Mezi hlavní cíle patří: i) přemisťovat větší objem nákladu po evropských řekách a kanálech a ii) usnadnit přechod k vlečným člunům s nulovými emisemi do roku 2050. To je v souladu se Zelenou dohodou pro Evropu, v níž se doporučuje, aby se významná část vnitrozemské nákladní přepravy, kterou dnes zajišťuje silniční síť, přesunula na železnici a vnitrozemské vodní cesty. Ve sdělení o akčním plánu NAIADES III se uvádí, že RIS by v této politice měly hrát významnou úlohu jako zdroj dat, který je podkladem pro budoucí evropský datový prostor pro mobilitu, a tím by měly napomáhat začlenění vnitrozemské vodní dopravy do multimodální mobility a logistických řetězců. </w:t>
      </w:r>
    </w:p>
    <w:p w:rsidR="00163FD4" w:rsidRPr="00BE71FF" w:rsidRDefault="00163FD4" w:rsidP="00163FD4">
      <w:pPr>
        <w:pStyle w:val="ManualHeading2"/>
        <w:rPr>
          <w:rFonts w:eastAsia="Arial Unicode MS"/>
          <w:noProof/>
        </w:rPr>
      </w:pPr>
      <w:r w:rsidRPr="00BE71FF">
        <w:rPr>
          <w:noProof/>
          <w:color w:val="000000"/>
          <w:u w:color="000000"/>
          <w:bdr w:val="nil"/>
        </w:rPr>
        <w:t>•</w:t>
      </w:r>
      <w:r w:rsidRPr="00BE71FF">
        <w:rPr>
          <w:noProof/>
          <w:color w:val="000000"/>
          <w:u w:color="000000"/>
          <w:bdr w:val="nil"/>
        </w:rPr>
        <w:tab/>
      </w:r>
      <w:r w:rsidRPr="00BE71FF">
        <w:rPr>
          <w:noProof/>
        </w:rPr>
        <w:t>Soulad s ostatními politikami Unie</w:t>
      </w:r>
    </w:p>
    <w:p w:rsidR="00163FD4" w:rsidRPr="00BE71FF" w:rsidRDefault="00163FD4" w:rsidP="00163FD4">
      <w:pPr>
        <w:pBdr>
          <w:top w:val="nil"/>
          <w:left w:val="nil"/>
          <w:bottom w:val="nil"/>
          <w:right w:val="nil"/>
          <w:between w:val="nil"/>
          <w:bar w:val="nil"/>
        </w:pBdr>
        <w:spacing w:before="0" w:after="240"/>
        <w:rPr>
          <w:noProof/>
        </w:rPr>
      </w:pPr>
      <w:r w:rsidRPr="00BE71FF">
        <w:rPr>
          <w:noProof/>
        </w:rPr>
        <w:t>Tento návrh je v souladu se stávajícími právními akty v oblasti vnitrozemské vodní dopravy i s právními akty v oblasti dopravy obecně a doplňuje je. Na strategické úrovni je v souladu s nařízením o TEN-T</w:t>
      </w:r>
      <w:r w:rsidRPr="00BE71FF">
        <w:rPr>
          <w:rStyle w:val="FootnoteReference"/>
          <w:noProof/>
        </w:rPr>
        <w:footnoteReference w:id="8"/>
      </w:r>
      <w:r w:rsidRPr="00BE71FF">
        <w:rPr>
          <w:noProof/>
        </w:rPr>
        <w:t>, které se v rámci svých priorit zabývá: i) informačními a komunikačními technologiemi (například zavádění IT aplikací, včetně RIS) a ii) multimodálními aspekty, jako je propojení infrastruktury vnitrozemského přístavu s železniční nákladní a silniční dopravní infrastrukturou. Kromě toho finanční prostředky na rozvoj RIS poskytuje program Nástroj pro propojení Evropy v rámci sítě TEN-T. Přístup použitý v rámci všech možností politiky v tomto ohledu nespočívá ve zdvojování nebo vytváření překrývajících se digitálních nástrojů pro druhy a funkce dopravy, ale v umožnění a zlepšení propojení se stávajícími nástroji (prostřednictvím výměny příslušných informací), čímž se nejlépe využijí stávající systémy.</w:t>
      </w:r>
    </w:p>
    <w:p w:rsidR="00163FD4" w:rsidRPr="00BE71FF" w:rsidRDefault="00163FD4" w:rsidP="00163FD4">
      <w:pPr>
        <w:pBdr>
          <w:top w:val="nil"/>
          <w:left w:val="nil"/>
          <w:bottom w:val="nil"/>
          <w:right w:val="nil"/>
          <w:between w:val="nil"/>
          <w:bar w:val="nil"/>
        </w:pBdr>
        <w:spacing w:before="0" w:after="240"/>
        <w:rPr>
          <w:rFonts w:eastAsia="Arial Unicode MS"/>
          <w:noProof/>
        </w:rPr>
      </w:pPr>
      <w:r w:rsidRPr="00BE71FF">
        <w:rPr>
          <w:noProof/>
        </w:rPr>
        <w:t>Nařízení o elektronických informacích o nákladní dopravě (eFTI)</w:t>
      </w:r>
      <w:r w:rsidRPr="00BE71FF">
        <w:rPr>
          <w:rStyle w:val="FootnoteReference"/>
          <w:noProof/>
        </w:rPr>
        <w:footnoteReference w:id="9"/>
      </w:r>
      <w:r w:rsidRPr="00BE71FF">
        <w:rPr>
          <w:rStyle w:val="FootnoteReference"/>
          <w:noProof/>
        </w:rPr>
        <w:t xml:space="preserve">  </w:t>
      </w:r>
      <w:r w:rsidRPr="00BE71FF">
        <w:rPr>
          <w:noProof/>
        </w:rPr>
        <w:t xml:space="preserve">stanovilo právní rámec, který podnikům umožňuje sdílet informace v elektronickém formátu s donucovacími orgány (tj. pro přepravu zboží po silnici, železnici, vnitrozemských vodních cestách a letecky v </w:t>
      </w:r>
      <w:r w:rsidRPr="00BE71FF">
        <w:rPr>
          <w:noProof/>
        </w:rPr>
        <w:lastRenderedPageBreak/>
        <w:t>Evropské unii). Provozovatelé nejsou povinni zpřístupnit příslušnému orgánu regulační informace elektronickou formou. Pokud se však rozhodnou tyto informace zpřístupnit elektronickou formou, musí dodržovat soubor požadavků stanovených v nařízení o elektronických informacích o nákladní dopravě. V současné době existuje mezi RIS a eFTI jen omezená součinnost, třebaže existují potenciální synergie, kterých by bylo možné dosáhnout využitím platforem eFTI k výměně informací o nákladu, které vyžadují RIS.</w:t>
      </w:r>
    </w:p>
    <w:p w:rsidR="00163FD4" w:rsidRPr="00BE71FF" w:rsidRDefault="00163FD4" w:rsidP="00163FD4">
      <w:pPr>
        <w:pBdr>
          <w:top w:val="nil"/>
          <w:left w:val="nil"/>
          <w:bottom w:val="nil"/>
          <w:right w:val="nil"/>
          <w:between w:val="nil"/>
          <w:bar w:val="nil"/>
        </w:pBdr>
        <w:spacing w:before="0" w:after="240"/>
        <w:rPr>
          <w:rFonts w:eastAsia="Arial Unicode MS"/>
          <w:noProof/>
        </w:rPr>
      </w:pPr>
      <w:r w:rsidRPr="00BE71FF">
        <w:rPr>
          <w:noProof/>
        </w:rPr>
        <w:t>Nové nařízení o infrastruktuře pro alternativní paliva (AFIR)</w:t>
      </w:r>
      <w:r w:rsidRPr="00BE71FF">
        <w:rPr>
          <w:rStyle w:val="FootnoteReference"/>
          <w:noProof/>
        </w:rPr>
        <w:footnoteReference w:id="10"/>
      </w:r>
      <w:r w:rsidRPr="00BE71FF">
        <w:rPr>
          <w:noProof/>
        </w:rPr>
        <w:t xml:space="preserve"> zavádí cíle pro dodávky elektřiny z pevniny ve vnitrozemských přístavech. Rovněž požaduje, aby členské státy vypracovaly vnitrostátní rámce politiky, které budou obsahovat plánované iniciativy pro zavádění infrastruktury pro alternativní paliva ve vnitrozemské vodní dopravě, jako je vodík a elektřina. RIS mohou doplnit nařízení o infrastruktuře pro alternativní paliva tím, že usnadní výměnu informací: i) mezi vnitrozemskými plavidly a přístavy vybavenými pro tato alternativní paliva a zejména ii) ohledně dostupnosti infrastruktury v reálném čase. To může podpořit využívání těchto paliv v odvětví vnitrozemské vodní dopravy.</w:t>
      </w:r>
    </w:p>
    <w:p w:rsidR="00163FD4" w:rsidRPr="00BE71FF" w:rsidRDefault="00163FD4" w:rsidP="00163FD4">
      <w:pPr>
        <w:pStyle w:val="ManualHeading1"/>
        <w:rPr>
          <w:noProof/>
        </w:rPr>
      </w:pPr>
      <w:r w:rsidRPr="00BE71FF">
        <w:rPr>
          <w:noProof/>
        </w:rPr>
        <w:t>2.</w:t>
      </w:r>
      <w:r w:rsidRPr="00BE71FF">
        <w:rPr>
          <w:noProof/>
        </w:rPr>
        <w:tab/>
        <w:t>PRÁVNÍ ZÁKLAD, SUBSIDIARITA A PROPORCIONALITA</w:t>
      </w:r>
    </w:p>
    <w:p w:rsidR="00163FD4" w:rsidRPr="00BE71FF" w:rsidRDefault="00163FD4" w:rsidP="00163FD4">
      <w:pPr>
        <w:pStyle w:val="ManualHeading2"/>
        <w:rPr>
          <w:rFonts w:eastAsia="Arial Unicode MS"/>
          <w:noProof/>
          <w:u w:color="000000"/>
          <w:bdr w:val="nil"/>
        </w:rPr>
      </w:pPr>
      <w:r w:rsidRPr="00BE71FF">
        <w:rPr>
          <w:noProof/>
          <w:u w:color="000000"/>
          <w:bdr w:val="nil"/>
        </w:rPr>
        <w:t>•</w:t>
      </w:r>
      <w:r w:rsidRPr="00BE71FF">
        <w:rPr>
          <w:noProof/>
          <w:u w:color="000000"/>
          <w:bdr w:val="nil"/>
        </w:rPr>
        <w:tab/>
        <w:t>Právní základ</w:t>
      </w:r>
    </w:p>
    <w:p w:rsidR="00163FD4" w:rsidRPr="00BE71FF" w:rsidRDefault="00163FD4" w:rsidP="00163FD4">
      <w:pPr>
        <w:pBdr>
          <w:top w:val="nil"/>
          <w:left w:val="nil"/>
          <w:bottom w:val="nil"/>
          <w:right w:val="nil"/>
          <w:between w:val="nil"/>
          <w:bar w:val="nil"/>
        </w:pBdr>
        <w:spacing w:before="0" w:after="240"/>
        <w:rPr>
          <w:rStyle w:val="normaltextrun"/>
          <w:noProof/>
          <w:color w:val="000000"/>
          <w:shd w:val="clear" w:color="auto" w:fill="FFFFFF"/>
        </w:rPr>
      </w:pPr>
      <w:r w:rsidRPr="00BE71FF">
        <w:rPr>
          <w:rStyle w:val="normaltextrun"/>
          <w:noProof/>
          <w:color w:val="000000"/>
          <w:shd w:val="clear" w:color="auto" w:fill="FFFFFF"/>
        </w:rPr>
        <w:t xml:space="preserve">Právním základem pro přijímání právních předpisů EU týkajících se společné dopravní politiky je čl. 91 odst. 1 Smlouvy o fungování Evropské unie (SFEU). </w:t>
      </w:r>
      <w:r w:rsidRPr="00BE71FF">
        <w:rPr>
          <w:noProof/>
        </w:rPr>
        <w:t xml:space="preserve">V tomto právním rámci EU zajišťuje koordinované a harmonizované zavádění informačních a komunikačních technologií na vnitrozemských vodních cestách, které pomáhají zvyšovat bezpečnost a efektivitu vnitrozemské vodní dopravy a nespoléhají se pouze na nekoordinovanou činnost jednotlivých členských států. </w:t>
      </w:r>
    </w:p>
    <w:p w:rsidR="00163FD4" w:rsidRPr="00BE71FF" w:rsidRDefault="00163FD4" w:rsidP="00163FD4">
      <w:pPr>
        <w:pStyle w:val="ManualHeading2"/>
        <w:rPr>
          <w:rFonts w:eastAsia="Arial Unicode MS"/>
          <w:noProof/>
          <w:u w:color="000000"/>
          <w:bdr w:val="nil"/>
        </w:rPr>
      </w:pPr>
      <w:r w:rsidRPr="00BE71FF">
        <w:rPr>
          <w:noProof/>
          <w:u w:color="000000"/>
          <w:bdr w:val="nil"/>
        </w:rPr>
        <w:t>•</w:t>
      </w:r>
      <w:r w:rsidRPr="00BE71FF">
        <w:rPr>
          <w:noProof/>
          <w:u w:color="000000"/>
          <w:bdr w:val="nil"/>
        </w:rPr>
        <w:tab/>
        <w:t xml:space="preserve">Subsidiarita (v případě nevýlučné pravomoci) </w:t>
      </w:r>
    </w:p>
    <w:p w:rsidR="00163FD4" w:rsidRPr="00BE71FF" w:rsidRDefault="00163FD4" w:rsidP="00163FD4">
      <w:pPr>
        <w:pBdr>
          <w:top w:val="nil"/>
          <w:left w:val="nil"/>
          <w:bottom w:val="nil"/>
          <w:right w:val="nil"/>
          <w:between w:val="nil"/>
          <w:bar w:val="nil"/>
        </w:pBdr>
        <w:spacing w:before="0" w:after="240"/>
        <w:rPr>
          <w:noProof/>
        </w:rPr>
      </w:pPr>
      <w:r w:rsidRPr="00BE71FF">
        <w:rPr>
          <w:noProof/>
        </w:rPr>
        <w:t>Nutnost opatření na úrovni EU byla uznána v době přijetí směrnice o RIS, kdy se RIS vyvíjely různou rychlostí, za existence různých technologií a aplikací v celé Evropě, což vytvářelo překážky pro přeshraniční plavby. Při neexistenci žádného opatření na úrovni EU by se tedy pravděpodobně vyskytovaly rozdíly v úrovni a povaze poskytování RIS mezi členskými státy nebo v přístupu k iniciativám na regionální úrovni nebo na úrovni povodí (tj. na úrovni říčních komisí). To by pravděpodobně vedlo k regionální roztříštěnosti, neboť každá říční komise by se zaměřila na uplatňování vlastních řešení, což by představovalo překážky pro společný trh a krok zpět, pokud jde o harmonizaci na úrovni koridorů.</w:t>
      </w:r>
    </w:p>
    <w:p w:rsidR="00163FD4" w:rsidRPr="00BE71FF" w:rsidRDefault="00163FD4" w:rsidP="00163FD4">
      <w:pPr>
        <w:pBdr>
          <w:top w:val="nil"/>
          <w:left w:val="nil"/>
          <w:bottom w:val="nil"/>
          <w:right w:val="nil"/>
          <w:between w:val="nil"/>
          <w:bar w:val="nil"/>
        </w:pBdr>
        <w:spacing w:before="0" w:after="240"/>
        <w:rPr>
          <w:rFonts w:eastAsia="Arial Unicode MS"/>
          <w:noProof/>
        </w:rPr>
      </w:pPr>
      <w:r w:rsidRPr="00BE71FF">
        <w:rPr>
          <w:noProof/>
        </w:rPr>
        <w:t xml:space="preserve">Přímo dotčenými jsou ty členské státy, které spadají do oblasti působnosti směrnice, konkrétně ty, které mají splavné vodní cesty s významem pro síť TEN-T. </w:t>
      </w:r>
    </w:p>
    <w:p w:rsidR="00163FD4" w:rsidRPr="00BE71FF" w:rsidRDefault="00163FD4" w:rsidP="00163FD4">
      <w:pPr>
        <w:pStyle w:val="ManualHeading2"/>
        <w:rPr>
          <w:rFonts w:eastAsia="Arial Unicode MS"/>
          <w:noProof/>
          <w:u w:color="000000"/>
          <w:bdr w:val="nil"/>
        </w:rPr>
      </w:pPr>
      <w:r w:rsidRPr="00BE71FF">
        <w:rPr>
          <w:noProof/>
          <w:u w:color="000000"/>
          <w:bdr w:val="nil"/>
        </w:rPr>
        <w:t>•</w:t>
      </w:r>
      <w:r w:rsidRPr="00BE71FF">
        <w:rPr>
          <w:noProof/>
          <w:u w:color="000000"/>
          <w:bdr w:val="nil"/>
        </w:rPr>
        <w:tab/>
        <w:t>Proporcionalita</w:t>
      </w:r>
    </w:p>
    <w:p w:rsidR="00163FD4" w:rsidRPr="00BE71FF" w:rsidRDefault="00163FD4" w:rsidP="00163FD4">
      <w:pPr>
        <w:pBdr>
          <w:top w:val="nil"/>
          <w:left w:val="nil"/>
          <w:bottom w:val="nil"/>
          <w:right w:val="nil"/>
          <w:between w:val="nil"/>
          <w:bar w:val="nil"/>
        </w:pBdr>
        <w:spacing w:after="240"/>
        <w:rPr>
          <w:rFonts w:eastAsia="Arial Unicode MS"/>
          <w:noProof/>
        </w:rPr>
      </w:pPr>
      <w:r w:rsidRPr="00BE71FF">
        <w:rPr>
          <w:noProof/>
        </w:rPr>
        <w:t xml:space="preserve">Návrh byl vypracován tak, aby se zabýval výsledky níže uvedeného hodnocení. Komise rovněž provedla posouzení dopadů s cílem určit, posoudit a vyhodnotit alternativní opatření k dosažení stejných cílů. </w:t>
      </w:r>
    </w:p>
    <w:p w:rsidR="00163FD4" w:rsidRPr="00BE71FF" w:rsidRDefault="00163FD4" w:rsidP="00163FD4">
      <w:pPr>
        <w:pBdr>
          <w:top w:val="nil"/>
          <w:left w:val="nil"/>
          <w:bottom w:val="nil"/>
          <w:right w:val="nil"/>
          <w:between w:val="nil"/>
          <w:bar w:val="nil"/>
        </w:pBdr>
        <w:spacing w:after="240"/>
        <w:rPr>
          <w:rFonts w:eastAsia="Arial Unicode MS"/>
          <w:noProof/>
        </w:rPr>
      </w:pPr>
      <w:r w:rsidRPr="00BE71FF">
        <w:rPr>
          <w:noProof/>
        </w:rPr>
        <w:t xml:space="preserve">Cílem návrhu je aktualizovat rámec pro poskytování RIS. Toho bude dosaženo díky: i) zlepšení harmonizace a zavedení technických specifikací; ii) usnadnění a rozšíření výměny informací RIS mezi uživateli a iii) zaměření oblasti působnosti směrnice na splavné vodní cesty s významem pro síť TEN-T. Podnikům nevznikají žádné náklady a dodatečné náklady </w:t>
      </w:r>
      <w:r w:rsidRPr="00BE71FF">
        <w:rPr>
          <w:noProof/>
        </w:rPr>
        <w:lastRenderedPageBreak/>
        <w:t xml:space="preserve">pro vnitrostátní správní orgány se zdají být omezené, zejména ve srovnání s přínosy plynoucími ze snížení zátěže pro provozovatele plavidel a s pozitivními dopady očekávaného přechodu na jiné druhy dopravy. </w:t>
      </w:r>
    </w:p>
    <w:p w:rsidR="00163FD4" w:rsidRPr="00BE71FF" w:rsidRDefault="00163FD4" w:rsidP="00163FD4">
      <w:pPr>
        <w:pStyle w:val="ManualHeading2"/>
        <w:rPr>
          <w:rFonts w:eastAsia="Arial Unicode MS"/>
          <w:noProof/>
          <w:u w:color="000000"/>
          <w:bdr w:val="nil"/>
        </w:rPr>
      </w:pPr>
      <w:r w:rsidRPr="00BE71FF">
        <w:rPr>
          <w:noProof/>
          <w:u w:color="000000"/>
          <w:bdr w:val="nil"/>
        </w:rPr>
        <w:t>•</w:t>
      </w:r>
      <w:r w:rsidRPr="00BE71FF">
        <w:rPr>
          <w:noProof/>
          <w:u w:color="000000"/>
          <w:bdr w:val="nil"/>
        </w:rPr>
        <w:tab/>
        <w:t>Volba nástroje</w:t>
      </w:r>
    </w:p>
    <w:p w:rsidR="00163FD4" w:rsidRPr="00BE71FF" w:rsidRDefault="00163FD4" w:rsidP="00163FD4">
      <w:pPr>
        <w:pStyle w:val="NormalLeft"/>
        <w:jc w:val="both"/>
        <w:rPr>
          <w:noProof/>
        </w:rPr>
      </w:pPr>
      <w:r w:rsidRPr="00BE71FF">
        <w:rPr>
          <w:noProof/>
        </w:rPr>
        <w:t>Vzhledem k tomu, že návrh vyžaduje pouze provedení několika změn směrnice 2004/44/ES, je nejvhodnějším právním nástrojem pozměňující směrnice.</w:t>
      </w:r>
    </w:p>
    <w:p w:rsidR="00163FD4" w:rsidRPr="00BE71FF" w:rsidRDefault="00163FD4" w:rsidP="00163FD4">
      <w:pPr>
        <w:pStyle w:val="ManualHeading1"/>
        <w:rPr>
          <w:noProof/>
        </w:rPr>
      </w:pPr>
      <w:r w:rsidRPr="00BE71FF">
        <w:rPr>
          <w:noProof/>
        </w:rPr>
        <w:t>3.</w:t>
      </w:r>
      <w:r w:rsidRPr="00BE71FF">
        <w:rPr>
          <w:noProof/>
        </w:rPr>
        <w:tab/>
        <w:t xml:space="preserve">VÝSLEDKY HODNOCENÍ </w:t>
      </w:r>
      <w:r w:rsidRPr="00BE71FF">
        <w:rPr>
          <w:i/>
          <w:iCs/>
          <w:noProof/>
        </w:rPr>
        <w:t>EX POST</w:t>
      </w:r>
      <w:r w:rsidRPr="00BE71FF">
        <w:rPr>
          <w:noProof/>
        </w:rPr>
        <w:t>, KONZULTACÍ SE ZÚČASTNĚNÝMI STRANAMI A POSOUZENÍ DOPADŮ</w:t>
      </w:r>
    </w:p>
    <w:p w:rsidR="00163FD4" w:rsidRPr="00BE71FF" w:rsidRDefault="00163FD4" w:rsidP="00163FD4">
      <w:pPr>
        <w:pStyle w:val="ManualHeading2"/>
        <w:rPr>
          <w:rFonts w:eastAsia="Arial Unicode MS"/>
          <w:noProof/>
          <w:u w:color="000000"/>
          <w:bdr w:val="nil"/>
        </w:rPr>
      </w:pPr>
      <w:r w:rsidRPr="00BE71FF">
        <w:rPr>
          <w:noProof/>
          <w:u w:color="000000"/>
          <w:bdr w:val="nil"/>
        </w:rPr>
        <w:t>•</w:t>
      </w:r>
      <w:r w:rsidRPr="00BE71FF">
        <w:rPr>
          <w:noProof/>
          <w:u w:color="000000"/>
          <w:bdr w:val="nil"/>
        </w:rPr>
        <w:tab/>
        <w:t xml:space="preserve">Hodnocení </w:t>
      </w:r>
      <w:r w:rsidRPr="00BE71FF">
        <w:rPr>
          <w:i/>
          <w:iCs/>
          <w:noProof/>
          <w:u w:color="000000"/>
          <w:bdr w:val="nil"/>
        </w:rPr>
        <w:t>ex post</w:t>
      </w:r>
      <w:r w:rsidRPr="00BE71FF">
        <w:rPr>
          <w:noProof/>
          <w:u w:color="000000"/>
          <w:bdr w:val="nil"/>
        </w:rPr>
        <w:t xml:space="preserve"> / kontroly účelnosti platných právních předpisů</w:t>
      </w:r>
    </w:p>
    <w:p w:rsidR="00163FD4" w:rsidRPr="00BE71FF" w:rsidRDefault="00163FD4" w:rsidP="00163FD4">
      <w:pPr>
        <w:pBdr>
          <w:top w:val="nil"/>
          <w:left w:val="nil"/>
          <w:bottom w:val="nil"/>
          <w:right w:val="nil"/>
          <w:between w:val="nil"/>
          <w:bar w:val="nil"/>
        </w:pBdr>
        <w:spacing w:before="0" w:after="240"/>
        <w:rPr>
          <w:noProof/>
        </w:rPr>
      </w:pPr>
      <w:r w:rsidRPr="00BE71FF">
        <w:rPr>
          <w:noProof/>
        </w:rPr>
        <w:t xml:space="preserve">Patnáct let po přijetí směrnice 2005/44/ES o harmonizovaných RIS na vnitrozemských vodních cestách v Unii Komise provedla hodnocení </w:t>
      </w:r>
      <w:r w:rsidRPr="00BE71FF">
        <w:rPr>
          <w:i/>
          <w:iCs/>
          <w:noProof/>
        </w:rPr>
        <w:t>ex post</w:t>
      </w:r>
      <w:r w:rsidRPr="00BE71FF">
        <w:rPr>
          <w:noProof/>
        </w:rPr>
        <w:t xml:space="preserve">. Účelem tohoto hodnocení </w:t>
      </w:r>
      <w:r w:rsidRPr="00BE71FF">
        <w:rPr>
          <w:i/>
          <w:iCs/>
          <w:noProof/>
        </w:rPr>
        <w:t>ex post</w:t>
      </w:r>
      <w:r w:rsidRPr="00BE71FF">
        <w:rPr>
          <w:noProof/>
        </w:rPr>
        <w:t xml:space="preserve"> bylo podpořit další rozhodnutí týkající se vývoje legislativního rámce v této oblasti politiky, včetně případné revize stávající směrnice. Nejdůležitější zjištění tohoto hodnocení se týkala stupně harmonizace, která se u jednotlivých technologií RIS liší, neboť se nepoužívají ve všech zemích a říčních koridorech ve stejné míře. Hodnocení rovněž dospělo k závěru, že nic nenasvědčuje tomu, že by v důsledku směrnice o RIS docházelo k přechodu na vnitrozemskou plavbu. Hodnocení dále ukázalo, že směrnice o RIS a její prováděcí akty jsou stále relevantní, ale také to, že hlavní pozornost, která je ve směrnici zaměřena na bezpečnost plavby, již dostatečně neodpovídá potřebám odvětví. Hodnocení konkrétně zjistilo, že směrnice o RIS neřeší potřebu zlepšit efektivitu vnitrozemské vodní dopravy a její začlenění do multimodálních dodavatelských řetězců. Kromě toho hodnocení zjistilo, že směrnice o RIS dostatečně neřeší nové technologické výzvy a další digitalizaci odvětví. Všechna tato zjištění byla zohledněna a řešena v procesu posouzení dopadů. </w:t>
      </w:r>
    </w:p>
    <w:p w:rsidR="00163FD4" w:rsidRPr="00BE71FF" w:rsidRDefault="00163FD4" w:rsidP="00163FD4">
      <w:pPr>
        <w:pStyle w:val="ManualHeading2"/>
        <w:rPr>
          <w:rFonts w:eastAsia="Arial Unicode MS"/>
          <w:noProof/>
          <w:u w:color="000000"/>
          <w:bdr w:val="nil"/>
        </w:rPr>
      </w:pPr>
      <w:r w:rsidRPr="00BE71FF">
        <w:rPr>
          <w:noProof/>
          <w:u w:color="000000"/>
          <w:bdr w:val="nil"/>
        </w:rPr>
        <w:t>•</w:t>
      </w:r>
      <w:r w:rsidRPr="00BE71FF">
        <w:rPr>
          <w:noProof/>
          <w:u w:color="000000"/>
          <w:bdr w:val="nil"/>
        </w:rPr>
        <w:tab/>
        <w:t>Konzultace se zúčastněnými stranami</w:t>
      </w:r>
    </w:p>
    <w:p w:rsidR="00163FD4" w:rsidRPr="00BE71FF" w:rsidRDefault="00163FD4" w:rsidP="00163FD4">
      <w:pPr>
        <w:pBdr>
          <w:top w:val="nil"/>
          <w:left w:val="nil"/>
          <w:bottom w:val="nil"/>
          <w:right w:val="nil"/>
          <w:between w:val="nil"/>
          <w:bar w:val="nil"/>
        </w:pBdr>
        <w:spacing w:before="0" w:after="240"/>
        <w:rPr>
          <w:noProof/>
        </w:rPr>
      </w:pPr>
      <w:r w:rsidRPr="00BE71FF">
        <w:rPr>
          <w:noProof/>
        </w:rPr>
        <w:t>Pro účely posouzení dopadů byly příspěvky zúčastněných stran shromažďovány různými způsoby, včetně počátečního posouzení dopadů, otevřené veřejné konzultace a cílených konzultací prováděných externím dodavatelem prostřednictvím online dotazníků, cílených průzkumů, rozhovorů, setkání a seminářů. Zjišťovaly se jak kvalitativní údaje (stanoviska, názory, návrhy), tak i kvantitativní informace (údaje a statistiky).</w:t>
      </w:r>
    </w:p>
    <w:p w:rsidR="00163FD4" w:rsidRPr="00BE71FF" w:rsidRDefault="00163FD4" w:rsidP="00163FD4">
      <w:pPr>
        <w:pBdr>
          <w:top w:val="nil"/>
          <w:left w:val="nil"/>
          <w:bottom w:val="nil"/>
          <w:right w:val="nil"/>
          <w:between w:val="nil"/>
          <w:bar w:val="nil"/>
        </w:pBdr>
        <w:spacing w:before="0" w:after="240"/>
        <w:rPr>
          <w:noProof/>
        </w:rPr>
      </w:pPr>
      <w:r w:rsidRPr="00BE71FF">
        <w:rPr>
          <w:noProof/>
        </w:rPr>
        <w:t>Mezi zúčastněné strany patřily: účastníci z vnitrostátních orgánů, uživatelé RIS, výrobci zařízení RIS, malé a střední podniky, mezinárodní organizace, odvětvová sdružení, profesní sdružení na evropské úrovni, orgány členských států a vůdci plavidel (tj. všechny příslušné skupiny, které mají na RIS zájem).</w:t>
      </w:r>
    </w:p>
    <w:p w:rsidR="00163FD4" w:rsidRPr="00BE71FF" w:rsidRDefault="00163FD4" w:rsidP="00163FD4">
      <w:pPr>
        <w:pStyle w:val="ManualHeading2"/>
        <w:rPr>
          <w:rFonts w:eastAsia="Arial Unicode MS"/>
          <w:noProof/>
          <w:u w:color="000000"/>
          <w:bdr w:val="nil"/>
        </w:rPr>
      </w:pPr>
      <w:r w:rsidRPr="00BE71FF">
        <w:rPr>
          <w:noProof/>
          <w:u w:color="000000"/>
          <w:bdr w:val="nil"/>
        </w:rPr>
        <w:t>•</w:t>
      </w:r>
      <w:r w:rsidRPr="00BE71FF">
        <w:rPr>
          <w:noProof/>
          <w:u w:color="000000"/>
          <w:bdr w:val="nil"/>
        </w:rPr>
        <w:tab/>
        <w:t>Sběr a využití výsledků odborných konzultací</w:t>
      </w:r>
    </w:p>
    <w:p w:rsidR="00163FD4" w:rsidRPr="00BE71FF" w:rsidRDefault="00163FD4" w:rsidP="00163FD4">
      <w:pPr>
        <w:pBdr>
          <w:top w:val="nil"/>
          <w:left w:val="nil"/>
          <w:bottom w:val="nil"/>
          <w:right w:val="nil"/>
          <w:between w:val="nil"/>
          <w:bar w:val="nil"/>
        </w:pBdr>
        <w:spacing w:before="0" w:after="240"/>
        <w:rPr>
          <w:noProof/>
        </w:rPr>
      </w:pPr>
      <w:r w:rsidRPr="00BE71FF">
        <w:rPr>
          <w:noProof/>
        </w:rPr>
        <w:t xml:space="preserve">Komise provedla hodnotící studii (hodnocení </w:t>
      </w:r>
      <w:r w:rsidRPr="00BE71FF">
        <w:rPr>
          <w:i/>
          <w:iCs/>
          <w:noProof/>
        </w:rPr>
        <w:t>ex post</w:t>
      </w:r>
      <w:r w:rsidRPr="00BE71FF">
        <w:rPr>
          <w:noProof/>
        </w:rPr>
        <w:t xml:space="preserve"> směrnice 2005/44/ES o harmonizovaných říčních informačních službách na vnitrozemských vodních cestách v Unii) na podporu hodnocení a vytvoření pracovního dokumentu útvarů Komise</w:t>
      </w:r>
      <w:r w:rsidRPr="00BE71FF">
        <w:rPr>
          <w:rStyle w:val="FootnoteReference"/>
          <w:noProof/>
        </w:rPr>
        <w:footnoteReference w:id="11"/>
      </w:r>
      <w:r w:rsidRPr="00BE71FF">
        <w:rPr>
          <w:noProof/>
        </w:rPr>
        <w:t xml:space="preserve">. Tato práce byla zahájena v lednu 2019 a dokončena v lednu 2020. </w:t>
      </w:r>
    </w:p>
    <w:p w:rsidR="00163FD4" w:rsidRPr="00BE71FF" w:rsidRDefault="00163FD4" w:rsidP="00163FD4">
      <w:pPr>
        <w:pStyle w:val="ManualHeading2"/>
        <w:rPr>
          <w:rFonts w:eastAsia="Arial Unicode MS"/>
          <w:noProof/>
          <w:u w:color="000000"/>
          <w:bdr w:val="nil"/>
        </w:rPr>
      </w:pPr>
      <w:r w:rsidRPr="00BE71FF">
        <w:rPr>
          <w:noProof/>
          <w:u w:color="000000"/>
          <w:bdr w:val="nil"/>
        </w:rPr>
        <w:lastRenderedPageBreak/>
        <w:t>•</w:t>
      </w:r>
      <w:r w:rsidRPr="00BE71FF">
        <w:rPr>
          <w:noProof/>
          <w:u w:color="000000"/>
          <w:bdr w:val="nil"/>
        </w:rPr>
        <w:tab/>
        <w:t>Posouzení dopadů</w:t>
      </w:r>
    </w:p>
    <w:p w:rsidR="00163FD4" w:rsidRPr="00BE71FF" w:rsidRDefault="00163FD4" w:rsidP="00163FD4">
      <w:pPr>
        <w:pBdr>
          <w:top w:val="nil"/>
          <w:left w:val="nil"/>
          <w:bottom w:val="nil"/>
          <w:right w:val="nil"/>
          <w:between w:val="nil"/>
          <w:bar w:val="nil"/>
        </w:pBdr>
        <w:spacing w:after="240"/>
        <w:rPr>
          <w:rFonts w:eastAsia="Arial Unicode MS"/>
          <w:noProof/>
        </w:rPr>
      </w:pPr>
      <w:bookmarkStart w:id="1" w:name="_Hlk152597278"/>
      <w:r w:rsidRPr="00BE71FF">
        <w:rPr>
          <w:noProof/>
        </w:rPr>
        <w:t xml:space="preserve">Návrh vychází z výsledků posouzení dopadů, které bylo založeno na podpůrné studii vypracované externím konzultantem se specifickými znalostmi v této oblasti. </w:t>
      </w:r>
    </w:p>
    <w:bookmarkEnd w:id="1"/>
    <w:p w:rsidR="00163FD4" w:rsidRPr="00BE71FF" w:rsidRDefault="00163FD4" w:rsidP="00163FD4">
      <w:pPr>
        <w:pBdr>
          <w:top w:val="nil"/>
          <w:left w:val="nil"/>
          <w:bottom w:val="nil"/>
          <w:right w:val="nil"/>
          <w:between w:val="nil"/>
          <w:bar w:val="nil"/>
        </w:pBdr>
        <w:spacing w:before="0" w:after="240"/>
        <w:rPr>
          <w:rFonts w:eastAsia="Arial Unicode MS"/>
          <w:noProof/>
        </w:rPr>
      </w:pPr>
      <w:r w:rsidRPr="00BE71FF">
        <w:rPr>
          <w:noProof/>
        </w:rPr>
        <w:t>K řešení problémů a jejich příčin identifikovaných prostřednictvím posouzení dopadů byly navrženy a posouzeny tři možnosti politiky. Všechny tři možnosti politiky obsahují různá opatření, která mají pomoci dosáhnout cílů iniciativy, i když každá z nich má různou úroveň účinnosti a efektivity.</w:t>
      </w:r>
    </w:p>
    <w:p w:rsidR="00163FD4" w:rsidRPr="00BE71FF" w:rsidRDefault="00163FD4" w:rsidP="00163FD4">
      <w:pPr>
        <w:pBdr>
          <w:top w:val="nil"/>
          <w:left w:val="nil"/>
          <w:bottom w:val="nil"/>
          <w:right w:val="nil"/>
          <w:between w:val="nil"/>
          <w:bar w:val="nil"/>
        </w:pBdr>
        <w:spacing w:before="0" w:after="240"/>
        <w:rPr>
          <w:noProof/>
        </w:rPr>
      </w:pPr>
      <w:r w:rsidRPr="00BE71FF">
        <w:rPr>
          <w:noProof/>
        </w:rPr>
        <w:t>Možnost politiky A zavádí omezenou aktualizaci směrnice, aniž by se změnila oblast působnosti směrnice, a zaměřuje se na řešení základních zjištěných nedostatků směrnice. Základní celková struktura RIS, pokud jde o technologické prvky i způsob výměny informací mezi zúčastněnými stranami, by v rámci této možnosti zůstala převážně stejná. Vysvětlující pokyny k normám a jejich uplatňování členskými státy hrají jakožto neregulační opatření u této možnosti politiky ústřední roli, která spočívá ve zlepšení harmonizace. Důležitým novým prvkem, který tato možnost zavádí, je rozhodnutí svěřit Evropskému výboru pro vypracovávání norem pro vnitrozemskou plavbu (CESNI) úlohu při vytváření norem. V zájmu zlepšení kvality základních údajů RIS jsou členské státy povinny zvýšit četnost poskytování aktualizací do Evropského systému pro správu referenčních údajů (ERDMS). Členské státy musí rovněž zřídit mechanismus pro vyřizování stížností uživatelů RIS, aby mohli oznamovat problémy týkající se provádění RIS (a členské státy budou muset o tomto mechanismu každoročně podávat zprávu Evropské komisi). Členské státy budou muset posoudit, do jaké míry se jedná o osobní údaje, a zajistit, aby byly tyto údaje zpracovávány vhodným způsobem.</w:t>
      </w:r>
    </w:p>
    <w:p w:rsidR="00163FD4" w:rsidRPr="00BE71FF" w:rsidRDefault="00163FD4" w:rsidP="00163FD4">
      <w:pPr>
        <w:rPr>
          <w:noProof/>
        </w:rPr>
      </w:pPr>
      <w:r w:rsidRPr="00BE71FF">
        <w:rPr>
          <w:noProof/>
        </w:rPr>
        <w:t>Možnost B zachovává některá opatření z možnosti politiky A, jako je mechanismus pro vyřizování stížností, požadavek na aktualizaci údajů v systému ERDMS, zapojení výboru CESNI a vyjasnění týkající se osobních údajů. Avšak v podpoře rozvoje RIS jde možnost politiky B o něco dále – zavádí totiž významnou změnu v architektuře RIS, jelikož tato možnost politiky by vyžadovala vytvoření centrálního uzlu pro výměnu informací a poskytování služeb (platforma RIS). Informace by se tak nyní již nevyměňovaly přímo mezi různými uživateli (jako mezi provozovatelem plavidla a vnitrozemskými přístavy), ale prostřednictvím platforem a funkcí platformy RIS. V rámci této možnosti by byly zavedeny nové normy týkající se plavby a plánování plaveb, které v současné době chybí, a provozovatelům plavidel by se tak poskytly další informace. Významnější roli by v rámci této možnosti zaujala rovněž výměna informací. V rámci této možnosti by se podávání zpráv o nákladu prostřednictvím eFTI stalo povinným pro provozovatele plavidel, kteří by měli rovněž možnost vyměňovat si provozní informace elektronickou formou s vnitrozemskými přístavy. Byla by také možná výměna provozních informací s ostatními druhy dopravy. RIS by se rovněž zaměřily na nejdůležitější vodní cesty, neboť jejich rozsah by odpovídal rozsahu vodních cest sítě TEN-T.</w:t>
      </w:r>
    </w:p>
    <w:p w:rsidR="00163FD4" w:rsidRPr="00BE71FF" w:rsidRDefault="00163FD4" w:rsidP="00163FD4">
      <w:pPr>
        <w:pBdr>
          <w:top w:val="nil"/>
          <w:left w:val="nil"/>
          <w:bottom w:val="nil"/>
          <w:right w:val="nil"/>
          <w:between w:val="nil"/>
          <w:bar w:val="nil"/>
        </w:pBdr>
        <w:spacing w:before="0" w:after="240"/>
        <w:rPr>
          <w:noProof/>
        </w:rPr>
      </w:pPr>
      <w:r w:rsidRPr="00BE71FF">
        <w:rPr>
          <w:noProof/>
        </w:rPr>
        <w:t>Možnost C je nejambicióznější, a to vzhledem k tomu, že by rozšířila předchozí možnost o dvě povinná opatření, jimiž jsou: i) požadavek, aby provozovatelé plavidel elektronicky podávali zprávy týkající se jejich plánů plavby, a ii) požadavek na výměnu údajů s vnitrozemskými přístavy, čímž se zavádí nový rámec pro řízení provozu a pro technický rozvoj, jako je digitalizace a automatizace.</w:t>
      </w:r>
    </w:p>
    <w:p w:rsidR="00163FD4" w:rsidRPr="00BE71FF" w:rsidRDefault="00163FD4" w:rsidP="00163FD4">
      <w:pPr>
        <w:pBdr>
          <w:top w:val="nil"/>
          <w:left w:val="nil"/>
          <w:bottom w:val="nil"/>
          <w:right w:val="nil"/>
          <w:between w:val="nil"/>
          <w:bar w:val="nil"/>
        </w:pBdr>
        <w:spacing w:before="0" w:after="240"/>
        <w:rPr>
          <w:noProof/>
        </w:rPr>
      </w:pPr>
      <w:r w:rsidRPr="00BE71FF">
        <w:rPr>
          <w:noProof/>
        </w:rPr>
        <w:t xml:space="preserve">Upřednostňovanou možností politiky je možnost B, a to vzhledem k tomu, že nastoluje nejlepší rovnováhu mezi cíli, kterých je třeba dosáhnout, mírou přiměřenosti zásahu, vzniklými náklady a přínosy a snadností provádění. I když možnost politiky C vykazuje </w:t>
      </w:r>
      <w:r w:rsidRPr="00BE71FF">
        <w:rPr>
          <w:noProof/>
        </w:rPr>
        <w:lastRenderedPageBreak/>
        <w:t xml:space="preserve">nejvyšší čistý přínos, zároveň s sebou nese nejvyšší náklady. Celkové náklady na možnost C jsou o 434 % vyšší než náklady na možnost B, zatímco celkové přínosy jsou u možnosti C pouze o 107 % vyšší než u možnosti B. </w:t>
      </w:r>
      <w:bookmarkStart w:id="2" w:name="_Hlk152597757"/>
      <w:r w:rsidRPr="00BE71FF">
        <w:rPr>
          <w:noProof/>
        </w:rPr>
        <w:t xml:space="preserve">Možnost B navíc zajišťuje, že specifické cíle jsou řešeny progresivnějším a účinnějším způsobem, což znamená výhodnější poměr přínosů a nákladů než u možnosti B (4,8 oproti 1,9) a umožňuje orgánům a provozovatelům hladký přechod (díky nižšímu počtu závazných opatření). </w:t>
      </w:r>
      <w:bookmarkEnd w:id="2"/>
    </w:p>
    <w:p w:rsidR="00163FD4" w:rsidRPr="00BE71FF" w:rsidRDefault="00163FD4" w:rsidP="00163FD4">
      <w:pPr>
        <w:pBdr>
          <w:top w:val="nil"/>
          <w:left w:val="nil"/>
          <w:bottom w:val="nil"/>
          <w:right w:val="nil"/>
          <w:between w:val="nil"/>
          <w:bar w:val="nil"/>
        </w:pBdr>
        <w:spacing w:before="0" w:after="240"/>
        <w:rPr>
          <w:noProof/>
        </w:rPr>
      </w:pPr>
      <w:r w:rsidRPr="00BE71FF">
        <w:rPr>
          <w:noProof/>
        </w:rPr>
        <w:t xml:space="preserve">Výsledkem upřednostňované možnosti politiky jsou celkové přínosy odhadované na 450,4 milionu EUR, vyjádřeno v současné hodnotě za celé období 2025–2050 ve srovnání se základním scénářem. Očekává se také, že upřednostňovaná možnost politiky povede k nepřímým přínosům pro společnost v podobě úspor externích nákladů, které se odhadují na 311 milionů EUR, vyjádřeno v současné hodnotě za období 2025–2050 ve srovnání se základním scénářem. </w:t>
      </w:r>
      <w:bookmarkStart w:id="3" w:name="_Hlk152597857"/>
      <w:r w:rsidRPr="00BE71FF">
        <w:rPr>
          <w:noProof/>
        </w:rPr>
        <w:t>Tyto přínosy jsou dány větším využíváním vnitrozemské vodní dopravy a odklonem od silniční dopravy.</w:t>
      </w:r>
      <w:bookmarkEnd w:id="3"/>
      <w:r w:rsidRPr="00BE71FF">
        <w:rPr>
          <w:noProof/>
        </w:rPr>
        <w:t xml:space="preserve"> Pokud jde o náklady, čisté přínosy upřednostňované možnosti politiky se odhadují na 356,7 milionu EUR, vyjádřeno v současné hodnotě za období 2025–2050 ve srovnání se základním scénářem.</w:t>
      </w:r>
    </w:p>
    <w:p w:rsidR="00163FD4" w:rsidRPr="00BE71FF" w:rsidRDefault="00163FD4" w:rsidP="00163FD4">
      <w:pPr>
        <w:rPr>
          <w:noProof/>
        </w:rPr>
      </w:pPr>
      <w:r w:rsidRPr="00BE71FF">
        <w:rPr>
          <w:noProof/>
        </w:rPr>
        <w:t>K tomuto návrhu je připojena zpráva o posouzení dopadů</w:t>
      </w:r>
      <w:r w:rsidRPr="00BE71FF">
        <w:rPr>
          <w:rStyle w:val="FootnoteReference"/>
          <w:rFonts w:eastAsia="Arial Unicode MS"/>
          <w:noProof/>
        </w:rPr>
        <w:footnoteReference w:id="12"/>
      </w:r>
      <w:r w:rsidRPr="00BE71FF">
        <w:rPr>
          <w:noProof/>
        </w:rPr>
        <w:t>, jejíž návrh byl předložen Výboru pro kontrolu regulace (RSB) v srpnu 2023. Výbor RSB vydal kladné stanovisko a zpráva o posouzení dopadů byla revidována v souladu s doporučeními výboru RSB. Připomínky výboru RSB jsou zohledněny v pracovním dokumentu útvarů Komise připojeném k tomuto legislativnímu návrhu.</w:t>
      </w:r>
    </w:p>
    <w:p w:rsidR="00163FD4" w:rsidRPr="00BE71FF" w:rsidRDefault="00163FD4" w:rsidP="00163FD4">
      <w:pPr>
        <w:pStyle w:val="ManualHeading2"/>
        <w:rPr>
          <w:rFonts w:eastAsia="Arial Unicode MS"/>
          <w:noProof/>
          <w:u w:color="000000"/>
          <w:bdr w:val="nil"/>
        </w:rPr>
      </w:pPr>
      <w:r w:rsidRPr="00BE71FF">
        <w:rPr>
          <w:noProof/>
          <w:u w:color="000000"/>
          <w:bdr w:val="nil"/>
        </w:rPr>
        <w:t>•</w:t>
      </w:r>
      <w:r w:rsidRPr="00BE71FF">
        <w:rPr>
          <w:noProof/>
          <w:u w:color="000000"/>
          <w:bdr w:val="nil"/>
        </w:rPr>
        <w:tab/>
        <w:t>Účelnost právních předpisů a zjednodušení</w:t>
      </w:r>
    </w:p>
    <w:p w:rsidR="00163FD4" w:rsidRPr="00BE71FF" w:rsidRDefault="00163FD4" w:rsidP="00163FD4">
      <w:pPr>
        <w:pBdr>
          <w:top w:val="nil"/>
          <w:left w:val="nil"/>
          <w:bottom w:val="nil"/>
          <w:right w:val="nil"/>
          <w:between w:val="nil"/>
          <w:bar w:val="nil"/>
        </w:pBdr>
        <w:spacing w:before="0" w:after="240"/>
        <w:rPr>
          <w:noProof/>
        </w:rPr>
      </w:pPr>
      <w:r w:rsidRPr="00BE71FF">
        <w:rPr>
          <w:noProof/>
        </w:rPr>
        <w:t>Tato iniciativa je součástí pracovního programu Komise na rok 2023 v příloze II (iniciativy REFIT) pod názvem „Evropa připravená na digitální věk“. Má rozměr programu REFIT, pokud jde o zjednodušení a harmonizaci výměny informací prostřednictvím RIS. Sníží administrativní zátěž provozovatelů plavidel tím, že omezí nutnost opětovné registrace informací o nákladu a nutnost oznamovat informace o nákladu přístavům. Odhaduje se, že zlepšením harmonizace a usnadněním výměny informací RIS přinese upřednostňovaná možnost politiky provozovatelům plavidel úspory administrativních nákladů ve výši 28,5 milionu EUR, vyjádřeno v současné hodnotě za celé období 2025–2050 ve srovnání se základním scénářem. Kromě toho se očekává, že snížením úsilí, které provozovatelé plavidel musí vynaložit na získání informací potřebných pro účely plánování plaveb a plavby, se náklady na přizpůsobení pro provozovatele plavidel sníží o 72,1 milionu EUR, vyjádřeno v současné hodnotě za celé období 2025–2050 ve srovnání se základním scénářem. Kromě toho by poskytovatelé softwarových služeb RIS získali prospěch z přístupu k většímu množství kvalitnějších údajů, přičemž úspory nákladů na přizpůsobení se odhadují na 8,1 milionu EUR, vyjádřeno v současné hodnotě za období 2025–2050 ve srovnání se základním scénářem.</w:t>
      </w:r>
    </w:p>
    <w:p w:rsidR="00163FD4" w:rsidRPr="00BE71FF" w:rsidRDefault="00163FD4" w:rsidP="00163FD4">
      <w:pPr>
        <w:pStyle w:val="ManualHeading2"/>
        <w:rPr>
          <w:rFonts w:eastAsia="Arial Unicode MS"/>
          <w:noProof/>
          <w:u w:color="000000"/>
          <w:bdr w:val="nil"/>
        </w:rPr>
      </w:pPr>
      <w:r w:rsidRPr="00BE71FF">
        <w:rPr>
          <w:noProof/>
          <w:u w:color="000000"/>
          <w:bdr w:val="nil"/>
        </w:rPr>
        <w:t>•</w:t>
      </w:r>
      <w:r w:rsidRPr="00BE71FF">
        <w:rPr>
          <w:noProof/>
          <w:u w:color="000000"/>
          <w:bdr w:val="nil"/>
        </w:rPr>
        <w:tab/>
        <w:t>Základní práva</w:t>
      </w:r>
    </w:p>
    <w:p w:rsidR="00163FD4" w:rsidRPr="00BE71FF" w:rsidRDefault="00163FD4" w:rsidP="00163FD4">
      <w:pPr>
        <w:pBdr>
          <w:top w:val="nil"/>
          <w:left w:val="nil"/>
          <w:bottom w:val="nil"/>
          <w:right w:val="nil"/>
          <w:between w:val="nil"/>
          <w:bar w:val="nil"/>
        </w:pBdr>
        <w:spacing w:before="0" w:after="240"/>
        <w:rPr>
          <w:rFonts w:eastAsia="Arial Unicode MS"/>
          <w:noProof/>
        </w:rPr>
      </w:pPr>
      <w:r w:rsidRPr="00BE71FF">
        <w:rPr>
          <w:noProof/>
        </w:rPr>
        <w:t>Možnosti politiky byly posouzeny s cílem určit, zda by měly dopad na základní práva a/nebo rovné zacházení s občany EU. Výchozím bodem pro posouzení základních práv je Listina základních práv Evropské unie</w:t>
      </w:r>
      <w:r w:rsidRPr="00BE71FF">
        <w:rPr>
          <w:rStyle w:val="FootnoteReference"/>
          <w:noProof/>
        </w:rPr>
        <w:footnoteReference w:id="13"/>
      </w:r>
      <w:r w:rsidRPr="00BE71FF">
        <w:rPr>
          <w:noProof/>
        </w:rPr>
        <w:t>. Všechny možnosti politiky byly posouzeny s ohledem na příslušný nástroj EU a závěr byl takový, že všechny tři možnosti plně podporují lidská a základní práva a že žádná z nich na ně nebude mít negativní dopad. To je plně v souladu s platnou legislativou, a zvyšuje se tak právní jasnost pro uživatele služeb RIS.</w:t>
      </w:r>
    </w:p>
    <w:p w:rsidR="00163FD4" w:rsidRPr="00BE71FF" w:rsidRDefault="00163FD4" w:rsidP="00163FD4">
      <w:pPr>
        <w:pStyle w:val="ManualHeading1"/>
        <w:rPr>
          <w:noProof/>
        </w:rPr>
      </w:pPr>
      <w:r w:rsidRPr="00BE71FF">
        <w:rPr>
          <w:noProof/>
        </w:rPr>
        <w:lastRenderedPageBreak/>
        <w:t>4.</w:t>
      </w:r>
      <w:r w:rsidRPr="00BE71FF">
        <w:rPr>
          <w:noProof/>
        </w:rPr>
        <w:tab/>
        <w:t>ROZPOČTOVÉ DŮSLEDKY</w:t>
      </w:r>
    </w:p>
    <w:p w:rsidR="00163FD4" w:rsidRPr="00BE71FF" w:rsidRDefault="00163FD4" w:rsidP="00163FD4">
      <w:pPr>
        <w:pBdr>
          <w:top w:val="nil"/>
          <w:left w:val="nil"/>
          <w:bottom w:val="nil"/>
          <w:right w:val="nil"/>
          <w:between w:val="nil"/>
          <w:bar w:val="nil"/>
        </w:pBdr>
        <w:spacing w:before="0" w:after="240"/>
        <w:rPr>
          <w:rFonts w:eastAsia="Arial Unicode MS"/>
          <w:noProof/>
        </w:rPr>
      </w:pPr>
      <w:r w:rsidRPr="00BE71FF">
        <w:rPr>
          <w:noProof/>
        </w:rPr>
        <w:t>Návrh nemá žádné důsledky pro rozpočet EU.</w:t>
      </w:r>
    </w:p>
    <w:p w:rsidR="00163FD4" w:rsidRPr="00BE71FF" w:rsidRDefault="00163FD4" w:rsidP="00163FD4">
      <w:pPr>
        <w:pStyle w:val="ManualHeading1"/>
        <w:rPr>
          <w:noProof/>
        </w:rPr>
      </w:pPr>
      <w:r w:rsidRPr="00BE71FF">
        <w:rPr>
          <w:noProof/>
        </w:rPr>
        <w:t>5.</w:t>
      </w:r>
      <w:r w:rsidRPr="00BE71FF">
        <w:rPr>
          <w:noProof/>
        </w:rPr>
        <w:tab/>
        <w:t>OSTATNÍ PRVKY</w:t>
      </w:r>
    </w:p>
    <w:p w:rsidR="00163FD4" w:rsidRPr="00BE71FF" w:rsidRDefault="00163FD4" w:rsidP="00163FD4">
      <w:pPr>
        <w:pStyle w:val="ManualHeading2"/>
        <w:rPr>
          <w:rFonts w:eastAsia="Arial Unicode MS"/>
          <w:noProof/>
          <w:u w:color="000000"/>
          <w:bdr w:val="nil"/>
        </w:rPr>
      </w:pPr>
      <w:r w:rsidRPr="00BE71FF">
        <w:rPr>
          <w:noProof/>
          <w:u w:color="000000"/>
          <w:bdr w:val="nil"/>
        </w:rPr>
        <w:t>•</w:t>
      </w:r>
      <w:r w:rsidRPr="00BE71FF">
        <w:rPr>
          <w:noProof/>
          <w:u w:color="000000"/>
          <w:bdr w:val="nil"/>
        </w:rPr>
        <w:tab/>
        <w:t>Plány provádění a způsoby monitorování, hodnocení a podávání zpráv</w:t>
      </w:r>
    </w:p>
    <w:p w:rsidR="00163FD4" w:rsidRPr="00BE71FF" w:rsidRDefault="00163FD4" w:rsidP="00163FD4">
      <w:pPr>
        <w:pBdr>
          <w:top w:val="nil"/>
          <w:left w:val="nil"/>
          <w:bottom w:val="nil"/>
          <w:right w:val="nil"/>
          <w:between w:val="nil"/>
          <w:bar w:val="nil"/>
        </w:pBdr>
        <w:spacing w:before="0" w:after="240"/>
        <w:rPr>
          <w:rFonts w:eastAsia="Arial Unicode MS"/>
          <w:noProof/>
        </w:rPr>
      </w:pPr>
      <w:r w:rsidRPr="00BE71FF">
        <w:rPr>
          <w:noProof/>
        </w:rPr>
        <w:t xml:space="preserve">Byly určeny odpovídající způsoby monitorování a podávání zpráv. Mechanismus vyřizování stížností zavedený na úrovni členských států umožní včasnou identifikaci možných problémů při uplatňování směrnice, jež probíhá „zdola nahoru“. Členské státy budou povinny každoročně podávat Komisi zprávy s informacemi o oblastech stížností a nápravných opatřeních. Kromě toho platforma RIS jako digitální nástroj pro výměnu RIS umožní shromažďovat statistiky, díky čemuž bude možné monitorovat využívání RIS. Konkrétní ukazatele, jež mají být monitorovány, budou vypracovány během dalšího vývoje technických specifikací platformy. Informace ze zdrojů, které jsou již veřejně přístupné (Eurostat), pocházející z průzkumů nebo </w:t>
      </w:r>
      <w:r w:rsidRPr="00BE71FF">
        <w:rPr>
          <w:i/>
          <w:iCs/>
          <w:noProof/>
        </w:rPr>
        <w:t>ad hoc</w:t>
      </w:r>
      <w:r w:rsidRPr="00BE71FF">
        <w:rPr>
          <w:noProof/>
        </w:rPr>
        <w:t xml:space="preserve"> průzkumů a konzultací s odborníky v daném odvětví, taktéž poskytnou informace o provozních a tržních dopadech směrnice. </w:t>
      </w:r>
    </w:p>
    <w:p w:rsidR="00163FD4" w:rsidRPr="00BE71FF" w:rsidRDefault="00163FD4" w:rsidP="00163FD4">
      <w:pPr>
        <w:spacing w:before="0" w:after="0"/>
        <w:rPr>
          <w:noProof/>
        </w:rPr>
      </w:pPr>
      <w:r w:rsidRPr="00BE71FF">
        <w:rPr>
          <w:noProof/>
        </w:rPr>
        <w:t>Vzhledem k tomu, že tato iniciativa závisí na uplatňování sekundárních právních předpisů (technických norem), je důležité stanovit dostatečný časový rámec pro vypracování a zavedení těchto sekundárních právních předpisů. Proto by sedm let po skončení lhůty pro provedení těchto právních předpisů Komise měla provést hodnocení s cílem ověřit, do jaké míry bylo dosaženo cílů iniciativy.</w:t>
      </w:r>
    </w:p>
    <w:p w:rsidR="00163FD4" w:rsidRPr="00BE71FF" w:rsidRDefault="00163FD4" w:rsidP="00163FD4">
      <w:pPr>
        <w:pStyle w:val="ManualHeading2"/>
        <w:rPr>
          <w:rFonts w:eastAsia="Arial Unicode MS"/>
          <w:noProof/>
          <w:u w:color="000000"/>
          <w:bdr w:val="nil"/>
        </w:rPr>
      </w:pPr>
      <w:r w:rsidRPr="00BE71FF">
        <w:rPr>
          <w:noProof/>
          <w:u w:color="000000"/>
          <w:bdr w:val="nil"/>
        </w:rPr>
        <w:t>•</w:t>
      </w:r>
      <w:r w:rsidRPr="00BE71FF">
        <w:rPr>
          <w:noProof/>
          <w:u w:color="000000"/>
          <w:bdr w:val="nil"/>
        </w:rPr>
        <w:tab/>
        <w:t>Informativní dokumenty (u směrnic)</w:t>
      </w:r>
    </w:p>
    <w:p w:rsidR="00163FD4" w:rsidRPr="00BE71FF" w:rsidRDefault="00163FD4" w:rsidP="00163FD4">
      <w:pPr>
        <w:pBdr>
          <w:top w:val="nil"/>
          <w:left w:val="nil"/>
          <w:bottom w:val="nil"/>
          <w:right w:val="nil"/>
          <w:between w:val="nil"/>
          <w:bar w:val="nil"/>
        </w:pBdr>
        <w:spacing w:before="0" w:after="240"/>
        <w:rPr>
          <w:rFonts w:eastAsia="Arial Unicode MS"/>
          <w:noProof/>
        </w:rPr>
      </w:pPr>
      <w:r w:rsidRPr="00BE71FF">
        <w:rPr>
          <w:noProof/>
        </w:rPr>
        <w:t>Informativní dokumenty se nevyžadují, jelikož cílem návrhu je zjednodušit a vyjasnit stávající režim.</w:t>
      </w:r>
    </w:p>
    <w:p w:rsidR="00163FD4" w:rsidRPr="00BE71FF" w:rsidRDefault="00163FD4" w:rsidP="00163FD4">
      <w:pPr>
        <w:pStyle w:val="ManualHeading2"/>
        <w:rPr>
          <w:rFonts w:eastAsia="Arial Unicode MS"/>
          <w:noProof/>
          <w:u w:color="000000"/>
          <w:bdr w:val="nil"/>
        </w:rPr>
      </w:pPr>
      <w:r w:rsidRPr="00BE71FF">
        <w:rPr>
          <w:noProof/>
          <w:u w:color="000000"/>
          <w:bdr w:val="nil"/>
        </w:rPr>
        <w:t>•</w:t>
      </w:r>
      <w:r w:rsidRPr="00BE71FF">
        <w:rPr>
          <w:noProof/>
          <w:u w:color="000000"/>
          <w:bdr w:val="nil"/>
        </w:rPr>
        <w:tab/>
        <w:t>Podrobné vysvětlení konkrétních ustanovení návrhu</w:t>
      </w:r>
    </w:p>
    <w:p w:rsidR="00163FD4" w:rsidRPr="00BE71FF" w:rsidRDefault="00163FD4" w:rsidP="00163FD4">
      <w:pPr>
        <w:pBdr>
          <w:top w:val="nil"/>
          <w:left w:val="nil"/>
          <w:bottom w:val="nil"/>
          <w:right w:val="nil"/>
          <w:between w:val="nil"/>
          <w:bar w:val="nil"/>
        </w:pBdr>
        <w:spacing w:before="0" w:after="240"/>
        <w:rPr>
          <w:rFonts w:eastAsia="Arial Unicode MS"/>
          <w:noProof/>
        </w:rPr>
      </w:pPr>
      <w:r w:rsidRPr="00BE71FF">
        <w:rPr>
          <w:noProof/>
        </w:rPr>
        <w:t>Článek 1 pozměňující směrnice tvoří její hlavní část a obsahuje změny řady ustanovení směrnice 2005/44/ES.</w:t>
      </w:r>
    </w:p>
    <w:p w:rsidR="00163FD4" w:rsidRPr="00BE71FF" w:rsidRDefault="00163FD4" w:rsidP="00163FD4">
      <w:pPr>
        <w:pBdr>
          <w:top w:val="nil"/>
          <w:left w:val="nil"/>
          <w:bottom w:val="nil"/>
          <w:right w:val="nil"/>
          <w:between w:val="nil"/>
          <w:bar w:val="nil"/>
        </w:pBdr>
        <w:spacing w:after="0"/>
        <w:rPr>
          <w:noProof/>
        </w:rPr>
      </w:pPr>
      <w:r w:rsidRPr="00BE71FF">
        <w:rPr>
          <w:noProof/>
        </w:rPr>
        <w:t>Podstatné změny směrnice jsou uvedeny níže.</w:t>
      </w:r>
    </w:p>
    <w:p w:rsidR="00163FD4" w:rsidRPr="00BE71FF" w:rsidRDefault="00163FD4" w:rsidP="00163FD4">
      <w:pPr>
        <w:pBdr>
          <w:top w:val="nil"/>
          <w:left w:val="nil"/>
          <w:bottom w:val="nil"/>
          <w:right w:val="nil"/>
          <w:between w:val="nil"/>
          <w:bar w:val="nil"/>
        </w:pBdr>
        <w:spacing w:after="0"/>
        <w:rPr>
          <w:b/>
          <w:bCs/>
          <w:i/>
          <w:iCs/>
          <w:noProof/>
        </w:rPr>
      </w:pPr>
      <w:r w:rsidRPr="00BE71FF">
        <w:rPr>
          <w:b/>
          <w:i/>
          <w:noProof/>
        </w:rPr>
        <w:t>Předmět a oblast působnosti</w:t>
      </w:r>
    </w:p>
    <w:p w:rsidR="00163FD4" w:rsidRPr="00BE71FF" w:rsidRDefault="00163FD4" w:rsidP="00163FD4">
      <w:pPr>
        <w:pBdr>
          <w:top w:val="nil"/>
          <w:left w:val="nil"/>
          <w:bottom w:val="nil"/>
          <w:right w:val="nil"/>
          <w:between w:val="nil"/>
          <w:bar w:val="nil"/>
        </w:pBdr>
        <w:spacing w:after="0"/>
        <w:rPr>
          <w:noProof/>
        </w:rPr>
      </w:pPr>
      <w:r w:rsidRPr="00BE71FF">
        <w:rPr>
          <w:noProof/>
        </w:rPr>
        <w:t>V bodě 1 se nahrazuje článek 1 tak, aby byly odstraněny zastaralé odkazy. V bodě 2 se mění čl. 2 odst. 1 tak, aby se oblast působnosti směrnice zaměřila na vnitrozemské vodní cesty členských států, které jsou součástí transevropské dopravní sítě.</w:t>
      </w:r>
    </w:p>
    <w:p w:rsidR="00163FD4" w:rsidRPr="00BE71FF" w:rsidRDefault="00163FD4" w:rsidP="00163FD4">
      <w:pPr>
        <w:pBdr>
          <w:top w:val="nil"/>
          <w:left w:val="nil"/>
          <w:bottom w:val="nil"/>
          <w:right w:val="nil"/>
          <w:between w:val="nil"/>
          <w:bar w:val="nil"/>
        </w:pBdr>
        <w:spacing w:after="0"/>
        <w:rPr>
          <w:b/>
          <w:bCs/>
          <w:i/>
          <w:iCs/>
          <w:noProof/>
        </w:rPr>
      </w:pPr>
      <w:r w:rsidRPr="00BE71FF">
        <w:rPr>
          <w:b/>
          <w:i/>
          <w:noProof/>
        </w:rPr>
        <w:t>Definice</w:t>
      </w:r>
    </w:p>
    <w:p w:rsidR="00163FD4" w:rsidRPr="00BE71FF" w:rsidRDefault="00163FD4" w:rsidP="00163FD4">
      <w:pPr>
        <w:pBdr>
          <w:top w:val="nil"/>
          <w:left w:val="nil"/>
          <w:bottom w:val="nil"/>
          <w:right w:val="nil"/>
          <w:between w:val="nil"/>
          <w:bar w:val="nil"/>
        </w:pBdr>
        <w:spacing w:after="0"/>
        <w:rPr>
          <w:noProof/>
        </w:rPr>
      </w:pPr>
      <w:r w:rsidRPr="00BE71FF">
        <w:rPr>
          <w:noProof/>
        </w:rPr>
        <w:t xml:space="preserve">Bod 3 zavádí definice, které odrážejí nové prvky zavedené touto směrnicí a které se týkají zejména elektronických systémů a platforem používaných v odvětví dopravy. </w:t>
      </w:r>
    </w:p>
    <w:p w:rsidR="00163FD4" w:rsidRPr="00BE71FF" w:rsidRDefault="00163FD4" w:rsidP="00163FD4">
      <w:pPr>
        <w:pBdr>
          <w:top w:val="nil"/>
          <w:left w:val="nil"/>
          <w:bottom w:val="nil"/>
          <w:right w:val="nil"/>
          <w:between w:val="nil"/>
          <w:bar w:val="nil"/>
        </w:pBdr>
        <w:spacing w:after="0"/>
        <w:rPr>
          <w:b/>
          <w:bCs/>
          <w:i/>
          <w:iCs/>
          <w:noProof/>
        </w:rPr>
      </w:pPr>
      <w:r w:rsidRPr="00BE71FF">
        <w:rPr>
          <w:b/>
          <w:i/>
          <w:noProof/>
        </w:rPr>
        <w:t>Zavedení RIS a technické pokyny a specifikace</w:t>
      </w:r>
    </w:p>
    <w:p w:rsidR="00163FD4" w:rsidRPr="00BE71FF" w:rsidRDefault="00163FD4" w:rsidP="00163FD4">
      <w:pPr>
        <w:pBdr>
          <w:top w:val="nil"/>
          <w:left w:val="nil"/>
          <w:bottom w:val="nil"/>
          <w:right w:val="nil"/>
          <w:between w:val="nil"/>
          <w:bar w:val="nil"/>
        </w:pBdr>
        <w:spacing w:after="0"/>
        <w:rPr>
          <w:noProof/>
        </w:rPr>
      </w:pPr>
      <w:r w:rsidRPr="00BE71FF">
        <w:rPr>
          <w:noProof/>
        </w:rPr>
        <w:t xml:space="preserve">V bodě 4 se nahrazuje článek 4 tak, aby se aktualizoval způsob poskytování služeb v rámci RIS i druh poskytovaných služeb. V odstavci 3 se zpřísňuje a upřesňuje povinnost členských států poskytovat údaje týkající se plavby a plánování plaveb a zavádí se nová povinnost poskytovat informace do systému ERDMS s cílem zlepšit celkovou kvalitu a včasnost informací poskytovaných uživatelům RIS. Kromě toho se v zájmu zlepšení výměny informací a multimodality vnitrozemské vodní dopravy zavádějí požadavky na výměnu informací s jinými systémy a platformami používanými v odvětví dopravy (včetně evropského prostředí </w:t>
      </w:r>
      <w:r w:rsidRPr="00BE71FF">
        <w:rPr>
          <w:noProof/>
        </w:rPr>
        <w:lastRenderedPageBreak/>
        <w:t>jednotného námořního portálu, eFTI, společných přístavních systémů a inteligentních systémů infrastruktury vnitrozemských vodních cest).</w:t>
      </w:r>
    </w:p>
    <w:p w:rsidR="00163FD4" w:rsidRPr="00BE71FF" w:rsidRDefault="00163FD4" w:rsidP="00163FD4">
      <w:pPr>
        <w:pBdr>
          <w:top w:val="nil"/>
          <w:left w:val="nil"/>
          <w:bottom w:val="nil"/>
          <w:right w:val="nil"/>
          <w:between w:val="nil"/>
          <w:bar w:val="nil"/>
        </w:pBdr>
        <w:spacing w:after="0"/>
        <w:rPr>
          <w:noProof/>
        </w:rPr>
      </w:pPr>
      <w:r w:rsidRPr="00BE71FF">
        <w:rPr>
          <w:noProof/>
        </w:rPr>
        <w:t xml:space="preserve">Odstavec 6 dále určuje strukturu digitální architektury RIS tím, že stanoví jednotnou digitální platformu (platformu RIS) jako hlavní digitální páteř pro poskytování RIS, jejímž prostřednictvím by měly být všechny RIS vyvíjeny a poskytovány. Komisi je svěřena pravomoc rozhodovat o funkčních a technických specifikacích platformy RIS prostřednictvím prováděcích aktů. </w:t>
      </w:r>
    </w:p>
    <w:p w:rsidR="00163FD4" w:rsidRPr="00BE71FF" w:rsidRDefault="00163FD4" w:rsidP="00163FD4">
      <w:pPr>
        <w:pBdr>
          <w:top w:val="nil"/>
          <w:left w:val="nil"/>
          <w:bottom w:val="nil"/>
          <w:right w:val="nil"/>
          <w:between w:val="nil"/>
          <w:bar w:val="nil"/>
        </w:pBdr>
        <w:spacing w:after="0"/>
        <w:rPr>
          <w:noProof/>
        </w:rPr>
      </w:pPr>
      <w:r w:rsidRPr="00BE71FF">
        <w:rPr>
          <w:noProof/>
        </w:rPr>
        <w:t xml:space="preserve">V bodě 5 se nahrazuje článek 5, přičemž se odstraňují zastaralé prvky a zavádí se nové technické specifikace, které musí členské státy uplatňovat, aby zajistily poskytování služeb, jak je požadováno v článku 4. </w:t>
      </w:r>
    </w:p>
    <w:p w:rsidR="00163FD4" w:rsidRPr="00BE71FF" w:rsidRDefault="00163FD4" w:rsidP="00163FD4">
      <w:pPr>
        <w:pBdr>
          <w:top w:val="nil"/>
          <w:left w:val="nil"/>
          <w:bottom w:val="nil"/>
          <w:right w:val="nil"/>
          <w:between w:val="nil"/>
          <w:bar w:val="nil"/>
        </w:pBdr>
        <w:spacing w:after="0"/>
        <w:rPr>
          <w:noProof/>
        </w:rPr>
      </w:pPr>
      <w:r w:rsidRPr="00BE71FF">
        <w:rPr>
          <w:b/>
          <w:i/>
          <w:noProof/>
        </w:rPr>
        <w:t>Příslušné orgány a vyřizování stížností</w:t>
      </w:r>
    </w:p>
    <w:p w:rsidR="00163FD4" w:rsidRPr="00BE71FF" w:rsidRDefault="00163FD4" w:rsidP="00163FD4">
      <w:pPr>
        <w:pBdr>
          <w:top w:val="nil"/>
          <w:left w:val="nil"/>
          <w:bottom w:val="nil"/>
          <w:right w:val="nil"/>
          <w:between w:val="nil"/>
          <w:bar w:val="nil"/>
        </w:pBdr>
        <w:spacing w:after="0"/>
        <w:rPr>
          <w:noProof/>
        </w:rPr>
      </w:pPr>
      <w:r w:rsidRPr="00BE71FF">
        <w:rPr>
          <w:noProof/>
        </w:rPr>
        <w:t>V bodě 6 se nahrazuje článek 8, přičemž se zavádí příslušné orgány pro provoz platformy RIS a pro vyřizování stížností. V bodě 7 se vkládá nový článek 8a, který popisuje úlohu a hlavní prvky postupu, který by měl být dodržován při vyřizování stížností. Členské státy jsou odpovědné za vypracování a uplatňování tohoto postupu a jsou povinny pravidelně podávat zprávy o jeho plnění Evropské komisi. To by umožnilo lepší monitorování a rychlejší řešení problémů při provádění směrnice.</w:t>
      </w:r>
    </w:p>
    <w:p w:rsidR="00163FD4" w:rsidRPr="00BE71FF" w:rsidRDefault="00163FD4" w:rsidP="00163FD4">
      <w:pPr>
        <w:pBdr>
          <w:top w:val="nil"/>
          <w:left w:val="nil"/>
          <w:bottom w:val="nil"/>
          <w:right w:val="nil"/>
          <w:between w:val="nil"/>
          <w:bar w:val="nil"/>
        </w:pBdr>
        <w:spacing w:after="0"/>
        <w:rPr>
          <w:b/>
          <w:bCs/>
          <w:i/>
          <w:iCs/>
          <w:noProof/>
        </w:rPr>
      </w:pPr>
      <w:r w:rsidRPr="00BE71FF">
        <w:rPr>
          <w:b/>
          <w:i/>
          <w:noProof/>
        </w:rPr>
        <w:t>Pravidla pro důvěrnost, bezpečnost a další použití informací</w:t>
      </w:r>
    </w:p>
    <w:p w:rsidR="00163FD4" w:rsidRPr="00BE71FF" w:rsidRDefault="00163FD4" w:rsidP="00163FD4">
      <w:pPr>
        <w:pBdr>
          <w:top w:val="nil"/>
          <w:left w:val="nil"/>
          <w:bottom w:val="nil"/>
          <w:right w:val="nil"/>
          <w:between w:val="nil"/>
          <w:bar w:val="nil"/>
        </w:pBdr>
        <w:spacing w:after="0"/>
        <w:rPr>
          <w:noProof/>
        </w:rPr>
      </w:pPr>
      <w:r w:rsidRPr="00BE71FF">
        <w:rPr>
          <w:noProof/>
        </w:rPr>
        <w:t xml:space="preserve">V bodě 8 se nahrazuje článek 9, přičemž se aktualizují požadavky týkající se důvěrnosti, bezpečnosti a dalšího použití informací. Bod 8 rovněž zrušuje zastaralá ustanovení. </w:t>
      </w:r>
    </w:p>
    <w:p w:rsidR="00163FD4" w:rsidRPr="00BE71FF" w:rsidRDefault="00163FD4" w:rsidP="00163FD4">
      <w:pPr>
        <w:pBdr>
          <w:top w:val="nil"/>
          <w:left w:val="nil"/>
          <w:bottom w:val="nil"/>
          <w:right w:val="nil"/>
          <w:between w:val="nil"/>
          <w:bar w:val="nil"/>
        </w:pBdr>
        <w:spacing w:after="0"/>
        <w:rPr>
          <w:b/>
          <w:bCs/>
          <w:i/>
          <w:iCs/>
          <w:noProof/>
        </w:rPr>
      </w:pPr>
      <w:r w:rsidRPr="00BE71FF">
        <w:rPr>
          <w:b/>
          <w:i/>
          <w:noProof/>
        </w:rPr>
        <w:t>Postup pro přijímání změn a výkon přenesené pravomoci</w:t>
      </w:r>
    </w:p>
    <w:p w:rsidR="00163FD4" w:rsidRPr="00BE71FF" w:rsidRDefault="00163FD4" w:rsidP="00163FD4">
      <w:pPr>
        <w:pBdr>
          <w:top w:val="nil"/>
          <w:left w:val="nil"/>
          <w:bottom w:val="nil"/>
          <w:right w:val="nil"/>
          <w:between w:val="nil"/>
          <w:bar w:val="nil"/>
        </w:pBdr>
        <w:spacing w:after="0"/>
        <w:rPr>
          <w:noProof/>
        </w:rPr>
      </w:pPr>
      <w:r w:rsidRPr="00BE71FF">
        <w:rPr>
          <w:noProof/>
        </w:rPr>
        <w:t xml:space="preserve">V bodě 9 se nahrazuje článek 10 týkající se postupu pro přijímání změn, přičemž v odstavci 1 se stanoví akt v přenesené pravomoci za účelem aktualizace minimálních požadavků týkajících se údajů v příloze I. Odstavec 2 stanoví, že Komise změní přílohu III tak, aby prostřednictvím aktu v přenesené pravomoci zavedla nejnovější verzi normy ES-RIS, neboť nezbytné normy související s RIS se nyní stávají nedílnou, nikoli však podstatnou součástí směrnice, a to za určitých podmínek. Odstavec 3 uděluje Komisi pravomoc provést změnu přílohy III prostřednictvím aktu v přenesené pravomoci v případě, že nelze splnit řadu podmínek. </w:t>
      </w:r>
    </w:p>
    <w:p w:rsidR="00163FD4" w:rsidRPr="00BE71FF" w:rsidRDefault="00163FD4" w:rsidP="00163FD4">
      <w:pPr>
        <w:pBdr>
          <w:top w:val="nil"/>
          <w:left w:val="nil"/>
          <w:bottom w:val="nil"/>
          <w:right w:val="nil"/>
          <w:between w:val="nil"/>
          <w:bar w:val="nil"/>
        </w:pBdr>
        <w:spacing w:after="0"/>
        <w:rPr>
          <w:noProof/>
        </w:rPr>
      </w:pPr>
      <w:r w:rsidRPr="00BE71FF">
        <w:rPr>
          <w:noProof/>
        </w:rPr>
        <w:t>V bodech 10 a 11 se nahrazují odstavce 2 a 6 článku 10a, přičemž se aktualizují zastaralé prvky.</w:t>
      </w:r>
    </w:p>
    <w:p w:rsidR="00163FD4" w:rsidRPr="00BE71FF" w:rsidRDefault="00163FD4" w:rsidP="00163FD4">
      <w:pPr>
        <w:pBdr>
          <w:top w:val="nil"/>
          <w:left w:val="nil"/>
          <w:bottom w:val="nil"/>
          <w:right w:val="nil"/>
          <w:between w:val="nil"/>
          <w:bar w:val="nil"/>
        </w:pBdr>
        <w:spacing w:after="0"/>
        <w:rPr>
          <w:noProof/>
        </w:rPr>
      </w:pPr>
      <w:r w:rsidRPr="00BE71FF">
        <w:rPr>
          <w:noProof/>
        </w:rPr>
        <w:t>V bodě 12 se nahrazuje článek 11, přičemž se zrušují zastaralá ustanovení a zřizuje se Výbor pro vnitrozemskou vodní dopravu jako příslušný výbor ve smyslu nařízení (EU) č. 182/2011.</w:t>
      </w:r>
    </w:p>
    <w:p w:rsidR="00163FD4" w:rsidRPr="00BE71FF" w:rsidRDefault="00163FD4" w:rsidP="00163FD4">
      <w:pPr>
        <w:pBdr>
          <w:top w:val="nil"/>
          <w:left w:val="nil"/>
          <w:bottom w:val="nil"/>
          <w:right w:val="nil"/>
          <w:between w:val="nil"/>
          <w:bar w:val="nil"/>
        </w:pBdr>
        <w:spacing w:after="0"/>
        <w:rPr>
          <w:noProof/>
        </w:rPr>
      </w:pPr>
      <w:r w:rsidRPr="00BE71FF">
        <w:rPr>
          <w:noProof/>
        </w:rPr>
        <w:t xml:space="preserve">V bodě 13 se zrušují odstavce 2 a 3 článku 12, neboť obsahují zastaralá zvláštní ustanovení o provedení ve vnitrostátním právu, vzhledem k tomu, že existuje dostatečné množství informací o provádění RIS a že oblastí působnosti pozměňující směrnice jsou nyní nejdůležitější vodní cesty. </w:t>
      </w:r>
    </w:p>
    <w:p w:rsidR="00163FD4" w:rsidRPr="00BE71FF" w:rsidRDefault="00163FD4" w:rsidP="00163FD4">
      <w:pPr>
        <w:pBdr>
          <w:top w:val="nil"/>
          <w:left w:val="nil"/>
          <w:bottom w:val="nil"/>
          <w:right w:val="nil"/>
          <w:between w:val="nil"/>
          <w:bar w:val="nil"/>
        </w:pBdr>
        <w:spacing w:after="0"/>
        <w:rPr>
          <w:noProof/>
        </w:rPr>
      </w:pPr>
      <w:r w:rsidRPr="00BE71FF">
        <w:rPr>
          <w:noProof/>
        </w:rPr>
        <w:t>V bodě 14 se vkládá článek 12a, který zavádí ustanovení o monitorování provádění směrnice.</w:t>
      </w:r>
    </w:p>
    <w:p w:rsidR="00163FD4" w:rsidRPr="00BE71FF" w:rsidRDefault="00163FD4" w:rsidP="00163FD4">
      <w:pPr>
        <w:pBdr>
          <w:top w:val="nil"/>
          <w:left w:val="nil"/>
          <w:bottom w:val="nil"/>
          <w:right w:val="nil"/>
          <w:between w:val="nil"/>
          <w:bar w:val="nil"/>
        </w:pBdr>
        <w:spacing w:after="0"/>
        <w:rPr>
          <w:noProof/>
        </w:rPr>
      </w:pPr>
      <w:r w:rsidRPr="00BE71FF">
        <w:rPr>
          <w:noProof/>
        </w:rPr>
        <w:t xml:space="preserve">V bodě 15 se nahrazuje příloha I směrnice 2005/44/ES včetně aktualizace minimálních požadavků týkajících se údajů. </w:t>
      </w:r>
    </w:p>
    <w:p w:rsidR="00163FD4" w:rsidRPr="00BE71FF" w:rsidRDefault="00163FD4" w:rsidP="00163FD4">
      <w:pPr>
        <w:pBdr>
          <w:top w:val="nil"/>
          <w:left w:val="nil"/>
          <w:bottom w:val="nil"/>
          <w:right w:val="nil"/>
          <w:between w:val="nil"/>
          <w:bar w:val="nil"/>
        </w:pBdr>
        <w:spacing w:after="0"/>
        <w:rPr>
          <w:noProof/>
        </w:rPr>
      </w:pPr>
      <w:r w:rsidRPr="00BE71FF">
        <w:rPr>
          <w:noProof/>
        </w:rPr>
        <w:t>V bodě 16 se nahrazuje příloha II směrnice 2005/44/ES, přičemž se aktualizují a zjednodušují zásady pro technické specifikace RIS.</w:t>
      </w:r>
    </w:p>
    <w:p w:rsidR="00163FD4" w:rsidRPr="00BE71FF" w:rsidRDefault="00163FD4" w:rsidP="00163FD4">
      <w:pPr>
        <w:pBdr>
          <w:top w:val="nil"/>
          <w:left w:val="nil"/>
          <w:bottom w:val="nil"/>
          <w:right w:val="nil"/>
          <w:between w:val="nil"/>
          <w:bar w:val="nil"/>
        </w:pBdr>
        <w:spacing w:after="0"/>
        <w:rPr>
          <w:noProof/>
        </w:rPr>
      </w:pPr>
      <w:r w:rsidRPr="00BE71FF">
        <w:rPr>
          <w:noProof/>
        </w:rPr>
        <w:t>V bodě 17 se doplňuje nová příloha III, která obsahuje odkaz na normu ES-RIS.</w:t>
      </w:r>
    </w:p>
    <w:p w:rsidR="00163FD4" w:rsidRPr="00BE71FF" w:rsidRDefault="00163FD4" w:rsidP="00163FD4">
      <w:pPr>
        <w:pBdr>
          <w:top w:val="nil"/>
          <w:left w:val="nil"/>
          <w:bottom w:val="nil"/>
          <w:right w:val="nil"/>
          <w:between w:val="nil"/>
          <w:bar w:val="nil"/>
        </w:pBdr>
        <w:spacing w:after="0"/>
        <w:rPr>
          <w:b/>
          <w:bCs/>
          <w:i/>
          <w:iCs/>
          <w:noProof/>
        </w:rPr>
      </w:pPr>
      <w:r w:rsidRPr="00BE71FF">
        <w:rPr>
          <w:b/>
          <w:i/>
          <w:noProof/>
        </w:rPr>
        <w:t>Ostatní ustanovení</w:t>
      </w:r>
    </w:p>
    <w:p w:rsidR="00163FD4" w:rsidRPr="00BE71FF" w:rsidRDefault="00163FD4" w:rsidP="00163FD4">
      <w:pPr>
        <w:pBdr>
          <w:top w:val="nil"/>
          <w:left w:val="nil"/>
          <w:bottom w:val="nil"/>
          <w:right w:val="nil"/>
          <w:between w:val="nil"/>
          <w:bar w:val="nil"/>
        </w:pBdr>
        <w:spacing w:after="0"/>
        <w:rPr>
          <w:noProof/>
        </w:rPr>
      </w:pPr>
      <w:r w:rsidRPr="00BE71FF">
        <w:rPr>
          <w:noProof/>
        </w:rPr>
        <w:lastRenderedPageBreak/>
        <w:t xml:space="preserve">Článek 2 pozměňující směrnice stanoví povinnost provedení ve vnitrostátním právu. </w:t>
      </w:r>
    </w:p>
    <w:p w:rsidR="00163FD4" w:rsidRPr="00BE71FF" w:rsidRDefault="00163FD4" w:rsidP="00163FD4">
      <w:pPr>
        <w:pBdr>
          <w:top w:val="nil"/>
          <w:left w:val="nil"/>
          <w:bottom w:val="nil"/>
          <w:right w:val="nil"/>
          <w:between w:val="nil"/>
          <w:bar w:val="nil"/>
        </w:pBdr>
        <w:spacing w:after="0"/>
        <w:rPr>
          <w:noProof/>
        </w:rPr>
      </w:pPr>
      <w:r w:rsidRPr="00BE71FF">
        <w:rPr>
          <w:noProof/>
        </w:rPr>
        <w:t>Článek 3 pozměňující směrnice stanoví datum vstupu této směrnice v platnost.</w:t>
      </w:r>
    </w:p>
    <w:p w:rsidR="00163FD4" w:rsidRPr="00BE71FF" w:rsidRDefault="00163FD4" w:rsidP="00163FD4">
      <w:pPr>
        <w:pBdr>
          <w:top w:val="nil"/>
          <w:left w:val="nil"/>
          <w:bottom w:val="nil"/>
          <w:right w:val="nil"/>
          <w:between w:val="nil"/>
          <w:bar w:val="nil"/>
        </w:pBdr>
        <w:spacing w:after="0"/>
        <w:rPr>
          <w:noProof/>
        </w:rPr>
      </w:pPr>
      <w:r w:rsidRPr="00BE71FF">
        <w:rPr>
          <w:noProof/>
        </w:rPr>
        <w:t>Článek 4 pozměňující směrnice stanoví, komu je směrnice určena.</w:t>
      </w:r>
    </w:p>
    <w:p w:rsidR="00FE0699" w:rsidRPr="00BE71FF" w:rsidRDefault="00FE0699" w:rsidP="00163FD4">
      <w:pPr>
        <w:pBdr>
          <w:top w:val="nil"/>
          <w:left w:val="nil"/>
          <w:bottom w:val="nil"/>
          <w:right w:val="nil"/>
          <w:between w:val="nil"/>
          <w:bar w:val="nil"/>
        </w:pBdr>
        <w:spacing w:after="0"/>
        <w:rPr>
          <w:noProof/>
        </w:rPr>
      </w:pPr>
    </w:p>
    <w:p w:rsidR="00FE0699" w:rsidRPr="00BE71FF" w:rsidRDefault="00FE0699" w:rsidP="00163FD4">
      <w:pPr>
        <w:pBdr>
          <w:top w:val="nil"/>
          <w:left w:val="nil"/>
          <w:bottom w:val="nil"/>
          <w:right w:val="nil"/>
          <w:between w:val="nil"/>
          <w:bar w:val="nil"/>
        </w:pBdr>
        <w:spacing w:after="0"/>
        <w:rPr>
          <w:noProof/>
        </w:rPr>
      </w:pPr>
    </w:p>
    <w:p w:rsidR="00163FD4" w:rsidRPr="00BE71FF" w:rsidRDefault="00163FD4" w:rsidP="00163FD4">
      <w:pPr>
        <w:pBdr>
          <w:top w:val="nil"/>
          <w:left w:val="nil"/>
          <w:bottom w:val="nil"/>
          <w:right w:val="nil"/>
          <w:between w:val="nil"/>
          <w:bar w:val="nil"/>
        </w:pBdr>
        <w:spacing w:after="0"/>
        <w:rPr>
          <w:b/>
          <w:bCs/>
          <w:noProof/>
        </w:rPr>
      </w:pPr>
      <w:r w:rsidRPr="00BE71FF">
        <w:rPr>
          <w:b/>
          <w:noProof/>
        </w:rPr>
        <w:t>Přílohy</w:t>
      </w:r>
    </w:p>
    <w:p w:rsidR="00163FD4" w:rsidRPr="00BE71FF" w:rsidRDefault="00163FD4" w:rsidP="00163FD4">
      <w:pPr>
        <w:pBdr>
          <w:top w:val="nil"/>
          <w:left w:val="nil"/>
          <w:bottom w:val="nil"/>
          <w:right w:val="nil"/>
          <w:between w:val="nil"/>
          <w:bar w:val="nil"/>
        </w:pBdr>
        <w:spacing w:after="0"/>
        <w:rPr>
          <w:noProof/>
        </w:rPr>
      </w:pPr>
      <w:r w:rsidRPr="00BE71FF">
        <w:rPr>
          <w:noProof/>
        </w:rPr>
        <w:t xml:space="preserve">Příloha I stanoví minimální požadavky týkající se údajů, které se mají poskytovat pro účely plavby a plánování plaveb. Příloha II stanoví zásady pro vývoj technických specifikací RIS. Příloha III stanoví technické specifikace platné pro RIS. </w:t>
      </w:r>
    </w:p>
    <w:p w:rsidR="009E766C" w:rsidRPr="00BE71FF" w:rsidRDefault="009E766C" w:rsidP="00AC7E92">
      <w:pPr>
        <w:spacing w:before="0" w:after="0"/>
        <w:jc w:val="left"/>
        <w:rPr>
          <w:noProof/>
        </w:rPr>
        <w:sectPr w:rsidR="009E766C" w:rsidRPr="00BE71FF" w:rsidSect="00224BFD">
          <w:headerReference w:type="even" r:id="rId11"/>
          <w:footerReference w:type="even" r:id="rId12"/>
          <w:footerReference w:type="default" r:id="rId13"/>
          <w:headerReference w:type="first" r:id="rId14"/>
          <w:footerReference w:type="first" r:id="rId15"/>
          <w:pgSz w:w="11907" w:h="16839"/>
          <w:pgMar w:top="1134" w:right="1417" w:bottom="1134" w:left="1417" w:header="709" w:footer="709" w:gutter="0"/>
          <w:cols w:space="708"/>
          <w:docGrid w:linePitch="360"/>
        </w:sectPr>
      </w:pPr>
    </w:p>
    <w:p w:rsidR="00012759" w:rsidRDefault="00E91BB9">
      <w:pPr>
        <w:pStyle w:val="Rfrenceinterinstitutionnelle"/>
        <w:rPr>
          <w:noProof/>
        </w:rPr>
      </w:pPr>
      <w:r>
        <w:rPr>
          <w:noProof/>
        </w:rPr>
        <w:lastRenderedPageBreak/>
        <w:t>2024/0011 (COD)</w:t>
      </w:r>
    </w:p>
    <w:p w:rsidR="00996C90" w:rsidRPr="00BE71FF" w:rsidRDefault="00BE71FF" w:rsidP="00BE71FF">
      <w:pPr>
        <w:pStyle w:val="Statut"/>
        <w:rPr>
          <w:noProof/>
        </w:rPr>
      </w:pPr>
      <w:r w:rsidRPr="00BE71FF">
        <w:rPr>
          <w:noProof/>
        </w:rPr>
        <w:t>Návrh</w:t>
      </w:r>
    </w:p>
    <w:p w:rsidR="00996C90" w:rsidRPr="00BE71FF" w:rsidRDefault="00BE71FF" w:rsidP="00BE71FF">
      <w:pPr>
        <w:pStyle w:val="Typedudocument"/>
        <w:rPr>
          <w:noProof/>
        </w:rPr>
      </w:pPr>
      <w:r w:rsidRPr="00BE71FF">
        <w:rPr>
          <w:noProof/>
        </w:rPr>
        <w:t>SMĚRNICE EVROPSKÉHO PARLAMENTU A RADY,</w:t>
      </w:r>
    </w:p>
    <w:p w:rsidR="00996C90" w:rsidRPr="00BE71FF" w:rsidRDefault="00BE71FF" w:rsidP="00BE71FF">
      <w:pPr>
        <w:pStyle w:val="Titreobjet"/>
        <w:rPr>
          <w:noProof/>
        </w:rPr>
      </w:pPr>
      <w:r w:rsidRPr="00BE71FF">
        <w:rPr>
          <w:noProof/>
        </w:rPr>
        <w:t>kterou se mění směrnice 2005/44/ES o harmonizovaných říčních informačních službách (RIS) na vnitrozemských vodních cestách ve Společenství</w:t>
      </w:r>
    </w:p>
    <w:p w:rsidR="00996C90" w:rsidRPr="00BE71FF" w:rsidRDefault="00996C90" w:rsidP="00996C90">
      <w:pPr>
        <w:pStyle w:val="Institutionquiagit"/>
        <w:rPr>
          <w:noProof/>
        </w:rPr>
      </w:pPr>
      <w:r w:rsidRPr="00BE71FF">
        <w:rPr>
          <w:noProof/>
        </w:rPr>
        <w:t>EVROPSKÝ PARLAMENT A RADA EVROPSKÉ UNIE,</w:t>
      </w:r>
    </w:p>
    <w:p w:rsidR="00996C90" w:rsidRPr="00BE71FF" w:rsidRDefault="00996C90" w:rsidP="00996C90">
      <w:pPr>
        <w:rPr>
          <w:noProof/>
        </w:rPr>
      </w:pPr>
      <w:r w:rsidRPr="00BE71FF">
        <w:rPr>
          <w:noProof/>
        </w:rPr>
        <w:t>s ohledem na Smlouvu o fungování Evropské unie, a zejména na čl. 91 odst. 1 této smlouvy,</w:t>
      </w:r>
    </w:p>
    <w:p w:rsidR="00996C90" w:rsidRPr="00BE71FF" w:rsidRDefault="00996C90" w:rsidP="00996C90">
      <w:pPr>
        <w:rPr>
          <w:noProof/>
        </w:rPr>
      </w:pPr>
      <w:r w:rsidRPr="00BE71FF">
        <w:rPr>
          <w:noProof/>
        </w:rPr>
        <w:t>s ohledem na návrh Evropské komise,</w:t>
      </w:r>
    </w:p>
    <w:p w:rsidR="00996C90" w:rsidRPr="00BE71FF" w:rsidRDefault="00996C90" w:rsidP="00996C90">
      <w:pPr>
        <w:rPr>
          <w:noProof/>
        </w:rPr>
      </w:pPr>
      <w:r w:rsidRPr="00BE71FF">
        <w:rPr>
          <w:noProof/>
        </w:rPr>
        <w:t>po postoupení návrhu legislativního aktu vnitrostátním parlamentům,</w:t>
      </w:r>
    </w:p>
    <w:p w:rsidR="00996C90" w:rsidRPr="00BE71FF" w:rsidRDefault="00996C90" w:rsidP="00996C90">
      <w:pPr>
        <w:rPr>
          <w:noProof/>
        </w:rPr>
      </w:pPr>
      <w:r w:rsidRPr="00BE71FF">
        <w:rPr>
          <w:noProof/>
        </w:rPr>
        <w:t>s ohledem na stanovisko Evropského hospodářského a sociálního výboru</w:t>
      </w:r>
      <w:r w:rsidRPr="00BE71FF">
        <w:rPr>
          <w:rStyle w:val="FootnoteReference"/>
          <w:noProof/>
        </w:rPr>
        <w:footnoteReference w:id="14"/>
      </w:r>
      <w:r w:rsidRPr="00BE71FF">
        <w:rPr>
          <w:noProof/>
        </w:rPr>
        <w:t>,</w:t>
      </w:r>
    </w:p>
    <w:p w:rsidR="00996C90" w:rsidRPr="00BE71FF" w:rsidRDefault="00996C90" w:rsidP="00996C90">
      <w:pPr>
        <w:rPr>
          <w:noProof/>
        </w:rPr>
      </w:pPr>
      <w:r w:rsidRPr="00BE71FF">
        <w:rPr>
          <w:noProof/>
        </w:rPr>
        <w:t>s ohledem na stanovisko Výboru regionů</w:t>
      </w:r>
      <w:r w:rsidRPr="00BE71FF">
        <w:rPr>
          <w:rStyle w:val="FootnoteReference"/>
          <w:noProof/>
        </w:rPr>
        <w:footnoteReference w:id="15"/>
      </w:r>
      <w:r w:rsidRPr="00BE71FF">
        <w:rPr>
          <w:noProof/>
        </w:rPr>
        <w:t xml:space="preserve">, </w:t>
      </w:r>
    </w:p>
    <w:p w:rsidR="00996C90" w:rsidRPr="00BE71FF" w:rsidRDefault="00996C90" w:rsidP="00996C90">
      <w:pPr>
        <w:rPr>
          <w:noProof/>
        </w:rPr>
      </w:pPr>
      <w:r w:rsidRPr="00BE71FF">
        <w:rPr>
          <w:noProof/>
        </w:rPr>
        <w:t>v souladu s řádným legislativním postupem,</w:t>
      </w:r>
    </w:p>
    <w:p w:rsidR="00996C90" w:rsidRPr="00BE71FF" w:rsidRDefault="00996C90" w:rsidP="00996C90">
      <w:pPr>
        <w:rPr>
          <w:noProof/>
        </w:rPr>
      </w:pPr>
      <w:r w:rsidRPr="00BE71FF">
        <w:rPr>
          <w:noProof/>
        </w:rPr>
        <w:t>vzhledem k těmto důvodům:</w:t>
      </w:r>
    </w:p>
    <w:p w:rsidR="00996C90" w:rsidRPr="00BE71FF" w:rsidRDefault="00996C90" w:rsidP="00815155">
      <w:pPr>
        <w:pStyle w:val="ManualConsidrant"/>
        <w:tabs>
          <w:tab w:val="num" w:pos="993"/>
        </w:tabs>
        <w:rPr>
          <w:noProof/>
        </w:rPr>
      </w:pPr>
      <w:r>
        <w:rPr>
          <w:noProof/>
        </w:rPr>
        <w:t>(1)</w:t>
      </w:r>
      <w:r>
        <w:rPr>
          <w:noProof/>
        </w:rPr>
        <w:tab/>
      </w:r>
      <w:r w:rsidRPr="00BE71FF">
        <w:rPr>
          <w:noProof/>
        </w:rPr>
        <w:t>Směrnice Evropského parlamentu a Rady 2005/44/ES</w:t>
      </w:r>
      <w:r w:rsidRPr="00BE71FF">
        <w:rPr>
          <w:rStyle w:val="FootnoteReference"/>
          <w:noProof/>
        </w:rPr>
        <w:footnoteReference w:id="16"/>
      </w:r>
      <w:r w:rsidRPr="00BE71FF">
        <w:rPr>
          <w:noProof/>
        </w:rPr>
        <w:t xml:space="preserve"> stanoví rámec pro zavedení a používání harmonizovaných říčních informačních služeb („RIS“) v Unii. Zavedení RIS na vnitrozemských vodních cestách podporuje bezpečnost a efektivitu vnitrozemské vodní dopravy a v konečném důsledku i její udržitelnost tím, že zvyšuje efektivitu provozu na vnitrozemských vodních cestách.</w:t>
      </w:r>
    </w:p>
    <w:p w:rsidR="00996C90" w:rsidRPr="00BE71FF" w:rsidRDefault="00996C90" w:rsidP="00996C90">
      <w:pPr>
        <w:pStyle w:val="ManualConsidrant"/>
        <w:tabs>
          <w:tab w:val="num" w:pos="851"/>
        </w:tabs>
        <w:ind w:left="720"/>
        <w:rPr>
          <w:noProof/>
        </w:rPr>
      </w:pPr>
      <w:r>
        <w:rPr>
          <w:noProof/>
        </w:rPr>
        <w:t>(2)</w:t>
      </w:r>
      <w:r>
        <w:rPr>
          <w:noProof/>
        </w:rPr>
        <w:tab/>
      </w:r>
      <w:r w:rsidRPr="00BE71FF">
        <w:rPr>
          <w:noProof/>
        </w:rPr>
        <w:t>Od vstupu směrnice 2005/44/ES v platnost využívá odvětví vnitrozemské vodní dopravy výhod poskytování harmonizovaných RIS. Stupeň harmonizace se však v jednotlivých členských státech liší a proces zavádění potřebných specifikací se ukázal jako zdlouhavý. Zelená dohoda pro Evropu</w:t>
      </w:r>
      <w:r w:rsidRPr="00BE71FF">
        <w:rPr>
          <w:rStyle w:val="FootnoteReference"/>
          <w:noProof/>
        </w:rPr>
        <w:footnoteReference w:id="17"/>
      </w:r>
      <w:r w:rsidRPr="00BE71FF">
        <w:rPr>
          <w:noProof/>
        </w:rPr>
        <w:t xml:space="preserve"> zároveň vyzývá k dalšímu rozvoji automatizované a propojené multimodální mobility a RIS by měly být těmto novým výzvám přizpůsobeny. Strategie pro udržitelnou a inteligentní mobilitu</w:t>
      </w:r>
      <w:r w:rsidRPr="00BE71FF">
        <w:rPr>
          <w:rStyle w:val="FootnoteReference"/>
          <w:noProof/>
        </w:rPr>
        <w:footnoteReference w:id="18"/>
      </w:r>
      <w:r w:rsidRPr="00BE71FF">
        <w:rPr>
          <w:noProof/>
        </w:rPr>
        <w:t xml:space="preserve"> dále navrhuje revizi směrnice 2005/44/ES jako jedno z opatření k dosažení cíle podporovat vytvoření skutečně inteligentního systému dopravy, efektivního přidělování kapacity a řízení provozu. Akční plán NAIADES III</w:t>
      </w:r>
      <w:r w:rsidRPr="00BE71FF">
        <w:rPr>
          <w:rStyle w:val="FootnoteReference"/>
          <w:noProof/>
        </w:rPr>
        <w:footnoteReference w:id="19"/>
      </w:r>
      <w:r w:rsidRPr="00BE71FF">
        <w:rPr>
          <w:noProof/>
        </w:rPr>
        <w:t xml:space="preserve"> uvádí, že za účelem podpory cíle začlenit vnitrozemské vodní cesty jako součást bezproblémového systému harmonizovaných RIS do roku 2030 by se revize právního rámce týkajícího se RIS v souladu s evropskou strategií pro data zaměřila na odstranění stávajících nedostatků v harmonizaci a interoperabilitě ve vztahu k ostatním druhům dopravy a přispěla by ke zlepšení dostupnosti údajů, opětovného použití a interoperability digitálních </w:t>
      </w:r>
      <w:r w:rsidRPr="00BE71FF">
        <w:rPr>
          <w:noProof/>
        </w:rPr>
        <w:lastRenderedPageBreak/>
        <w:t>systémů</w:t>
      </w:r>
      <w:r w:rsidRPr="00BE71FF">
        <w:rPr>
          <w:rStyle w:val="FootnoteReference"/>
          <w:noProof/>
        </w:rPr>
        <w:footnoteReference w:id="20"/>
      </w:r>
      <w:r w:rsidRPr="00BE71FF">
        <w:rPr>
          <w:noProof/>
        </w:rPr>
        <w:t>. Tyto změny a vývoj, jakož i zkušenosti získané při provádění směrnice 2005/44/ES, by měly být při přizpůsobení RIS zohledněny.</w:t>
      </w:r>
    </w:p>
    <w:p w:rsidR="00996C90" w:rsidRPr="00BE71FF" w:rsidRDefault="00996C90" w:rsidP="00815155">
      <w:pPr>
        <w:pStyle w:val="ManualConsidrant"/>
        <w:ind w:left="720"/>
        <w:rPr>
          <w:rFonts w:eastAsia="Cambria"/>
          <w:noProof/>
          <w:color w:val="374151"/>
          <w:sz w:val="22"/>
        </w:rPr>
      </w:pPr>
      <w:r>
        <w:rPr>
          <w:noProof/>
        </w:rPr>
        <w:t>(3)</w:t>
      </w:r>
      <w:r>
        <w:rPr>
          <w:noProof/>
        </w:rPr>
        <w:tab/>
      </w:r>
      <w:r w:rsidRPr="00BE71FF">
        <w:rPr>
          <w:noProof/>
        </w:rPr>
        <w:t>V zájmu přijetí jednotného přístupu k interoperabilitě v odvětví veřejných služeb by se při zavádění platformy RIS a dalších řešení v oblasti působnosti tohoto aktu měly dodržovat zásady stanovené nejnovějším Evropským rámcem interoperability (EIF)</w:t>
      </w:r>
      <w:r w:rsidRPr="00BE71FF">
        <w:rPr>
          <w:rStyle w:val="FootnoteReference"/>
          <w:rFonts w:eastAsia="Cambria"/>
          <w:noProof/>
          <w:szCs w:val="24"/>
        </w:rPr>
        <w:footnoteReference w:id="21"/>
      </w:r>
      <w:r w:rsidRPr="00BE71FF">
        <w:rPr>
          <w:noProof/>
        </w:rPr>
        <w:t>,</w:t>
      </w:r>
      <w:r w:rsidRPr="00BE71FF">
        <w:rPr>
          <w:noProof/>
          <w:color w:val="000000" w:themeColor="text1"/>
        </w:rPr>
        <w:t xml:space="preserve"> jak ukládá článek 6 návrhu nařízení Evropského parlamentu a Rady</w:t>
      </w:r>
      <w:r w:rsidRPr="00BE71FF">
        <w:rPr>
          <w:noProof/>
        </w:rPr>
        <w:t>, kterým se stanoví opatření pro vysokou úroveň interoperability veřejného sektoru v celé Unii (Akt o interoperabilní Evropě)</w:t>
      </w:r>
      <w:r w:rsidRPr="00BE71FF">
        <w:rPr>
          <w:rStyle w:val="FootnoteReference"/>
          <w:noProof/>
          <w:szCs w:val="24"/>
        </w:rPr>
        <w:footnoteReference w:id="22"/>
      </w:r>
      <w:r w:rsidRPr="00BE71FF">
        <w:rPr>
          <w:noProof/>
          <w:color w:val="374151"/>
        </w:rPr>
        <w:t>.</w:t>
      </w:r>
      <w:r w:rsidRPr="00BE71FF">
        <w:rPr>
          <w:noProof/>
        </w:rPr>
        <w:t xml:space="preserve"> </w:t>
      </w:r>
    </w:p>
    <w:p w:rsidR="00996C90" w:rsidRPr="00BE71FF" w:rsidRDefault="00996C90" w:rsidP="00815155">
      <w:pPr>
        <w:pStyle w:val="ManualConsidrant"/>
        <w:tabs>
          <w:tab w:val="num" w:pos="993"/>
        </w:tabs>
        <w:rPr>
          <w:noProof/>
        </w:rPr>
      </w:pPr>
      <w:r>
        <w:rPr>
          <w:noProof/>
        </w:rPr>
        <w:t>(4)</w:t>
      </w:r>
      <w:r>
        <w:rPr>
          <w:noProof/>
        </w:rPr>
        <w:tab/>
      </w:r>
      <w:r w:rsidRPr="00BE71FF">
        <w:rPr>
          <w:noProof/>
        </w:rPr>
        <w:t>Nařízení (EU) č. 1315/2013</w:t>
      </w:r>
      <w:r w:rsidR="00051F85" w:rsidRPr="00BE71FF">
        <w:rPr>
          <w:rStyle w:val="FootnoteReference"/>
          <w:noProof/>
        </w:rPr>
        <w:footnoteReference w:id="23"/>
      </w:r>
      <w:r w:rsidRPr="00BE71FF">
        <w:rPr>
          <w:noProof/>
        </w:rPr>
        <w:t xml:space="preserve"> stanoví požadavky na rozvoj transevropské dopravní sítě (dále také jen „TEN-T“)</w:t>
      </w:r>
      <w:r w:rsidRPr="00BE71FF">
        <w:rPr>
          <w:rStyle w:val="FootnoteReference"/>
          <w:noProof/>
        </w:rPr>
        <w:footnoteReference w:id="24"/>
      </w:r>
      <w:r w:rsidRPr="00BE71FF">
        <w:rPr>
          <w:noProof/>
        </w:rPr>
        <w:t xml:space="preserve"> pro zajištění řádného fungování vnitřního trhu a jeho cílem je zajistit, aby v této síti byly k dispozici stejně kvalitní služby a aby byly kompatibilní se systémy ostatních druhů dopravy. </w:t>
      </w:r>
    </w:p>
    <w:p w:rsidR="00996C90" w:rsidRPr="00BE71FF" w:rsidRDefault="00996C90" w:rsidP="00815155">
      <w:pPr>
        <w:pStyle w:val="ManualConsidrant"/>
        <w:tabs>
          <w:tab w:val="num" w:pos="993"/>
        </w:tabs>
        <w:rPr>
          <w:noProof/>
        </w:rPr>
      </w:pPr>
      <w:r>
        <w:rPr>
          <w:noProof/>
        </w:rPr>
        <w:t>(5)</w:t>
      </w:r>
      <w:r>
        <w:rPr>
          <w:noProof/>
        </w:rPr>
        <w:tab/>
      </w:r>
      <w:r w:rsidRPr="00BE71FF">
        <w:rPr>
          <w:noProof/>
        </w:rPr>
        <w:t xml:space="preserve">Vzhledem k tomu, že většina cest vnitrozemských plavidel je mezinárodní povahy, měly by se RIS zaměřit na ty vnitrozemské vodní cesty, které jsou součástí sítě TEN-T, a mají tedy pro Unii velký význam, a nejen na ty, které patří do propojené sítě. Členské státy by měly mít možnost i nadále na dobrovolném základě rozšiřovat požadavky RIS na jiné části své sítě vnitrozemských vodních cest než na ty, které jsou zahrnuty do TEN-T, aby se zohlednila vnitrostátní specifika. </w:t>
      </w:r>
    </w:p>
    <w:p w:rsidR="00996C90" w:rsidRPr="00BE71FF" w:rsidRDefault="00996C90" w:rsidP="00815155">
      <w:pPr>
        <w:pStyle w:val="ManualConsidrant"/>
        <w:tabs>
          <w:tab w:val="num" w:pos="993"/>
        </w:tabs>
        <w:rPr>
          <w:noProof/>
        </w:rPr>
      </w:pPr>
      <w:r>
        <w:rPr>
          <w:noProof/>
        </w:rPr>
        <w:t>(6)</w:t>
      </w:r>
      <w:r>
        <w:rPr>
          <w:noProof/>
        </w:rPr>
        <w:tab/>
      </w:r>
      <w:r w:rsidRPr="00BE71FF">
        <w:rPr>
          <w:noProof/>
        </w:rPr>
        <w:t xml:space="preserve">Zkušenosti získané při uplatňování směrnice 2005/44/ES ukázaly, že je důležité posílit technické specifikace ohledně poskytování údajů týkajících se plavby a plánování plaveb, aby se zlepšila kvalita a včasnost informací poskytovaných uživatelům RIS. Evropský systém pro správu referenčních údajů („ERDMS“) obsahuje informace nezbytné pro řádné fungování RIS a je zřízen a provozován Komisí. Členské státy by proto měly podporovat provoz ERDMS včasným poskytováním všech požadovaných údajů a podle potřeby je alespoň jednou ročně revidovat a aktualizovat. </w:t>
      </w:r>
    </w:p>
    <w:p w:rsidR="00996C90" w:rsidRPr="00BE71FF" w:rsidRDefault="00996C90" w:rsidP="00815155">
      <w:pPr>
        <w:pStyle w:val="ManualConsidrant"/>
        <w:tabs>
          <w:tab w:val="num" w:pos="993"/>
        </w:tabs>
        <w:rPr>
          <w:noProof/>
        </w:rPr>
      </w:pPr>
      <w:r>
        <w:rPr>
          <w:noProof/>
        </w:rPr>
        <w:t>(7)</w:t>
      </w:r>
      <w:r>
        <w:rPr>
          <w:noProof/>
        </w:rPr>
        <w:tab/>
      </w:r>
      <w:r w:rsidRPr="00BE71FF">
        <w:rPr>
          <w:noProof/>
        </w:rPr>
        <w:t>Dostupnost aktuálních a přesných informací o stavu plavební dráhy a konkrétních míst, jako jsou mosty, plavební komory a vnitrozemské přístavy, pro uživatele RIS během plavby by měla zlepšit celkovou efektivitu odvětví vnitrozemské vodní dopravy. RIS by proto měly zahrnovat aktuální výměnu údajů s poloautomatizovanými a plně automatizovanými systémy řízení infrastruktury plavebních komor a pohyblivých mostů, jakož i se společnými přístavními systémy vnitrozemských přístavů.</w:t>
      </w:r>
    </w:p>
    <w:p w:rsidR="00996C90" w:rsidRPr="00BE71FF" w:rsidRDefault="00996C90" w:rsidP="00815155">
      <w:pPr>
        <w:pStyle w:val="ManualConsidrant"/>
        <w:tabs>
          <w:tab w:val="num" w:pos="993"/>
        </w:tabs>
        <w:rPr>
          <w:noProof/>
        </w:rPr>
      </w:pPr>
      <w:r>
        <w:rPr>
          <w:noProof/>
        </w:rPr>
        <w:t>(8)</w:t>
      </w:r>
      <w:r>
        <w:rPr>
          <w:noProof/>
        </w:rPr>
        <w:tab/>
      </w:r>
      <w:r w:rsidRPr="00BE71FF">
        <w:rPr>
          <w:noProof/>
        </w:rPr>
        <w:t xml:space="preserve">Aby RIS umožňovaly propojení s logistickým řetězcem, je důležité, aby byly informace sdíleny nejen mezi uživateli vnitrozemské vodní dopravy, ale také se systémy a aplikacemi týkajícími se jiných druhů dopravy. Vnitrostátní jednotný námořní portál („MNSW“) v rámci evropského prostředí jednotného námořního portálu („EMSWe“) by měl umožňovat harmonizovaný systém zpráv pro plavbu v </w:t>
      </w:r>
      <w:r w:rsidRPr="00BE71FF">
        <w:rPr>
          <w:noProof/>
        </w:rPr>
        <w:lastRenderedPageBreak/>
        <w:t>celé Unii</w:t>
      </w:r>
      <w:r w:rsidRPr="00BE71FF">
        <w:rPr>
          <w:rStyle w:val="FootnoteReference"/>
          <w:noProof/>
        </w:rPr>
        <w:footnoteReference w:id="25"/>
      </w:r>
      <w:r w:rsidRPr="00BE71FF">
        <w:rPr>
          <w:noProof/>
        </w:rPr>
        <w:t xml:space="preserve">. Výměna informací o provozu, jako jsou časy příjezdů a odjezdů, by zajistila </w:t>
      </w:r>
      <w:r w:rsidRPr="00BE71FF">
        <w:rPr>
          <w:rStyle w:val="ui-provider"/>
          <w:noProof/>
        </w:rPr>
        <w:t xml:space="preserve">interoperabilitu, multimodalitu a hladkou integraci vnitrozemské vodní dopravy do celkového logistického řetězce. </w:t>
      </w:r>
      <w:r w:rsidRPr="00BE71FF">
        <w:rPr>
          <w:noProof/>
        </w:rPr>
        <w:t xml:space="preserve">Základem pro výměnu informací o nákladu mezi uživateli RIS by v požadovaných případech měly být elektronické informace o nákladní dopravě („eFTI“). V případě potřeby by měly RIS vytvářet propojení a vyměňovat si informace se systémy a platformami jiných druhů dopravy. </w:t>
      </w:r>
    </w:p>
    <w:p w:rsidR="00996C90" w:rsidRPr="00BE71FF" w:rsidRDefault="00996C90" w:rsidP="00815155">
      <w:pPr>
        <w:pStyle w:val="ManualConsidrant"/>
        <w:rPr>
          <w:noProof/>
        </w:rPr>
      </w:pPr>
      <w:r>
        <w:rPr>
          <w:noProof/>
        </w:rPr>
        <w:t>(9)</w:t>
      </w:r>
      <w:r>
        <w:rPr>
          <w:noProof/>
        </w:rPr>
        <w:tab/>
      </w:r>
      <w:r w:rsidRPr="00BE71FF">
        <w:rPr>
          <w:noProof/>
        </w:rPr>
        <w:t>Výměna informací mezi plavidly vnitrozemské plavby a vnitrozemskými přístavy, například ohledně dostupnosti přístavních zařízení, provozní doby nebo informací o plavidlech a nákladu, není vždy optimální, což ovlivňuje efektivitu provozu vnitrozemské vodní dopravy. Informace o dostupnosti infrastruktury pro alternativní paliva v přístavech jsou zvlášť významné, pokud jde o podporu environmentální výkonnosti tohoto odvětví. V zájmu zjednodušení a zefektivnění výměny těchto informací a zlepšení celkové efektivity odvětví je důležité, aby se tato výměna stala součástí RIS a aby byly vypracovány nezbytné technické specifikace.</w:t>
      </w:r>
    </w:p>
    <w:p w:rsidR="00996C90" w:rsidRPr="00BE71FF" w:rsidRDefault="00996C90" w:rsidP="00815155">
      <w:pPr>
        <w:pStyle w:val="ManualConsidrant"/>
        <w:rPr>
          <w:noProof/>
        </w:rPr>
      </w:pPr>
      <w:r>
        <w:rPr>
          <w:noProof/>
        </w:rPr>
        <w:t>(10)</w:t>
      </w:r>
      <w:r>
        <w:rPr>
          <w:noProof/>
        </w:rPr>
        <w:tab/>
      </w:r>
      <w:r w:rsidRPr="00BE71FF">
        <w:rPr>
          <w:noProof/>
        </w:rPr>
        <w:t>Použití jednotné digitální platformy pro RIS by mělo zefektivnit poskytování RIS, zvýšit efektivitu provozu vnitrozemské vodní dopravy a snížit zátěž pro poskytovatele a uživatele RIS. Tato platforma („platforma RIS“) by měla podporovat příslušné služby, měla by být ústředním bodem pro výměnu informací RIS v rámci odvětví vnitrozemské vodní dopravy i s ostatními druhy dopravy, a měla by se tudíž stát hlavní digitální páteří pro poskytování RIS v Unii. Členské státy by měly určit jeden nebo více příslušných orgánů</w:t>
      </w:r>
      <w:r w:rsidRPr="00BE71FF">
        <w:rPr>
          <w:noProof/>
          <w:color w:val="231F20"/>
        </w:rPr>
        <w:t xml:space="preserve"> odpovědných za provoz platformy RIS. Tyto orgány jsou správci pro účely provozování platformy RIS. </w:t>
      </w:r>
    </w:p>
    <w:p w:rsidR="00996C90" w:rsidRPr="00BE71FF" w:rsidRDefault="00996C90" w:rsidP="00815155">
      <w:pPr>
        <w:pStyle w:val="ManualConsidrant"/>
        <w:rPr>
          <w:noProof/>
        </w:rPr>
      </w:pPr>
      <w:r>
        <w:rPr>
          <w:noProof/>
        </w:rPr>
        <w:t>(11)</w:t>
      </w:r>
      <w:r>
        <w:rPr>
          <w:noProof/>
        </w:rPr>
        <w:tab/>
      </w:r>
      <w:r w:rsidRPr="00BE71FF">
        <w:rPr>
          <w:noProof/>
        </w:rPr>
        <w:t>V zájmu zajištění jednotných podmínek pro zavedení platformy RIS by měly být Komisi svěřeny prováděcí pravomoci, aby stanovila rámec pro rozvoj a fungování platformy. Tyto pravomoci by měly být vykonávány v souladu s nařízením Evropského parlamentu a Rady (EU) č. 182/2011</w:t>
      </w:r>
      <w:r w:rsidRPr="00BE71FF">
        <w:rPr>
          <w:rStyle w:val="FootnoteReference"/>
          <w:noProof/>
        </w:rPr>
        <w:footnoteReference w:id="26"/>
      </w:r>
      <w:r w:rsidRPr="00BE71FF">
        <w:rPr>
          <w:noProof/>
        </w:rPr>
        <w:t>.</w:t>
      </w:r>
    </w:p>
    <w:p w:rsidR="00996C90" w:rsidRPr="00BE71FF" w:rsidRDefault="00996C90" w:rsidP="00815155">
      <w:pPr>
        <w:pStyle w:val="ManualConsidrant"/>
        <w:rPr>
          <w:noProof/>
        </w:rPr>
      </w:pPr>
      <w:r>
        <w:rPr>
          <w:noProof/>
        </w:rPr>
        <w:t>(12)</w:t>
      </w:r>
      <w:r>
        <w:rPr>
          <w:noProof/>
        </w:rPr>
        <w:tab/>
      </w:r>
      <w:r w:rsidRPr="00BE71FF">
        <w:rPr>
          <w:noProof/>
        </w:rPr>
        <w:t>K zajištění náležitého a účinného uplatňování směrnice 2005/44/ES by měly členské státy zajistit zavedení účinného postupu vyřizování stížností. Orgány členských států by měly spolupracovat při vyřizování stížností zahrnujících přeshraniční prvky (například neslučitelné normy pro podávání informací o plavidlech), vzhledem k tomu, že 75 % provozu na vnitrozemských vodních cestách zahrnuje mezinárodní plavby. Analýzou předmětu stížností, jejich četnosti a způsobu a včasnosti jejich řešení lze zjistit, do jaké míry jsou ustanovení směrnice dodržována, a tím podpořit monitorování provádění tím, že se poukáže na oblasti, ve kterých lze provádění zlepšit. Je proto důležité, aby členské státy tyto informace shromažďovaly a každoročně je oznamovaly Komisi. Jakýmkoli vyřizováním stížností podle této směrnice by neměly být dotčeny pravomoci orgánů dohledu podle právních předpisů Unie a členských států, včetně nařízení (EU) 2016/679</w:t>
      </w:r>
      <w:r w:rsidRPr="00BE71FF">
        <w:rPr>
          <w:rStyle w:val="FootnoteReference"/>
          <w:noProof/>
        </w:rPr>
        <w:footnoteReference w:id="27"/>
      </w:r>
      <w:r w:rsidRPr="00BE71FF">
        <w:rPr>
          <w:noProof/>
        </w:rPr>
        <w:t xml:space="preserve"> a nařízení (EU) 2018/1725</w:t>
      </w:r>
      <w:r w:rsidRPr="00BE71FF">
        <w:rPr>
          <w:rStyle w:val="FootnoteReference"/>
          <w:noProof/>
        </w:rPr>
        <w:footnoteReference w:id="28"/>
      </w:r>
      <w:r w:rsidRPr="00BE71FF">
        <w:rPr>
          <w:noProof/>
        </w:rPr>
        <w:t>.</w:t>
      </w:r>
    </w:p>
    <w:p w:rsidR="00996C90" w:rsidRPr="00BE71FF" w:rsidRDefault="00996C90" w:rsidP="00815155">
      <w:pPr>
        <w:pStyle w:val="ManualConsidrant"/>
        <w:tabs>
          <w:tab w:val="num" w:pos="993"/>
        </w:tabs>
        <w:rPr>
          <w:noProof/>
        </w:rPr>
      </w:pPr>
      <w:r>
        <w:rPr>
          <w:noProof/>
        </w:rPr>
        <w:t>(13)</w:t>
      </w:r>
      <w:r>
        <w:rPr>
          <w:noProof/>
        </w:rPr>
        <w:tab/>
      </w:r>
      <w:r w:rsidRPr="00BE71FF">
        <w:rPr>
          <w:noProof/>
        </w:rPr>
        <w:t xml:space="preserve">V zájmu zajištění řádného a harmonizovaného provádění ustanovení směrnice 2005/44/ES by se měl vývoj technických specifikací řídit souborem zásad (zejména </w:t>
      </w:r>
      <w:r w:rsidRPr="00BE71FF">
        <w:rPr>
          <w:noProof/>
        </w:rPr>
        <w:lastRenderedPageBreak/>
        <w:t xml:space="preserve">zásad uvedených v příloze II). V těchto zásadách by měly být uvedeny hlavní prvky, které by měla každá složka RIS obsahovat. </w:t>
      </w:r>
    </w:p>
    <w:p w:rsidR="00996C90" w:rsidRPr="00BE71FF" w:rsidRDefault="00996C90" w:rsidP="00815155">
      <w:pPr>
        <w:pStyle w:val="ManualConsidrant"/>
        <w:tabs>
          <w:tab w:val="num" w:pos="993"/>
        </w:tabs>
        <w:rPr>
          <w:noProof/>
        </w:rPr>
      </w:pPr>
      <w:r>
        <w:rPr>
          <w:noProof/>
        </w:rPr>
        <w:t>(14)</w:t>
      </w:r>
      <w:r>
        <w:rPr>
          <w:noProof/>
        </w:rPr>
        <w:tab/>
      </w:r>
      <w:r w:rsidRPr="00BE71FF">
        <w:rPr>
          <w:noProof/>
        </w:rPr>
        <w:t>Tyto požadavky a technické specifikace pro účely RIS by měly zejména zajistit, aby všechny údaje RIS bylo možné zpracovávat výhradně v souladu s komplexním systémem kontroly přístupu založeném na právech, který poskytuje přidělené funkce; aby všechny příslušné orgány mohly mít k uvedeným údajům okamžitý přístup v souladu s jejich příslušnými regulačními pravomocemi; aby byla zavedena vhodná technická a organizační opatření pro zajištění, že je zpracovávání osobních údajů elektronickými prostředky možné provádět v souladu s nařízením Evropského parlamentu a Rady (EU) 2016/679</w:t>
      </w:r>
      <w:r w:rsidRPr="00BE71FF">
        <w:rPr>
          <w:rStyle w:val="FootnoteReference"/>
          <w:noProof/>
        </w:rPr>
        <w:footnoteReference w:id="29"/>
      </w:r>
      <w:r w:rsidRPr="00BE71FF">
        <w:rPr>
          <w:noProof/>
        </w:rPr>
        <w:t xml:space="preserve"> a nařízením Evropského parlamentu a Rady (EU) 2018/1725</w:t>
      </w:r>
      <w:r w:rsidRPr="00BE71FF">
        <w:rPr>
          <w:rStyle w:val="FootnoteReference"/>
          <w:noProof/>
        </w:rPr>
        <w:footnoteReference w:id="30"/>
      </w:r>
      <w:r w:rsidRPr="00BE71FF">
        <w:rPr>
          <w:noProof/>
        </w:rPr>
        <w:t xml:space="preserve">, včetně ochrany před porušením zabezpečení osobních údajů; a aby bylo možné zpracovávání citlivých obchodních informací provádět způsobem, který zachovává důvěrnost těchto informací. </w:t>
      </w:r>
    </w:p>
    <w:p w:rsidR="00996C90" w:rsidRPr="00BE71FF" w:rsidRDefault="00996C90" w:rsidP="00815155">
      <w:pPr>
        <w:pStyle w:val="ManualConsidrant"/>
        <w:tabs>
          <w:tab w:val="num" w:pos="993"/>
        </w:tabs>
        <w:rPr>
          <w:noProof/>
        </w:rPr>
      </w:pPr>
      <w:r>
        <w:rPr>
          <w:noProof/>
        </w:rPr>
        <w:t>(15)</w:t>
      </w:r>
      <w:r>
        <w:rPr>
          <w:noProof/>
        </w:rPr>
        <w:tab/>
      </w:r>
      <w:r w:rsidRPr="00BE71FF">
        <w:rPr>
          <w:noProof/>
        </w:rPr>
        <w:t xml:space="preserve">Aby byla zajištěna bezpečná a optimální plavba plavidel na vnitrozemských vodních cestách, měly by být členské státy seznámeny s polohou všech plavidel vnitrozemské plavby, mimo jiné za použití údajů ze systémů automatické identifikace („AIS“). Členské státy by si měly rovněž vyměňovat informace související s RIS, aby se zvýšila efektivita RIS a snížily požadavky na podávání zpráv. </w:t>
      </w:r>
      <w:bookmarkStart w:id="4" w:name="_Hlk152865434"/>
      <w:r w:rsidRPr="00BE71FF">
        <w:rPr>
          <w:noProof/>
        </w:rPr>
        <w:t>Pokud předávání a výměna informací souvisejících s RIS pro tyto účely nejsou možné bez zpracování osobních údajů, měly by členské státy zajistit zákonnost zpracování těchto osobních údajů v souladu s nařízením (EU) 2016/679</w:t>
      </w:r>
      <w:bookmarkEnd w:id="4"/>
      <w:r w:rsidRPr="00BE71FF">
        <w:rPr>
          <w:noProof/>
        </w:rPr>
        <w:t>.</w:t>
      </w:r>
    </w:p>
    <w:p w:rsidR="00996C90" w:rsidRPr="00BE71FF" w:rsidRDefault="00996C90" w:rsidP="00815155">
      <w:pPr>
        <w:pStyle w:val="ManualConsidrant"/>
        <w:tabs>
          <w:tab w:val="num" w:pos="993"/>
        </w:tabs>
        <w:rPr>
          <w:noProof/>
        </w:rPr>
      </w:pPr>
      <w:r>
        <w:rPr>
          <w:noProof/>
        </w:rPr>
        <w:t>(16)</w:t>
      </w:r>
      <w:r>
        <w:rPr>
          <w:noProof/>
        </w:rPr>
        <w:tab/>
      </w:r>
      <w:r w:rsidRPr="00BE71FF">
        <w:rPr>
          <w:noProof/>
        </w:rPr>
        <w:t xml:space="preserve">Aby bylo zajištěno, že uživatelům RIS budou poskytovány nezbytné informace týkající se plavby a plánování plaveb, a aby se zohlednil vědecký a technický pokrok by měla být na Komisi přenesena pravomoc přijímat akty v souladu s článkem 290 Smlouvy o fungování EU za účelem změny minimálních požadavků týkajících se údajů stanovených v příloze I směrnice 2005/44/ES. </w:t>
      </w:r>
    </w:p>
    <w:p w:rsidR="00996C90" w:rsidRPr="00BE71FF" w:rsidRDefault="00996C90" w:rsidP="00815155">
      <w:pPr>
        <w:pStyle w:val="ManualConsidrant"/>
        <w:tabs>
          <w:tab w:val="num" w:pos="993"/>
        </w:tabs>
        <w:rPr>
          <w:noProof/>
        </w:rPr>
      </w:pPr>
      <w:r>
        <w:rPr>
          <w:noProof/>
        </w:rPr>
        <w:t>(17)</w:t>
      </w:r>
      <w:r>
        <w:rPr>
          <w:noProof/>
        </w:rPr>
        <w:tab/>
      </w:r>
      <w:r w:rsidRPr="00BE71FF">
        <w:rPr>
          <w:noProof/>
        </w:rPr>
        <w:t>V případech, kdy je to řádně odůvodněno odpovídající analýzou a neexistují vhodné a aktuální mezinárodní normy k zajištění bezpečnosti plavby, nebo pokud by změny nebo výsledek rozhodovacího postupu Evropského výboru pro vypracování norem pro vnitrozemskou plavbu (CESNI) ohrožovaly zájmy Unie, měla by být na Komisi přenesena pravomoc přijímat akty v souladu s článkem 290 Smlouvy o fungování Evropské unie, pokud jde o změnu přílohy III směrnice 2005/44/ES, za účelem stanovení vhodných technických požadavků pro RIS, v souladu se zásadami stanovenými v příloze II směrnice 2005/44/ES s cílem chránit zájmy Unie.</w:t>
      </w:r>
    </w:p>
    <w:p w:rsidR="00996C90" w:rsidRPr="00BE71FF" w:rsidRDefault="00996C90" w:rsidP="00815155">
      <w:pPr>
        <w:pStyle w:val="ManualConsidrant"/>
        <w:tabs>
          <w:tab w:val="num" w:pos="1276"/>
        </w:tabs>
        <w:rPr>
          <w:noProof/>
        </w:rPr>
      </w:pPr>
      <w:r>
        <w:rPr>
          <w:noProof/>
        </w:rPr>
        <w:t>(18)</w:t>
      </w:r>
      <w:r>
        <w:rPr>
          <w:noProof/>
        </w:rPr>
        <w:tab/>
      </w:r>
      <w:r w:rsidRPr="00BE71FF">
        <w:rPr>
          <w:noProof/>
        </w:rPr>
        <w:t xml:space="preserve">Zkušenosti získané při provádění směrnice 2005/44/ES ukazují, že období pro zavedení a aktualizaci technických specifikací bylo dlouhé, což mělo dopad na výkonnost odvětví. Proto je důležité změnit postup, kterým se zavádějí technické specifikace. </w:t>
      </w:r>
    </w:p>
    <w:p w:rsidR="00996C90" w:rsidRPr="00BE71FF" w:rsidRDefault="00996C90" w:rsidP="00815155">
      <w:pPr>
        <w:pStyle w:val="ManualConsidrant"/>
        <w:tabs>
          <w:tab w:val="num" w:pos="1276"/>
        </w:tabs>
        <w:rPr>
          <w:noProof/>
        </w:rPr>
      </w:pPr>
      <w:r>
        <w:rPr>
          <w:noProof/>
        </w:rPr>
        <w:lastRenderedPageBreak/>
        <w:t>(19)</w:t>
      </w:r>
      <w:r>
        <w:rPr>
          <w:noProof/>
        </w:rPr>
        <w:tab/>
      </w:r>
      <w:r w:rsidRPr="00BE71FF">
        <w:rPr>
          <w:noProof/>
        </w:rPr>
        <w:t>Takový postup založený na technických specifikacích vypracovaných výborem CESNI byl zaveden směrnicí Evropského parlamentu a Rady (EU) 2016/1629</w:t>
      </w:r>
      <w:r w:rsidRPr="00BE71FF">
        <w:rPr>
          <w:rStyle w:val="FootnoteReference"/>
          <w:noProof/>
        </w:rPr>
        <w:footnoteReference w:id="31"/>
      </w:r>
      <w:r w:rsidRPr="00BE71FF">
        <w:rPr>
          <w:noProof/>
        </w:rPr>
        <w:t>. Za vypracování technických norem v oblasti vnitrozemské vodní dopravy zodpovídá výbor CESNI</w:t>
      </w:r>
      <w:r w:rsidRPr="00BE71FF">
        <w:rPr>
          <w:rStyle w:val="FootnoteReference"/>
          <w:noProof/>
        </w:rPr>
        <w:footnoteReference w:id="32"/>
      </w:r>
      <w:r w:rsidRPr="00BE71FF">
        <w:rPr>
          <w:noProof/>
        </w:rPr>
        <w:t xml:space="preserve">, který působí pod záštitou Ústřední komise pro plavbu na Rýně („CCNR“) a je otevřen odborníkům ze všech členských států. Zkušenosti ukázaly, že výbor CESNI organizovaně a včas vypracoval a aktualizoval technické požadavky na plavidla vnitrozemské plavby. S ohledem na odborné znalosti výboru CESNI a zkušenosti s prováděním směrnice (EU) 2016/1629 by se podobný přístup měl uplatnit i u směrnice 2005/44/ES. </w:t>
      </w:r>
    </w:p>
    <w:p w:rsidR="00996C90" w:rsidRPr="00BE71FF" w:rsidRDefault="00996C90" w:rsidP="00815155">
      <w:pPr>
        <w:pStyle w:val="ManualConsidrant"/>
        <w:tabs>
          <w:tab w:val="num" w:pos="1276"/>
        </w:tabs>
        <w:rPr>
          <w:noProof/>
        </w:rPr>
      </w:pPr>
      <w:r>
        <w:rPr>
          <w:noProof/>
        </w:rPr>
        <w:t>(20)</w:t>
      </w:r>
      <w:r>
        <w:rPr>
          <w:noProof/>
        </w:rPr>
        <w:tab/>
      </w:r>
      <w:r w:rsidRPr="00BE71FF">
        <w:rPr>
          <w:noProof/>
        </w:rPr>
        <w:t>V zájmu zajištění vysoké úrovně bezpečnosti a efektivity vnitrozemské plavby, zajištění poskytování RIS a zohlednění vědeckého a technického pokroku a dalšího vývoje v tomto odvětví by měl odkaz na platné technické specifikace pro říční informační služby, evropskou normu pro říční informační služby (ES-RIS), pokud je v souladu se zásadami přílohy II, tvořit nedílnou, nikoli však podstatnou součást směrnice 2005/44/ES a měl by být aktualizován. Proto by měla být na Komisi v souladu s článkem 290 Smlouvy o fungování Evropské unie přenesena pravomoc přijímat akty, kterými se mění příloha III směrnice 2005/44/ES za účelem aktualizace odkazu na nejnovější verzi normy ES-RIS a stanovení data její použitelnosti.</w:t>
      </w:r>
    </w:p>
    <w:p w:rsidR="00996C90" w:rsidRPr="00BE71FF" w:rsidRDefault="00996C90" w:rsidP="00815155">
      <w:pPr>
        <w:pStyle w:val="ManualConsidrant"/>
        <w:tabs>
          <w:tab w:val="num" w:pos="1276"/>
        </w:tabs>
        <w:rPr>
          <w:noProof/>
        </w:rPr>
      </w:pPr>
      <w:r>
        <w:rPr>
          <w:noProof/>
        </w:rPr>
        <w:t>(21)</w:t>
      </w:r>
      <w:r>
        <w:rPr>
          <w:noProof/>
        </w:rPr>
        <w:tab/>
      </w:r>
      <w:r w:rsidRPr="00BE71FF">
        <w:rPr>
          <w:noProof/>
        </w:rPr>
        <w:t>Při přijímání aktů v přenesené pravomoci je obzvláště důležité, aby Komise v rámci přípravné činnosti vedla odpovídající konzultace, a to i na odborné úrovni, a aby tyto konzultace probíhaly v souladu se zásadami stanovenými v interinstitucionální dohodě ze dne 13. dubna 2016 o zdokonalení tvorby právních předpisů</w:t>
      </w:r>
      <w:r w:rsidRPr="00BE71FF" w:rsidDel="00061582">
        <w:rPr>
          <w:rStyle w:val="FootnoteReference"/>
          <w:noProof/>
        </w:rPr>
        <w:footnoteReference w:id="33"/>
      </w:r>
      <w:r w:rsidRPr="00BE71FF">
        <w:rPr>
          <w:noProof/>
        </w:rPr>
        <w:t xml:space="preserve">. Pro zajištění rovné účasti na vypracovávání aktů v přenesené pravomoci obdrží Evropský parlament a Rada veškeré dokumenty současně s odborníky a jejich odborníci mají automaticky přístup na zasedání expertních skupin Komise, jež se věnují přípravě aktů v přenesené pravomoci. </w:t>
      </w:r>
    </w:p>
    <w:p w:rsidR="00996C90" w:rsidRPr="00BE71FF" w:rsidRDefault="00996C90" w:rsidP="00815155">
      <w:pPr>
        <w:pStyle w:val="ManualConsidrant"/>
        <w:tabs>
          <w:tab w:val="num" w:pos="1276"/>
        </w:tabs>
        <w:rPr>
          <w:noProof/>
        </w:rPr>
      </w:pPr>
      <w:r>
        <w:rPr>
          <w:noProof/>
        </w:rPr>
        <w:t>(22)</w:t>
      </w:r>
      <w:r>
        <w:rPr>
          <w:noProof/>
        </w:rPr>
        <w:tab/>
      </w:r>
      <w:r w:rsidRPr="00BE71FF">
        <w:rPr>
          <w:noProof/>
        </w:rPr>
        <w:t>Výbor pro osvědčení vůdců plavidel pro přepravu zboží a cestujících po vnitrozemských vodních cestách uvedený v článku 11 směrnice 2005/44/ES byl zrušen. Místo něj má být Komisi, pokud jde o RIS, nápomocen ve smyslu nařízení Evropského parlamentu a Rady (EU) č. 182/2011</w:t>
      </w:r>
      <w:r w:rsidRPr="00BE71FF">
        <w:rPr>
          <w:rStyle w:val="FootnoteReference"/>
          <w:noProof/>
        </w:rPr>
        <w:footnoteReference w:id="34"/>
      </w:r>
      <w:r w:rsidRPr="00BE71FF">
        <w:rPr>
          <w:noProof/>
        </w:rPr>
        <w:t xml:space="preserve"> Výbor pro vnitrozemskou vodní dopravu, který má odborné znalosti v oblasti norem a technických specifikací v odvětví vnitrozemské vodní dopravy. Kromě toho tato směrnice zavádí změny článku 5 a článku 12 směrnice 2005/44/ES týkající se postupu projednávání ve výboru, které je třeba zohlednit v aktualizovaném článku. Článek 11 směrnice 2005/44/ES by proto měl být změněn tak, aby tyto změny zohledňoval. </w:t>
      </w:r>
    </w:p>
    <w:p w:rsidR="00996C90" w:rsidRPr="00BE71FF" w:rsidRDefault="00996C90" w:rsidP="00815155">
      <w:pPr>
        <w:pStyle w:val="ManualConsidrant"/>
        <w:tabs>
          <w:tab w:val="num" w:pos="993"/>
        </w:tabs>
        <w:rPr>
          <w:noProof/>
        </w:rPr>
      </w:pPr>
      <w:r>
        <w:rPr>
          <w:noProof/>
        </w:rPr>
        <w:t>(23)</w:t>
      </w:r>
      <w:r>
        <w:rPr>
          <w:noProof/>
        </w:rPr>
        <w:tab/>
      </w:r>
      <w:r w:rsidRPr="00BE71FF">
        <w:rPr>
          <w:noProof/>
        </w:rPr>
        <w:t>Za účelem zlepšování právní úpravy a zjednodušení by mělo být možné, aby směrnice 2005/44/ES odkazovala na mezinárodní normy, aniž by je zdvojovala v právním rámci Unie.</w:t>
      </w:r>
    </w:p>
    <w:p w:rsidR="00996C90" w:rsidRPr="00BE71FF" w:rsidRDefault="00996C90" w:rsidP="00815155">
      <w:pPr>
        <w:pStyle w:val="ManualConsidrant"/>
        <w:tabs>
          <w:tab w:val="num" w:pos="993"/>
        </w:tabs>
        <w:rPr>
          <w:noProof/>
        </w:rPr>
      </w:pPr>
      <w:r>
        <w:rPr>
          <w:noProof/>
        </w:rPr>
        <w:t>(24)</w:t>
      </w:r>
      <w:r>
        <w:rPr>
          <w:noProof/>
        </w:rPr>
        <w:tab/>
      </w:r>
      <w:r w:rsidRPr="00BE71FF">
        <w:rPr>
          <w:noProof/>
        </w:rPr>
        <w:t xml:space="preserve">RIS jsou v Unii zavedeny od roku 2005 a členské státy získaly značné zkušenosti s jejich vývojem a prováděním. Navíc v příloze III směrnice 2005/44/ES jsou obsaženy technické specifikace nezbytné pro fungování RIS. V tomto ohledu se zrušuje čl. 12 </w:t>
      </w:r>
      <w:r w:rsidRPr="00BE71FF">
        <w:rPr>
          <w:noProof/>
        </w:rPr>
        <w:lastRenderedPageBreak/>
        <w:t>odst. 2 směrnice 2005/44/ES. Navíc v důsledku změny oblasti působnosti směrnice 2005/44/ES tak, aby se zaměřovala na síť TEN-T, se požadavek na zavedení RIS vztahuje na nejdůležitější vodní cesty, čímž vzniká spolehlivá dopravní síť. Mělo by tedy být zrušeno ustanovení čl. 12 odst. 3 směrnice 2005/44/ES.</w:t>
      </w:r>
    </w:p>
    <w:p w:rsidR="00996C90" w:rsidRPr="00BE71FF" w:rsidRDefault="00996C90" w:rsidP="00815155">
      <w:pPr>
        <w:pStyle w:val="ManualConsidrant"/>
        <w:tabs>
          <w:tab w:val="num" w:pos="993"/>
        </w:tabs>
        <w:rPr>
          <w:noProof/>
        </w:rPr>
      </w:pPr>
      <w:r>
        <w:rPr>
          <w:noProof/>
        </w:rPr>
        <w:t>(25)</w:t>
      </w:r>
      <w:r>
        <w:rPr>
          <w:noProof/>
        </w:rPr>
        <w:tab/>
      </w:r>
      <w:r w:rsidRPr="00BE71FF">
        <w:rPr>
          <w:noProof/>
        </w:rPr>
        <w:t>V souladu se zásadou proporcionality je pro dosažení základního cíle, kterým je vytvoření rámce pro poskytování říčních informačních služeb (RIS) v Unii, nezbytné a vhodné stanovit pravidla pro zřizování, provoz a technické specifikace RIS. Tato směrnice nepřekračuje rámec toho, co je pro dosažení sledovaných cílů nezbytné, a to v souladu s čl. 5 odst. 4 Smlouvy o Evropské unii.</w:t>
      </w:r>
    </w:p>
    <w:p w:rsidR="00996C90" w:rsidRPr="00BE71FF" w:rsidRDefault="00996C90" w:rsidP="00815155">
      <w:pPr>
        <w:pStyle w:val="ManualConsidrant"/>
        <w:tabs>
          <w:tab w:val="num" w:pos="993"/>
        </w:tabs>
        <w:rPr>
          <w:noProof/>
        </w:rPr>
      </w:pPr>
      <w:r>
        <w:rPr>
          <w:noProof/>
        </w:rPr>
        <w:t>(26)</w:t>
      </w:r>
      <w:r>
        <w:rPr>
          <w:noProof/>
        </w:rPr>
        <w:tab/>
      </w:r>
      <w:r w:rsidRPr="00BE71FF">
        <w:rPr>
          <w:noProof/>
        </w:rPr>
        <w:t>V souladu s čl. 42 odst. 1 nařízení Evropského parlamentu a Rady (EU) 2018/1725 proběhla konzultace s evropským inspektorem ochrany údajů, který vydal stanovisko dne [XX XX 2024]</w:t>
      </w:r>
      <w:r w:rsidRPr="00BE71FF">
        <w:rPr>
          <w:rStyle w:val="FootnoteReference"/>
          <w:noProof/>
        </w:rPr>
        <w:footnoteReference w:id="35"/>
      </w:r>
      <w:r w:rsidRPr="00BE71FF">
        <w:rPr>
          <w:noProof/>
        </w:rPr>
        <w:t>.</w:t>
      </w:r>
    </w:p>
    <w:p w:rsidR="00996C90" w:rsidRPr="00BE71FF" w:rsidRDefault="00996C90" w:rsidP="00815155">
      <w:pPr>
        <w:pStyle w:val="ManualConsidrant"/>
        <w:tabs>
          <w:tab w:val="num" w:pos="993"/>
        </w:tabs>
        <w:rPr>
          <w:noProof/>
        </w:rPr>
      </w:pPr>
      <w:r>
        <w:rPr>
          <w:noProof/>
        </w:rPr>
        <w:t>(27)</w:t>
      </w:r>
      <w:r>
        <w:rPr>
          <w:noProof/>
        </w:rPr>
        <w:tab/>
      </w:r>
      <w:r w:rsidRPr="00BE71FF">
        <w:rPr>
          <w:noProof/>
        </w:rPr>
        <w:t>Směrnice 2005/44/ES by proto měla být odpovídajícím způsobem změněna,</w:t>
      </w:r>
    </w:p>
    <w:p w:rsidR="00996C90" w:rsidRPr="00BE71FF" w:rsidRDefault="00996C90" w:rsidP="00996C90">
      <w:pPr>
        <w:rPr>
          <w:noProof/>
        </w:rPr>
      </w:pPr>
    </w:p>
    <w:p w:rsidR="00996C90" w:rsidRPr="00BE71FF" w:rsidRDefault="00996C90" w:rsidP="00996C90">
      <w:pPr>
        <w:pStyle w:val="Formuledadoption"/>
        <w:rPr>
          <w:noProof/>
        </w:rPr>
      </w:pPr>
      <w:r w:rsidRPr="00BE71FF">
        <w:rPr>
          <w:noProof/>
        </w:rPr>
        <w:t>PŘIJALY TUTO SMĚRNICI:</w:t>
      </w:r>
    </w:p>
    <w:p w:rsidR="00996C90" w:rsidRPr="00BE71FF" w:rsidRDefault="00996C90" w:rsidP="00996C90">
      <w:pPr>
        <w:pStyle w:val="Titrearticle"/>
        <w:rPr>
          <w:noProof/>
        </w:rPr>
      </w:pPr>
      <w:r w:rsidRPr="00BE71FF">
        <w:rPr>
          <w:noProof/>
        </w:rPr>
        <w:t>Článek 1</w:t>
      </w:r>
    </w:p>
    <w:p w:rsidR="00996C90" w:rsidRPr="00BE71FF" w:rsidRDefault="00996C90" w:rsidP="00996C90">
      <w:pPr>
        <w:pStyle w:val="Typeacteprincipal"/>
        <w:rPr>
          <w:noProof/>
        </w:rPr>
      </w:pPr>
      <w:r w:rsidRPr="00BE71FF">
        <w:rPr>
          <w:noProof/>
        </w:rPr>
        <w:t>Změny směrnice 2005/44/ES</w:t>
      </w:r>
    </w:p>
    <w:p w:rsidR="00996C90" w:rsidRPr="00BE71FF" w:rsidRDefault="00996C90" w:rsidP="00996C90">
      <w:pPr>
        <w:rPr>
          <w:noProof/>
        </w:rPr>
      </w:pPr>
      <w:r w:rsidRPr="00BE71FF">
        <w:rPr>
          <w:noProof/>
        </w:rPr>
        <w:t>Směrnice 2005/44/ES se mění takto:</w:t>
      </w:r>
    </w:p>
    <w:p w:rsidR="00996C90" w:rsidRPr="00BE71FF" w:rsidRDefault="004606B1" w:rsidP="004606B1">
      <w:pPr>
        <w:pStyle w:val="Point0"/>
        <w:rPr>
          <w:noProof/>
        </w:rPr>
      </w:pPr>
      <w:r>
        <w:rPr>
          <w:noProof/>
        </w:rPr>
        <w:t>1)</w:t>
      </w:r>
      <w:r>
        <w:rPr>
          <w:noProof/>
        </w:rPr>
        <w:tab/>
      </w:r>
      <w:r w:rsidR="00996C90" w:rsidRPr="00BE71FF">
        <w:rPr>
          <w:noProof/>
        </w:rPr>
        <w:t>článek 1 se nahrazuje tímto:</w:t>
      </w:r>
    </w:p>
    <w:p w:rsidR="00996C90" w:rsidRPr="00BE71FF" w:rsidRDefault="00996C90" w:rsidP="00996C90">
      <w:pPr>
        <w:pStyle w:val="Titrearticle"/>
        <w:rPr>
          <w:noProof/>
        </w:rPr>
      </w:pPr>
      <w:r w:rsidRPr="00BE71FF">
        <w:rPr>
          <w:noProof/>
        </w:rPr>
        <w:t>„Článek 1</w:t>
      </w:r>
    </w:p>
    <w:p w:rsidR="00996C90" w:rsidRPr="00BE71FF" w:rsidRDefault="00996C90" w:rsidP="00996C90">
      <w:pPr>
        <w:pStyle w:val="Typeacteprincipal"/>
        <w:rPr>
          <w:noProof/>
        </w:rPr>
      </w:pPr>
      <w:r w:rsidRPr="00BE71FF">
        <w:rPr>
          <w:noProof/>
        </w:rPr>
        <w:t>Předmět</w:t>
      </w:r>
    </w:p>
    <w:p w:rsidR="00996C90" w:rsidRPr="00BE71FF" w:rsidRDefault="00996C90" w:rsidP="00996C90">
      <w:pPr>
        <w:pStyle w:val="Point1"/>
        <w:rPr>
          <w:b/>
          <w:bCs/>
          <w:i/>
          <w:iCs/>
          <w:noProof/>
        </w:rPr>
      </w:pPr>
      <w:r w:rsidRPr="00BE71FF">
        <w:rPr>
          <w:noProof/>
        </w:rPr>
        <w:t>1.</w:t>
      </w:r>
      <w:r w:rsidRPr="00BE71FF">
        <w:rPr>
          <w:noProof/>
        </w:rPr>
        <w:tab/>
        <w:t>Tato směrnice stanoví rámec pro zavedení a používání harmonizovaných říčních informačních služeb (RIS) v Unii s cílem zvýšit bezpečnost, efektivitu a udržitelnost vnitrozemské vodní dopravy a usnadnit propojení s ostatními druhy dopravy.</w:t>
      </w:r>
    </w:p>
    <w:p w:rsidR="00996C90" w:rsidRPr="00BE71FF" w:rsidRDefault="00996C90" w:rsidP="00996C90">
      <w:pPr>
        <w:pStyle w:val="Point1"/>
        <w:rPr>
          <w:noProof/>
        </w:rPr>
      </w:pPr>
      <w:r w:rsidRPr="00BE71FF">
        <w:rPr>
          <w:noProof/>
        </w:rPr>
        <w:t>2.</w:t>
      </w:r>
      <w:r w:rsidRPr="00BE71FF">
        <w:rPr>
          <w:noProof/>
        </w:rPr>
        <w:tab/>
        <w:t>Tato směrnice poskytuje rámec pro stanovení a další rozvoj technických požadavků, specifikací a podmínek pro zajištění harmonizovaných, interoperabilních a otevřených RIS na vnitrozemských vodních cestách Unie a pro zajištění návaznosti na služby pro řízení provozu u jiných způsobů dopravy, zejména na služby pro služby pro řízení provozu námořních plavidel a na informační služby týkající se provozu námořních plavidel.“;</w:t>
      </w:r>
    </w:p>
    <w:p w:rsidR="00996C90" w:rsidRPr="00BE71FF" w:rsidRDefault="004606B1" w:rsidP="004606B1">
      <w:pPr>
        <w:pStyle w:val="Point0"/>
        <w:rPr>
          <w:noProof/>
        </w:rPr>
      </w:pPr>
      <w:r>
        <w:rPr>
          <w:noProof/>
        </w:rPr>
        <w:t>2)</w:t>
      </w:r>
      <w:r>
        <w:rPr>
          <w:noProof/>
        </w:rPr>
        <w:tab/>
      </w:r>
      <w:r w:rsidR="00996C90" w:rsidRPr="00BE71FF">
        <w:rPr>
          <w:noProof/>
        </w:rPr>
        <w:t>v článku 2 se odstavec 1 nahrazuje tímto:</w:t>
      </w:r>
    </w:p>
    <w:p w:rsidR="00996C90" w:rsidRPr="00BE71FF" w:rsidRDefault="00996C90" w:rsidP="00FE0699">
      <w:pPr>
        <w:pStyle w:val="Point1"/>
        <w:rPr>
          <w:noProof/>
        </w:rPr>
      </w:pPr>
      <w:r w:rsidRPr="00BE71FF">
        <w:rPr>
          <w:noProof/>
        </w:rPr>
        <w:t>„1.</w:t>
      </w:r>
      <w:r w:rsidRPr="00BE71FF">
        <w:rPr>
          <w:noProof/>
        </w:rPr>
        <w:tab/>
        <w:t>Tato směrnice se vztahuje na zavádění a provoz RIS na všech vnitrozemských vodních cestách a ve vnitrozemských přístavech členských států, které jsou součástí transevropské dopravní sítě, specifikovaných a uvedených v příloze I a II nařízení Evropského parlamentu a Rady (EU) č. 1315/2013</w:t>
      </w:r>
      <w:r w:rsidRPr="00BE71FF">
        <w:rPr>
          <w:rStyle w:val="FootnoteReference"/>
          <w:noProof/>
        </w:rPr>
        <w:footnoteReference w:id="36"/>
      </w:r>
      <w:r w:rsidRPr="00BE71FF">
        <w:rPr>
          <w:noProof/>
        </w:rPr>
        <w:t>.“;</w:t>
      </w:r>
    </w:p>
    <w:p w:rsidR="00996C90" w:rsidRPr="00BE71FF" w:rsidRDefault="004606B1" w:rsidP="004606B1">
      <w:pPr>
        <w:pStyle w:val="Point0"/>
        <w:rPr>
          <w:noProof/>
        </w:rPr>
      </w:pPr>
      <w:r>
        <w:rPr>
          <w:noProof/>
        </w:rPr>
        <w:t>3)</w:t>
      </w:r>
      <w:r>
        <w:rPr>
          <w:noProof/>
        </w:rPr>
        <w:tab/>
      </w:r>
      <w:r w:rsidR="00996C90" w:rsidRPr="00BE71FF">
        <w:rPr>
          <w:noProof/>
        </w:rPr>
        <w:t>v článku 3 se doplňují nová písmena ha) až hi), která znějí:</w:t>
      </w:r>
    </w:p>
    <w:p w:rsidR="00996C90" w:rsidRPr="00BE71FF" w:rsidRDefault="00996C90" w:rsidP="00C43681">
      <w:pPr>
        <w:pStyle w:val="Point1"/>
        <w:ind w:left="1418"/>
        <w:rPr>
          <w:noProof/>
        </w:rPr>
      </w:pPr>
      <w:r w:rsidRPr="00BE71FF">
        <w:rPr>
          <w:noProof/>
        </w:rPr>
        <w:lastRenderedPageBreak/>
        <w:t>„ha)</w:t>
      </w:r>
      <w:r w:rsidRPr="00BE71FF">
        <w:rPr>
          <w:noProof/>
        </w:rPr>
        <w:tab/>
        <w:t>„transevropskou dopravní sítí“ (TEN-T) vnitrozemské vodní cesty podle definice v příloze I nařízení (EU) č. 1315/2013;</w:t>
      </w:r>
    </w:p>
    <w:p w:rsidR="00996C90" w:rsidRPr="00BE71FF" w:rsidRDefault="00396222" w:rsidP="00C43681">
      <w:pPr>
        <w:pStyle w:val="Point1"/>
        <w:ind w:left="1418"/>
        <w:rPr>
          <w:noProof/>
        </w:rPr>
      </w:pPr>
      <w:r w:rsidRPr="00BE71FF">
        <w:rPr>
          <w:noProof/>
        </w:rPr>
        <w:t xml:space="preserve"> hb)</w:t>
      </w:r>
      <w:r w:rsidRPr="00BE71FF">
        <w:rPr>
          <w:noProof/>
        </w:rPr>
        <w:tab/>
        <w:t>„elektronickými informacemi o nákladní dopravě“ (eFTI) elektronické informace o nákladní dopravě definované v čl. 3 bodě 4 nařízení Evropského parlamentu a Rady (EU) 2020/1056</w:t>
      </w:r>
      <w:r w:rsidR="00996C90" w:rsidRPr="00BE71FF">
        <w:rPr>
          <w:rStyle w:val="FootnoteReference"/>
          <w:noProof/>
        </w:rPr>
        <w:footnoteReference w:id="37"/>
      </w:r>
      <w:r w:rsidRPr="00BE71FF">
        <w:rPr>
          <w:noProof/>
        </w:rPr>
        <w:t>;</w:t>
      </w:r>
    </w:p>
    <w:p w:rsidR="00996C90" w:rsidRPr="00BE71FF" w:rsidRDefault="00396222" w:rsidP="00C43681">
      <w:pPr>
        <w:pStyle w:val="Point1"/>
        <w:ind w:left="1418"/>
        <w:rPr>
          <w:noProof/>
        </w:rPr>
      </w:pPr>
      <w:r w:rsidRPr="00BE71FF">
        <w:rPr>
          <w:noProof/>
        </w:rPr>
        <w:t xml:space="preserve"> hc)</w:t>
      </w:r>
      <w:r w:rsidRPr="00BE71FF">
        <w:rPr>
          <w:noProof/>
        </w:rPr>
        <w:tab/>
        <w:t>„evropským prostředím jednotného evropského námořního portálu“ („EMSWe“) prostředí jednotného námořního portálu podle definice v čl. 2 bodě 1 nařízení Evropského parlamentu a Rady (EU) 2019/1239</w:t>
      </w:r>
      <w:r w:rsidR="00996C90" w:rsidRPr="00BE71FF">
        <w:rPr>
          <w:rStyle w:val="FootnoteReference"/>
          <w:noProof/>
        </w:rPr>
        <w:footnoteReference w:id="38"/>
      </w:r>
      <w:r w:rsidRPr="00BE71FF">
        <w:rPr>
          <w:noProof/>
        </w:rPr>
        <w:t>;</w:t>
      </w:r>
    </w:p>
    <w:p w:rsidR="00996C90" w:rsidRPr="00BE71FF" w:rsidRDefault="00396222" w:rsidP="00C43681">
      <w:pPr>
        <w:pStyle w:val="Point1"/>
        <w:ind w:left="1418"/>
        <w:rPr>
          <w:noProof/>
        </w:rPr>
      </w:pPr>
      <w:r w:rsidRPr="00BE71FF">
        <w:rPr>
          <w:noProof/>
        </w:rPr>
        <w:t xml:space="preserve"> hd)</w:t>
      </w:r>
      <w:r w:rsidRPr="00BE71FF">
        <w:rPr>
          <w:noProof/>
        </w:rPr>
        <w:tab/>
        <w:t>„vnitrostátním jednotným námořním portálem“ vnitrostátní jednotný námořní portál podle definice v čl. 2 bodě 3 nařízení (EU) 2019/1239;</w:t>
      </w:r>
    </w:p>
    <w:p w:rsidR="00996C90" w:rsidRPr="00BE71FF" w:rsidRDefault="00396222" w:rsidP="00C43681">
      <w:pPr>
        <w:pStyle w:val="Point1"/>
        <w:ind w:left="1418"/>
        <w:rPr>
          <w:noProof/>
        </w:rPr>
      </w:pPr>
      <w:r w:rsidRPr="00BE71FF">
        <w:rPr>
          <w:noProof/>
        </w:rPr>
        <w:t xml:space="preserve"> he)</w:t>
      </w:r>
      <w:r w:rsidRPr="00BE71FF">
        <w:rPr>
          <w:noProof/>
        </w:rPr>
        <w:tab/>
        <w:t>„Evropským systémem pro správu referenčních údajů“ („ERDMS“) úložiště (knihovna) s jednotným přístupovým bodem, obsahující referenční údaje a seznam kódů, které se používají v aplikacích IT ve vnitrozemské vodní dopravě, a provozované (provozovaná) Komisí;</w:t>
      </w:r>
    </w:p>
    <w:p w:rsidR="00996C90" w:rsidRPr="00BE71FF" w:rsidRDefault="00396222" w:rsidP="00C43681">
      <w:pPr>
        <w:pStyle w:val="Point1"/>
        <w:ind w:left="1418"/>
        <w:rPr>
          <w:noProof/>
        </w:rPr>
      </w:pPr>
      <w:r w:rsidRPr="00BE71FF">
        <w:rPr>
          <w:noProof/>
        </w:rPr>
        <w:t xml:space="preserve"> hf) „společným přístavním systémem“ elektronická platforma pro výměnu informací mezi veřejnými a soukromými zúčastněnými stranami, která zajišťuje hladký průběh přístavních a logistických procesů;</w:t>
      </w:r>
    </w:p>
    <w:p w:rsidR="00996C90" w:rsidRPr="00BE71FF" w:rsidRDefault="00396222" w:rsidP="00C43681">
      <w:pPr>
        <w:pStyle w:val="Point1"/>
        <w:ind w:left="1418"/>
        <w:rPr>
          <w:noProof/>
        </w:rPr>
      </w:pPr>
      <w:r w:rsidRPr="00BE71FF">
        <w:rPr>
          <w:noProof/>
        </w:rPr>
        <w:t xml:space="preserve"> hg) „inteligentním systémem infrastruktury vnitrozemských vodních cest“ elektronická platforma podporující poloautomatizovanou a plně automatizovanou správu infrastruktury vnitrozemské vodní dopravy v plavebních komorách a pohyblivých mostech v transevropské dopravní síti, kterou provozují veřejné orgány správy vodních cest;</w:t>
      </w:r>
    </w:p>
    <w:p w:rsidR="00996C90" w:rsidRPr="00BE71FF" w:rsidRDefault="00396222" w:rsidP="00C43681">
      <w:pPr>
        <w:pStyle w:val="Point1"/>
        <w:ind w:left="1418"/>
        <w:rPr>
          <w:noProof/>
        </w:rPr>
      </w:pPr>
      <w:r w:rsidRPr="00BE71FF">
        <w:rPr>
          <w:noProof/>
        </w:rPr>
        <w:t xml:space="preserve"> hh) „platformou RIS“ elektronická platforma s jednotným přístupovým bodem, jejímž zdrojem jsou vnitrostátní informace RIS a která poskytuje uživatelům RIS informační služby týkající se plavební dráhy, infrastruktury, provozu a dopravy, včetně plánování cest a dopravy, a která slouží k elektronickému podávání zpráv podle zásady „pouze jednou“;</w:t>
      </w:r>
    </w:p>
    <w:p w:rsidR="00996C90" w:rsidRPr="00BE71FF" w:rsidRDefault="00396222" w:rsidP="00396222">
      <w:pPr>
        <w:pStyle w:val="Point0"/>
        <w:ind w:left="1418" w:hanging="567"/>
        <w:rPr>
          <w:noProof/>
        </w:rPr>
      </w:pPr>
      <w:r w:rsidRPr="00BE71FF">
        <w:rPr>
          <w:noProof/>
        </w:rPr>
        <w:t xml:space="preserve"> hi) „vnitrozemskými přístavy“ vnitrozemské přístavy hlavní sítě TEN-T nebo globální sítě TEN-T, které jsou uvedeny a kategorizovány v příloze II nařízení (EU) č. 1315/2013.“; </w:t>
      </w:r>
    </w:p>
    <w:p w:rsidR="00996C90" w:rsidRPr="00BE71FF" w:rsidRDefault="004606B1" w:rsidP="004606B1">
      <w:pPr>
        <w:pStyle w:val="Point0"/>
        <w:rPr>
          <w:noProof/>
        </w:rPr>
      </w:pPr>
      <w:r>
        <w:rPr>
          <w:noProof/>
        </w:rPr>
        <w:t>4)</w:t>
      </w:r>
      <w:r>
        <w:rPr>
          <w:noProof/>
        </w:rPr>
        <w:tab/>
      </w:r>
      <w:r w:rsidR="00996C90" w:rsidRPr="00BE71FF">
        <w:rPr>
          <w:noProof/>
        </w:rPr>
        <w:t>článek 4 se nahrazuje tímto:</w:t>
      </w:r>
    </w:p>
    <w:p w:rsidR="00996C90" w:rsidRPr="00BE71FF" w:rsidRDefault="00996C90" w:rsidP="00996C90">
      <w:pPr>
        <w:pStyle w:val="Titrearticle"/>
        <w:rPr>
          <w:noProof/>
        </w:rPr>
      </w:pPr>
      <w:r w:rsidRPr="00BE71FF">
        <w:rPr>
          <w:noProof/>
        </w:rPr>
        <w:t>„Článek 4</w:t>
      </w:r>
    </w:p>
    <w:p w:rsidR="00996C90" w:rsidRPr="00BE71FF" w:rsidRDefault="00996C90" w:rsidP="00996C90">
      <w:pPr>
        <w:pStyle w:val="Typeacteprincipal"/>
        <w:rPr>
          <w:noProof/>
        </w:rPr>
      </w:pPr>
      <w:r w:rsidRPr="00BE71FF">
        <w:rPr>
          <w:noProof/>
        </w:rPr>
        <w:t>Zavedení RIS</w:t>
      </w:r>
    </w:p>
    <w:p w:rsidR="00996C90" w:rsidRPr="00BE71FF" w:rsidRDefault="00996C90" w:rsidP="00996C90">
      <w:pPr>
        <w:pStyle w:val="Point1"/>
        <w:ind w:left="1418"/>
        <w:rPr>
          <w:noProof/>
        </w:rPr>
      </w:pPr>
      <w:r w:rsidRPr="00BE71FF">
        <w:rPr>
          <w:noProof/>
        </w:rPr>
        <w:t>1.</w:t>
      </w:r>
      <w:r w:rsidRPr="00BE71FF">
        <w:rPr>
          <w:noProof/>
        </w:rPr>
        <w:tab/>
        <w:t>Členské státy přijmou všechna nezbytná opatření pro zavedení RIS na vnitrozemských vodních cestách a ve vnitrozemských přístavech spadajících do působnosti této směrnice.</w:t>
      </w:r>
    </w:p>
    <w:p w:rsidR="00996C90" w:rsidRPr="00BE71FF" w:rsidRDefault="00996C90" w:rsidP="00996C90">
      <w:pPr>
        <w:pStyle w:val="Point1"/>
        <w:rPr>
          <w:noProof/>
        </w:rPr>
      </w:pPr>
      <w:r w:rsidRPr="00BE71FF">
        <w:rPr>
          <w:noProof/>
        </w:rPr>
        <w:t>2.</w:t>
      </w:r>
      <w:r w:rsidRPr="00BE71FF">
        <w:rPr>
          <w:noProof/>
        </w:rPr>
        <w:tab/>
        <w:t xml:space="preserve">Členské státy rozvíjejí RIS tak, aby aplikace RIS byla efektivní, způsobilá k rozšíření a interoperabilní, a mohla tak působit ve vzájemné interakci s jinými </w:t>
      </w:r>
      <w:r w:rsidRPr="00BE71FF">
        <w:rPr>
          <w:noProof/>
        </w:rPr>
        <w:lastRenderedPageBreak/>
        <w:t>aplikacemi RIS a se systémy pro jiné druhy dopravy, a aby zároveň umožňovala propojení se systémy řízení dopravy a obchodními činnostmi.</w:t>
      </w:r>
    </w:p>
    <w:p w:rsidR="00996C90" w:rsidRPr="00BE71FF" w:rsidRDefault="00996C90" w:rsidP="00996C90">
      <w:pPr>
        <w:pStyle w:val="Point1"/>
        <w:rPr>
          <w:noProof/>
        </w:rPr>
      </w:pPr>
      <w:r w:rsidRPr="00BE71FF">
        <w:rPr>
          <w:noProof/>
        </w:rPr>
        <w:t>3.</w:t>
      </w:r>
      <w:r w:rsidRPr="00BE71FF">
        <w:rPr>
          <w:noProof/>
        </w:rPr>
        <w:tab/>
        <w:t>Pro zavedení RIS členské státy:</w:t>
      </w:r>
    </w:p>
    <w:p w:rsidR="00996C90" w:rsidRPr="00BE71FF" w:rsidRDefault="004606B1" w:rsidP="004606B1">
      <w:pPr>
        <w:pStyle w:val="Point2"/>
        <w:rPr>
          <w:noProof/>
        </w:rPr>
      </w:pPr>
      <w:r>
        <w:rPr>
          <w:noProof/>
        </w:rPr>
        <w:t>a)</w:t>
      </w:r>
      <w:r>
        <w:rPr>
          <w:noProof/>
        </w:rPr>
        <w:tab/>
      </w:r>
      <w:r w:rsidR="00996C90" w:rsidRPr="00BE71FF">
        <w:rPr>
          <w:noProof/>
        </w:rPr>
        <w:t>zajistí, aby uživatelům RIS byly poskytovány všechny relevantní údaje týkající se plavby a plánování plaveb na vnitrozemských vodních cestách. Tyto údaje, definované v příloze I, musí být aktuální a poskytovány alespoň v dostupném jednotném elektronickém formátu;</w:t>
      </w:r>
    </w:p>
    <w:p w:rsidR="00996C90" w:rsidRPr="00BE71FF" w:rsidRDefault="004606B1" w:rsidP="004606B1">
      <w:pPr>
        <w:pStyle w:val="Point2"/>
        <w:rPr>
          <w:noProof/>
        </w:rPr>
      </w:pPr>
      <w:r>
        <w:rPr>
          <w:noProof/>
        </w:rPr>
        <w:t>b)</w:t>
      </w:r>
      <w:r>
        <w:rPr>
          <w:noProof/>
        </w:rPr>
        <w:tab/>
      </w:r>
      <w:r w:rsidR="00996C90" w:rsidRPr="00BE71FF">
        <w:rPr>
          <w:noProof/>
        </w:rPr>
        <w:t>zajistí, aby u všech jejich vnitrozemských vodních cest sítě TEN-T měli uživatelé RIS k dispozici kromě údajů uvedených v písmenu a) elektronické plavební mapy vhodné pro plavební účely;</w:t>
      </w:r>
    </w:p>
    <w:p w:rsidR="00996C90" w:rsidRPr="00BE71FF" w:rsidRDefault="004606B1" w:rsidP="004606B1">
      <w:pPr>
        <w:pStyle w:val="Point2"/>
        <w:rPr>
          <w:noProof/>
        </w:rPr>
      </w:pPr>
      <w:r>
        <w:rPr>
          <w:noProof/>
        </w:rPr>
        <w:t>c)</w:t>
      </w:r>
      <w:r>
        <w:rPr>
          <w:noProof/>
        </w:rPr>
        <w:tab/>
      </w:r>
      <w:r w:rsidR="00996C90" w:rsidRPr="00BE71FF">
        <w:rPr>
          <w:noProof/>
        </w:rPr>
        <w:t>pokud vnitrostátní nebo mezinárodní pravidla vyžadují používání systému zpráv pro plavbu, umožní příslušným orgánům přijímat elektronické zprávy o požadovaných údajích z lodí. U přeshraniční dopravy se tyto údaje předávají příslušným orgánům sousedního státu a toto předání se uskuteční dříve, než plavidla dosáhnou hranice;</w:t>
      </w:r>
    </w:p>
    <w:p w:rsidR="00996C90" w:rsidRPr="00BE71FF" w:rsidRDefault="004606B1" w:rsidP="004606B1">
      <w:pPr>
        <w:pStyle w:val="Point2"/>
        <w:rPr>
          <w:noProof/>
        </w:rPr>
      </w:pPr>
      <w:r>
        <w:rPr>
          <w:noProof/>
        </w:rPr>
        <w:t>d)</w:t>
      </w:r>
      <w:r>
        <w:rPr>
          <w:noProof/>
        </w:rPr>
        <w:tab/>
      </w:r>
      <w:r w:rsidR="00996C90" w:rsidRPr="00BE71FF">
        <w:rPr>
          <w:noProof/>
        </w:rPr>
        <w:t xml:space="preserve">zajistí, aby zprávy vůdcům plavidel, včetně zpráv o vodních stavech (nebo maximálním povoleném ponoru) a o ledových jevech na jejich vnitrozemských vodních cestách, byly poskytovány v podobě normalizovaných kódovaných sdělení, které lze přenášet na dálku. Normalizované sdělení musí obsahovat alespoň informace nezbytné pro bezpečnou plavbu. Zprávy vůdcům plavidel musí být aktuální a poskytovány alespoň v dostupném jednotném elektronickém formátu; </w:t>
      </w:r>
    </w:p>
    <w:p w:rsidR="00996C90" w:rsidRPr="00BE71FF" w:rsidRDefault="004606B1" w:rsidP="004606B1">
      <w:pPr>
        <w:pStyle w:val="Point2"/>
        <w:rPr>
          <w:noProof/>
        </w:rPr>
      </w:pPr>
      <w:r>
        <w:rPr>
          <w:noProof/>
        </w:rPr>
        <w:t>e)</w:t>
      </w:r>
      <w:r>
        <w:rPr>
          <w:noProof/>
        </w:rPr>
        <w:tab/>
      </w:r>
      <w:r w:rsidR="00996C90" w:rsidRPr="00BE71FF">
        <w:rPr>
          <w:noProof/>
        </w:rPr>
        <w:t>zajistí aktuálnost ERDMS tím, že neprodleně poskytnou všechny potřebné údaje a alespoň jednou ročně je revidují;</w:t>
      </w:r>
    </w:p>
    <w:p w:rsidR="00996C90" w:rsidRPr="00BE71FF" w:rsidRDefault="004606B1" w:rsidP="004606B1">
      <w:pPr>
        <w:pStyle w:val="Point2"/>
        <w:rPr>
          <w:noProof/>
        </w:rPr>
      </w:pPr>
      <w:r>
        <w:rPr>
          <w:noProof/>
        </w:rPr>
        <w:t>f)</w:t>
      </w:r>
      <w:r>
        <w:rPr>
          <w:noProof/>
        </w:rPr>
        <w:tab/>
      </w:r>
      <w:r w:rsidR="00996C90" w:rsidRPr="00BE71FF">
        <w:rPr>
          <w:noProof/>
        </w:rPr>
        <w:t xml:space="preserve">zajistí, aby informace týkající se provozu byly vyměňovány alespoň mezi RIS a prostředími pro elektronickou výměnu informací stanovenými právními předpisy Unie a používanými v jiných druzích dopravy, včetně vnitrostátních jednotných námořních portálů v rámci evropského prostředí jednotného námořního portálu; </w:t>
      </w:r>
    </w:p>
    <w:p w:rsidR="00996C90" w:rsidRPr="00BE71FF" w:rsidRDefault="004606B1" w:rsidP="004606B1">
      <w:pPr>
        <w:pStyle w:val="Point2"/>
        <w:rPr>
          <w:noProof/>
        </w:rPr>
      </w:pPr>
      <w:r>
        <w:rPr>
          <w:noProof/>
        </w:rPr>
        <w:t>g)</w:t>
      </w:r>
      <w:r>
        <w:rPr>
          <w:noProof/>
        </w:rPr>
        <w:tab/>
      </w:r>
      <w:r w:rsidR="00996C90" w:rsidRPr="00BE71FF">
        <w:rPr>
          <w:noProof/>
        </w:rPr>
        <w:t>zajistí, aby informace týkající se nebezpečných věcí požadované podle kapitoly 5.4 části 5 nařízení v příloze Evropské dohody o mezinárodní přepravě nebezpečných věcí po vnitrozemských vodních cestách (ADN) uzavřené v Ženevě dne 26. května 2000, jak je uvedeno v oddíle III.1 přílohy III směrnice Evropského parlamentu a Rady 2008/68/ES</w:t>
      </w:r>
      <w:r w:rsidR="00996C90" w:rsidRPr="00BE71FF">
        <w:rPr>
          <w:rStyle w:val="FootnoteReference"/>
          <w:noProof/>
        </w:rPr>
        <w:footnoteReference w:id="39"/>
      </w:r>
      <w:r w:rsidR="00996C90" w:rsidRPr="00BE71FF">
        <w:rPr>
          <w:noProof/>
        </w:rPr>
        <w:t>, byly zpřístupněny příslušným orgánům na platformě eFTI prostřednictvím jedinečného elektronického identifikačního odkazu uvedeného v čl. 9 odst. 1 písm. e) nařízení (EU) 2020/1056;</w:t>
      </w:r>
    </w:p>
    <w:p w:rsidR="00996C90" w:rsidRPr="00BE71FF" w:rsidRDefault="004606B1" w:rsidP="004606B1">
      <w:pPr>
        <w:pStyle w:val="Point2"/>
        <w:rPr>
          <w:noProof/>
        </w:rPr>
      </w:pPr>
      <w:r>
        <w:rPr>
          <w:noProof/>
        </w:rPr>
        <w:t>h)</w:t>
      </w:r>
      <w:r>
        <w:rPr>
          <w:noProof/>
        </w:rPr>
        <w:tab/>
      </w:r>
      <w:r w:rsidR="00996C90" w:rsidRPr="00BE71FF">
        <w:rPr>
          <w:noProof/>
        </w:rPr>
        <w:t xml:space="preserve">zajistí, aby mezi RIS a společnými přístavními systémy vnitrozemských přístavů byly vyměňovány informace zahrnující mimo jiné informace o aktuální dostupnosti kotvišť a o infrastruktuře pro alternativní paliva, a </w:t>
      </w:r>
      <w:r w:rsidR="00996C90" w:rsidRPr="00BE71FF">
        <w:rPr>
          <w:noProof/>
        </w:rPr>
        <w:lastRenderedPageBreak/>
        <w:t>zejména o zařízeních požadovaných podle článku 10 nařízení Evropského parlamentu a Rady (EU) 2023/1804</w:t>
      </w:r>
      <w:r w:rsidR="00996C90" w:rsidRPr="00BE71FF">
        <w:rPr>
          <w:rStyle w:val="FootnoteReference"/>
          <w:noProof/>
        </w:rPr>
        <w:footnoteReference w:id="40"/>
      </w:r>
      <w:r w:rsidR="00996C90" w:rsidRPr="00BE71FF">
        <w:rPr>
          <w:noProof/>
        </w:rPr>
        <w:t>;</w:t>
      </w:r>
    </w:p>
    <w:p w:rsidR="00996C90" w:rsidRPr="00BE71FF" w:rsidRDefault="004606B1" w:rsidP="004606B1">
      <w:pPr>
        <w:pStyle w:val="Point2"/>
        <w:rPr>
          <w:noProof/>
        </w:rPr>
      </w:pPr>
      <w:r>
        <w:rPr>
          <w:noProof/>
        </w:rPr>
        <w:t>i)</w:t>
      </w:r>
      <w:r>
        <w:rPr>
          <w:noProof/>
        </w:rPr>
        <w:tab/>
      </w:r>
      <w:r w:rsidR="00996C90" w:rsidRPr="00BE71FF">
        <w:rPr>
          <w:noProof/>
        </w:rPr>
        <w:t>zajistí výměnu informací mezi RIS a dalšími inteligentními systémy infrastruktury vnitrozemských vodních cest za účelem řízení říčního provozu.</w:t>
      </w:r>
    </w:p>
    <w:p w:rsidR="00996C90" w:rsidRPr="00BE71FF" w:rsidRDefault="00996C90" w:rsidP="00996C90">
      <w:pPr>
        <w:pStyle w:val="Point1"/>
        <w:ind w:firstLine="1"/>
        <w:rPr>
          <w:noProof/>
        </w:rPr>
      </w:pPr>
      <w:r w:rsidRPr="00BE71FF">
        <w:rPr>
          <w:noProof/>
        </w:rPr>
        <w:t>Povinnosti uvedené v tomto odstavci se plní v souladu s požadavky a zásadami stanovenými v přílohách I a II.</w:t>
      </w:r>
    </w:p>
    <w:p w:rsidR="00996C90" w:rsidRPr="00BE71FF" w:rsidRDefault="00996C90" w:rsidP="00996C90">
      <w:pPr>
        <w:pStyle w:val="Point1"/>
        <w:rPr>
          <w:noProof/>
        </w:rPr>
      </w:pPr>
      <w:r w:rsidRPr="00BE71FF">
        <w:rPr>
          <w:noProof/>
        </w:rPr>
        <w:t>4.</w:t>
      </w:r>
      <w:r w:rsidRPr="00BE71FF">
        <w:rPr>
          <w:noProof/>
        </w:rPr>
        <w:tab/>
        <w:t>Příslušné orgány členských států zřizují střediska RIS podle oblastních potřeb.</w:t>
      </w:r>
    </w:p>
    <w:p w:rsidR="00996C90" w:rsidRPr="00BE71FF" w:rsidRDefault="00996C90" w:rsidP="00996C90">
      <w:pPr>
        <w:pStyle w:val="Point1"/>
        <w:rPr>
          <w:noProof/>
        </w:rPr>
      </w:pPr>
      <w:r w:rsidRPr="00BE71FF">
        <w:rPr>
          <w:noProof/>
        </w:rPr>
        <w:t>5.</w:t>
      </w:r>
      <w:r w:rsidRPr="00BE71FF">
        <w:rPr>
          <w:noProof/>
        </w:rPr>
        <w:tab/>
        <w:t xml:space="preserve">Členské státy vytvoří, budou provozovat, používat a udržovat jednotnou platformu RIS, která poskytuje údaje o plavební dráze, infrastruktuře, provozu a dopravě. Platforma RIS je přístupná všem uživatelům RIS a je hlavní platformou pro výměnu informací týkajících se RIS. Obsahuje rozhraní pro propojení se systémy jiných druhů dopravy a vnitrozemských přístavů. </w:t>
      </w:r>
      <w:r w:rsidRPr="00BE71FF">
        <w:rPr>
          <w:noProof/>
          <w:color w:val="231F20"/>
        </w:rPr>
        <w:t>Členské státy určí jeden nebo více příslušných orgánů odpovědných za provoz platformy RIS.</w:t>
      </w:r>
    </w:p>
    <w:p w:rsidR="00996C90" w:rsidRPr="00BE71FF" w:rsidRDefault="00996C90" w:rsidP="00996C90">
      <w:pPr>
        <w:pStyle w:val="Point1"/>
        <w:rPr>
          <w:noProof/>
        </w:rPr>
      </w:pPr>
      <w:r w:rsidRPr="00BE71FF">
        <w:rPr>
          <w:noProof/>
        </w:rPr>
        <w:t xml:space="preserve">6. </w:t>
      </w:r>
      <w:r w:rsidRPr="00BE71FF">
        <w:rPr>
          <w:noProof/>
        </w:rPr>
        <w:tab/>
        <w:t>Komise přijme prováděcí akty, kterými stanoví provozní charakteristiky, úlohy a postupy platformy RIS a určí její provozující subjekt na základě zásad pro technické specifikace RIS stanovených v bodě 7 přílohy II, aby zajistila jejich jednotné provádění v celé Unii. Tyto prováděcí akty se přijímají v souladu s přezkumným postupem podle čl. 11 odst. 2.</w:t>
      </w:r>
    </w:p>
    <w:p w:rsidR="00996C90" w:rsidRPr="00BE71FF" w:rsidRDefault="00996C90" w:rsidP="00996C90">
      <w:pPr>
        <w:pStyle w:val="Point1"/>
        <w:rPr>
          <w:noProof/>
        </w:rPr>
      </w:pPr>
      <w:r w:rsidRPr="00BE71FF">
        <w:rPr>
          <w:noProof/>
        </w:rPr>
        <w:t>7.</w:t>
      </w:r>
      <w:r w:rsidRPr="00BE71FF">
        <w:rPr>
          <w:noProof/>
        </w:rPr>
        <w:tab/>
        <w:t>Na používání systémů automatické identifikace se vztahuje Regionální dohoda o radiotelefonní službě na vnitrozemských vodních cestách, uzavřená v Basileji dne 6. dubna 2000 v rámci pravidel pro radiokomunikace Mezinárodní telekomunikační unie (ITU).</w:t>
      </w:r>
    </w:p>
    <w:p w:rsidR="00996C90" w:rsidRPr="00BE71FF" w:rsidRDefault="00996C90" w:rsidP="00996C90">
      <w:pPr>
        <w:pStyle w:val="Point1"/>
        <w:rPr>
          <w:noProof/>
        </w:rPr>
      </w:pPr>
      <w:r w:rsidRPr="00BE71FF">
        <w:rPr>
          <w:noProof/>
        </w:rPr>
        <w:t>8.</w:t>
      </w:r>
      <w:r w:rsidRPr="00BE71FF">
        <w:rPr>
          <w:noProof/>
        </w:rPr>
        <w:tab/>
        <w:t>Členské státy, případně ve spolupráci s Unií, vybízejí kapitány, provozovatele, zprostředkovatele nebo vlastníky plavidel, která se plaví po jejich vnitrozemských vodních cestách, a odesílatele nebo vlastníky zboží dopravovaného těmito plavidly, aby plně využívali služeb poskytovaných na základě této směrnice.</w:t>
      </w:r>
    </w:p>
    <w:p w:rsidR="00996C90" w:rsidRPr="00BE71FF" w:rsidRDefault="00996C90" w:rsidP="00996C90">
      <w:pPr>
        <w:pStyle w:val="Point1"/>
        <w:rPr>
          <w:noProof/>
        </w:rPr>
      </w:pPr>
      <w:r w:rsidRPr="00BE71FF">
        <w:rPr>
          <w:noProof/>
        </w:rPr>
        <w:t>9.</w:t>
      </w:r>
      <w:r w:rsidRPr="00BE71FF">
        <w:rPr>
          <w:noProof/>
        </w:rPr>
        <w:tab/>
        <w:t>Komise přijme vhodná opatření k ověření interoperability, spolehlivosti a bezpečnosti RIS.“;</w:t>
      </w:r>
    </w:p>
    <w:p w:rsidR="00996C90" w:rsidRPr="00BE71FF" w:rsidRDefault="004606B1" w:rsidP="004606B1">
      <w:pPr>
        <w:pStyle w:val="Point0"/>
        <w:rPr>
          <w:noProof/>
        </w:rPr>
      </w:pPr>
      <w:r>
        <w:rPr>
          <w:noProof/>
        </w:rPr>
        <w:t>5)</w:t>
      </w:r>
      <w:r>
        <w:rPr>
          <w:noProof/>
        </w:rPr>
        <w:tab/>
      </w:r>
      <w:r w:rsidR="00996C90" w:rsidRPr="00BE71FF">
        <w:rPr>
          <w:noProof/>
        </w:rPr>
        <w:t>článek 5 se nahrazuje tímto:</w:t>
      </w:r>
    </w:p>
    <w:p w:rsidR="00996C90" w:rsidRPr="00BE71FF" w:rsidRDefault="00996C90" w:rsidP="00996C90">
      <w:pPr>
        <w:pStyle w:val="Titrearticle"/>
        <w:rPr>
          <w:noProof/>
        </w:rPr>
      </w:pPr>
      <w:r w:rsidRPr="00BE71FF">
        <w:rPr>
          <w:noProof/>
        </w:rPr>
        <w:t>„Článek 5</w:t>
      </w:r>
    </w:p>
    <w:p w:rsidR="00996C90" w:rsidRPr="00BE71FF" w:rsidRDefault="00996C90" w:rsidP="00996C90">
      <w:pPr>
        <w:pStyle w:val="Typeacteprincipal"/>
        <w:rPr>
          <w:noProof/>
        </w:rPr>
      </w:pPr>
      <w:r w:rsidRPr="00BE71FF">
        <w:rPr>
          <w:noProof/>
        </w:rPr>
        <w:t>Technické specifikace</w:t>
      </w:r>
    </w:p>
    <w:p w:rsidR="00996C90" w:rsidRPr="00BE71FF" w:rsidRDefault="00996C90" w:rsidP="00996C90">
      <w:pPr>
        <w:pStyle w:val="Point1"/>
        <w:rPr>
          <w:noProof/>
        </w:rPr>
      </w:pPr>
      <w:r w:rsidRPr="00BE71FF">
        <w:rPr>
          <w:noProof/>
        </w:rPr>
        <w:t>1.</w:t>
      </w:r>
      <w:r w:rsidRPr="00BE71FF">
        <w:rPr>
          <w:noProof/>
        </w:rPr>
        <w:tab/>
        <w:t>Za účelem podpory RIS a zajištění interoperability těchto služeb, jak je požadováno v čl. 4 odst. 2, se použijí technické specifikace uvedené v příloze III v souladu se zásadami stanovenými v příloze II, a to zejména, pokud jde o tyto oblasti:</w:t>
      </w:r>
    </w:p>
    <w:p w:rsidR="00996C90" w:rsidRPr="00BE71FF" w:rsidRDefault="004606B1" w:rsidP="004606B1">
      <w:pPr>
        <w:pStyle w:val="Point2"/>
        <w:rPr>
          <w:noProof/>
        </w:rPr>
      </w:pPr>
      <w:r>
        <w:rPr>
          <w:noProof/>
        </w:rPr>
        <w:t>a)</w:t>
      </w:r>
      <w:r>
        <w:rPr>
          <w:noProof/>
        </w:rPr>
        <w:tab/>
      </w:r>
      <w:r w:rsidR="00996C90" w:rsidRPr="00BE71FF">
        <w:rPr>
          <w:noProof/>
        </w:rPr>
        <w:t>elektronická plavební mapa a informační systém pro vnitrozemskou plavbu (vnitrozemský ECDIS);</w:t>
      </w:r>
    </w:p>
    <w:p w:rsidR="00996C90" w:rsidRPr="00BE71FF" w:rsidRDefault="004606B1" w:rsidP="004606B1">
      <w:pPr>
        <w:pStyle w:val="Point2"/>
        <w:rPr>
          <w:noProof/>
        </w:rPr>
      </w:pPr>
      <w:r>
        <w:rPr>
          <w:noProof/>
        </w:rPr>
        <w:lastRenderedPageBreak/>
        <w:t>b)</w:t>
      </w:r>
      <w:r>
        <w:rPr>
          <w:noProof/>
        </w:rPr>
        <w:tab/>
      </w:r>
      <w:r w:rsidR="00996C90" w:rsidRPr="00BE71FF">
        <w:rPr>
          <w:noProof/>
        </w:rPr>
        <w:t>systém elektronických zpráv pro plavbu;</w:t>
      </w:r>
    </w:p>
    <w:p w:rsidR="00996C90" w:rsidRPr="00BE71FF" w:rsidRDefault="004606B1" w:rsidP="004606B1">
      <w:pPr>
        <w:pStyle w:val="Point2"/>
        <w:rPr>
          <w:noProof/>
        </w:rPr>
      </w:pPr>
      <w:r>
        <w:rPr>
          <w:noProof/>
        </w:rPr>
        <w:t>c)</w:t>
      </w:r>
      <w:r>
        <w:rPr>
          <w:noProof/>
        </w:rPr>
        <w:tab/>
      </w:r>
      <w:r w:rsidR="00996C90" w:rsidRPr="00BE71FF">
        <w:rPr>
          <w:noProof/>
        </w:rPr>
        <w:t>zprávy vůdcům plavidel;</w:t>
      </w:r>
    </w:p>
    <w:p w:rsidR="00996C90" w:rsidRPr="00BE71FF" w:rsidRDefault="004606B1" w:rsidP="004606B1">
      <w:pPr>
        <w:pStyle w:val="Point2"/>
        <w:rPr>
          <w:noProof/>
        </w:rPr>
      </w:pPr>
      <w:r>
        <w:rPr>
          <w:noProof/>
        </w:rPr>
        <w:t>d)</w:t>
      </w:r>
      <w:r>
        <w:rPr>
          <w:noProof/>
        </w:rPr>
        <w:tab/>
      </w:r>
      <w:r w:rsidR="00996C90" w:rsidRPr="00BE71FF">
        <w:rPr>
          <w:noProof/>
        </w:rPr>
        <w:t>systémy sledování polohy a pohybu plavidel;</w:t>
      </w:r>
    </w:p>
    <w:p w:rsidR="00996C90" w:rsidRPr="00BE71FF" w:rsidRDefault="004606B1" w:rsidP="004606B1">
      <w:pPr>
        <w:pStyle w:val="Point2"/>
        <w:rPr>
          <w:noProof/>
        </w:rPr>
      </w:pPr>
      <w:r>
        <w:rPr>
          <w:noProof/>
        </w:rPr>
        <w:t>e)</w:t>
      </w:r>
      <w:r>
        <w:rPr>
          <w:noProof/>
        </w:rPr>
        <w:tab/>
      </w:r>
      <w:r w:rsidR="00996C90" w:rsidRPr="00BE71FF">
        <w:rPr>
          <w:noProof/>
        </w:rPr>
        <w:t>slučitelnost zařízení nutného k používání RIS;</w:t>
      </w:r>
    </w:p>
    <w:p w:rsidR="00996C90" w:rsidRPr="00BE71FF" w:rsidRDefault="004606B1" w:rsidP="004606B1">
      <w:pPr>
        <w:pStyle w:val="Point2"/>
        <w:rPr>
          <w:noProof/>
        </w:rPr>
      </w:pPr>
      <w:r>
        <w:rPr>
          <w:noProof/>
        </w:rPr>
        <w:t>f)</w:t>
      </w:r>
      <w:r>
        <w:rPr>
          <w:noProof/>
        </w:rPr>
        <w:tab/>
      </w:r>
      <w:r w:rsidR="00996C90" w:rsidRPr="00BE71FF">
        <w:rPr>
          <w:noProof/>
        </w:rPr>
        <w:t>provoz platformy RIS;</w:t>
      </w:r>
    </w:p>
    <w:p w:rsidR="00996C90" w:rsidRPr="00BE71FF" w:rsidRDefault="004606B1" w:rsidP="004606B1">
      <w:pPr>
        <w:pStyle w:val="Point2"/>
        <w:rPr>
          <w:noProof/>
        </w:rPr>
      </w:pPr>
      <w:r>
        <w:rPr>
          <w:noProof/>
        </w:rPr>
        <w:t>g)</w:t>
      </w:r>
      <w:r>
        <w:rPr>
          <w:noProof/>
        </w:rPr>
        <w:tab/>
      </w:r>
      <w:r w:rsidR="00996C90" w:rsidRPr="00BE71FF">
        <w:rPr>
          <w:noProof/>
        </w:rPr>
        <w:t>propojení a výměna informací s databázemi Unie (ERDMS);</w:t>
      </w:r>
    </w:p>
    <w:p w:rsidR="00996C90" w:rsidRPr="00BE71FF" w:rsidRDefault="004606B1" w:rsidP="004606B1">
      <w:pPr>
        <w:pStyle w:val="Point2"/>
        <w:rPr>
          <w:noProof/>
        </w:rPr>
      </w:pPr>
      <w:r>
        <w:rPr>
          <w:noProof/>
        </w:rPr>
        <w:t>h)</w:t>
      </w:r>
      <w:r>
        <w:rPr>
          <w:noProof/>
        </w:rPr>
        <w:tab/>
      </w:r>
      <w:r w:rsidR="00996C90" w:rsidRPr="00BE71FF">
        <w:rPr>
          <w:noProof/>
        </w:rPr>
        <w:t>propojení a výměna informací s IT platformami jiných druhů dopravy, včetně alespoň eFTI a EMSWe;</w:t>
      </w:r>
    </w:p>
    <w:p w:rsidR="00996C90" w:rsidRPr="00BE71FF" w:rsidRDefault="004606B1" w:rsidP="004606B1">
      <w:pPr>
        <w:pStyle w:val="Point2"/>
        <w:rPr>
          <w:noProof/>
        </w:rPr>
      </w:pPr>
      <w:r>
        <w:rPr>
          <w:noProof/>
        </w:rPr>
        <w:t>i)</w:t>
      </w:r>
      <w:r>
        <w:rPr>
          <w:noProof/>
        </w:rPr>
        <w:tab/>
      </w:r>
      <w:r w:rsidR="00996C90" w:rsidRPr="00BE71FF">
        <w:rPr>
          <w:noProof/>
        </w:rPr>
        <w:t>propojení a výměna informací se systémy řízení přístavů a s inteligentními systémy infrastruktury vnitrozemských vodních cest;</w:t>
      </w:r>
    </w:p>
    <w:p w:rsidR="00996C90" w:rsidRPr="00BE71FF" w:rsidRDefault="004606B1" w:rsidP="004606B1">
      <w:pPr>
        <w:pStyle w:val="Point2"/>
        <w:rPr>
          <w:noProof/>
        </w:rPr>
      </w:pPr>
      <w:r>
        <w:rPr>
          <w:noProof/>
        </w:rPr>
        <w:t>j)</w:t>
      </w:r>
      <w:r>
        <w:rPr>
          <w:noProof/>
        </w:rPr>
        <w:tab/>
      </w:r>
      <w:r w:rsidR="00996C90" w:rsidRPr="00BE71FF">
        <w:rPr>
          <w:noProof/>
        </w:rPr>
        <w:t>ustanovení týkající se plavby a plánování plaveb.“;</w:t>
      </w:r>
    </w:p>
    <w:p w:rsidR="00996C90" w:rsidRPr="00BE71FF" w:rsidRDefault="00996C90" w:rsidP="00996C90">
      <w:pPr>
        <w:pStyle w:val="Point1"/>
        <w:ind w:left="0" w:firstLine="0"/>
        <w:rPr>
          <w:noProof/>
        </w:rPr>
      </w:pPr>
    </w:p>
    <w:p w:rsidR="00996C90" w:rsidRPr="00BE71FF" w:rsidRDefault="004606B1" w:rsidP="004606B1">
      <w:pPr>
        <w:pStyle w:val="Point0"/>
        <w:rPr>
          <w:noProof/>
        </w:rPr>
      </w:pPr>
      <w:r>
        <w:rPr>
          <w:noProof/>
        </w:rPr>
        <w:t>6)</w:t>
      </w:r>
      <w:r>
        <w:rPr>
          <w:noProof/>
        </w:rPr>
        <w:tab/>
      </w:r>
      <w:r w:rsidR="00996C90" w:rsidRPr="00BE71FF">
        <w:rPr>
          <w:noProof/>
        </w:rPr>
        <w:t>článek 8 se nahrazuje tímto:</w:t>
      </w:r>
    </w:p>
    <w:p w:rsidR="00996C90" w:rsidRPr="00BE71FF" w:rsidRDefault="00996C90" w:rsidP="00996C90">
      <w:pPr>
        <w:pStyle w:val="Titrearticle"/>
        <w:rPr>
          <w:noProof/>
        </w:rPr>
      </w:pPr>
      <w:r w:rsidRPr="00BE71FF">
        <w:rPr>
          <w:noProof/>
        </w:rPr>
        <w:t>„Článek 8</w:t>
      </w:r>
    </w:p>
    <w:p w:rsidR="00996C90" w:rsidRPr="00BE71FF" w:rsidRDefault="00996C90" w:rsidP="00996C90">
      <w:pPr>
        <w:pStyle w:val="Typeacteprincipal"/>
        <w:rPr>
          <w:noProof/>
        </w:rPr>
      </w:pPr>
      <w:r w:rsidRPr="00BE71FF">
        <w:rPr>
          <w:noProof/>
        </w:rPr>
        <w:t>Příslušné orgány</w:t>
      </w:r>
    </w:p>
    <w:p w:rsidR="00996C90" w:rsidRPr="00BE71FF" w:rsidRDefault="00996C90" w:rsidP="00996C90">
      <w:pPr>
        <w:pStyle w:val="Point0"/>
        <w:ind w:firstLine="1"/>
        <w:rPr>
          <w:noProof/>
        </w:rPr>
      </w:pPr>
      <w:r w:rsidRPr="00BE71FF">
        <w:rPr>
          <w:noProof/>
        </w:rPr>
        <w:t>Členské státy určí příslušné orgány pro aplikaci RIS, mezinárodní výměnu údajů, provoz platformy RIS a vyřizování stížností uživatelů RIS. Tyto orgány se oznámí Komisi do … [jeden rok ode dne vstupu této směrnice v platnost].“;</w:t>
      </w:r>
    </w:p>
    <w:p w:rsidR="00996C90" w:rsidRPr="00BE71FF" w:rsidRDefault="00996C90" w:rsidP="00996C90">
      <w:pPr>
        <w:pStyle w:val="Point1"/>
        <w:spacing w:before="0" w:after="0"/>
        <w:ind w:left="993" w:hanging="142"/>
        <w:rPr>
          <w:noProof/>
        </w:rPr>
      </w:pPr>
    </w:p>
    <w:p w:rsidR="00996C90" w:rsidRPr="00BE71FF" w:rsidRDefault="004606B1" w:rsidP="004606B1">
      <w:pPr>
        <w:pStyle w:val="Point0"/>
        <w:rPr>
          <w:noProof/>
        </w:rPr>
      </w:pPr>
      <w:r>
        <w:rPr>
          <w:noProof/>
        </w:rPr>
        <w:t>7)</w:t>
      </w:r>
      <w:r>
        <w:rPr>
          <w:noProof/>
        </w:rPr>
        <w:tab/>
      </w:r>
      <w:r w:rsidR="00996C90" w:rsidRPr="00BE71FF">
        <w:rPr>
          <w:noProof/>
        </w:rPr>
        <w:t>vkládá se nový článek 8a, který zní:</w:t>
      </w:r>
    </w:p>
    <w:p w:rsidR="00996C90" w:rsidRPr="00BE71FF" w:rsidRDefault="00996C90" w:rsidP="00996C90">
      <w:pPr>
        <w:pStyle w:val="Titrearticle"/>
        <w:rPr>
          <w:noProof/>
        </w:rPr>
      </w:pPr>
      <w:r w:rsidRPr="00BE71FF">
        <w:rPr>
          <w:noProof/>
        </w:rPr>
        <w:t>„Článek 8a</w:t>
      </w:r>
    </w:p>
    <w:p w:rsidR="00996C90" w:rsidRPr="00BE71FF" w:rsidRDefault="00996C90" w:rsidP="00996C90">
      <w:pPr>
        <w:pStyle w:val="Typeacteprincipal"/>
        <w:rPr>
          <w:noProof/>
        </w:rPr>
      </w:pPr>
      <w:r w:rsidRPr="00BE71FF">
        <w:rPr>
          <w:noProof/>
        </w:rPr>
        <w:t>Vyřizování stížností</w:t>
      </w:r>
    </w:p>
    <w:p w:rsidR="00996C90" w:rsidRPr="00BE71FF" w:rsidRDefault="00996C90" w:rsidP="00996C90">
      <w:pPr>
        <w:pStyle w:val="Point1"/>
        <w:rPr>
          <w:noProof/>
        </w:rPr>
      </w:pPr>
      <w:r w:rsidRPr="00BE71FF">
        <w:rPr>
          <w:noProof/>
        </w:rPr>
        <w:t>1.</w:t>
      </w:r>
      <w:r w:rsidRPr="00BE71FF">
        <w:rPr>
          <w:noProof/>
        </w:rPr>
        <w:tab/>
        <w:t>Každý členský stát zajistí, aby byl zaveden účinný postup pro vyřizování stížností vyplývajících z uplatňování této směrnice.</w:t>
      </w:r>
    </w:p>
    <w:p w:rsidR="00996C90" w:rsidRPr="00BE71FF" w:rsidRDefault="00996C90" w:rsidP="00996C90">
      <w:pPr>
        <w:pStyle w:val="Point1"/>
        <w:rPr>
          <w:noProof/>
        </w:rPr>
      </w:pPr>
      <w:r w:rsidRPr="00BE71FF">
        <w:rPr>
          <w:noProof/>
        </w:rPr>
        <w:t>2.</w:t>
      </w:r>
      <w:r w:rsidRPr="00BE71FF">
        <w:rPr>
          <w:noProof/>
        </w:rPr>
        <w:tab/>
        <w:t>Stížnosti se vyřizují způsobem, který zabraňuje střetu zájmů a který je funkčně nezávislý na jakémkoli orgánu příslušném pro aplikaci RIS, mezinárodní výměnu údajů a provoz platformy RIS. Vyřizování stížností musí být nestranné a transparentní a musí náležitě respektovat svobodu podnikání.</w:t>
      </w:r>
    </w:p>
    <w:p w:rsidR="00996C90" w:rsidRPr="00BE71FF" w:rsidRDefault="00996C90" w:rsidP="00996C90">
      <w:pPr>
        <w:pStyle w:val="Point1"/>
        <w:rPr>
          <w:noProof/>
        </w:rPr>
      </w:pPr>
      <w:r w:rsidRPr="00BE71FF">
        <w:rPr>
          <w:noProof/>
        </w:rPr>
        <w:t>3.</w:t>
      </w:r>
      <w:r w:rsidRPr="00BE71FF">
        <w:rPr>
          <w:noProof/>
        </w:rPr>
        <w:tab/>
        <w:t>Stížnosti se podávají v členském státě, na jehož vodních cestách nebo ve vnitrozemských přístavech došlo ke vzniku důvodu stížnosti. Členské státy zajistí, aby uživatelé RIS a další příslušné zúčastněné strany byli informováni o tom, kde a jak podat stížnost a které orgány jsou příslušné pro vyřizování stížností.</w:t>
      </w:r>
    </w:p>
    <w:p w:rsidR="00996C90" w:rsidRPr="00BE71FF" w:rsidRDefault="00996C90" w:rsidP="00996C90">
      <w:pPr>
        <w:pStyle w:val="Point1"/>
        <w:rPr>
          <w:noProof/>
        </w:rPr>
      </w:pPr>
      <w:r w:rsidRPr="00BE71FF">
        <w:rPr>
          <w:noProof/>
        </w:rPr>
        <w:t>4.</w:t>
      </w:r>
      <w:r w:rsidRPr="00BE71FF">
        <w:rPr>
          <w:noProof/>
        </w:rPr>
        <w:tab/>
        <w:t xml:space="preserve">V případě stížností přeshraniční povahy orgány příslušné pro vyřizování stížností spolupracují. </w:t>
      </w:r>
    </w:p>
    <w:p w:rsidR="00996C90" w:rsidRPr="00BE71FF" w:rsidRDefault="00996C90" w:rsidP="00996C90">
      <w:pPr>
        <w:pStyle w:val="Point1"/>
        <w:rPr>
          <w:noProof/>
        </w:rPr>
      </w:pPr>
      <w:r w:rsidRPr="00BE71FF">
        <w:rPr>
          <w:noProof/>
        </w:rPr>
        <w:t>5.</w:t>
      </w:r>
      <w:r w:rsidRPr="00BE71FF">
        <w:rPr>
          <w:noProof/>
        </w:rPr>
        <w:tab/>
        <w:t xml:space="preserve">Orgány příslušné pro vyřizování stížností jsou v souladu s vnitrostátními právními předpisy oprávněny požadovat, aby jim příslušné orgány pro aplikaci RIS, pro mezinárodní výměnu údajů, poskytovatelé služeb RIS, provozovatelé </w:t>
      </w:r>
      <w:r w:rsidRPr="00BE71FF">
        <w:rPr>
          <w:noProof/>
        </w:rPr>
        <w:lastRenderedPageBreak/>
        <w:t xml:space="preserve">infrastruktury a vnitrozemské přístavy poskytli informace, které se týkají stížnosti. </w:t>
      </w:r>
    </w:p>
    <w:p w:rsidR="00996C90" w:rsidRPr="00BE71FF" w:rsidRDefault="00996C90" w:rsidP="00996C90">
      <w:pPr>
        <w:pStyle w:val="Point1"/>
        <w:rPr>
          <w:noProof/>
        </w:rPr>
      </w:pPr>
      <w:r w:rsidRPr="00BE71FF">
        <w:rPr>
          <w:noProof/>
        </w:rPr>
        <w:t>6.</w:t>
      </w:r>
      <w:r w:rsidRPr="00BE71FF">
        <w:rPr>
          <w:noProof/>
        </w:rPr>
        <w:tab/>
        <w:t xml:space="preserve">Orgány příslušné pro vyřizování stížností musí mít v souladu s vnitrostátními právními předpisy pravomoc přijímat závazná rozhodnutí, případně podléhající soudnímu přezkumu. </w:t>
      </w:r>
    </w:p>
    <w:p w:rsidR="00996C90" w:rsidRPr="00BE71FF" w:rsidRDefault="00996C90" w:rsidP="00996C90">
      <w:pPr>
        <w:pStyle w:val="Point1"/>
        <w:rPr>
          <w:noProof/>
        </w:rPr>
      </w:pPr>
      <w:r w:rsidRPr="00BE71FF">
        <w:rPr>
          <w:noProof/>
        </w:rPr>
        <w:t>7.</w:t>
      </w:r>
      <w:r w:rsidRPr="00BE71FF">
        <w:rPr>
          <w:noProof/>
        </w:rPr>
        <w:tab/>
        <w:t>Členské státy informují Komisi o postupu vyřizování stížností do … [</w:t>
      </w:r>
      <w:r w:rsidRPr="00BE71FF">
        <w:rPr>
          <w:noProof/>
          <w:color w:val="231F20"/>
        </w:rPr>
        <w:t>jeden rok ode dne vstupu v platnost</w:t>
      </w:r>
      <w:r w:rsidRPr="00BE71FF">
        <w:rPr>
          <w:noProof/>
        </w:rPr>
        <w:t>] a následně o všech změnách těchto informací. Komise tyto informace zveřejní a pravidelně aktualizuje na svých internetových stránkách.</w:t>
      </w:r>
    </w:p>
    <w:p w:rsidR="00996C90" w:rsidRPr="00BE71FF" w:rsidRDefault="00996C90" w:rsidP="00996C90">
      <w:pPr>
        <w:pStyle w:val="Point1"/>
        <w:rPr>
          <w:noProof/>
        </w:rPr>
      </w:pPr>
      <w:r w:rsidRPr="00BE71FF">
        <w:rPr>
          <w:noProof/>
        </w:rPr>
        <w:t>8.</w:t>
      </w:r>
      <w:r w:rsidRPr="00BE71FF">
        <w:rPr>
          <w:noProof/>
        </w:rPr>
        <w:tab/>
        <w:t>Členské státy každoročně informují Komisi o počtu a druhu stížností, které obdržely orgány příslušné pro vyřizování stížností, o počtu přijatých nápravných opatření a o době potřebné k vyřešení stížností.“;</w:t>
      </w:r>
    </w:p>
    <w:p w:rsidR="00996C90" w:rsidRPr="00BE71FF" w:rsidRDefault="004606B1" w:rsidP="004606B1">
      <w:pPr>
        <w:pStyle w:val="Point0"/>
        <w:rPr>
          <w:noProof/>
        </w:rPr>
      </w:pPr>
      <w:r>
        <w:rPr>
          <w:noProof/>
        </w:rPr>
        <w:t>8)</w:t>
      </w:r>
      <w:r>
        <w:rPr>
          <w:noProof/>
        </w:rPr>
        <w:tab/>
      </w:r>
      <w:r w:rsidR="00996C90" w:rsidRPr="00BE71FF">
        <w:rPr>
          <w:noProof/>
        </w:rPr>
        <w:t>článek 9 se nahrazuje tímto:</w:t>
      </w:r>
    </w:p>
    <w:p w:rsidR="00996C90" w:rsidRPr="00BE71FF" w:rsidRDefault="00996C90" w:rsidP="00996C90">
      <w:pPr>
        <w:pStyle w:val="Titrearticle"/>
        <w:rPr>
          <w:noProof/>
        </w:rPr>
      </w:pPr>
      <w:r w:rsidRPr="00BE71FF">
        <w:rPr>
          <w:noProof/>
        </w:rPr>
        <w:t>„Článek 9</w:t>
      </w:r>
    </w:p>
    <w:p w:rsidR="00996C90" w:rsidRPr="00BE71FF" w:rsidRDefault="00996C90" w:rsidP="00996C90">
      <w:pPr>
        <w:pStyle w:val="Typeacteprincipal"/>
        <w:rPr>
          <w:noProof/>
        </w:rPr>
      </w:pPr>
      <w:r w:rsidRPr="00BE71FF">
        <w:rPr>
          <w:noProof/>
          <w:color w:val="231F20"/>
        </w:rPr>
        <w:t>Pravidla pro důvěrnost a bezpečnost informací</w:t>
      </w:r>
    </w:p>
    <w:p w:rsidR="00996C90" w:rsidRPr="00BE71FF" w:rsidRDefault="00996C90" w:rsidP="00996C90">
      <w:pPr>
        <w:pStyle w:val="Point1"/>
        <w:spacing w:before="0" w:after="0"/>
        <w:ind w:left="851" w:firstLine="0"/>
        <w:rPr>
          <w:noProof/>
          <w:color w:val="231F20"/>
          <w:szCs w:val="24"/>
        </w:rPr>
      </w:pPr>
      <w:r w:rsidRPr="00BE71FF">
        <w:rPr>
          <w:noProof/>
          <w:color w:val="231F20"/>
        </w:rPr>
        <w:t>Členské státy přijmou nezbytná technická a organizační opatření v souladu s platnými právními předpisy Unie a vnitrostátními právními předpisy k ochraně informací a záznamů RIS před nežádoucími událostmi nebo zneužitím, včetně neoprávněného přístupu, změny nebo ztráty, a k zajištění důvěrnosti obchodních a jiných citlivých informací vyměňovaných podle této směrnice.“;</w:t>
      </w:r>
    </w:p>
    <w:p w:rsidR="00996C90" w:rsidRPr="00BE71FF" w:rsidRDefault="004606B1" w:rsidP="004606B1">
      <w:pPr>
        <w:pStyle w:val="Point0"/>
        <w:rPr>
          <w:noProof/>
        </w:rPr>
      </w:pPr>
      <w:r>
        <w:rPr>
          <w:noProof/>
        </w:rPr>
        <w:t>9)</w:t>
      </w:r>
      <w:r>
        <w:rPr>
          <w:noProof/>
        </w:rPr>
        <w:tab/>
      </w:r>
      <w:r w:rsidR="00996C90" w:rsidRPr="00BE71FF">
        <w:rPr>
          <w:noProof/>
        </w:rPr>
        <w:t>článek 10 se nahrazuje tímto:</w:t>
      </w:r>
    </w:p>
    <w:p w:rsidR="00996C90" w:rsidRPr="00BE71FF" w:rsidRDefault="00996C90" w:rsidP="00996C90">
      <w:pPr>
        <w:pStyle w:val="Titrearticle"/>
        <w:rPr>
          <w:noProof/>
        </w:rPr>
      </w:pPr>
      <w:r w:rsidRPr="00BE71FF">
        <w:rPr>
          <w:noProof/>
        </w:rPr>
        <w:t>„Článek 10</w:t>
      </w:r>
    </w:p>
    <w:p w:rsidR="00996C90" w:rsidRPr="00BE71FF" w:rsidRDefault="00996C90" w:rsidP="00996C90">
      <w:pPr>
        <w:pStyle w:val="Typeacteprincipal"/>
        <w:rPr>
          <w:noProof/>
        </w:rPr>
      </w:pPr>
      <w:r w:rsidRPr="00BE71FF">
        <w:rPr>
          <w:noProof/>
        </w:rPr>
        <w:t>Postup pro přijímání změn</w:t>
      </w:r>
    </w:p>
    <w:p w:rsidR="00996C90" w:rsidRPr="00BE71FF" w:rsidRDefault="00996C90" w:rsidP="00996C90">
      <w:pPr>
        <w:pStyle w:val="Point1"/>
        <w:rPr>
          <w:noProof/>
        </w:rPr>
      </w:pPr>
      <w:r w:rsidRPr="00BE71FF">
        <w:rPr>
          <w:noProof/>
        </w:rPr>
        <w:t>1.</w:t>
      </w:r>
      <w:r w:rsidRPr="00BE71FF">
        <w:rPr>
          <w:noProof/>
        </w:rPr>
        <w:tab/>
        <w:t xml:space="preserve">Komisi je svěřena pravomoc přijímat akty v přenesené pravomoci v souladu s článkem 10a za účelem změny přílohy I aktualizací a revizí minimálních požadavků týkajících se údajů, přičemž zohlední zkušenosti získané při uplatňování této směrnice a technický pokrok ve vývoji technologií a aplikací RIS. </w:t>
      </w:r>
    </w:p>
    <w:p w:rsidR="00996C90" w:rsidRPr="00BE71FF" w:rsidRDefault="00996C90" w:rsidP="00996C90">
      <w:pPr>
        <w:pStyle w:val="Point1"/>
        <w:rPr>
          <w:noProof/>
        </w:rPr>
      </w:pPr>
      <w:r w:rsidRPr="00BE71FF">
        <w:rPr>
          <w:noProof/>
        </w:rPr>
        <w:t>2.</w:t>
      </w:r>
      <w:r w:rsidRPr="00BE71FF">
        <w:rPr>
          <w:noProof/>
        </w:rPr>
        <w:tab/>
        <w:t>Komisi je svěřena pravomoc přijímat akty v přenesené pravomoci v souladu s článkem 10a za účelem změny přílohy III aktualizací odkazu na nejnovější verzi normy ES-RIS, je-li to vhodné s ohledem na kritéria vymezená v odstavci 3, a v souladu se zásadami přílohy II, a stanovit datum její použitelnosti.</w:t>
      </w:r>
    </w:p>
    <w:p w:rsidR="00996C90" w:rsidRPr="00BE71FF" w:rsidRDefault="00996C90" w:rsidP="00996C90">
      <w:pPr>
        <w:pStyle w:val="Point1"/>
        <w:rPr>
          <w:noProof/>
        </w:rPr>
      </w:pPr>
      <w:r w:rsidRPr="00BE71FF">
        <w:rPr>
          <w:noProof/>
        </w:rPr>
        <w:t>3.</w:t>
      </w:r>
      <w:r w:rsidRPr="00BE71FF">
        <w:rPr>
          <w:noProof/>
        </w:rPr>
        <w:tab/>
        <w:t>V případě, že neexistují vhodné a aktuální technické specifikace nebo kdy technické specifikace vypracované výborem CESNI nejsou v souladu s použitelnými požadavky stanovenými v příloze II nebo by změny v rozhodovacím procesu výboru CESNI nebo v jiných prvcích normy ohrozily zájmy Unie, a je-li to řádně odůvodněno vhodnou analýzou, je Komisi svěřena pravomoc přijímat akty v přenesené pravomoci v souladu s článkem 10a za účelem změny přílohy III s cílem stanovit vhodné technické specifikace na základě zásad uvedených v příloze II.“;</w:t>
      </w:r>
    </w:p>
    <w:p w:rsidR="00996C90" w:rsidRPr="00BE71FF" w:rsidRDefault="004606B1" w:rsidP="004606B1">
      <w:pPr>
        <w:pStyle w:val="Point0"/>
        <w:rPr>
          <w:noProof/>
        </w:rPr>
      </w:pPr>
      <w:r>
        <w:rPr>
          <w:noProof/>
        </w:rPr>
        <w:t>10)</w:t>
      </w:r>
      <w:r>
        <w:rPr>
          <w:noProof/>
        </w:rPr>
        <w:tab/>
      </w:r>
      <w:r w:rsidR="00996C90" w:rsidRPr="00BE71FF">
        <w:rPr>
          <w:noProof/>
        </w:rPr>
        <w:t xml:space="preserve">v článku 10a se odstavec 2 nahrazuje tímto: </w:t>
      </w:r>
    </w:p>
    <w:p w:rsidR="00996C90" w:rsidRPr="00BE71FF" w:rsidRDefault="00996C90" w:rsidP="00996C90">
      <w:pPr>
        <w:pStyle w:val="Point1"/>
        <w:rPr>
          <w:noProof/>
        </w:rPr>
      </w:pPr>
      <w:r w:rsidRPr="00BE71FF">
        <w:rPr>
          <w:noProof/>
        </w:rPr>
        <w:lastRenderedPageBreak/>
        <w:t>„2.</w:t>
      </w:r>
      <w:r w:rsidRPr="00BE71FF">
        <w:rPr>
          <w:noProof/>
        </w:rPr>
        <w:tab/>
        <w:t>Pravomoc přijímat akty v přenesené pravomoci uvedená v článku 10 je Komisi svěřena na období pěti let počínaje [datum vstup v platnost]. Komise vypracuje zprávu o přenesené pravomoci nejpozději devět měsíců před koncem tohoto pětiletého období. Přenesení pravomoci se automaticky prodlužuje o stejně dlouhá období, pokud Evropský parlament nebo Rada nevysloví proti tomuto prodloužení námitku nejpozději tři měsíce před koncem každého z těchto období.“;</w:t>
      </w:r>
    </w:p>
    <w:p w:rsidR="00996C90" w:rsidRPr="00BE71FF" w:rsidRDefault="004606B1" w:rsidP="004606B1">
      <w:pPr>
        <w:pStyle w:val="Point0"/>
        <w:rPr>
          <w:noProof/>
        </w:rPr>
      </w:pPr>
      <w:r>
        <w:rPr>
          <w:noProof/>
        </w:rPr>
        <w:t>11)</w:t>
      </w:r>
      <w:r>
        <w:rPr>
          <w:noProof/>
        </w:rPr>
        <w:tab/>
      </w:r>
      <w:r w:rsidR="00996C90" w:rsidRPr="00BE71FF">
        <w:rPr>
          <w:noProof/>
        </w:rPr>
        <w:t>v článku 10a se odstavec 6 nahrazuje tímto:</w:t>
      </w:r>
    </w:p>
    <w:p w:rsidR="00996C90" w:rsidRPr="00BE71FF" w:rsidRDefault="00996C90" w:rsidP="00996C90">
      <w:pPr>
        <w:pStyle w:val="Point1"/>
        <w:rPr>
          <w:noProof/>
        </w:rPr>
      </w:pPr>
      <w:r w:rsidRPr="00BE71FF">
        <w:rPr>
          <w:noProof/>
        </w:rPr>
        <w:t>„6.</w:t>
      </w:r>
      <w:r w:rsidRPr="00BE71FF">
        <w:rPr>
          <w:noProof/>
        </w:rPr>
        <w:tab/>
        <w:t>Akt v přenesené pravomoci přijatý podle tohoto článku vstoupí v platnost, pouze pokud proti němu Evropský parlament nebo Rada nevysloví námitky ve lhůtě dvou měsíců ode dne, kdy byl tento akt oznámen Evropskému parlamentu.“;</w:t>
      </w:r>
    </w:p>
    <w:p w:rsidR="00996C90" w:rsidRPr="00BE71FF" w:rsidRDefault="004606B1" w:rsidP="004606B1">
      <w:pPr>
        <w:pStyle w:val="Point0"/>
        <w:rPr>
          <w:noProof/>
        </w:rPr>
      </w:pPr>
      <w:r>
        <w:rPr>
          <w:noProof/>
        </w:rPr>
        <w:t>12)</w:t>
      </w:r>
      <w:r>
        <w:rPr>
          <w:noProof/>
        </w:rPr>
        <w:tab/>
      </w:r>
      <w:r w:rsidR="00996C90" w:rsidRPr="00BE71FF">
        <w:rPr>
          <w:noProof/>
        </w:rPr>
        <w:t>článek 11 se nahrazuje tímto:</w:t>
      </w:r>
    </w:p>
    <w:p w:rsidR="00996C90" w:rsidRPr="00BE71FF" w:rsidRDefault="00996C90" w:rsidP="00996C90">
      <w:pPr>
        <w:pStyle w:val="Titrearticle"/>
        <w:rPr>
          <w:noProof/>
        </w:rPr>
      </w:pPr>
      <w:r w:rsidRPr="00BE71FF">
        <w:rPr>
          <w:noProof/>
        </w:rPr>
        <w:t>„Článek 11</w:t>
      </w:r>
    </w:p>
    <w:p w:rsidR="00996C90" w:rsidRPr="00BE71FF" w:rsidRDefault="00996C90" w:rsidP="00996C90">
      <w:pPr>
        <w:pStyle w:val="Typeacteprincipal"/>
        <w:rPr>
          <w:noProof/>
        </w:rPr>
      </w:pPr>
      <w:r w:rsidRPr="00BE71FF">
        <w:rPr>
          <w:noProof/>
        </w:rPr>
        <w:t>Postup projednávání ve výboru</w:t>
      </w:r>
    </w:p>
    <w:p w:rsidR="00996C90" w:rsidRPr="00BE71FF" w:rsidRDefault="00996C90" w:rsidP="00996C90">
      <w:pPr>
        <w:pStyle w:val="Point1"/>
        <w:ind w:left="851" w:hanging="1"/>
        <w:rPr>
          <w:noProof/>
        </w:rPr>
      </w:pPr>
      <w:r w:rsidRPr="00BE71FF">
        <w:rPr>
          <w:noProof/>
        </w:rPr>
        <w:t>1.</w:t>
      </w:r>
      <w:r w:rsidRPr="00BE71FF">
        <w:rPr>
          <w:noProof/>
        </w:rPr>
        <w:tab/>
        <w:t>Komisi je nápomocen Výbor pro vnitrozemskou vodní dopravu. Tento výbor je výborem ve smyslu nařízení Evropského parlamentu a Rady (EU) č. 182/2011</w:t>
      </w:r>
      <w:r w:rsidRPr="00BE71FF">
        <w:rPr>
          <w:rStyle w:val="FootnoteReference"/>
          <w:noProof/>
        </w:rPr>
        <w:footnoteReference w:id="41"/>
      </w:r>
      <w:r w:rsidRPr="00BE71FF">
        <w:rPr>
          <w:noProof/>
        </w:rPr>
        <w:t>.</w:t>
      </w:r>
    </w:p>
    <w:p w:rsidR="00996C90" w:rsidRPr="00BE71FF" w:rsidRDefault="00996C90" w:rsidP="00996C90">
      <w:pPr>
        <w:pStyle w:val="Point1"/>
        <w:ind w:left="851" w:hanging="1"/>
        <w:rPr>
          <w:noProof/>
        </w:rPr>
      </w:pPr>
      <w:r w:rsidRPr="00BE71FF">
        <w:rPr>
          <w:noProof/>
        </w:rPr>
        <w:t>2.</w:t>
      </w:r>
      <w:r w:rsidRPr="00BE71FF">
        <w:rPr>
          <w:noProof/>
        </w:rPr>
        <w:tab/>
        <w:t>Odkazuje-li se na tento odstavec, použije se článek 5 nařízení (EU) č. 182/2011.“;</w:t>
      </w:r>
    </w:p>
    <w:p w:rsidR="00996C90" w:rsidRPr="00BE71FF" w:rsidRDefault="004606B1" w:rsidP="004606B1">
      <w:pPr>
        <w:pStyle w:val="Point0"/>
        <w:rPr>
          <w:noProof/>
        </w:rPr>
      </w:pPr>
      <w:r>
        <w:rPr>
          <w:noProof/>
        </w:rPr>
        <w:t>13)</w:t>
      </w:r>
      <w:r>
        <w:rPr>
          <w:noProof/>
        </w:rPr>
        <w:tab/>
      </w:r>
      <w:r w:rsidR="00996C90" w:rsidRPr="00BE71FF">
        <w:rPr>
          <w:noProof/>
        </w:rPr>
        <w:t>v článku 12 se zrušují odstavce 2 a 3;</w:t>
      </w:r>
    </w:p>
    <w:p w:rsidR="00996C90" w:rsidRPr="00BE71FF" w:rsidRDefault="004606B1" w:rsidP="004606B1">
      <w:pPr>
        <w:pStyle w:val="Point0"/>
        <w:rPr>
          <w:noProof/>
        </w:rPr>
      </w:pPr>
      <w:r>
        <w:rPr>
          <w:noProof/>
        </w:rPr>
        <w:t>14)</w:t>
      </w:r>
      <w:r>
        <w:rPr>
          <w:noProof/>
        </w:rPr>
        <w:tab/>
      </w:r>
      <w:r w:rsidR="00996C90" w:rsidRPr="00BE71FF">
        <w:rPr>
          <w:noProof/>
        </w:rPr>
        <w:t>vkládá se nový článek 12a, který zní:</w:t>
      </w:r>
    </w:p>
    <w:p w:rsidR="00996C90" w:rsidRPr="00BE71FF" w:rsidRDefault="00996C90" w:rsidP="00996C90">
      <w:pPr>
        <w:pStyle w:val="Titrearticle"/>
        <w:rPr>
          <w:noProof/>
        </w:rPr>
      </w:pPr>
      <w:r w:rsidRPr="00BE71FF">
        <w:rPr>
          <w:noProof/>
        </w:rPr>
        <w:t>„Článek 12a</w:t>
      </w:r>
    </w:p>
    <w:p w:rsidR="00996C90" w:rsidRPr="00BE71FF" w:rsidRDefault="00996C90" w:rsidP="00996C90">
      <w:pPr>
        <w:pStyle w:val="Typeacteprincipal"/>
        <w:rPr>
          <w:noProof/>
        </w:rPr>
      </w:pPr>
      <w:r w:rsidRPr="00BE71FF">
        <w:rPr>
          <w:noProof/>
        </w:rPr>
        <w:t xml:space="preserve">Monitorování </w:t>
      </w:r>
    </w:p>
    <w:p w:rsidR="00B460EC" w:rsidRPr="00BE71FF" w:rsidRDefault="00996C90" w:rsidP="00B460EC">
      <w:pPr>
        <w:pStyle w:val="Text1"/>
        <w:rPr>
          <w:noProof/>
        </w:rPr>
      </w:pPr>
      <w:r w:rsidRPr="00BE71FF">
        <w:rPr>
          <w:noProof/>
        </w:rPr>
        <w:t>Komise monitoruje zavádění RIS v Unii a podá Evropskému parlamentu a Radě zprávu do … [pět let ode dne vstupu v platnost].“;</w:t>
      </w:r>
    </w:p>
    <w:p w:rsidR="00996C90" w:rsidRPr="00BE71FF" w:rsidRDefault="004606B1" w:rsidP="004606B1">
      <w:pPr>
        <w:pStyle w:val="Point0"/>
        <w:rPr>
          <w:noProof/>
        </w:rPr>
      </w:pPr>
      <w:r>
        <w:rPr>
          <w:noProof/>
        </w:rPr>
        <w:t>15)</w:t>
      </w:r>
      <w:r>
        <w:rPr>
          <w:noProof/>
        </w:rPr>
        <w:tab/>
      </w:r>
      <w:r w:rsidR="00996C90" w:rsidRPr="00BE71FF">
        <w:rPr>
          <w:noProof/>
        </w:rPr>
        <w:t xml:space="preserve">příloha I směrnice 2005/44/ES se nahrazuje zněním uvedeným v příloze I této směrnice; </w:t>
      </w:r>
    </w:p>
    <w:p w:rsidR="00996C90" w:rsidRPr="00BE71FF" w:rsidRDefault="004606B1" w:rsidP="004606B1">
      <w:pPr>
        <w:pStyle w:val="Point0"/>
        <w:rPr>
          <w:noProof/>
        </w:rPr>
      </w:pPr>
      <w:r>
        <w:rPr>
          <w:noProof/>
        </w:rPr>
        <w:t>16)</w:t>
      </w:r>
      <w:r>
        <w:rPr>
          <w:noProof/>
        </w:rPr>
        <w:tab/>
      </w:r>
      <w:r w:rsidR="00996C90" w:rsidRPr="00BE71FF">
        <w:rPr>
          <w:noProof/>
        </w:rPr>
        <w:t>příloha II směrnice 2005/44/ES se nahrazuje zněním uvedeným v příloze II této směrnice;</w:t>
      </w:r>
    </w:p>
    <w:p w:rsidR="00996C90" w:rsidRPr="00BE71FF" w:rsidRDefault="004606B1" w:rsidP="004606B1">
      <w:pPr>
        <w:pStyle w:val="Point0"/>
        <w:rPr>
          <w:noProof/>
        </w:rPr>
      </w:pPr>
      <w:r>
        <w:rPr>
          <w:noProof/>
        </w:rPr>
        <w:t>17)</w:t>
      </w:r>
      <w:r>
        <w:rPr>
          <w:noProof/>
        </w:rPr>
        <w:tab/>
      </w:r>
      <w:r w:rsidR="00996C90" w:rsidRPr="00BE71FF">
        <w:rPr>
          <w:noProof/>
        </w:rPr>
        <w:t>znění obsažené v příloze III této směrnice se doplňuje jako příloha III.</w:t>
      </w:r>
    </w:p>
    <w:p w:rsidR="00996C90" w:rsidRPr="00BE71FF" w:rsidRDefault="00996C90" w:rsidP="00996C90">
      <w:pPr>
        <w:pStyle w:val="Titrearticle"/>
        <w:rPr>
          <w:noProof/>
        </w:rPr>
      </w:pPr>
      <w:r w:rsidRPr="00BE71FF">
        <w:rPr>
          <w:noProof/>
        </w:rPr>
        <w:t>Článek 2</w:t>
      </w:r>
    </w:p>
    <w:p w:rsidR="00996C90" w:rsidRPr="00BE71FF" w:rsidRDefault="00996C90" w:rsidP="00996C90">
      <w:pPr>
        <w:pStyle w:val="Typeacteprincipal"/>
        <w:rPr>
          <w:noProof/>
        </w:rPr>
      </w:pPr>
      <w:r w:rsidRPr="00BE71FF">
        <w:rPr>
          <w:noProof/>
        </w:rPr>
        <w:t>Provedení</w:t>
      </w:r>
    </w:p>
    <w:p w:rsidR="00996C90" w:rsidRPr="00BE71FF" w:rsidRDefault="00996C90" w:rsidP="00996C90">
      <w:pPr>
        <w:pStyle w:val="Point0"/>
        <w:rPr>
          <w:noProof/>
        </w:rPr>
      </w:pPr>
      <w:r w:rsidRPr="00BE71FF">
        <w:rPr>
          <w:noProof/>
        </w:rPr>
        <w:t>1.</w:t>
      </w:r>
      <w:r w:rsidRPr="00BE71FF">
        <w:rPr>
          <w:noProof/>
        </w:rPr>
        <w:tab/>
        <w:t>Členské státy spadající do oblasti působnosti této směrnice uvedou v účinnost právní a správní předpisy nezbytné pro dosažení souladu s touto směrnicí nejpozději do dne [jeden rok od vstupu v platnost]. Neprodleně o nich uvědomí Komisi.</w:t>
      </w:r>
    </w:p>
    <w:p w:rsidR="00996C90" w:rsidRPr="00BE71FF" w:rsidRDefault="00996C90" w:rsidP="00996C90">
      <w:pPr>
        <w:pStyle w:val="Point0"/>
        <w:rPr>
          <w:noProof/>
        </w:rPr>
      </w:pPr>
      <w:r w:rsidRPr="00BE71FF">
        <w:rPr>
          <w:noProof/>
        </w:rPr>
        <w:lastRenderedPageBreak/>
        <w:t>2.</w:t>
      </w:r>
      <w:r w:rsidRPr="00BE71FF">
        <w:rPr>
          <w:noProof/>
        </w:rPr>
        <w:tab/>
        <w:t>Tyto předpisy přijaté členskými státy musí obsahovat odkaz na tuto směrnici nebo musí být takový odkaz učiněn při jejich úředním vyhlášení. Způsob odkazu si stanoví členské státy.</w:t>
      </w:r>
    </w:p>
    <w:p w:rsidR="00996C90" w:rsidRPr="00BE71FF" w:rsidRDefault="00996C90" w:rsidP="00996C90">
      <w:pPr>
        <w:pStyle w:val="Point0"/>
        <w:rPr>
          <w:noProof/>
        </w:rPr>
      </w:pPr>
      <w:r w:rsidRPr="00BE71FF">
        <w:rPr>
          <w:noProof/>
        </w:rPr>
        <w:t>3.</w:t>
      </w:r>
      <w:r w:rsidRPr="00BE71FF">
        <w:rPr>
          <w:noProof/>
        </w:rPr>
        <w:tab/>
        <w:t xml:space="preserve">Členské státy sdělí Komisi znění hlavních ustanovení vnitrostátních právních předpisů, které přijmou v oblasti působnosti této směrnice. </w:t>
      </w:r>
    </w:p>
    <w:p w:rsidR="00996C90" w:rsidRPr="00BE71FF" w:rsidRDefault="00996C90" w:rsidP="00996C90">
      <w:pPr>
        <w:pStyle w:val="Titrearticle"/>
        <w:rPr>
          <w:noProof/>
        </w:rPr>
      </w:pPr>
      <w:r w:rsidRPr="00BE71FF">
        <w:rPr>
          <w:noProof/>
        </w:rPr>
        <w:t xml:space="preserve">Článek 3 </w:t>
      </w:r>
    </w:p>
    <w:p w:rsidR="00996C90" w:rsidRPr="00BE71FF" w:rsidRDefault="00996C90" w:rsidP="00996C90">
      <w:pPr>
        <w:pStyle w:val="Typeacteprincipal"/>
        <w:rPr>
          <w:noProof/>
        </w:rPr>
      </w:pPr>
      <w:r w:rsidRPr="00BE71FF">
        <w:rPr>
          <w:noProof/>
        </w:rPr>
        <w:t>Vstup v platnost</w:t>
      </w:r>
    </w:p>
    <w:p w:rsidR="00996C90" w:rsidRPr="00BE71FF" w:rsidRDefault="00996C90" w:rsidP="00996C90">
      <w:pPr>
        <w:rPr>
          <w:noProof/>
        </w:rPr>
      </w:pPr>
      <w:r w:rsidRPr="00BE71FF">
        <w:rPr>
          <w:noProof/>
        </w:rPr>
        <w:t xml:space="preserve">Tato směrnice vstupuje v platnost dvacátým dnem po vyhlášení v </w:t>
      </w:r>
      <w:r w:rsidRPr="00BE71FF">
        <w:rPr>
          <w:i/>
          <w:noProof/>
        </w:rPr>
        <w:t>Úředním věstníku Evropské unie</w:t>
      </w:r>
      <w:r w:rsidRPr="00BE71FF">
        <w:rPr>
          <w:noProof/>
        </w:rPr>
        <w:t>.</w:t>
      </w:r>
    </w:p>
    <w:p w:rsidR="00996C90" w:rsidRPr="00BE71FF" w:rsidRDefault="00996C90" w:rsidP="00996C90">
      <w:pPr>
        <w:pStyle w:val="Titrearticle"/>
        <w:rPr>
          <w:noProof/>
        </w:rPr>
      </w:pPr>
      <w:r w:rsidRPr="00BE71FF">
        <w:rPr>
          <w:noProof/>
        </w:rPr>
        <w:t>Článek 4</w:t>
      </w:r>
    </w:p>
    <w:p w:rsidR="00996C90" w:rsidRPr="00BE71FF" w:rsidRDefault="00996C90" w:rsidP="00996C90">
      <w:pPr>
        <w:pStyle w:val="Typeacteprincipal"/>
        <w:rPr>
          <w:noProof/>
        </w:rPr>
      </w:pPr>
      <w:r w:rsidRPr="00BE71FF">
        <w:rPr>
          <w:noProof/>
        </w:rPr>
        <w:t>Určení</w:t>
      </w:r>
    </w:p>
    <w:p w:rsidR="00996C90" w:rsidRPr="00BE71FF" w:rsidRDefault="00996C90" w:rsidP="00996C90">
      <w:pPr>
        <w:keepNext/>
        <w:keepLines/>
        <w:rPr>
          <w:noProof/>
        </w:rPr>
      </w:pPr>
      <w:r w:rsidRPr="00BE71FF">
        <w:rPr>
          <w:noProof/>
        </w:rPr>
        <w:t>Tato směrnice je určena členským státům, které mají vnitrozemské vodní cesty spadající do oblasti působnosti článku 2 směrnice 2005/44/ES.</w:t>
      </w:r>
    </w:p>
    <w:p w:rsidR="00996C90" w:rsidRPr="00BE71FF" w:rsidRDefault="00BE71FF" w:rsidP="00CD0D5F">
      <w:pPr>
        <w:pStyle w:val="Fait"/>
        <w:rPr>
          <w:noProof/>
        </w:rPr>
      </w:pPr>
      <w:r>
        <w:rPr>
          <w:noProof/>
        </w:rPr>
        <w:t>V Bruselu dne</w:t>
      </w:r>
    </w:p>
    <w:p w:rsidR="00996C90" w:rsidRPr="00BE71FF" w:rsidRDefault="00996C90" w:rsidP="00CD0D5F">
      <w:pPr>
        <w:pStyle w:val="Institutionquisigne"/>
        <w:rPr>
          <w:noProof/>
        </w:rPr>
      </w:pPr>
      <w:r w:rsidRPr="00BE71FF">
        <w:rPr>
          <w:noProof/>
        </w:rPr>
        <w:t>Za Evropský parlament</w:t>
      </w:r>
      <w:r w:rsidRPr="00BE71FF">
        <w:rPr>
          <w:noProof/>
        </w:rPr>
        <w:tab/>
        <w:t>Za Radu</w:t>
      </w:r>
    </w:p>
    <w:p w:rsidR="009E766C" w:rsidRPr="00BE71FF" w:rsidRDefault="00996C90" w:rsidP="002D3A52">
      <w:pPr>
        <w:pStyle w:val="Personnequisigne"/>
        <w:rPr>
          <w:noProof/>
        </w:rPr>
      </w:pPr>
      <w:r w:rsidRPr="00BE71FF">
        <w:rPr>
          <w:noProof/>
        </w:rPr>
        <w:t>předseda/předsedkyně</w:t>
      </w:r>
      <w:r w:rsidRPr="00BE71FF">
        <w:rPr>
          <w:noProof/>
        </w:rPr>
        <w:tab/>
        <w:t>předseda/předsedkyně</w:t>
      </w:r>
    </w:p>
    <w:sectPr w:rsidR="009E766C" w:rsidRPr="00BE71FF" w:rsidSect="00224BFD">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14D6" w:rsidRDefault="00A214D6" w:rsidP="009E766C">
      <w:pPr>
        <w:spacing w:before="0" w:after="0"/>
      </w:pPr>
      <w:r>
        <w:separator/>
      </w:r>
    </w:p>
  </w:endnote>
  <w:endnote w:type="continuationSeparator" w:id="0">
    <w:p w:rsidR="00A214D6" w:rsidRDefault="00A214D6" w:rsidP="009E766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BFD" w:rsidRPr="00224BFD" w:rsidRDefault="00224BFD" w:rsidP="00224BFD">
    <w:pPr>
      <w:pStyle w:val="Footer"/>
      <w:rPr>
        <w:rFonts w:ascii="Arial" w:hAnsi="Arial" w:cs="Arial"/>
        <w:b/>
        <w:sz w:val="48"/>
      </w:rPr>
    </w:pPr>
    <w:r w:rsidRPr="00224BFD">
      <w:rPr>
        <w:rFonts w:ascii="Arial" w:hAnsi="Arial" w:cs="Arial"/>
        <w:b/>
        <w:sz w:val="48"/>
      </w:rPr>
      <w:t>CS</w:t>
    </w:r>
    <w:r w:rsidRPr="00224BFD">
      <w:rPr>
        <w:rFonts w:ascii="Arial" w:hAnsi="Arial" w:cs="Arial"/>
        <w:b/>
        <w:sz w:val="48"/>
      </w:rPr>
      <w:tab/>
    </w:r>
    <w:r w:rsidRPr="00224BFD">
      <w:rPr>
        <w:rFonts w:ascii="Arial" w:hAnsi="Arial" w:cs="Arial"/>
        <w:b/>
        <w:sz w:val="48"/>
      </w:rPr>
      <w:tab/>
    </w:r>
    <w:r w:rsidRPr="00224BFD">
      <w:tab/>
    </w:r>
    <w:r w:rsidRPr="00224BFD">
      <w:rPr>
        <w:rFonts w:ascii="Arial" w:hAnsi="Arial" w:cs="Arial"/>
        <w:b/>
        <w:sz w:val="48"/>
      </w:rPr>
      <w:t>CS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BFD" w:rsidRPr="00224BFD" w:rsidRDefault="00224BFD" w:rsidP="00224BFD">
    <w:pPr>
      <w:pStyle w:val="Footer"/>
      <w:rPr>
        <w:rFonts w:ascii="Arial" w:hAnsi="Arial" w:cs="Arial"/>
        <w:b/>
        <w:sz w:val="48"/>
      </w:rPr>
    </w:pPr>
    <w:r w:rsidRPr="00224BFD">
      <w:rPr>
        <w:rFonts w:ascii="Arial" w:hAnsi="Arial" w:cs="Arial"/>
        <w:b/>
        <w:sz w:val="48"/>
      </w:rPr>
      <w:t>CS</w:t>
    </w:r>
    <w:r w:rsidRPr="00224BFD">
      <w:rPr>
        <w:rFonts w:ascii="Arial" w:hAnsi="Arial" w:cs="Arial"/>
        <w:b/>
        <w:sz w:val="48"/>
      </w:rPr>
      <w:tab/>
    </w:r>
    <w:r w:rsidRPr="00224BFD">
      <w:rPr>
        <w:rFonts w:ascii="Arial" w:hAnsi="Arial" w:cs="Arial"/>
        <w:b/>
        <w:sz w:val="48"/>
      </w:rPr>
      <w:tab/>
    </w:r>
    <w:r w:rsidRPr="00224BFD">
      <w:tab/>
    </w:r>
    <w:r w:rsidRPr="00224BFD">
      <w:rPr>
        <w:rFonts w:ascii="Arial" w:hAnsi="Arial" w:cs="Arial"/>
        <w:b/>
        <w:sz w:val="48"/>
      </w:rPr>
      <w:t>CS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BFD" w:rsidRDefault="00224BF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BFD" w:rsidRPr="00224BFD" w:rsidRDefault="00224BFD" w:rsidP="00224BFD">
    <w:pPr>
      <w:pStyle w:val="Footer"/>
      <w:rPr>
        <w:rFonts w:ascii="Arial" w:hAnsi="Arial" w:cs="Arial"/>
        <w:b/>
        <w:sz w:val="48"/>
      </w:rPr>
    </w:pPr>
    <w:r w:rsidRPr="00224BFD">
      <w:rPr>
        <w:rFonts w:ascii="Arial" w:hAnsi="Arial" w:cs="Arial"/>
        <w:b/>
        <w:sz w:val="48"/>
      </w:rPr>
      <w:t>CS</w:t>
    </w:r>
    <w:r w:rsidRPr="00224BFD">
      <w:rPr>
        <w:rFonts w:ascii="Arial" w:hAnsi="Arial" w:cs="Arial"/>
        <w:b/>
        <w:sz w:val="48"/>
      </w:rPr>
      <w:tab/>
    </w:r>
    <w:r>
      <w:fldChar w:fldCharType="begin"/>
    </w:r>
    <w:r>
      <w:instrText xml:space="preserve"> PAGE  \* MERGEFORMAT </w:instrText>
    </w:r>
    <w:r>
      <w:fldChar w:fldCharType="separate"/>
    </w:r>
    <w:r w:rsidR="00CD0D5F">
      <w:rPr>
        <w:noProof/>
      </w:rPr>
      <w:t>23</w:t>
    </w:r>
    <w:r>
      <w:fldChar w:fldCharType="end"/>
    </w:r>
    <w:r>
      <w:tab/>
    </w:r>
    <w:r w:rsidRPr="00224BFD">
      <w:tab/>
    </w:r>
    <w:r w:rsidRPr="00224BFD">
      <w:rPr>
        <w:rFonts w:ascii="Arial" w:hAnsi="Arial" w:cs="Arial"/>
        <w:b/>
        <w:sz w:val="48"/>
      </w:rPr>
      <w:t>CS</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BFD" w:rsidRDefault="00224BFD" w:rsidP="00224B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14D6" w:rsidRDefault="00A214D6" w:rsidP="009E766C">
      <w:pPr>
        <w:spacing w:before="0" w:after="0"/>
      </w:pPr>
      <w:r>
        <w:separator/>
      </w:r>
    </w:p>
  </w:footnote>
  <w:footnote w:type="continuationSeparator" w:id="0">
    <w:p w:rsidR="00A214D6" w:rsidRDefault="00A214D6" w:rsidP="009E766C">
      <w:pPr>
        <w:spacing w:before="0" w:after="0"/>
      </w:pPr>
      <w:r>
        <w:continuationSeparator/>
      </w:r>
    </w:p>
  </w:footnote>
  <w:footnote w:id="1">
    <w:p w:rsidR="00163FD4" w:rsidRPr="00624DBC" w:rsidRDefault="00163FD4" w:rsidP="00163FD4">
      <w:pPr>
        <w:pStyle w:val="FootnoteText"/>
        <w:jc w:val="left"/>
      </w:pPr>
      <w:r>
        <w:rPr>
          <w:rStyle w:val="FootnoteReference"/>
        </w:rPr>
        <w:footnoteRef/>
      </w:r>
      <w:r>
        <w:tab/>
        <w:t xml:space="preserve">Zdroj: </w:t>
      </w:r>
      <w:r>
        <w:rPr>
          <w:i/>
          <w:iCs/>
        </w:rPr>
        <w:t>Statistical pocketbook 2022</w:t>
      </w:r>
      <w:r>
        <w:t xml:space="preserve"> (Statistická příručka 2022) (europa.eu). </w:t>
      </w:r>
    </w:p>
  </w:footnote>
  <w:footnote w:id="2">
    <w:p w:rsidR="00163FD4" w:rsidRPr="00624DBC" w:rsidRDefault="00163FD4" w:rsidP="00163FD4">
      <w:pPr>
        <w:pStyle w:val="FootnoteText"/>
        <w:ind w:left="709" w:hanging="709"/>
        <w:jc w:val="left"/>
      </w:pPr>
      <w:r>
        <w:rPr>
          <w:rStyle w:val="FootnoteReference"/>
        </w:rPr>
        <w:footnoteRef/>
      </w:r>
      <w:r>
        <w:tab/>
      </w:r>
      <w:r>
        <w:tab/>
        <w:t>Belgie, Bulharsko, Česko, Francie, Chorvatsko, Lucembursko, Maďarsko, Německo, Nizozemsko, Polsko, Rakousko, Rumunsko a Slovensko.</w:t>
      </w:r>
    </w:p>
  </w:footnote>
  <w:footnote w:id="3">
    <w:p w:rsidR="00163FD4" w:rsidRPr="005433A0" w:rsidRDefault="00163FD4" w:rsidP="00163FD4">
      <w:pPr>
        <w:pStyle w:val="FootnoteText"/>
      </w:pPr>
      <w:r>
        <w:rPr>
          <w:rStyle w:val="FootnoteReference"/>
        </w:rPr>
        <w:footnoteRef/>
      </w:r>
      <w:r w:rsidRPr="00BE71FF">
        <w:rPr>
          <w:lang w:val="fr-FR"/>
        </w:rPr>
        <w:tab/>
        <w:t xml:space="preserve">Zdroj: </w:t>
      </w:r>
      <w:r w:rsidRPr="00BE71FF">
        <w:rPr>
          <w:i/>
          <w:lang w:val="fr-FR"/>
        </w:rPr>
        <w:t>EU transport in figures</w:t>
      </w:r>
      <w:r w:rsidRPr="00BE71FF">
        <w:rPr>
          <w:lang w:val="fr-FR"/>
        </w:rPr>
        <w:t xml:space="preserve"> (Doprava v EU v číslech). </w:t>
      </w:r>
      <w:hyperlink r:id="rId1" w:history="1">
        <w:r>
          <w:rPr>
            <w:rStyle w:val="Hyperlink"/>
          </w:rPr>
          <w:t>https://transport.ec.europa.eu/facts-funding/studies-data/eu-transport-figures-statistical-pocketbook/statistical-pocketbook-2022_en</w:t>
        </w:r>
      </w:hyperlink>
      <w:r>
        <w:t>.</w:t>
      </w:r>
      <w:r>
        <w:rPr>
          <w:rStyle w:val="Hyperlink"/>
        </w:rPr>
        <w:t xml:space="preserve"> </w:t>
      </w:r>
    </w:p>
  </w:footnote>
  <w:footnote w:id="4">
    <w:p w:rsidR="00163FD4" w:rsidRPr="00624DBC" w:rsidRDefault="00163FD4" w:rsidP="00163FD4">
      <w:pPr>
        <w:pStyle w:val="FootnoteText"/>
        <w:ind w:left="709" w:hanging="709"/>
        <w:jc w:val="left"/>
      </w:pPr>
      <w:r>
        <w:rPr>
          <w:rStyle w:val="FootnoteReference"/>
        </w:rPr>
        <w:footnoteRef/>
      </w:r>
      <w:r>
        <w:tab/>
      </w:r>
      <w:r>
        <w:tab/>
        <w:t xml:space="preserve">CCNR (2022). </w:t>
      </w:r>
      <w:r>
        <w:rPr>
          <w:i/>
          <w:iCs/>
        </w:rPr>
        <w:t>Thematic report an assessment of new market opportunities for inland waterway transport</w:t>
      </w:r>
      <w:r>
        <w:t xml:space="preserve"> (Tematická zpráva o posouzení nových tržních příležitostí pro vnitrozemskou vodní dopravu). K dispozici na adrese: </w:t>
      </w:r>
      <w:hyperlink r:id="rId2" w:history="1">
        <w:r>
          <w:rPr>
            <w:rStyle w:val="Hyperlink"/>
          </w:rPr>
          <w:t>https://inland-navigation-market.org/wp-content/uploads/2022/03/Thematic-report_20212022_EN_BD.pdf</w:t>
        </w:r>
      </w:hyperlink>
      <w:r>
        <w:rPr>
          <w:rStyle w:val="Hyperlink"/>
        </w:rPr>
        <w:t>.</w:t>
      </w:r>
      <w:r>
        <w:t xml:space="preserve"> </w:t>
      </w:r>
    </w:p>
  </w:footnote>
  <w:footnote w:id="5">
    <w:p w:rsidR="00163FD4" w:rsidRPr="00624DBC" w:rsidRDefault="00163FD4" w:rsidP="00163FD4">
      <w:pPr>
        <w:spacing w:before="0" w:after="0"/>
        <w:ind w:left="709" w:hanging="709"/>
        <w:rPr>
          <w:sz w:val="20"/>
          <w:szCs w:val="20"/>
        </w:rPr>
      </w:pPr>
      <w:r>
        <w:rPr>
          <w:rStyle w:val="FootnoteReference"/>
        </w:rPr>
        <w:footnoteRef/>
      </w:r>
      <w:r>
        <w:rPr>
          <w:sz w:val="20"/>
        </w:rPr>
        <w:tab/>
        <w:t>Evropská komise (2016), pracovní dokument útvarů Komise „</w:t>
      </w:r>
      <w:r>
        <w:rPr>
          <w:i/>
          <w:iCs/>
          <w:sz w:val="20"/>
        </w:rPr>
        <w:t>REFIT ex-post evaluation of Combined Transport Directive 92/106/EEC Final Report</w:t>
      </w:r>
      <w:r>
        <w:rPr>
          <w:sz w:val="20"/>
        </w:rPr>
        <w:t xml:space="preserve">“ (Hodnocení </w:t>
      </w:r>
      <w:r>
        <w:rPr>
          <w:i/>
          <w:iCs/>
          <w:sz w:val="20"/>
        </w:rPr>
        <w:t>ex post</w:t>
      </w:r>
      <w:r>
        <w:rPr>
          <w:sz w:val="20"/>
        </w:rPr>
        <w:t xml:space="preserve"> v rámci programu REFIT týkající se směrnice o kombinované přepravě 92/106/EHS – závěrečná zpráva), SWD(2016) 140 final.</w:t>
      </w:r>
    </w:p>
  </w:footnote>
  <w:footnote w:id="6">
    <w:p w:rsidR="00163FD4" w:rsidRPr="00163FD4" w:rsidRDefault="00163FD4" w:rsidP="00163FD4">
      <w:pPr>
        <w:pStyle w:val="FootnoteText"/>
      </w:pPr>
      <w:r>
        <w:rPr>
          <w:rStyle w:val="FootnoteReference"/>
        </w:rPr>
        <w:footnoteRef/>
      </w:r>
      <w:r>
        <w:tab/>
        <w:t xml:space="preserve">SWD(2021) 0050 final. </w:t>
      </w:r>
    </w:p>
  </w:footnote>
  <w:footnote w:id="7">
    <w:p w:rsidR="00163FD4" w:rsidRPr="00163FD4" w:rsidRDefault="00163FD4" w:rsidP="00163FD4">
      <w:pPr>
        <w:pStyle w:val="FootnoteText"/>
      </w:pPr>
      <w:r>
        <w:rPr>
          <w:rStyle w:val="FootnoteReference"/>
        </w:rPr>
        <w:footnoteRef/>
      </w:r>
      <w:r>
        <w:tab/>
      </w:r>
      <w:hyperlink r:id="rId3" w:history="1">
        <w:r>
          <w:rPr>
            <w:rStyle w:val="Hyperlink"/>
          </w:rPr>
          <w:t>https://eur-lex.europa.eu/legal-content/CS/TXT/?qid=1588580774040&amp;uri=CELEX%3A52019DC0640</w:t>
        </w:r>
      </w:hyperlink>
      <w:r>
        <w:t xml:space="preserve"> </w:t>
      </w:r>
    </w:p>
  </w:footnote>
  <w:footnote w:id="8">
    <w:p w:rsidR="00163FD4" w:rsidRPr="00BE71FF" w:rsidRDefault="00163FD4" w:rsidP="00163FD4">
      <w:pPr>
        <w:pStyle w:val="FootnoteText"/>
        <w:rPr>
          <w:lang w:val="fr-FR"/>
        </w:rPr>
      </w:pPr>
      <w:r>
        <w:rPr>
          <w:rStyle w:val="FootnoteReference"/>
        </w:rPr>
        <w:footnoteRef/>
      </w:r>
      <w:r w:rsidRPr="00BE71FF">
        <w:rPr>
          <w:lang w:val="fr-FR"/>
        </w:rPr>
        <w:tab/>
        <w:t>Nařízení (EU) č. 1315/2013.</w:t>
      </w:r>
    </w:p>
  </w:footnote>
  <w:footnote w:id="9">
    <w:p w:rsidR="00163FD4" w:rsidRPr="00BE71FF" w:rsidRDefault="00163FD4" w:rsidP="00163FD4">
      <w:pPr>
        <w:pStyle w:val="FootnoteText"/>
        <w:rPr>
          <w:lang w:val="fr-FR"/>
        </w:rPr>
      </w:pPr>
      <w:r>
        <w:rPr>
          <w:rStyle w:val="FootnoteReference"/>
        </w:rPr>
        <w:footnoteRef/>
      </w:r>
      <w:r w:rsidRPr="00BE71FF">
        <w:rPr>
          <w:lang w:val="fr-FR"/>
        </w:rPr>
        <w:tab/>
        <w:t>Nařízení (EU) 2020/1056.</w:t>
      </w:r>
    </w:p>
  </w:footnote>
  <w:footnote w:id="10">
    <w:p w:rsidR="00163FD4" w:rsidRPr="00BE71FF" w:rsidRDefault="00163FD4" w:rsidP="00163FD4">
      <w:pPr>
        <w:pStyle w:val="FootnoteText"/>
        <w:rPr>
          <w:lang w:val="fr-FR"/>
        </w:rPr>
      </w:pPr>
      <w:r>
        <w:rPr>
          <w:rStyle w:val="FootnoteReference"/>
        </w:rPr>
        <w:footnoteRef/>
      </w:r>
      <w:r w:rsidRPr="00BE71FF">
        <w:rPr>
          <w:lang w:val="fr-FR"/>
        </w:rPr>
        <w:tab/>
        <w:t>Nařízení (EU) 2020/1056.</w:t>
      </w:r>
    </w:p>
  </w:footnote>
  <w:footnote w:id="11">
    <w:p w:rsidR="00163FD4" w:rsidRPr="00BE71FF" w:rsidRDefault="00163FD4" w:rsidP="00163FD4">
      <w:pPr>
        <w:pStyle w:val="FootnoteText"/>
        <w:rPr>
          <w:lang w:val="fr-FR"/>
        </w:rPr>
      </w:pPr>
      <w:r>
        <w:rPr>
          <w:rStyle w:val="FootnoteReference"/>
        </w:rPr>
        <w:footnoteRef/>
      </w:r>
      <w:r w:rsidRPr="00BE71FF">
        <w:rPr>
          <w:lang w:val="fr-FR"/>
        </w:rPr>
        <w:tab/>
      </w:r>
      <w:hyperlink r:id="rId4" w:history="1">
        <w:r w:rsidRPr="00BE71FF">
          <w:rPr>
            <w:color w:val="0000FF"/>
            <w:u w:val="single"/>
            <w:lang w:val="fr-FR"/>
          </w:rPr>
          <w:t>090166e5d9dfde69.pdf</w:t>
        </w:r>
      </w:hyperlink>
      <w:r w:rsidRPr="00BE71FF">
        <w:rPr>
          <w:lang w:val="fr-FR"/>
        </w:rPr>
        <w:t xml:space="preserve"> </w:t>
      </w:r>
    </w:p>
  </w:footnote>
  <w:footnote w:id="12">
    <w:p w:rsidR="00163FD4" w:rsidRPr="00BE71FF" w:rsidRDefault="00163FD4" w:rsidP="00163FD4">
      <w:pPr>
        <w:pStyle w:val="FootnoteText"/>
        <w:ind w:left="284" w:hanging="284"/>
        <w:rPr>
          <w:lang w:val="fr-FR"/>
        </w:rPr>
      </w:pPr>
      <w:r>
        <w:rPr>
          <w:rStyle w:val="FootnoteReference"/>
        </w:rPr>
        <w:footnoteRef/>
      </w:r>
      <w:r w:rsidRPr="00BE71FF">
        <w:rPr>
          <w:lang w:val="fr-FR"/>
        </w:rPr>
        <w:tab/>
      </w:r>
      <w:r w:rsidRPr="00BE71FF">
        <w:rPr>
          <w:lang w:val="fr-FR"/>
        </w:rPr>
        <w:tab/>
        <w:t>SWD[…] 2023.</w:t>
      </w:r>
    </w:p>
  </w:footnote>
  <w:footnote w:id="13">
    <w:p w:rsidR="00163FD4" w:rsidRPr="00BE71FF" w:rsidRDefault="00163FD4" w:rsidP="00163FD4">
      <w:pPr>
        <w:pStyle w:val="FootnoteText"/>
        <w:ind w:left="284" w:hanging="284"/>
        <w:rPr>
          <w:lang w:val="fr-FR"/>
        </w:rPr>
      </w:pPr>
      <w:r>
        <w:rPr>
          <w:rStyle w:val="FootnoteReference"/>
        </w:rPr>
        <w:footnoteRef/>
      </w:r>
      <w:r w:rsidRPr="00BE71FF">
        <w:rPr>
          <w:lang w:val="fr-FR"/>
        </w:rPr>
        <w:tab/>
      </w:r>
      <w:r w:rsidRPr="00BE71FF">
        <w:rPr>
          <w:lang w:val="fr-FR"/>
        </w:rPr>
        <w:tab/>
        <w:t>Úř. věst. C 326, 26.10.2012, s. 2.</w:t>
      </w:r>
    </w:p>
  </w:footnote>
  <w:footnote w:id="14">
    <w:p w:rsidR="00996C90" w:rsidRPr="00BE71FF" w:rsidRDefault="00996C90" w:rsidP="00996C90">
      <w:pPr>
        <w:pStyle w:val="FootnoteText"/>
        <w:ind w:left="284" w:hanging="284"/>
        <w:rPr>
          <w:lang w:val="fr-FR"/>
        </w:rPr>
      </w:pPr>
      <w:r>
        <w:rPr>
          <w:rStyle w:val="FootnoteReference"/>
        </w:rPr>
        <w:footnoteRef/>
      </w:r>
      <w:r w:rsidRPr="00BE71FF">
        <w:rPr>
          <w:lang w:val="fr-FR"/>
        </w:rPr>
        <w:tab/>
      </w:r>
      <w:r w:rsidRPr="00BE71FF">
        <w:rPr>
          <w:lang w:val="fr-FR"/>
        </w:rPr>
        <w:tab/>
        <w:t>Úř. věst. C , , s. .</w:t>
      </w:r>
    </w:p>
  </w:footnote>
  <w:footnote w:id="15">
    <w:p w:rsidR="00996C90" w:rsidRPr="00BE71FF" w:rsidRDefault="00996C90" w:rsidP="00996C90">
      <w:pPr>
        <w:pStyle w:val="FootnoteText"/>
        <w:ind w:left="284" w:hanging="284"/>
        <w:rPr>
          <w:lang w:val="fr-FR"/>
        </w:rPr>
      </w:pPr>
      <w:r>
        <w:rPr>
          <w:rStyle w:val="FootnoteReference"/>
        </w:rPr>
        <w:footnoteRef/>
      </w:r>
      <w:r w:rsidRPr="00BE71FF">
        <w:rPr>
          <w:lang w:val="fr-FR"/>
        </w:rPr>
        <w:tab/>
      </w:r>
      <w:r w:rsidRPr="00BE71FF">
        <w:rPr>
          <w:lang w:val="fr-FR"/>
        </w:rPr>
        <w:tab/>
        <w:t>Úř. věst. C , , s. .</w:t>
      </w:r>
    </w:p>
  </w:footnote>
  <w:footnote w:id="16">
    <w:p w:rsidR="00996C90" w:rsidRPr="005B3F81" w:rsidRDefault="00996C90" w:rsidP="00996C90">
      <w:pPr>
        <w:pStyle w:val="FootnoteText"/>
        <w:ind w:left="709" w:hanging="709"/>
      </w:pPr>
      <w:r>
        <w:rPr>
          <w:rStyle w:val="FootnoteReference"/>
        </w:rPr>
        <w:footnoteRef/>
      </w:r>
      <w:r w:rsidRPr="00BE71FF">
        <w:rPr>
          <w:lang w:val="fr-FR"/>
        </w:rPr>
        <w:tab/>
        <w:t xml:space="preserve">Směrnice Evropského parlamentu a Rady 2005/44/ES ze dne 7. září 2005 o harmonizovaných říčních informačních službách (RIS) na vnitrozemských vodních cestách ve Společenství (Úř. věst. </w:t>
      </w:r>
      <w:r>
        <w:t>L 255, 30.9.2005, s. 152. ELI: http://data.europa.eu/eli/dir/2005/44/oj).</w:t>
      </w:r>
    </w:p>
  </w:footnote>
  <w:footnote w:id="17">
    <w:p w:rsidR="00996C90" w:rsidRPr="00757675" w:rsidRDefault="00996C90" w:rsidP="00996C90">
      <w:pPr>
        <w:pStyle w:val="FootnoteText"/>
        <w:ind w:left="284" w:hanging="284"/>
      </w:pPr>
      <w:r>
        <w:rPr>
          <w:rStyle w:val="FootnoteReference"/>
        </w:rPr>
        <w:footnoteRef/>
      </w:r>
      <w:r>
        <w:tab/>
      </w:r>
      <w:r>
        <w:tab/>
        <w:t>COM/2019/640 final.</w:t>
      </w:r>
    </w:p>
  </w:footnote>
  <w:footnote w:id="18">
    <w:p w:rsidR="00996C90" w:rsidRPr="00757675" w:rsidRDefault="00996C90" w:rsidP="00996C90">
      <w:pPr>
        <w:pStyle w:val="FootnoteText"/>
        <w:ind w:left="284" w:hanging="284"/>
      </w:pPr>
      <w:r>
        <w:rPr>
          <w:rStyle w:val="FootnoteReference"/>
        </w:rPr>
        <w:footnoteRef/>
      </w:r>
      <w:r>
        <w:tab/>
      </w:r>
      <w:r>
        <w:tab/>
        <w:t>COM/2020/789 final.</w:t>
      </w:r>
    </w:p>
  </w:footnote>
  <w:footnote w:id="19">
    <w:p w:rsidR="00996C90" w:rsidRPr="00757675" w:rsidRDefault="00996C90" w:rsidP="00996C90">
      <w:pPr>
        <w:pStyle w:val="FootnoteText"/>
        <w:ind w:left="284" w:hanging="284"/>
      </w:pPr>
      <w:r>
        <w:rPr>
          <w:rStyle w:val="FootnoteReference"/>
        </w:rPr>
        <w:footnoteRef/>
      </w:r>
      <w:r>
        <w:tab/>
      </w:r>
      <w:r>
        <w:tab/>
        <w:t>COM/2021/324 final.</w:t>
      </w:r>
    </w:p>
  </w:footnote>
  <w:footnote w:id="20">
    <w:p w:rsidR="00996C90" w:rsidRPr="00485043" w:rsidRDefault="00996C90" w:rsidP="00996C90">
      <w:pPr>
        <w:pStyle w:val="FootnoteText"/>
      </w:pPr>
      <w:r>
        <w:rPr>
          <w:rStyle w:val="FootnoteReference"/>
        </w:rPr>
        <w:footnoteRef/>
      </w:r>
      <w:r>
        <w:tab/>
        <w:t>COM(2020) 66 final.</w:t>
      </w:r>
    </w:p>
  </w:footnote>
  <w:footnote w:id="21">
    <w:p w:rsidR="00996C90" w:rsidRPr="00485043" w:rsidRDefault="00996C90" w:rsidP="00996C90">
      <w:pPr>
        <w:pStyle w:val="FootnoteText"/>
      </w:pPr>
      <w:r>
        <w:rPr>
          <w:rStyle w:val="FootnoteReference"/>
        </w:rPr>
        <w:footnoteRef/>
      </w:r>
      <w:r>
        <w:tab/>
        <w:t>COM(2017) 134 final.</w:t>
      </w:r>
    </w:p>
  </w:footnote>
  <w:footnote w:id="22">
    <w:p w:rsidR="00996C90" w:rsidRPr="00485043" w:rsidRDefault="00996C90" w:rsidP="00996C90">
      <w:pPr>
        <w:pStyle w:val="FootnoteText"/>
      </w:pPr>
      <w:r>
        <w:rPr>
          <w:rStyle w:val="FootnoteReference"/>
        </w:rPr>
        <w:footnoteRef/>
      </w:r>
      <w:r>
        <w:tab/>
        <w:t>COM(2022) 720 final.</w:t>
      </w:r>
    </w:p>
  </w:footnote>
  <w:footnote w:id="23">
    <w:p w:rsidR="00051F85" w:rsidRPr="005B3F81" w:rsidRDefault="00051F85" w:rsidP="00051F85">
      <w:pPr>
        <w:pStyle w:val="FootnoteText"/>
      </w:pPr>
      <w:r>
        <w:rPr>
          <w:rStyle w:val="FootnoteReference"/>
        </w:rPr>
        <w:footnoteRef/>
      </w:r>
      <w:r>
        <w:tab/>
        <w:t>Nařízení Evropského parlamentu a Rady (EU) č. 1315/2013 ze dne 11. prosince 2013 o hlavních směrech Unie pro rozvoj transevropské dopravní sítě a o zrušení rozhodnutí č. 661/2010/EU (Úř. věst. L 348, 20.12.2013, s. 1, ELI: http://data.europa.eu/eli/reg/2013/1315/oj).</w:t>
      </w:r>
    </w:p>
  </w:footnote>
  <w:footnote w:id="24">
    <w:p w:rsidR="00996C90" w:rsidRPr="005B3F81" w:rsidRDefault="00996C90" w:rsidP="00996C90">
      <w:pPr>
        <w:pStyle w:val="FootnoteText"/>
      </w:pPr>
      <w:r>
        <w:rPr>
          <w:rStyle w:val="FootnoteReference"/>
        </w:rPr>
        <w:footnoteRef/>
      </w:r>
      <w:r>
        <w:tab/>
        <w:t>Politika EU v oblasti transevropských dopravních sítí (TEN-T) je klíčovým nástrojem pro rozvoj soudržné, efektivní, multimodální a vysoce kvalitní dopravní infrastruktury v celé EU. Zahrnuje železnice, vnitrozemské vodní cesty, cesty námořní dopravy na krátké vzdálenosti a pozemní komunikace propojující městské uzly, námořní a vnitrozemské přístavy, letiště a terminály.</w:t>
      </w:r>
    </w:p>
  </w:footnote>
  <w:footnote w:id="25">
    <w:p w:rsidR="00996C90" w:rsidRPr="005B3F81" w:rsidRDefault="00996C90" w:rsidP="00996C90">
      <w:pPr>
        <w:pStyle w:val="FootnoteText"/>
      </w:pPr>
      <w:r>
        <w:rPr>
          <w:rStyle w:val="FootnoteReference"/>
        </w:rPr>
        <w:footnoteRef/>
      </w:r>
      <w:r>
        <w:tab/>
        <w:t>Nařízení Evropského parlamentu a Rady (EU) 2019/1239 ze dne 20. června 2019, kterým se zřizuje evropské prostředí jednotného námořního portálu a zrušuje směrnice 2010/65/EU (Úř. věst. L 198, 25.7.2019, s. 64, ELI: http://data.europa.eu/eli/reg/2019/1239/oj).</w:t>
      </w:r>
    </w:p>
  </w:footnote>
  <w:footnote w:id="26">
    <w:p w:rsidR="00996C90" w:rsidRPr="005B3F81" w:rsidRDefault="00996C90" w:rsidP="00996C90">
      <w:pPr>
        <w:pStyle w:val="FootnoteText"/>
        <w:ind w:left="709"/>
      </w:pPr>
      <w:r>
        <w:rPr>
          <w:rStyle w:val="FootnoteReference"/>
        </w:rPr>
        <w:footnoteRef/>
      </w:r>
      <w:r>
        <w:tab/>
        <w:t>Nařízení Evropského parlamentu a Rady (EU) č. 182/2011 ze dne 16. února 2011, kterým se stanoví pravidla a obecné zásady způsobu, jakým členské státy kontrolují Komisi při výkonu prováděcích pravomocí (Úř. věst. L 55, 28.2.2011, s. 13, ELI: http://data.europa.eu/eli/reg/2011/182/oj).</w:t>
      </w:r>
    </w:p>
  </w:footnote>
  <w:footnote w:id="27">
    <w:p w:rsidR="00996C90" w:rsidRPr="005B3F81" w:rsidRDefault="00996C90" w:rsidP="00996C90">
      <w:pPr>
        <w:pStyle w:val="FootnoteText"/>
        <w:ind w:left="284" w:hanging="284"/>
      </w:pPr>
      <w:r>
        <w:rPr>
          <w:rStyle w:val="FootnoteReference"/>
        </w:rPr>
        <w:footnoteRef/>
      </w:r>
      <w:r>
        <w:tab/>
      </w:r>
      <w:r>
        <w:tab/>
        <w:t>Úř. věst. L 119, 4.5.2016, s. 1.</w:t>
      </w:r>
    </w:p>
  </w:footnote>
  <w:footnote w:id="28">
    <w:p w:rsidR="00996C90" w:rsidRPr="00802E97" w:rsidRDefault="00996C90" w:rsidP="00996C90">
      <w:pPr>
        <w:pStyle w:val="FootnoteText"/>
        <w:ind w:left="284" w:hanging="284"/>
      </w:pPr>
      <w:r>
        <w:rPr>
          <w:rStyle w:val="FootnoteReference"/>
        </w:rPr>
        <w:footnoteRef/>
      </w:r>
      <w:r>
        <w:tab/>
      </w:r>
      <w:r>
        <w:tab/>
        <w:t>Úř. věst. L 295, 21.11.2018, s. 39.</w:t>
      </w:r>
    </w:p>
  </w:footnote>
  <w:footnote w:id="29">
    <w:p w:rsidR="00996C90" w:rsidRPr="00485043" w:rsidRDefault="00996C90" w:rsidP="00996C90">
      <w:pPr>
        <w:pStyle w:val="FootnoteText"/>
        <w:ind w:left="709" w:hanging="709"/>
      </w:pPr>
      <w:r>
        <w:rPr>
          <w:rStyle w:val="FootnoteReference"/>
        </w:rPr>
        <w:footnoteRef/>
      </w:r>
      <w:r>
        <w:tab/>
      </w:r>
      <w:r>
        <w:tab/>
        <w:t>Nařízení Evropského parlamentu a Rady (EU) 2016/679 ze dne 27. dubna 2016 o ochraně fyzických osob v souvislosti se zpracováním osobních údajů a o volném pohybu těchto údajů a o zrušení směrnice 95/46/ES (Úř. věst. L 119, 4.5.2016, s. 1, ELI: http://data.europa.eu/eli/reg/2016/679/oj).</w:t>
      </w:r>
    </w:p>
  </w:footnote>
  <w:footnote w:id="30">
    <w:p w:rsidR="00996C90" w:rsidRPr="00802E97" w:rsidRDefault="00996C90" w:rsidP="00996C90">
      <w:pPr>
        <w:pStyle w:val="FootnoteText"/>
        <w:ind w:left="709" w:hanging="709"/>
      </w:pPr>
      <w:r>
        <w:rPr>
          <w:rStyle w:val="FootnoteReference"/>
        </w:rPr>
        <w:footnoteRef/>
      </w:r>
      <w:r>
        <w:tab/>
      </w:r>
      <w:r>
        <w:tab/>
        <w:t>Nařízení Evropského parlamentu a Rady (EU) 2018/1725 ze dne 23. října 2018 o ochraně fyzických osob v souvislosti se zpracováním osobních údajů orgány, institucemi a jinými subjekty Unie a o volném pohybu těchto údajů a o zrušení nařízení (ES) č. 45/2001 a rozhodnutí č. 1247/2002/ES (Úř. věst. L 295, 21.11.2018, s. 39, ELI: http://data.europa.eu/eli/reg/2018/1725/oj).</w:t>
      </w:r>
    </w:p>
  </w:footnote>
  <w:footnote w:id="31">
    <w:p w:rsidR="00996C90" w:rsidRPr="005B3F81" w:rsidRDefault="00996C90" w:rsidP="00996C90">
      <w:pPr>
        <w:pStyle w:val="FootnoteText"/>
        <w:ind w:left="709"/>
      </w:pPr>
      <w:r>
        <w:rPr>
          <w:rStyle w:val="FootnoteReference"/>
        </w:rPr>
        <w:footnoteRef/>
      </w:r>
      <w:r>
        <w:tab/>
      </w:r>
      <w:r>
        <w:tab/>
        <w:t xml:space="preserve">Směrnice Evropského parlamentu a Rady (EU) 2016/1629 ze dne 14. září 2016, kterou se stanoví technické požadavky pro plavidla vnitrozemské plavby, mění směrnice 2009/100/ES a zrušuje směrnice 2006/87/ES (Úř. věst. L 252, 16.9.2016, s. 118, ELI: http://data.europa.eu/eli/dir/2016/1629/oj). </w:t>
      </w:r>
    </w:p>
  </w:footnote>
  <w:footnote w:id="32">
    <w:p w:rsidR="00996C90" w:rsidRPr="00B22AAA" w:rsidRDefault="00996C90" w:rsidP="00996C90">
      <w:pPr>
        <w:pStyle w:val="FootnoteText"/>
      </w:pPr>
      <w:r>
        <w:rPr>
          <w:rStyle w:val="FootnoteReference"/>
        </w:rPr>
        <w:footnoteRef/>
      </w:r>
      <w:r>
        <w:tab/>
        <w:t>Výbor CESNI je zřízen usnesením CCNR 2015-i-3.</w:t>
      </w:r>
    </w:p>
  </w:footnote>
  <w:footnote w:id="33">
    <w:p w:rsidR="00996C90" w:rsidRPr="00BE4865" w:rsidDel="00061582" w:rsidRDefault="00996C90" w:rsidP="00996C90">
      <w:pPr>
        <w:pStyle w:val="FootnoteText"/>
        <w:ind w:left="284" w:hanging="284"/>
      </w:pPr>
      <w:r>
        <w:rPr>
          <w:rStyle w:val="FootnoteReference"/>
        </w:rPr>
        <w:footnoteRef/>
      </w:r>
      <w:r>
        <w:tab/>
      </w:r>
      <w:r>
        <w:tab/>
        <w:t>Úř. věst. L 123, 12.5.2016, s. 1,</w:t>
      </w:r>
      <w:r>
        <w:rPr>
          <w:rFonts w:ascii="Segoe UI" w:hAnsi="Segoe UI"/>
          <w:color w:val="333333"/>
          <w:sz w:val="21"/>
          <w:shd w:val="clear" w:color="auto" w:fill="FFFFFF"/>
        </w:rPr>
        <w:t xml:space="preserve"> </w:t>
      </w:r>
      <w:r>
        <w:t>ELI: </w:t>
      </w:r>
      <w:hyperlink r:id="rId5" w:tooltip="Umožňuje přístup k tomuto dokumentu prostřednictvím jeho identifikátoru URI v rámci ELI." w:history="1">
        <w:r>
          <w:rPr>
            <w:rStyle w:val="Hyperlink"/>
          </w:rPr>
          <w:t>http://data.europa.eu/eli/agree_interinstit/2016/512/oj</w:t>
        </w:r>
      </w:hyperlink>
      <w:r>
        <w:t>.</w:t>
      </w:r>
    </w:p>
  </w:footnote>
  <w:footnote w:id="34">
    <w:p w:rsidR="00996C90" w:rsidRPr="009E3552" w:rsidRDefault="00996C90" w:rsidP="00996C90">
      <w:pPr>
        <w:pStyle w:val="FootnoteText"/>
      </w:pPr>
      <w:r>
        <w:rPr>
          <w:rStyle w:val="FootnoteReference"/>
        </w:rPr>
        <w:footnoteRef/>
      </w:r>
      <w:r>
        <w:tab/>
        <w:t>Nařízení Evropského parlamentu a Rady (EU) č. 182/2011 ze dne 16. února 2011, kterým se stanoví pravidla a obecné zásady způsobu, jakým členské státy kontrolují Komisi při výkonu prováděcích pravomocí (Úř. věst. L 55, 28.2.2011, s. 13, ELI: http://data.europa.eu/eli/reg/2011/182/oj).</w:t>
      </w:r>
    </w:p>
  </w:footnote>
  <w:footnote w:id="35">
    <w:p w:rsidR="00996C90" w:rsidRPr="00D7480A" w:rsidRDefault="00996C90" w:rsidP="00996C90">
      <w:pPr>
        <w:pStyle w:val="FootnoteText"/>
      </w:pPr>
      <w:r>
        <w:rPr>
          <w:rStyle w:val="FootnoteReference"/>
        </w:rPr>
        <w:footnoteRef/>
      </w:r>
      <w:r>
        <w:tab/>
        <w:t>Úř. věst. C […], […], s. […].</w:t>
      </w:r>
    </w:p>
  </w:footnote>
  <w:footnote w:id="36">
    <w:p w:rsidR="00996C90" w:rsidRPr="00455D9B" w:rsidRDefault="00996C90" w:rsidP="00996C90">
      <w:pPr>
        <w:pStyle w:val="FootnoteText"/>
      </w:pPr>
      <w:r>
        <w:rPr>
          <w:rStyle w:val="FootnoteReference"/>
        </w:rPr>
        <w:footnoteRef/>
      </w:r>
      <w:r>
        <w:tab/>
        <w:t>Nařízení Evropského parlamentu a Rady (EU) č. 1315/2013 ze dne 11. prosince 2013 o hlavních směrech Unie pro rozvoj transevropské dopravní sítě a o zrušení rozhodnutí č. 661/2010/EU (Úř. věst. L 348, 20.12.2013, s. 1, ELI: http://data.europa.eu/eli/reg/2013/1315/oj).</w:t>
      </w:r>
    </w:p>
  </w:footnote>
  <w:footnote w:id="37">
    <w:p w:rsidR="00996C90" w:rsidRPr="005B3F81" w:rsidRDefault="00996C90" w:rsidP="00996C90">
      <w:pPr>
        <w:pStyle w:val="FootnoteText"/>
      </w:pPr>
      <w:r>
        <w:rPr>
          <w:rStyle w:val="FootnoteReference"/>
        </w:rPr>
        <w:footnoteRef/>
      </w:r>
      <w:r>
        <w:tab/>
        <w:t>Nařízení Evropského parlamentu a Rady (EU) 2020/1056 ze dne 15. července 2020 o elektronických informacích o nákladní dopravě (Úř. věst. L 249, 31.7.2020, s. 33, ELI: http://data.europa.eu/eli/reg/2020/1056/oj).</w:t>
      </w:r>
    </w:p>
  </w:footnote>
  <w:footnote w:id="38">
    <w:p w:rsidR="00996C90" w:rsidRPr="005B3F81" w:rsidRDefault="00996C90" w:rsidP="00996C90">
      <w:pPr>
        <w:pStyle w:val="FootnoteText"/>
      </w:pPr>
      <w:r>
        <w:rPr>
          <w:rStyle w:val="FootnoteReference"/>
        </w:rPr>
        <w:footnoteRef/>
      </w:r>
      <w:r>
        <w:tab/>
        <w:t>Nařízení Evropského parlamentu a Rady (EU) 2019/1239 ze dne 20. června 2019, kterým se zřizuje evropské prostředí jednotného námořního portálu a zrušuje směrnice 2010/65/EU (Úř. věst. L 198, 25.7.2019, s. 64, ELI: http://data.europa.eu/eli/reg/2019/1239/oj).</w:t>
      </w:r>
    </w:p>
  </w:footnote>
  <w:footnote w:id="39">
    <w:p w:rsidR="00996C90" w:rsidRPr="005B3F81" w:rsidRDefault="00996C90" w:rsidP="00996C90">
      <w:pPr>
        <w:pStyle w:val="FootnoteText"/>
      </w:pPr>
      <w:r>
        <w:rPr>
          <w:rStyle w:val="FootnoteReference"/>
        </w:rPr>
        <w:footnoteRef/>
      </w:r>
      <w:r>
        <w:tab/>
        <w:t>Směrnice Evropského parlamentu a Rady 2008/68/ES ze dne 24. září 2008 o pozemní přepravě nebezpečných věcí (Úř. věst. L 260, 30.9.2008, s. 13, ELI: http://data.europa.eu/eli/dir/2008/68/oj).</w:t>
      </w:r>
    </w:p>
  </w:footnote>
  <w:footnote w:id="40">
    <w:p w:rsidR="00996C90" w:rsidRPr="00960B74" w:rsidRDefault="00996C90" w:rsidP="00996C90">
      <w:pPr>
        <w:pStyle w:val="FootnoteText"/>
      </w:pPr>
      <w:r>
        <w:rPr>
          <w:rStyle w:val="FootnoteReference"/>
        </w:rPr>
        <w:footnoteRef/>
      </w:r>
      <w:r>
        <w:tab/>
        <w:t>Nařízení Evropského parlamentu a Rady (EU) 2023/1804 ze dne 13. září 2023 o zavádění infrastruktury pro alternativní paliva a o zrušení směrnice 2014/94/EU (Úř. věst. L 234, 22.9.2023, s. 1, ELI: http://data.europa.eu/eli/reg/2023/1804/oj).</w:t>
      </w:r>
    </w:p>
  </w:footnote>
  <w:footnote w:id="41">
    <w:p w:rsidR="00996C90" w:rsidRPr="009E3552" w:rsidRDefault="00996C90" w:rsidP="00996C90">
      <w:pPr>
        <w:pStyle w:val="FootnoteText"/>
      </w:pPr>
      <w:r>
        <w:rPr>
          <w:rStyle w:val="FootnoteReference"/>
        </w:rPr>
        <w:footnoteRef/>
      </w:r>
      <w:r>
        <w:tab/>
        <w:t>Nařízení Evropského parlamentu a Rady (EU) č. 182/2011 ze dne 16. února 2011, kterým se stanoví pravidla a obecné zásady způsobu, jakým členské státy kontrolují Komisi při výkonu prováděcích pravomocí (Úř. věst. L 55, 28.2.2011, s. 13, ELI: http://data.europa.eu/eli/reg/2011/182/oj).</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BFD" w:rsidRDefault="00224B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BFD" w:rsidRDefault="00224B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1" w15:restartNumberingAfterBreak="0">
    <w:nsid w:val="128364B0"/>
    <w:multiLevelType w:val="singleLevel"/>
    <w:tmpl w:val="D084FB54"/>
    <w:lvl w:ilvl="0">
      <w:start w:val="1"/>
      <w:numFmt w:val="bullet"/>
      <w:pStyle w:val="ListDash3"/>
      <w:lvlText w:val="–"/>
      <w:lvlJc w:val="left"/>
      <w:pPr>
        <w:tabs>
          <w:tab w:val="num" w:pos="1134"/>
        </w:tabs>
        <w:ind w:left="1134" w:hanging="283"/>
      </w:pPr>
      <w:rPr>
        <w:rFonts w:ascii="Times New Roman" w:hAnsi="Times New Roman"/>
      </w:rPr>
    </w:lvl>
  </w:abstractNum>
  <w:abstractNum w:abstractNumId="2" w15:restartNumberingAfterBreak="0">
    <w:nsid w:val="13E4330B"/>
    <w:multiLevelType w:val="multilevel"/>
    <w:tmpl w:val="875C4416"/>
    <w:name w:val="List Dash 3"/>
    <w:lvl w:ilvl="0">
      <w:start w:val="1"/>
      <w:numFmt w:val="decimal"/>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7" w15:restartNumberingAfterBreak="0">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8" w15:restartNumberingAfterBreak="0">
    <w:nsid w:val="2F191641"/>
    <w:multiLevelType w:val="multilevel"/>
    <w:tmpl w:val="B67C4E92"/>
    <w:lvl w:ilvl="0">
      <w:start w:val="1"/>
      <w:numFmt w:val="decimal"/>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15:restartNumberingAfterBreak="0">
    <w:nsid w:val="31CD398A"/>
    <w:multiLevelType w:val="singleLevel"/>
    <w:tmpl w:val="0276BF00"/>
    <w:lvl w:ilvl="0">
      <w:start w:val="1"/>
      <w:numFmt w:val="bullet"/>
      <w:pStyle w:val="ListDash4"/>
      <w:lvlText w:val="–"/>
      <w:lvlJc w:val="left"/>
      <w:pPr>
        <w:tabs>
          <w:tab w:val="num" w:pos="1134"/>
        </w:tabs>
        <w:ind w:left="1134" w:hanging="283"/>
      </w:pPr>
      <w:rPr>
        <w:rFonts w:ascii="Times New Roman" w:hAnsi="Times New Roman"/>
      </w:rPr>
    </w:lvl>
  </w:abstractNum>
  <w:abstractNum w:abstractNumId="10" w15:restartNumberingAfterBreak="0">
    <w:nsid w:val="398C015E"/>
    <w:multiLevelType w:val="multilevel"/>
    <w:tmpl w:val="027A66BA"/>
    <w:name w:val="List Dash 4"/>
    <w:lvl w:ilvl="0">
      <w:start w:val="1"/>
      <w:numFmt w:val="decimal"/>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3"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4"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15:restartNumberingAfterBreak="0">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16" w15:restartNumberingAfterBreak="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17" w15:restartNumberingAfterBreak="0">
    <w:nsid w:val="542A1204"/>
    <w:multiLevelType w:val="multilevel"/>
    <w:tmpl w:val="BC1E8404"/>
    <w:lvl w:ilvl="0">
      <w:start w:val="1"/>
      <w:numFmt w:val="decimal"/>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9" w15:restartNumberingAfterBreak="0">
    <w:nsid w:val="5B0B0635"/>
    <w:multiLevelType w:val="singleLevel"/>
    <w:tmpl w:val="017E7CEE"/>
    <w:lvl w:ilvl="0">
      <w:start w:val="1"/>
      <w:numFmt w:val="bullet"/>
      <w:lvlRestart w:val="0"/>
      <w:pStyle w:val="ListBullet4"/>
      <w:lvlText w:val=""/>
      <w:lvlJc w:val="left"/>
      <w:pPr>
        <w:tabs>
          <w:tab w:val="num" w:pos="1134"/>
        </w:tabs>
        <w:ind w:left="1134" w:hanging="283"/>
      </w:pPr>
      <w:rPr>
        <w:rFonts w:ascii="Symbol" w:hAnsi="Symbol" w:hint="default"/>
      </w:rPr>
    </w:lvl>
  </w:abstractNum>
  <w:abstractNum w:abstractNumId="2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3" w15:restartNumberingAfterBreak="0">
    <w:nsid w:val="5DF84969"/>
    <w:multiLevelType w:val="singleLevel"/>
    <w:tmpl w:val="1E12021A"/>
    <w:lvl w:ilvl="0">
      <w:start w:val="1"/>
      <w:numFmt w:val="bullet"/>
      <w:pStyle w:val="ListBullet"/>
      <w:lvlText w:val=""/>
      <w:lvlJc w:val="left"/>
      <w:pPr>
        <w:tabs>
          <w:tab w:val="num" w:pos="283"/>
        </w:tabs>
        <w:ind w:left="283" w:hanging="283"/>
      </w:pPr>
      <w:rPr>
        <w:rFonts w:ascii="Symbol" w:hAnsi="Symbol" w:hint="default"/>
      </w:rPr>
    </w:lvl>
  </w:abstractNum>
  <w:abstractNum w:abstractNumId="24"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6" w15:restartNumberingAfterBreak="0">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3D73F7A"/>
    <w:multiLevelType w:val="singleLevel"/>
    <w:tmpl w:val="26365734"/>
    <w:lvl w:ilvl="0">
      <w:start w:val="1"/>
      <w:numFmt w:val="bullet"/>
      <w:pStyle w:val="ListBullet2"/>
      <w:lvlText w:val=""/>
      <w:lvlJc w:val="left"/>
      <w:pPr>
        <w:tabs>
          <w:tab w:val="num" w:pos="1134"/>
        </w:tabs>
        <w:ind w:left="1134" w:hanging="283"/>
      </w:pPr>
      <w:rPr>
        <w:rFonts w:ascii="Symbol" w:hAnsi="Symbol" w:hint="default"/>
      </w:rPr>
    </w:lvl>
  </w:abstractNum>
  <w:abstractNum w:abstractNumId="28" w15:restartNumberingAfterBreak="0">
    <w:nsid w:val="76BC5C11"/>
    <w:multiLevelType w:val="singleLevel"/>
    <w:tmpl w:val="E44CE82E"/>
    <w:lvl w:ilvl="0">
      <w:start w:val="1"/>
      <w:numFmt w:val="bullet"/>
      <w:pStyle w:val="ListBullet3"/>
      <w:lvlText w:val=""/>
      <w:lvlJc w:val="left"/>
      <w:pPr>
        <w:tabs>
          <w:tab w:val="num" w:pos="1134"/>
        </w:tabs>
        <w:ind w:left="1134" w:hanging="283"/>
      </w:pPr>
      <w:rPr>
        <w:rFonts w:ascii="Symbol" w:hAnsi="Symbol" w:hint="default"/>
      </w:rPr>
    </w:lvl>
  </w:abstractNum>
  <w:abstractNum w:abstractNumId="29"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29"/>
    <w:lvlOverride w:ilvl="0">
      <w:startOverride w:val="1"/>
    </w:lvlOverride>
  </w:num>
  <w:num w:numId="2">
    <w:abstractNumId w:val="28"/>
  </w:num>
  <w:num w:numId="3">
    <w:abstractNumId w:val="22"/>
    <w:lvlOverride w:ilvl="0">
      <w:startOverride w:val="1"/>
    </w:lvlOverride>
  </w:num>
  <w:num w:numId="4">
    <w:abstractNumId w:val="0"/>
  </w:num>
  <w:num w:numId="5">
    <w:abstractNumId w:val="19"/>
  </w:num>
  <w:num w:numId="6">
    <w:abstractNumId w:val="7"/>
  </w:num>
  <w:num w:numId="7">
    <w:abstractNumId w:val="16"/>
  </w:num>
  <w:num w:numId="8">
    <w:abstractNumId w:val="15"/>
  </w:num>
  <w:num w:numId="9">
    <w:abstractNumId w:val="26"/>
  </w:num>
  <w:num w:numId="10">
    <w:abstractNumId w:val="23"/>
  </w:num>
  <w:num w:numId="11">
    <w:abstractNumId w:val="27"/>
  </w:num>
  <w:num w:numId="12">
    <w:abstractNumId w:val="1"/>
  </w:num>
  <w:num w:numId="13">
    <w:abstractNumId w:val="9"/>
  </w:num>
  <w:num w:numId="14">
    <w:abstractNumId w:val="2"/>
  </w:num>
  <w:num w:numId="15">
    <w:abstractNumId w:val="10"/>
  </w:num>
  <w:num w:numId="16">
    <w:abstractNumId w:val="8"/>
  </w:num>
  <w:num w:numId="17">
    <w:abstractNumId w:val="17"/>
  </w:num>
  <w:num w:numId="18">
    <w:abstractNumId w:val="22"/>
  </w:num>
  <w:num w:numId="19">
    <w:abstractNumId w:val="11"/>
  </w:num>
  <w:num w:numId="20">
    <w:abstractNumId w:val="25"/>
  </w:num>
  <w:num w:numId="21">
    <w:abstractNumId w:val="6"/>
  </w:num>
  <w:num w:numId="22">
    <w:abstractNumId w:val="12"/>
  </w:num>
  <w:num w:numId="23">
    <w:abstractNumId w:val="13"/>
  </w:num>
  <w:num w:numId="24">
    <w:abstractNumId w:val="4"/>
  </w:num>
  <w:num w:numId="25">
    <w:abstractNumId w:val="24"/>
  </w:num>
  <w:num w:numId="26">
    <w:abstractNumId w:val="3"/>
  </w:num>
  <w:num w:numId="27">
    <w:abstractNumId w:val="14"/>
  </w:num>
  <w:num w:numId="28">
    <w:abstractNumId w:val="20"/>
  </w:num>
  <w:num w:numId="29">
    <w:abstractNumId w:val="21"/>
  </w:num>
  <w:num w:numId="30">
    <w:abstractNumId w:val="5"/>
  </w:num>
  <w:num w:numId="31">
    <w:abstractNumId w:val="18"/>
  </w:num>
  <w:num w:numId="32">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4-02-28 16:14:43"/>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F89FCF07-B380-41E6-8AF1-65ED659A5FF2"/>
    <w:docVar w:name="LW_COVERPAGE_TYPE" w:val="1"/>
    <w:docVar w:name="LW_CROSSREFERENCE" w:val="{SEC(2024) 38 final} - {SWD(2024) 15 final} - {SWD(2024) 16 final}"/>
    <w:docVar w:name="LW_DocType" w:val="COM"/>
    <w:docVar w:name="LW_EMISSION" w:val="26.1.2024"/>
    <w:docVar w:name="LW_EMISSION_ISODATE" w:val="2024-01-26"/>
    <w:docVar w:name="LW_EMISSION_LOCATION" w:val="BRX"/>
    <w:docVar w:name="LW_EMISSION_PREFIX" w:val="V Bruselu dne "/>
    <w:docVar w:name="LW_EMISSION_SUFFIX" w:val=" "/>
    <w:docVar w:name="LW_ID_DOCMODEL" w:val="SJ-024"/>
    <w:docVar w:name="LW_ID_DOCSIGNATURE" w:val="SJ-024"/>
    <w:docVar w:name="LW_ID_DOCSTRUCTURE" w:val="COM/PL/ORG"/>
    <w:docVar w:name="LW_ID_DOCTYPE" w:val="SJ-024"/>
    <w:docVar w:name="LW_ID_STATUT" w:val="SJ-024"/>
    <w:docVar w:name="LW_INSERT_EXP.MOTIFS.NEW" w:val="1"/>
    <w:docVar w:name="LW_INTERETEEE.CP" w:val="&lt;UNUSED&gt;"/>
    <w:docVar w:name="LW_LANGUE" w:val="CS"/>
    <w:docVar w:name="LW_LEVEL_OF_SENSITIVITY" w:val="Standard treatment"/>
    <w:docVar w:name="LW_NOM.INST" w:val="EVROPSKÁ KOMISE"/>
    <w:docVar w:name="LW_NOM.INST_JOINTDOC" w:val="&lt;EMPTY&gt;"/>
    <w:docVar w:name="LW_PART_NBR" w:val="1"/>
    <w:docVar w:name="LW_PART_NBR_TOTAL" w:val="1"/>
    <w:docVar w:name="LW_REF.II.NEW.CP" w:val="COD"/>
    <w:docVar w:name="LW_REF.II.NEW.CP_NUMBER" w:val="0011"/>
    <w:docVar w:name="LW_REF.II.NEW.CP_YEAR" w:val="2024"/>
    <w:docVar w:name="LW_REF.INST.NEW" w:val="COM"/>
    <w:docVar w:name="LW_REF.INST.NEW_ADOPTED" w:val="final"/>
    <w:docVar w:name="LW_REF.INST.NEW_TEXT" w:val="(2024) 33"/>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Návrh"/>
    <w:docVar w:name="LW_SUPERTITRE" w:val="&lt;UNUSED&gt;"/>
    <w:docVar w:name="LW_TITRE.OBJ.CP" w:val="kterou se m\u283?ní sm\u283?rnice 2005/44/ES o harmonizovaných \u345?í\u269?ních informa\u269?ních slu\u382?bách (RIS) na vnitrozemských vodních cestách ve Spole\u269?enství"/>
    <w:docVar w:name="LW_TYPE.DOC.CP" w:val="SM\u282?RNICE EVROPSKÉHO PARLAMENTU A RADY,"/>
    <w:docVar w:name="LwApiVersions" w:val="LW4CoDe 1.24.5.0; LW 9.0, Build 20240221"/>
  </w:docVars>
  <w:rsids>
    <w:rsidRoot w:val="009E766C"/>
    <w:rsid w:val="000011EC"/>
    <w:rsid w:val="00012759"/>
    <w:rsid w:val="00017A67"/>
    <w:rsid w:val="00020517"/>
    <w:rsid w:val="000428B1"/>
    <w:rsid w:val="00051F85"/>
    <w:rsid w:val="00054227"/>
    <w:rsid w:val="00077E88"/>
    <w:rsid w:val="0008422B"/>
    <w:rsid w:val="000A4983"/>
    <w:rsid w:val="000F53FE"/>
    <w:rsid w:val="000F57C8"/>
    <w:rsid w:val="000F729D"/>
    <w:rsid w:val="001065F5"/>
    <w:rsid w:val="00121479"/>
    <w:rsid w:val="001238EF"/>
    <w:rsid w:val="00143E8D"/>
    <w:rsid w:val="00152FF9"/>
    <w:rsid w:val="00163FD4"/>
    <w:rsid w:val="00197613"/>
    <w:rsid w:val="001A1C04"/>
    <w:rsid w:val="001F104D"/>
    <w:rsid w:val="00224BFD"/>
    <w:rsid w:val="00233DC7"/>
    <w:rsid w:val="00247779"/>
    <w:rsid w:val="002564B8"/>
    <w:rsid w:val="002706AA"/>
    <w:rsid w:val="0028099E"/>
    <w:rsid w:val="00285BEE"/>
    <w:rsid w:val="0029533F"/>
    <w:rsid w:val="002970D0"/>
    <w:rsid w:val="002B30AF"/>
    <w:rsid w:val="002B67B2"/>
    <w:rsid w:val="002D3A52"/>
    <w:rsid w:val="0033344A"/>
    <w:rsid w:val="00367FD2"/>
    <w:rsid w:val="00396222"/>
    <w:rsid w:val="003C2C69"/>
    <w:rsid w:val="0042648E"/>
    <w:rsid w:val="00427459"/>
    <w:rsid w:val="00442247"/>
    <w:rsid w:val="004606B1"/>
    <w:rsid w:val="004936D2"/>
    <w:rsid w:val="00495ACF"/>
    <w:rsid w:val="004A3740"/>
    <w:rsid w:val="004A72D3"/>
    <w:rsid w:val="004C2FA6"/>
    <w:rsid w:val="004C3B75"/>
    <w:rsid w:val="005433A0"/>
    <w:rsid w:val="00563F70"/>
    <w:rsid w:val="00583450"/>
    <w:rsid w:val="005B1EB6"/>
    <w:rsid w:val="00624DBC"/>
    <w:rsid w:val="0065193A"/>
    <w:rsid w:val="00671851"/>
    <w:rsid w:val="006F7913"/>
    <w:rsid w:val="00733AFC"/>
    <w:rsid w:val="00737965"/>
    <w:rsid w:val="00773331"/>
    <w:rsid w:val="007932EF"/>
    <w:rsid w:val="007D7A4B"/>
    <w:rsid w:val="007E05B0"/>
    <w:rsid w:val="00802E97"/>
    <w:rsid w:val="008051A8"/>
    <w:rsid w:val="008061C1"/>
    <w:rsid w:val="00815155"/>
    <w:rsid w:val="00874D22"/>
    <w:rsid w:val="008833B6"/>
    <w:rsid w:val="008A2914"/>
    <w:rsid w:val="008A365F"/>
    <w:rsid w:val="008B0E98"/>
    <w:rsid w:val="008E4D8E"/>
    <w:rsid w:val="009337F3"/>
    <w:rsid w:val="009340E7"/>
    <w:rsid w:val="00945B79"/>
    <w:rsid w:val="00981237"/>
    <w:rsid w:val="00996C90"/>
    <w:rsid w:val="009C4522"/>
    <w:rsid w:val="009E766C"/>
    <w:rsid w:val="00A214D6"/>
    <w:rsid w:val="00A22BBD"/>
    <w:rsid w:val="00A26C0F"/>
    <w:rsid w:val="00A62646"/>
    <w:rsid w:val="00A722B8"/>
    <w:rsid w:val="00B0345B"/>
    <w:rsid w:val="00B04A2C"/>
    <w:rsid w:val="00B1611F"/>
    <w:rsid w:val="00B25FC4"/>
    <w:rsid w:val="00B274E4"/>
    <w:rsid w:val="00B3545E"/>
    <w:rsid w:val="00B36C9A"/>
    <w:rsid w:val="00B460EC"/>
    <w:rsid w:val="00B51F80"/>
    <w:rsid w:val="00B628FF"/>
    <w:rsid w:val="00B67DB5"/>
    <w:rsid w:val="00BA6041"/>
    <w:rsid w:val="00BE71FF"/>
    <w:rsid w:val="00C10D93"/>
    <w:rsid w:val="00C12301"/>
    <w:rsid w:val="00C30322"/>
    <w:rsid w:val="00C31BC1"/>
    <w:rsid w:val="00C41A2A"/>
    <w:rsid w:val="00C43681"/>
    <w:rsid w:val="00C57F1A"/>
    <w:rsid w:val="00C91B61"/>
    <w:rsid w:val="00C960BE"/>
    <w:rsid w:val="00CA6682"/>
    <w:rsid w:val="00CD0D5F"/>
    <w:rsid w:val="00CE7326"/>
    <w:rsid w:val="00CF1EF0"/>
    <w:rsid w:val="00D11F9C"/>
    <w:rsid w:val="00D20381"/>
    <w:rsid w:val="00D63B5F"/>
    <w:rsid w:val="00D81CDA"/>
    <w:rsid w:val="00DA14BF"/>
    <w:rsid w:val="00DB19F3"/>
    <w:rsid w:val="00DF7BA9"/>
    <w:rsid w:val="00DF7FF9"/>
    <w:rsid w:val="00E00B43"/>
    <w:rsid w:val="00E5165B"/>
    <w:rsid w:val="00EB2D05"/>
    <w:rsid w:val="00EC412C"/>
    <w:rsid w:val="00ED2521"/>
    <w:rsid w:val="00EE478E"/>
    <w:rsid w:val="00EF4193"/>
    <w:rsid w:val="00F07FE9"/>
    <w:rsid w:val="00F20BF0"/>
    <w:rsid w:val="00F66B89"/>
    <w:rsid w:val="00F86826"/>
    <w:rsid w:val="00FA43BF"/>
    <w:rsid w:val="00FC38F8"/>
    <w:rsid w:val="00FD7DD8"/>
    <w:rsid w:val="00FE069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B302F5A7-B01B-48E4-B668-CD264A5A3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cs-CZ"/>
    </w:rPr>
  </w:style>
  <w:style w:type="paragraph" w:styleId="Heading1">
    <w:name w:val="heading 1"/>
    <w:basedOn w:val="Normal"/>
    <w:next w:val="Text1"/>
    <w:link w:val="Heading1Char"/>
    <w:uiPriority w:val="9"/>
    <w:qFormat/>
    <w:pPr>
      <w:keepNext/>
      <w:numPr>
        <w:numId w:val="2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5"/>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25"/>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25"/>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25"/>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766C"/>
    <w:rPr>
      <w:color w:val="0000FF"/>
      <w:u w:val="single"/>
      <w:shd w:val="clear" w:color="auto" w:fill="auto"/>
    </w:rPr>
  </w:style>
  <w:style w:type="paragraph" w:styleId="ListBullet3">
    <w:name w:val="List Bullet 3"/>
    <w:basedOn w:val="Normal"/>
    <w:rsid w:val="00163FD4"/>
    <w:pPr>
      <w:numPr>
        <w:numId w:val="2"/>
      </w:numPr>
    </w:pPr>
    <w:rPr>
      <w:rFonts w:eastAsia="Times New Roman"/>
      <w:lang w:eastAsia="en-GB"/>
    </w:rPr>
  </w:style>
  <w:style w:type="character" w:customStyle="1" w:styleId="normaltextrun">
    <w:name w:val="normaltextrun"/>
    <w:basedOn w:val="DefaultParagraphFont"/>
    <w:rsid w:val="00163FD4"/>
  </w:style>
  <w:style w:type="paragraph" w:customStyle="1" w:styleId="CharCharChar1">
    <w:name w:val="Char Char Char1"/>
    <w:basedOn w:val="Normal"/>
    <w:link w:val="FootnoteReference"/>
    <w:uiPriority w:val="99"/>
    <w:rsid w:val="00163FD4"/>
    <w:pPr>
      <w:spacing w:before="0" w:after="160" w:line="240" w:lineRule="exact"/>
    </w:pPr>
    <w:rPr>
      <w:rFonts w:asciiTheme="minorHAnsi" w:hAnsiTheme="minorHAnsi" w:cstheme="minorBidi"/>
      <w:sz w:val="22"/>
      <w:vertAlign w:val="superscript"/>
    </w:rPr>
  </w:style>
  <w:style w:type="paragraph" w:styleId="ListBullet4">
    <w:name w:val="List Bullet 4"/>
    <w:basedOn w:val="Normal"/>
    <w:rsid w:val="00996C90"/>
    <w:pPr>
      <w:numPr>
        <w:numId w:val="5"/>
      </w:numPr>
    </w:pPr>
    <w:rPr>
      <w:rFonts w:eastAsia="Times New Roman"/>
      <w:lang w:eastAsia="de-DE"/>
    </w:rPr>
  </w:style>
  <w:style w:type="paragraph" w:styleId="ListNumber">
    <w:name w:val="List Number"/>
    <w:basedOn w:val="Normal"/>
    <w:rsid w:val="00996C90"/>
    <w:pPr>
      <w:numPr>
        <w:numId w:val="9"/>
      </w:numPr>
    </w:pPr>
    <w:rPr>
      <w:rFonts w:eastAsia="Times New Roman"/>
      <w:lang w:eastAsia="de-DE"/>
    </w:rPr>
  </w:style>
  <w:style w:type="paragraph" w:customStyle="1" w:styleId="ListBullet1">
    <w:name w:val="List Bullet 1"/>
    <w:basedOn w:val="Normal"/>
    <w:rsid w:val="00996C90"/>
    <w:pPr>
      <w:numPr>
        <w:numId w:val="4"/>
      </w:numPr>
    </w:pPr>
    <w:rPr>
      <w:rFonts w:eastAsia="Times New Roman"/>
      <w:lang w:eastAsia="de-DE"/>
    </w:rPr>
  </w:style>
  <w:style w:type="paragraph" w:customStyle="1" w:styleId="ListDash">
    <w:name w:val="List Dash"/>
    <w:basedOn w:val="Normal"/>
    <w:rsid w:val="00996C90"/>
    <w:pPr>
      <w:numPr>
        <w:numId w:val="6"/>
      </w:numPr>
    </w:pPr>
    <w:rPr>
      <w:rFonts w:eastAsia="Times New Roman"/>
      <w:lang w:eastAsia="de-DE"/>
    </w:rPr>
  </w:style>
  <w:style w:type="paragraph" w:customStyle="1" w:styleId="ListDash1">
    <w:name w:val="List Dash 1"/>
    <w:basedOn w:val="Normal"/>
    <w:rsid w:val="00996C90"/>
    <w:pPr>
      <w:numPr>
        <w:numId w:val="7"/>
      </w:numPr>
    </w:pPr>
    <w:rPr>
      <w:rFonts w:eastAsia="Times New Roman"/>
      <w:lang w:eastAsia="de-DE"/>
    </w:rPr>
  </w:style>
  <w:style w:type="paragraph" w:customStyle="1" w:styleId="ListDash2">
    <w:name w:val="List Dash 2"/>
    <w:basedOn w:val="Normal"/>
    <w:rsid w:val="00996C90"/>
    <w:pPr>
      <w:numPr>
        <w:numId w:val="8"/>
      </w:numPr>
    </w:pPr>
    <w:rPr>
      <w:rFonts w:eastAsia="Times New Roman"/>
      <w:lang w:eastAsia="de-DE"/>
    </w:rPr>
  </w:style>
  <w:style w:type="paragraph" w:customStyle="1" w:styleId="ListNumberLevel2">
    <w:name w:val="List Number (Level 2)"/>
    <w:basedOn w:val="Normal"/>
    <w:rsid w:val="00996C90"/>
    <w:pPr>
      <w:numPr>
        <w:ilvl w:val="1"/>
        <w:numId w:val="9"/>
      </w:numPr>
    </w:pPr>
    <w:rPr>
      <w:rFonts w:eastAsia="Times New Roman"/>
      <w:lang w:eastAsia="de-DE"/>
    </w:rPr>
  </w:style>
  <w:style w:type="paragraph" w:customStyle="1" w:styleId="ListNumberLevel3">
    <w:name w:val="List Number (Level 3)"/>
    <w:basedOn w:val="Normal"/>
    <w:rsid w:val="00996C90"/>
    <w:pPr>
      <w:numPr>
        <w:ilvl w:val="2"/>
        <w:numId w:val="9"/>
      </w:numPr>
    </w:pPr>
    <w:rPr>
      <w:rFonts w:eastAsia="Times New Roman"/>
      <w:lang w:eastAsia="de-DE"/>
    </w:rPr>
  </w:style>
  <w:style w:type="paragraph" w:customStyle="1" w:styleId="ListNumberLevel4">
    <w:name w:val="List Number (Level 4)"/>
    <w:basedOn w:val="Normal"/>
    <w:rsid w:val="00996C90"/>
    <w:pPr>
      <w:numPr>
        <w:ilvl w:val="3"/>
        <w:numId w:val="9"/>
      </w:numPr>
    </w:pPr>
    <w:rPr>
      <w:rFonts w:eastAsia="Times New Roman"/>
      <w:lang w:eastAsia="de-DE"/>
    </w:rPr>
  </w:style>
  <w:style w:type="table" w:styleId="TableGrid">
    <w:name w:val="Table Grid"/>
    <w:basedOn w:val="TableNormal"/>
    <w:rsid w:val="00996C90"/>
    <w:pPr>
      <w:spacing w:before="120" w:after="12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rsid w:val="00996C90"/>
    <w:pPr>
      <w:numPr>
        <w:numId w:val="10"/>
      </w:numPr>
    </w:pPr>
    <w:rPr>
      <w:rFonts w:eastAsia="Times New Roman"/>
      <w:lang w:eastAsia="en-GB"/>
    </w:rPr>
  </w:style>
  <w:style w:type="paragraph" w:styleId="ListBullet2">
    <w:name w:val="List Bullet 2"/>
    <w:basedOn w:val="Normal"/>
    <w:rsid w:val="00996C90"/>
    <w:pPr>
      <w:numPr>
        <w:numId w:val="11"/>
      </w:numPr>
    </w:pPr>
    <w:rPr>
      <w:rFonts w:eastAsia="Times New Roman"/>
      <w:lang w:eastAsia="en-GB"/>
    </w:rPr>
  </w:style>
  <w:style w:type="paragraph" w:styleId="ListNumber2">
    <w:name w:val="List Number 2"/>
    <w:basedOn w:val="Normal"/>
    <w:rsid w:val="00996C90"/>
    <w:pPr>
      <w:numPr>
        <w:numId w:val="15"/>
      </w:numPr>
    </w:pPr>
    <w:rPr>
      <w:rFonts w:eastAsia="Times New Roman"/>
      <w:lang w:eastAsia="en-GB"/>
    </w:rPr>
  </w:style>
  <w:style w:type="paragraph" w:styleId="ListNumber3">
    <w:name w:val="List Number 3"/>
    <w:basedOn w:val="Normal"/>
    <w:rsid w:val="00996C90"/>
    <w:pPr>
      <w:numPr>
        <w:numId w:val="16"/>
      </w:numPr>
    </w:pPr>
    <w:rPr>
      <w:rFonts w:eastAsia="Times New Roman"/>
      <w:lang w:eastAsia="en-GB"/>
    </w:rPr>
  </w:style>
  <w:style w:type="paragraph" w:styleId="ListNumber4">
    <w:name w:val="List Number 4"/>
    <w:basedOn w:val="Normal"/>
    <w:rsid w:val="00996C90"/>
    <w:pPr>
      <w:numPr>
        <w:numId w:val="17"/>
      </w:numPr>
    </w:pPr>
    <w:rPr>
      <w:rFonts w:eastAsia="Times New Roman"/>
      <w:lang w:eastAsia="en-GB"/>
    </w:rPr>
  </w:style>
  <w:style w:type="paragraph" w:customStyle="1" w:styleId="ListDash3">
    <w:name w:val="List Dash 3"/>
    <w:basedOn w:val="Normal"/>
    <w:rsid w:val="00996C90"/>
    <w:pPr>
      <w:numPr>
        <w:numId w:val="12"/>
      </w:numPr>
    </w:pPr>
    <w:rPr>
      <w:rFonts w:eastAsia="Times New Roman"/>
      <w:lang w:eastAsia="en-GB"/>
    </w:rPr>
  </w:style>
  <w:style w:type="paragraph" w:customStyle="1" w:styleId="ListDash4">
    <w:name w:val="List Dash 4"/>
    <w:basedOn w:val="Normal"/>
    <w:rsid w:val="00996C90"/>
    <w:pPr>
      <w:numPr>
        <w:numId w:val="13"/>
      </w:numPr>
    </w:pPr>
    <w:rPr>
      <w:rFonts w:eastAsia="Times New Roman"/>
      <w:lang w:eastAsia="en-GB"/>
    </w:rPr>
  </w:style>
  <w:style w:type="paragraph" w:customStyle="1" w:styleId="ListNumber1">
    <w:name w:val="List Number 1"/>
    <w:basedOn w:val="Text1"/>
    <w:rsid w:val="00996C90"/>
    <w:pPr>
      <w:numPr>
        <w:numId w:val="14"/>
      </w:numPr>
    </w:pPr>
    <w:rPr>
      <w:rFonts w:eastAsia="Times New Roman"/>
      <w:lang w:eastAsia="en-GB"/>
    </w:rPr>
  </w:style>
  <w:style w:type="paragraph" w:customStyle="1" w:styleId="ListNumber1Level2">
    <w:name w:val="List Number 1 (Level 2)"/>
    <w:basedOn w:val="Text1"/>
    <w:rsid w:val="00996C90"/>
    <w:pPr>
      <w:numPr>
        <w:ilvl w:val="1"/>
        <w:numId w:val="14"/>
      </w:numPr>
    </w:pPr>
    <w:rPr>
      <w:rFonts w:eastAsia="Times New Roman"/>
      <w:lang w:eastAsia="en-GB"/>
    </w:rPr>
  </w:style>
  <w:style w:type="paragraph" w:customStyle="1" w:styleId="ListNumber2Level2">
    <w:name w:val="List Number 2 (Level 2)"/>
    <w:basedOn w:val="Text2"/>
    <w:rsid w:val="00996C90"/>
    <w:pPr>
      <w:numPr>
        <w:ilvl w:val="1"/>
        <w:numId w:val="15"/>
      </w:numPr>
    </w:pPr>
    <w:rPr>
      <w:rFonts w:eastAsia="Times New Roman"/>
      <w:lang w:eastAsia="en-GB"/>
    </w:rPr>
  </w:style>
  <w:style w:type="paragraph" w:customStyle="1" w:styleId="ListNumber3Level2">
    <w:name w:val="List Number 3 (Level 2)"/>
    <w:basedOn w:val="Text3"/>
    <w:rsid w:val="00996C90"/>
    <w:pPr>
      <w:numPr>
        <w:ilvl w:val="1"/>
        <w:numId w:val="16"/>
      </w:numPr>
    </w:pPr>
    <w:rPr>
      <w:rFonts w:eastAsia="Times New Roman"/>
      <w:lang w:eastAsia="en-GB"/>
    </w:rPr>
  </w:style>
  <w:style w:type="paragraph" w:customStyle="1" w:styleId="ListNumber4Level2">
    <w:name w:val="List Number 4 (Level 2)"/>
    <w:basedOn w:val="Text4"/>
    <w:rsid w:val="00996C90"/>
    <w:pPr>
      <w:numPr>
        <w:ilvl w:val="1"/>
        <w:numId w:val="17"/>
      </w:numPr>
    </w:pPr>
    <w:rPr>
      <w:rFonts w:eastAsia="Times New Roman"/>
      <w:lang w:eastAsia="en-GB"/>
    </w:rPr>
  </w:style>
  <w:style w:type="paragraph" w:customStyle="1" w:styleId="ListNumber1Level3">
    <w:name w:val="List Number 1 (Level 3)"/>
    <w:basedOn w:val="Text1"/>
    <w:rsid w:val="00996C90"/>
    <w:pPr>
      <w:numPr>
        <w:ilvl w:val="2"/>
        <w:numId w:val="14"/>
      </w:numPr>
    </w:pPr>
    <w:rPr>
      <w:rFonts w:eastAsia="Times New Roman"/>
      <w:lang w:eastAsia="en-GB"/>
    </w:rPr>
  </w:style>
  <w:style w:type="paragraph" w:customStyle="1" w:styleId="ListNumber2Level3">
    <w:name w:val="List Number 2 (Level 3)"/>
    <w:basedOn w:val="Text2"/>
    <w:rsid w:val="00996C90"/>
    <w:pPr>
      <w:numPr>
        <w:ilvl w:val="2"/>
        <w:numId w:val="15"/>
      </w:numPr>
    </w:pPr>
    <w:rPr>
      <w:rFonts w:eastAsia="Times New Roman"/>
      <w:lang w:eastAsia="en-GB"/>
    </w:rPr>
  </w:style>
  <w:style w:type="paragraph" w:customStyle="1" w:styleId="ListNumber3Level3">
    <w:name w:val="List Number 3 (Level 3)"/>
    <w:basedOn w:val="Text3"/>
    <w:rsid w:val="00996C90"/>
    <w:pPr>
      <w:numPr>
        <w:ilvl w:val="2"/>
        <w:numId w:val="16"/>
      </w:numPr>
    </w:pPr>
    <w:rPr>
      <w:rFonts w:eastAsia="Times New Roman"/>
      <w:lang w:eastAsia="en-GB"/>
    </w:rPr>
  </w:style>
  <w:style w:type="paragraph" w:customStyle="1" w:styleId="ListNumber4Level3">
    <w:name w:val="List Number 4 (Level 3)"/>
    <w:basedOn w:val="Text4"/>
    <w:rsid w:val="00996C90"/>
    <w:pPr>
      <w:numPr>
        <w:ilvl w:val="2"/>
        <w:numId w:val="17"/>
      </w:numPr>
    </w:pPr>
    <w:rPr>
      <w:rFonts w:eastAsia="Times New Roman"/>
      <w:lang w:eastAsia="en-GB"/>
    </w:rPr>
  </w:style>
  <w:style w:type="paragraph" w:customStyle="1" w:styleId="ListNumber1Level4">
    <w:name w:val="List Number 1 (Level 4)"/>
    <w:basedOn w:val="Text1"/>
    <w:rsid w:val="00996C90"/>
    <w:pPr>
      <w:numPr>
        <w:ilvl w:val="3"/>
        <w:numId w:val="14"/>
      </w:numPr>
    </w:pPr>
    <w:rPr>
      <w:rFonts w:eastAsia="Times New Roman"/>
      <w:lang w:eastAsia="en-GB"/>
    </w:rPr>
  </w:style>
  <w:style w:type="paragraph" w:customStyle="1" w:styleId="ListNumber2Level4">
    <w:name w:val="List Number 2 (Level 4)"/>
    <w:basedOn w:val="Text2"/>
    <w:rsid w:val="00996C90"/>
    <w:pPr>
      <w:numPr>
        <w:ilvl w:val="3"/>
        <w:numId w:val="15"/>
      </w:numPr>
    </w:pPr>
    <w:rPr>
      <w:rFonts w:eastAsia="Times New Roman"/>
      <w:lang w:eastAsia="en-GB"/>
    </w:rPr>
  </w:style>
  <w:style w:type="paragraph" w:customStyle="1" w:styleId="ListNumber3Level4">
    <w:name w:val="List Number 3 (Level 4)"/>
    <w:basedOn w:val="Text3"/>
    <w:rsid w:val="00996C90"/>
    <w:pPr>
      <w:numPr>
        <w:ilvl w:val="3"/>
        <w:numId w:val="16"/>
      </w:numPr>
    </w:pPr>
    <w:rPr>
      <w:rFonts w:eastAsia="Times New Roman"/>
      <w:lang w:eastAsia="en-GB"/>
    </w:rPr>
  </w:style>
  <w:style w:type="paragraph" w:customStyle="1" w:styleId="ListNumber4Level4">
    <w:name w:val="List Number 4 (Level 4)"/>
    <w:basedOn w:val="Text4"/>
    <w:rsid w:val="00996C90"/>
    <w:pPr>
      <w:numPr>
        <w:ilvl w:val="3"/>
        <w:numId w:val="17"/>
      </w:numPr>
    </w:pPr>
    <w:rPr>
      <w:rFonts w:eastAsia="Times New Roman"/>
      <w:lang w:eastAsia="en-GB"/>
    </w:rPr>
  </w:style>
  <w:style w:type="paragraph" w:customStyle="1" w:styleId="Annexetitreacte">
    <w:name w:val="Annexe titre (acte)"/>
    <w:basedOn w:val="Normal"/>
    <w:next w:val="Normal"/>
    <w:rsid w:val="00996C90"/>
    <w:pPr>
      <w:jc w:val="center"/>
    </w:pPr>
    <w:rPr>
      <w:rFonts w:eastAsia="Times New Roman"/>
      <w:b/>
      <w:u w:val="single"/>
      <w:lang w:eastAsia="en-GB"/>
    </w:rPr>
  </w:style>
  <w:style w:type="paragraph" w:customStyle="1" w:styleId="Annexetitreexposglobal">
    <w:name w:val="Annexe titre (exposé global)"/>
    <w:basedOn w:val="Normal"/>
    <w:next w:val="Normal"/>
    <w:rsid w:val="00996C90"/>
    <w:pPr>
      <w:jc w:val="center"/>
    </w:pPr>
    <w:rPr>
      <w:rFonts w:eastAsia="Times New Roman"/>
      <w:b/>
      <w:u w:val="single"/>
      <w:lang w:eastAsia="en-GB"/>
    </w:rPr>
  </w:style>
  <w:style w:type="paragraph" w:customStyle="1" w:styleId="Annexetitrefichefinacte">
    <w:name w:val="Annexe titre (fiche fin. acte)"/>
    <w:basedOn w:val="Normal"/>
    <w:next w:val="Normal"/>
    <w:rsid w:val="00996C90"/>
    <w:pPr>
      <w:jc w:val="center"/>
    </w:pPr>
    <w:rPr>
      <w:rFonts w:eastAsia="Times New Roman"/>
      <w:b/>
      <w:u w:val="single"/>
      <w:lang w:eastAsia="en-GB"/>
    </w:rPr>
  </w:style>
  <w:style w:type="paragraph" w:customStyle="1" w:styleId="Annexetitrefichefinglobale">
    <w:name w:val="Annexe titre (fiche fin. globale)"/>
    <w:basedOn w:val="Normal"/>
    <w:next w:val="Normal"/>
    <w:rsid w:val="00996C90"/>
    <w:pPr>
      <w:jc w:val="center"/>
    </w:pPr>
    <w:rPr>
      <w:rFonts w:eastAsia="Times New Roman"/>
      <w:b/>
      <w:u w:val="single"/>
      <w:lang w:eastAsia="en-GB"/>
    </w:rPr>
  </w:style>
  <w:style w:type="paragraph" w:customStyle="1" w:styleId="Annexetitreglobale">
    <w:name w:val="Annexe titre (globale)"/>
    <w:basedOn w:val="Normal"/>
    <w:next w:val="Normal"/>
    <w:rsid w:val="00996C90"/>
    <w:pPr>
      <w:jc w:val="center"/>
    </w:pPr>
    <w:rPr>
      <w:rFonts w:eastAsia="Times New Roman"/>
      <w:b/>
      <w:u w:val="single"/>
      <w:lang w:eastAsia="en-GB"/>
    </w:rPr>
  </w:style>
  <w:style w:type="paragraph" w:customStyle="1" w:styleId="Exposdesmotifstitreglobal">
    <w:name w:val="Exposé des motifs titre (global)"/>
    <w:basedOn w:val="Normal"/>
    <w:next w:val="Normal"/>
    <w:rsid w:val="00996C90"/>
    <w:pPr>
      <w:jc w:val="center"/>
    </w:pPr>
    <w:rPr>
      <w:rFonts w:eastAsia="Times New Roman"/>
      <w:b/>
      <w:u w:val="single"/>
      <w:lang w:eastAsia="en-GB"/>
    </w:rPr>
  </w:style>
  <w:style w:type="paragraph" w:customStyle="1" w:styleId="Langueoriginale">
    <w:name w:val="Langue originale"/>
    <w:basedOn w:val="Normal"/>
    <w:rsid w:val="00996C90"/>
    <w:pPr>
      <w:spacing w:before="360"/>
      <w:jc w:val="center"/>
    </w:pPr>
    <w:rPr>
      <w:rFonts w:eastAsia="Times New Roman"/>
      <w:caps/>
      <w:lang w:eastAsia="en-GB"/>
    </w:rPr>
  </w:style>
  <w:style w:type="paragraph" w:customStyle="1" w:styleId="Phrasefinale">
    <w:name w:val="Phrase finale"/>
    <w:basedOn w:val="Normal"/>
    <w:next w:val="Normal"/>
    <w:rsid w:val="00996C90"/>
    <w:pPr>
      <w:spacing w:before="360" w:after="0"/>
      <w:jc w:val="center"/>
    </w:pPr>
    <w:rPr>
      <w:rFonts w:eastAsia="Times New Roman"/>
      <w:lang w:eastAsia="en-GB"/>
    </w:rPr>
  </w:style>
  <w:style w:type="paragraph" w:customStyle="1" w:styleId="Prliminairetitre">
    <w:name w:val="Préliminaire titre"/>
    <w:basedOn w:val="Normal"/>
    <w:next w:val="Normal"/>
    <w:rsid w:val="00996C90"/>
    <w:pPr>
      <w:spacing w:before="360" w:after="360"/>
      <w:jc w:val="center"/>
    </w:pPr>
    <w:rPr>
      <w:rFonts w:eastAsia="Times New Roman"/>
      <w:b/>
      <w:lang w:eastAsia="en-GB"/>
    </w:rPr>
  </w:style>
  <w:style w:type="paragraph" w:customStyle="1" w:styleId="Prliminairetype">
    <w:name w:val="Préliminaire type"/>
    <w:basedOn w:val="Normal"/>
    <w:next w:val="Normal"/>
    <w:rsid w:val="00996C90"/>
    <w:pPr>
      <w:spacing w:before="360" w:after="0"/>
      <w:jc w:val="center"/>
    </w:pPr>
    <w:rPr>
      <w:rFonts w:eastAsia="Times New Roman"/>
      <w:b/>
      <w:lang w:eastAsia="en-GB"/>
    </w:rPr>
  </w:style>
  <w:style w:type="paragraph" w:customStyle="1" w:styleId="Rfrenceinstitutionelle">
    <w:name w:val="Référence institutionelle"/>
    <w:basedOn w:val="Normal"/>
    <w:next w:val="Statut"/>
    <w:rsid w:val="00996C90"/>
    <w:pPr>
      <w:spacing w:before="0" w:after="240"/>
      <w:ind w:left="5103"/>
      <w:jc w:val="left"/>
    </w:pPr>
    <w:rPr>
      <w:rFonts w:eastAsia="Times New Roman"/>
      <w:lang w:eastAsia="en-GB"/>
    </w:rPr>
  </w:style>
  <w:style w:type="paragraph" w:customStyle="1" w:styleId="Rfrenceinterinstitutionelle">
    <w:name w:val="Référence interinstitutionelle"/>
    <w:basedOn w:val="Normal"/>
    <w:next w:val="Statut"/>
    <w:rsid w:val="00996C90"/>
    <w:pPr>
      <w:spacing w:before="0" w:after="0"/>
      <w:ind w:left="5103"/>
      <w:jc w:val="left"/>
    </w:pPr>
    <w:rPr>
      <w:rFonts w:eastAsia="Times New Roman"/>
      <w:lang w:eastAsia="en-GB"/>
    </w:rPr>
  </w:style>
  <w:style w:type="paragraph" w:customStyle="1" w:styleId="Rfrenceinterinstitutionelleprliminaire">
    <w:name w:val="Référence interinstitutionelle (préliminaire)"/>
    <w:basedOn w:val="Normal"/>
    <w:next w:val="Normal"/>
    <w:rsid w:val="00996C90"/>
    <w:pPr>
      <w:spacing w:before="0" w:after="0"/>
      <w:ind w:left="5103"/>
      <w:jc w:val="left"/>
    </w:pPr>
    <w:rPr>
      <w:rFonts w:eastAsia="Times New Roman"/>
      <w:lang w:eastAsia="en-GB"/>
    </w:rPr>
  </w:style>
  <w:style w:type="paragraph" w:customStyle="1" w:styleId="Sous-titreobjetprliminaire">
    <w:name w:val="Sous-titre objet (préliminaire)"/>
    <w:basedOn w:val="Normal"/>
    <w:rsid w:val="00996C90"/>
    <w:pPr>
      <w:spacing w:before="0" w:after="0"/>
      <w:jc w:val="center"/>
    </w:pPr>
    <w:rPr>
      <w:rFonts w:eastAsia="Times New Roman"/>
      <w:b/>
      <w:lang w:eastAsia="en-GB"/>
    </w:rPr>
  </w:style>
  <w:style w:type="paragraph" w:customStyle="1" w:styleId="Statutprliminaire">
    <w:name w:val="Statut (préliminaire)"/>
    <w:basedOn w:val="Normal"/>
    <w:next w:val="Normal"/>
    <w:rsid w:val="00996C90"/>
    <w:pPr>
      <w:spacing w:before="360" w:after="0"/>
      <w:jc w:val="center"/>
    </w:pPr>
    <w:rPr>
      <w:rFonts w:eastAsia="Times New Roman"/>
      <w:lang w:eastAsia="en-GB"/>
    </w:rPr>
  </w:style>
  <w:style w:type="paragraph" w:customStyle="1" w:styleId="Titreobjetprliminaire">
    <w:name w:val="Titre objet (préliminaire)"/>
    <w:basedOn w:val="Normal"/>
    <w:next w:val="Normal"/>
    <w:rsid w:val="00996C90"/>
    <w:pPr>
      <w:spacing w:before="360" w:after="360"/>
      <w:jc w:val="center"/>
    </w:pPr>
    <w:rPr>
      <w:rFonts w:eastAsia="Times New Roman"/>
      <w:b/>
      <w:lang w:eastAsia="en-GB"/>
    </w:rPr>
  </w:style>
  <w:style w:type="paragraph" w:customStyle="1" w:styleId="Typedudocumentprliminaire">
    <w:name w:val="Type du document (préliminaire)"/>
    <w:basedOn w:val="Normal"/>
    <w:next w:val="Normal"/>
    <w:rsid w:val="00996C90"/>
    <w:pPr>
      <w:spacing w:before="360" w:after="0"/>
      <w:jc w:val="center"/>
    </w:pPr>
    <w:rPr>
      <w:rFonts w:eastAsia="Times New Roman"/>
      <w:b/>
      <w:lang w:eastAsia="en-GB"/>
    </w:rPr>
  </w:style>
  <w:style w:type="paragraph" w:customStyle="1" w:styleId="Fichefinancirestandardtitre">
    <w:name w:val="Fiche financière (standard) titre"/>
    <w:basedOn w:val="Normal"/>
    <w:next w:val="Normal"/>
    <w:rsid w:val="00996C90"/>
    <w:pPr>
      <w:jc w:val="center"/>
    </w:pPr>
    <w:rPr>
      <w:rFonts w:eastAsia="Times New Roman"/>
      <w:b/>
      <w:u w:val="single"/>
      <w:lang w:eastAsia="en-GB"/>
    </w:rPr>
  </w:style>
  <w:style w:type="paragraph" w:customStyle="1" w:styleId="Fichefinancirestandardtitreacte">
    <w:name w:val="Fiche financière (standard) titre (acte)"/>
    <w:basedOn w:val="Normal"/>
    <w:next w:val="Normal"/>
    <w:rsid w:val="00996C90"/>
    <w:pPr>
      <w:jc w:val="center"/>
    </w:pPr>
    <w:rPr>
      <w:rFonts w:eastAsia="Times New Roman"/>
      <w:b/>
      <w:u w:val="single"/>
      <w:lang w:eastAsia="en-GB"/>
    </w:rPr>
  </w:style>
  <w:style w:type="paragraph" w:customStyle="1" w:styleId="Fichefinanciretravailtitre">
    <w:name w:val="Fiche financière (travail) titre"/>
    <w:basedOn w:val="Normal"/>
    <w:next w:val="Normal"/>
    <w:rsid w:val="00996C90"/>
    <w:pPr>
      <w:jc w:val="center"/>
    </w:pPr>
    <w:rPr>
      <w:rFonts w:eastAsia="Times New Roman"/>
      <w:b/>
      <w:u w:val="single"/>
      <w:lang w:eastAsia="en-GB"/>
    </w:rPr>
  </w:style>
  <w:style w:type="paragraph" w:customStyle="1" w:styleId="Fichefinanciretravailtitreacte">
    <w:name w:val="Fiche financière (travail) titre (acte)"/>
    <w:basedOn w:val="Normal"/>
    <w:next w:val="Normal"/>
    <w:rsid w:val="00996C90"/>
    <w:pPr>
      <w:jc w:val="center"/>
    </w:pPr>
    <w:rPr>
      <w:rFonts w:eastAsia="Times New Roman"/>
      <w:b/>
      <w:u w:val="single"/>
      <w:lang w:eastAsia="en-GB"/>
    </w:rPr>
  </w:style>
  <w:style w:type="paragraph" w:customStyle="1" w:styleId="Fichefinancireattributiontitre">
    <w:name w:val="Fiche financière (attribution) titre"/>
    <w:basedOn w:val="Normal"/>
    <w:next w:val="Normal"/>
    <w:rsid w:val="00996C90"/>
    <w:pPr>
      <w:jc w:val="center"/>
    </w:pPr>
    <w:rPr>
      <w:rFonts w:eastAsia="Times New Roman"/>
      <w:b/>
      <w:u w:val="single"/>
      <w:lang w:eastAsia="en-GB"/>
    </w:rPr>
  </w:style>
  <w:style w:type="paragraph" w:customStyle="1" w:styleId="Fichefinancireattributiontitreacte">
    <w:name w:val="Fiche financière (attribution) titre (acte)"/>
    <w:basedOn w:val="Normal"/>
    <w:next w:val="Normal"/>
    <w:rsid w:val="00996C90"/>
    <w:pPr>
      <w:jc w:val="center"/>
    </w:pPr>
    <w:rPr>
      <w:rFonts w:eastAsia="Times New Roman"/>
      <w:b/>
      <w:u w:val="single"/>
      <w:lang w:eastAsia="en-GB"/>
    </w:rPr>
  </w:style>
  <w:style w:type="character" w:styleId="CommentReference">
    <w:name w:val="annotation reference"/>
    <w:rsid w:val="00996C90"/>
    <w:rPr>
      <w:rFonts w:cs="Times New Roman"/>
      <w:sz w:val="16"/>
      <w:szCs w:val="16"/>
    </w:rPr>
  </w:style>
  <w:style w:type="paragraph" w:styleId="CommentText">
    <w:name w:val="annotation text"/>
    <w:basedOn w:val="Normal"/>
    <w:link w:val="CommentTextChar"/>
    <w:rsid w:val="00996C90"/>
    <w:rPr>
      <w:rFonts w:eastAsia="Times New Roman"/>
      <w:sz w:val="20"/>
      <w:szCs w:val="20"/>
      <w:lang w:eastAsia="en-GB"/>
    </w:rPr>
  </w:style>
  <w:style w:type="character" w:customStyle="1" w:styleId="CommentTextChar">
    <w:name w:val="Comment Text Char"/>
    <w:basedOn w:val="DefaultParagraphFont"/>
    <w:link w:val="CommentText"/>
    <w:rsid w:val="00996C90"/>
    <w:rPr>
      <w:rFonts w:ascii="Times New Roman" w:eastAsia="Times New Roman" w:hAnsi="Times New Roman" w:cs="Times New Roman"/>
      <w:sz w:val="20"/>
      <w:szCs w:val="20"/>
      <w:lang w:val="cs-CZ" w:eastAsia="en-GB"/>
    </w:rPr>
  </w:style>
  <w:style w:type="paragraph" w:styleId="CommentSubject">
    <w:name w:val="annotation subject"/>
    <w:basedOn w:val="CommentText"/>
    <w:next w:val="CommentText"/>
    <w:link w:val="CommentSubjectChar"/>
    <w:rsid w:val="00996C90"/>
    <w:rPr>
      <w:b/>
      <w:bCs/>
    </w:rPr>
  </w:style>
  <w:style w:type="character" w:customStyle="1" w:styleId="CommentSubjectChar">
    <w:name w:val="Comment Subject Char"/>
    <w:basedOn w:val="CommentTextChar"/>
    <w:link w:val="CommentSubject"/>
    <w:rsid w:val="00996C90"/>
    <w:rPr>
      <w:rFonts w:ascii="Times New Roman" w:eastAsia="Times New Roman" w:hAnsi="Times New Roman" w:cs="Times New Roman"/>
      <w:b/>
      <w:bCs/>
      <w:sz w:val="20"/>
      <w:szCs w:val="20"/>
      <w:lang w:val="cs-CZ" w:eastAsia="en-GB"/>
    </w:rPr>
  </w:style>
  <w:style w:type="paragraph" w:styleId="BalloonText">
    <w:name w:val="Balloon Text"/>
    <w:basedOn w:val="Normal"/>
    <w:link w:val="BalloonTextChar"/>
    <w:uiPriority w:val="99"/>
    <w:rsid w:val="00996C90"/>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99"/>
    <w:rsid w:val="00996C90"/>
    <w:rPr>
      <w:rFonts w:ascii="Tahoma" w:eastAsia="Times New Roman" w:hAnsi="Tahoma" w:cs="Tahoma"/>
      <w:sz w:val="16"/>
      <w:szCs w:val="16"/>
      <w:lang w:val="cs-CZ" w:eastAsia="en-GB"/>
    </w:rPr>
  </w:style>
  <w:style w:type="paragraph" w:styleId="Caption">
    <w:name w:val="caption"/>
    <w:basedOn w:val="Normal"/>
    <w:next w:val="Normal"/>
    <w:qFormat/>
    <w:rsid w:val="00996C90"/>
    <w:rPr>
      <w:rFonts w:eastAsia="Times New Roman"/>
      <w:b/>
      <w:bCs/>
      <w:sz w:val="20"/>
      <w:szCs w:val="20"/>
      <w:lang w:eastAsia="en-GB"/>
    </w:rPr>
  </w:style>
  <w:style w:type="paragraph" w:styleId="TableofFigures">
    <w:name w:val="table of figures"/>
    <w:basedOn w:val="Normal"/>
    <w:next w:val="Normal"/>
    <w:rsid w:val="00996C90"/>
    <w:rPr>
      <w:rFonts w:eastAsia="Times New Roman"/>
      <w:lang w:eastAsia="en-GB"/>
    </w:rPr>
  </w:style>
  <w:style w:type="character" w:styleId="PageNumber">
    <w:name w:val="page number"/>
    <w:rsid w:val="00996C90"/>
  </w:style>
  <w:style w:type="character" w:customStyle="1" w:styleId="tw4winMark">
    <w:name w:val="tw4winMark"/>
    <w:rsid w:val="00996C90"/>
    <w:rPr>
      <w:vanish/>
      <w:color w:val="800080"/>
      <w:vertAlign w:val="subscript"/>
    </w:rPr>
  </w:style>
  <w:style w:type="character" w:styleId="FollowedHyperlink">
    <w:name w:val="FollowedHyperlink"/>
    <w:rsid w:val="00996C90"/>
    <w:rPr>
      <w:color w:val="800080"/>
      <w:u w:val="single"/>
    </w:rPr>
  </w:style>
  <w:style w:type="paragraph" w:customStyle="1" w:styleId="Sous-titreobjet">
    <w:name w:val="Sous-titre objet"/>
    <w:basedOn w:val="Normal"/>
    <w:rsid w:val="00996C90"/>
    <w:pPr>
      <w:spacing w:before="0" w:after="0"/>
      <w:jc w:val="center"/>
    </w:pPr>
    <w:rPr>
      <w:rFonts w:eastAsia="Times New Roman"/>
      <w:b/>
      <w:lang w:eastAsia="en-GB"/>
    </w:rPr>
  </w:style>
  <w:style w:type="paragraph" w:customStyle="1" w:styleId="Sous-titreobjetPagedecouverture">
    <w:name w:val="Sous-titre objet (Page de couverture)"/>
    <w:basedOn w:val="Sous-titreobjet"/>
    <w:rsid w:val="00996C90"/>
  </w:style>
  <w:style w:type="paragraph" w:styleId="Revision">
    <w:name w:val="Revision"/>
    <w:hidden/>
    <w:uiPriority w:val="99"/>
    <w:semiHidden/>
    <w:rsid w:val="00996C90"/>
    <w:rPr>
      <w:rFonts w:ascii="Calibri" w:eastAsia="Calibri" w:hAnsi="Calibri" w:cs="Times New Roman"/>
      <w:sz w:val="24"/>
      <w:lang w:eastAsia="en-GB"/>
    </w:rPr>
  </w:style>
  <w:style w:type="paragraph" w:customStyle="1" w:styleId="FooterCoverPage">
    <w:name w:val="Footer Cover Page"/>
    <w:basedOn w:val="Normal"/>
    <w:link w:val="FooterCoverPageChar"/>
    <w:rsid w:val="00996C90"/>
    <w:pPr>
      <w:tabs>
        <w:tab w:val="center" w:pos="4535"/>
        <w:tab w:val="right" w:pos="9071"/>
        <w:tab w:val="right" w:pos="9921"/>
      </w:tabs>
      <w:spacing w:before="360" w:after="0"/>
      <w:ind w:left="-850" w:right="-850"/>
      <w:jc w:val="left"/>
    </w:pPr>
    <w:rPr>
      <w:rFonts w:eastAsia="Calibri"/>
      <w:lang w:eastAsia="en-GB"/>
    </w:rPr>
  </w:style>
  <w:style w:type="character" w:customStyle="1" w:styleId="TOCHeadingChar">
    <w:name w:val="TOC Heading Char"/>
    <w:uiPriority w:val="39"/>
    <w:rsid w:val="00996C90"/>
    <w:rPr>
      <w:rFonts w:ascii="Times New Roman" w:hAnsi="Times New Roman" w:cs="Times New Roman"/>
      <w:b/>
      <w:sz w:val="28"/>
      <w:lang w:val="cs-CZ"/>
    </w:rPr>
  </w:style>
  <w:style w:type="character" w:customStyle="1" w:styleId="FooterCoverPageChar">
    <w:name w:val="Footer Cover Page Char"/>
    <w:link w:val="FooterCoverPage"/>
    <w:rsid w:val="00996C90"/>
    <w:rPr>
      <w:rFonts w:ascii="Times New Roman" w:eastAsia="Calibri" w:hAnsi="Times New Roman" w:cs="Times New Roman"/>
      <w:sz w:val="24"/>
      <w:lang w:val="cs-CZ" w:eastAsia="en-GB"/>
    </w:rPr>
  </w:style>
  <w:style w:type="paragraph" w:customStyle="1" w:styleId="HeaderCoverPage">
    <w:name w:val="Header Cover Page"/>
    <w:basedOn w:val="Normal"/>
    <w:link w:val="HeaderCoverPageChar"/>
    <w:rsid w:val="00996C90"/>
    <w:pPr>
      <w:tabs>
        <w:tab w:val="center" w:pos="4535"/>
        <w:tab w:val="right" w:pos="9071"/>
      </w:tabs>
      <w:spacing w:before="0"/>
    </w:pPr>
    <w:rPr>
      <w:rFonts w:eastAsia="Calibri"/>
      <w:lang w:eastAsia="en-GB"/>
    </w:rPr>
  </w:style>
  <w:style w:type="character" w:customStyle="1" w:styleId="HeaderCoverPageChar">
    <w:name w:val="Header Cover Page Char"/>
    <w:link w:val="HeaderCoverPage"/>
    <w:rsid w:val="00996C90"/>
    <w:rPr>
      <w:rFonts w:ascii="Times New Roman" w:eastAsia="Calibri" w:hAnsi="Times New Roman" w:cs="Times New Roman"/>
      <w:sz w:val="24"/>
      <w:lang w:val="cs-CZ" w:eastAsia="en-GB"/>
    </w:rPr>
  </w:style>
  <w:style w:type="character" w:customStyle="1" w:styleId="FooterSensitivityChar">
    <w:name w:val="Footer Sensitivity Char"/>
    <w:rsid w:val="00996C90"/>
    <w:rPr>
      <w:rFonts w:ascii="Times New Roman" w:hAnsi="Times New Roman" w:cs="Times New Roman"/>
      <w:b/>
      <w:sz w:val="32"/>
      <w:lang w:val="cs-CZ"/>
    </w:rPr>
  </w:style>
  <w:style w:type="character" w:customStyle="1" w:styleId="HeaderSensitivityChar">
    <w:name w:val="Header Sensitivity Char"/>
    <w:rsid w:val="00996C90"/>
    <w:rPr>
      <w:rFonts w:ascii="Times New Roman" w:hAnsi="Times New Roman" w:cs="Times New Roman"/>
      <w:b/>
      <w:sz w:val="32"/>
      <w:lang w:val="cs-CZ"/>
    </w:rPr>
  </w:style>
  <w:style w:type="character" w:customStyle="1" w:styleId="HeaderSensitivityRightChar">
    <w:name w:val="Header Sensitivity Right Char"/>
    <w:rsid w:val="00996C90"/>
    <w:rPr>
      <w:rFonts w:ascii="Times New Roman" w:hAnsi="Times New Roman" w:cs="Times New Roman"/>
      <w:sz w:val="28"/>
      <w:lang w:val="cs-CZ"/>
    </w:rPr>
  </w:style>
  <w:style w:type="paragraph" w:styleId="ListParagraph">
    <w:name w:val="List Paragraph"/>
    <w:basedOn w:val="Normal"/>
    <w:qFormat/>
    <w:rsid w:val="00996C90"/>
    <w:pPr>
      <w:widowControl w:val="0"/>
      <w:autoSpaceDE w:val="0"/>
      <w:autoSpaceDN w:val="0"/>
      <w:spacing w:before="0" w:after="0"/>
      <w:ind w:left="111"/>
    </w:pPr>
    <w:rPr>
      <w:rFonts w:ascii="Cambria" w:eastAsia="Cambria" w:hAnsi="Cambria" w:cs="Cambria"/>
      <w:sz w:val="22"/>
    </w:rPr>
  </w:style>
  <w:style w:type="paragraph" w:styleId="BodyText">
    <w:name w:val="Body Text"/>
    <w:basedOn w:val="Normal"/>
    <w:link w:val="BodyTextChar"/>
    <w:uiPriority w:val="1"/>
    <w:qFormat/>
    <w:rsid w:val="00996C90"/>
    <w:pPr>
      <w:widowControl w:val="0"/>
      <w:autoSpaceDE w:val="0"/>
      <w:autoSpaceDN w:val="0"/>
      <w:spacing w:before="0" w:after="0"/>
      <w:jc w:val="left"/>
    </w:pPr>
    <w:rPr>
      <w:rFonts w:ascii="Cambria" w:eastAsia="Cambria" w:hAnsi="Cambria" w:cs="Cambria"/>
      <w:sz w:val="19"/>
      <w:szCs w:val="19"/>
    </w:rPr>
  </w:style>
  <w:style w:type="character" w:customStyle="1" w:styleId="BodyTextChar">
    <w:name w:val="Body Text Char"/>
    <w:basedOn w:val="DefaultParagraphFont"/>
    <w:link w:val="BodyText"/>
    <w:uiPriority w:val="1"/>
    <w:rsid w:val="00996C90"/>
    <w:rPr>
      <w:rFonts w:ascii="Cambria" w:eastAsia="Cambria" w:hAnsi="Cambria" w:cs="Cambria"/>
      <w:sz w:val="19"/>
      <w:szCs w:val="19"/>
    </w:rPr>
  </w:style>
  <w:style w:type="character" w:customStyle="1" w:styleId="ui-provider">
    <w:name w:val="ui-provider"/>
    <w:basedOn w:val="DefaultParagraphFont"/>
    <w:rsid w:val="00996C90"/>
  </w:style>
  <w:style w:type="paragraph" w:customStyle="1" w:styleId="Titreactprincipal">
    <w:name w:val="Titre act principal"/>
    <w:basedOn w:val="Normal"/>
    <w:rsid w:val="00996C90"/>
  </w:style>
  <w:style w:type="character" w:customStyle="1" w:styleId="Mention">
    <w:name w:val="Mention"/>
    <w:basedOn w:val="DefaultParagraphFont"/>
    <w:uiPriority w:val="99"/>
    <w:unhideWhenUsed/>
    <w:rsid w:val="00996C90"/>
    <w:rPr>
      <w:color w:val="2B579A"/>
      <w:shd w:val="clear" w:color="auto" w:fill="E1DFDD"/>
    </w:rPr>
  </w:style>
  <w:style w:type="character" w:customStyle="1" w:styleId="UnresolvedMention">
    <w:name w:val="Unresolved Mention"/>
    <w:basedOn w:val="DefaultParagraphFont"/>
    <w:uiPriority w:val="99"/>
    <w:semiHidden/>
    <w:unhideWhenUsed/>
    <w:rsid w:val="00996C90"/>
    <w:rPr>
      <w:color w:val="605E5C"/>
      <w:shd w:val="clear" w:color="auto" w:fill="E1DFDD"/>
    </w:rPr>
  </w:style>
  <w:style w:type="paragraph" w:customStyle="1" w:styleId="Point">
    <w:name w:val="Point"/>
    <w:basedOn w:val="Point0"/>
    <w:rsid w:val="00996C90"/>
  </w:style>
  <w:style w:type="character" w:customStyle="1" w:styleId="HeaderChar">
    <w:name w:val="Header Char"/>
    <w:basedOn w:val="DefaultParagraphFont"/>
    <w:link w:val="Header"/>
    <w:uiPriority w:val="99"/>
    <w:rsid w:val="00224BFD"/>
    <w:rPr>
      <w:rFonts w:ascii="Times New Roman" w:hAnsi="Times New Roman" w:cs="Times New Roman"/>
      <w:sz w:val="24"/>
      <w:lang w:val="cs-CZ"/>
    </w:rPr>
  </w:style>
  <w:style w:type="character" w:customStyle="1" w:styleId="FooterChar">
    <w:name w:val="Footer Char"/>
    <w:basedOn w:val="DefaultParagraphFont"/>
    <w:link w:val="Footer"/>
    <w:uiPriority w:val="99"/>
    <w:rsid w:val="00224BFD"/>
    <w:rPr>
      <w:rFonts w:ascii="Times New Roman" w:hAnsi="Times New Roman" w:cs="Times New Roman"/>
      <w:sz w:val="24"/>
      <w:lang w:val="cs-CZ"/>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cs-CZ"/>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cs-CZ"/>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cs-CZ"/>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cs-CZ"/>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cs-CZ"/>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cs-CZ"/>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cs-CZ"/>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link w:val="CharCharChar1"/>
    <w:uiPriority w:val="99"/>
    <w:semiHidden/>
    <w:unhideWhenUsed/>
    <w:rPr>
      <w:shd w:val="clear" w:color="auto" w:fill="auto"/>
      <w:vertAlign w:val="superscript"/>
    </w:rPr>
  </w:style>
  <w:style w:type="paragraph" w:customStyle="1" w:styleId="HeaderSensitivity">
    <w:name w:val="Header Sensitivity"/>
    <w:basedOn w:val="Normal"/>
    <w:rsid w:val="00224BFD"/>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224BFD"/>
    <w:pPr>
      <w:spacing w:before="0"/>
      <w:jc w:val="right"/>
    </w:pPr>
    <w:rPr>
      <w:sz w:val="28"/>
    </w:rPr>
  </w:style>
  <w:style w:type="paragraph" w:customStyle="1" w:styleId="FooterSensitivity">
    <w:name w:val="Footer Sensitivity"/>
    <w:basedOn w:val="Normal"/>
    <w:rsid w:val="00224BFD"/>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18"/>
      </w:numPr>
    </w:pPr>
  </w:style>
  <w:style w:type="paragraph" w:customStyle="1" w:styleId="Tiret1">
    <w:name w:val="Tiret 1"/>
    <w:basedOn w:val="Point1"/>
    <w:pPr>
      <w:numPr>
        <w:numId w:val="19"/>
      </w:numPr>
    </w:pPr>
  </w:style>
  <w:style w:type="paragraph" w:customStyle="1" w:styleId="Tiret2">
    <w:name w:val="Tiret 2"/>
    <w:basedOn w:val="Point2"/>
    <w:pPr>
      <w:numPr>
        <w:numId w:val="20"/>
      </w:numPr>
    </w:pPr>
  </w:style>
  <w:style w:type="paragraph" w:customStyle="1" w:styleId="Tiret3">
    <w:name w:val="Tiret 3"/>
    <w:basedOn w:val="Point3"/>
    <w:pPr>
      <w:numPr>
        <w:numId w:val="21"/>
      </w:numPr>
    </w:pPr>
  </w:style>
  <w:style w:type="paragraph" w:customStyle="1" w:styleId="Tiret4">
    <w:name w:val="Tiret 4"/>
    <w:basedOn w:val="Point4"/>
    <w:pPr>
      <w:numPr>
        <w:numId w:val="22"/>
      </w:numPr>
    </w:pPr>
  </w:style>
  <w:style w:type="paragraph" w:customStyle="1" w:styleId="Tiret5">
    <w:name w:val="Tiret 5"/>
    <w:basedOn w:val="Point5"/>
    <w:pPr>
      <w:numPr>
        <w:numId w:val="2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4"/>
      </w:numPr>
    </w:pPr>
  </w:style>
  <w:style w:type="paragraph" w:customStyle="1" w:styleId="NumPar2">
    <w:name w:val="NumPar 2"/>
    <w:basedOn w:val="Normal"/>
    <w:next w:val="Text1"/>
    <w:pPr>
      <w:numPr>
        <w:ilvl w:val="1"/>
        <w:numId w:val="24"/>
      </w:numPr>
    </w:pPr>
  </w:style>
  <w:style w:type="paragraph" w:customStyle="1" w:styleId="NumPar3">
    <w:name w:val="NumPar 3"/>
    <w:basedOn w:val="Normal"/>
    <w:next w:val="Text1"/>
    <w:pPr>
      <w:numPr>
        <w:ilvl w:val="2"/>
        <w:numId w:val="24"/>
      </w:numPr>
    </w:pPr>
  </w:style>
  <w:style w:type="paragraph" w:customStyle="1" w:styleId="NumPar4">
    <w:name w:val="NumPar 4"/>
    <w:basedOn w:val="Normal"/>
    <w:next w:val="Text1"/>
    <w:pPr>
      <w:numPr>
        <w:ilvl w:val="3"/>
        <w:numId w:val="24"/>
      </w:numPr>
    </w:pPr>
  </w:style>
  <w:style w:type="paragraph" w:customStyle="1" w:styleId="NumPar5">
    <w:name w:val="NumPar 5"/>
    <w:basedOn w:val="Normal"/>
    <w:next w:val="Text2"/>
    <w:pPr>
      <w:numPr>
        <w:ilvl w:val="4"/>
        <w:numId w:val="24"/>
      </w:numPr>
    </w:pPr>
  </w:style>
  <w:style w:type="paragraph" w:customStyle="1" w:styleId="NumPar6">
    <w:name w:val="NumPar 6"/>
    <w:basedOn w:val="Normal"/>
    <w:next w:val="Text2"/>
    <w:pPr>
      <w:numPr>
        <w:ilvl w:val="5"/>
        <w:numId w:val="24"/>
      </w:numPr>
    </w:pPr>
  </w:style>
  <w:style w:type="paragraph" w:customStyle="1" w:styleId="NumPar7">
    <w:name w:val="NumPar 7"/>
    <w:basedOn w:val="Normal"/>
    <w:next w:val="Text2"/>
    <w:pPr>
      <w:numPr>
        <w:ilvl w:val="6"/>
        <w:numId w:val="2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6"/>
      </w:numPr>
    </w:pPr>
  </w:style>
  <w:style w:type="paragraph" w:customStyle="1" w:styleId="Point1number">
    <w:name w:val="Point 1 (number)"/>
    <w:basedOn w:val="Normal"/>
    <w:pPr>
      <w:numPr>
        <w:ilvl w:val="2"/>
        <w:numId w:val="26"/>
      </w:numPr>
    </w:pPr>
  </w:style>
  <w:style w:type="paragraph" w:customStyle="1" w:styleId="Point2number">
    <w:name w:val="Point 2 (number)"/>
    <w:basedOn w:val="Normal"/>
    <w:pPr>
      <w:numPr>
        <w:ilvl w:val="4"/>
        <w:numId w:val="26"/>
      </w:numPr>
    </w:pPr>
  </w:style>
  <w:style w:type="paragraph" w:customStyle="1" w:styleId="Point3number">
    <w:name w:val="Point 3 (number)"/>
    <w:basedOn w:val="Normal"/>
    <w:pPr>
      <w:numPr>
        <w:ilvl w:val="6"/>
        <w:numId w:val="26"/>
      </w:numPr>
    </w:pPr>
  </w:style>
  <w:style w:type="paragraph" w:customStyle="1" w:styleId="Point0letter">
    <w:name w:val="Point 0 (letter)"/>
    <w:basedOn w:val="Normal"/>
    <w:pPr>
      <w:numPr>
        <w:ilvl w:val="1"/>
        <w:numId w:val="26"/>
      </w:numPr>
    </w:pPr>
  </w:style>
  <w:style w:type="paragraph" w:customStyle="1" w:styleId="Point1letter">
    <w:name w:val="Point 1 (letter)"/>
    <w:basedOn w:val="Normal"/>
    <w:pPr>
      <w:numPr>
        <w:ilvl w:val="3"/>
        <w:numId w:val="26"/>
      </w:numPr>
    </w:pPr>
  </w:style>
  <w:style w:type="paragraph" w:customStyle="1" w:styleId="Point2letter">
    <w:name w:val="Point 2 (letter)"/>
    <w:basedOn w:val="Normal"/>
    <w:pPr>
      <w:numPr>
        <w:ilvl w:val="5"/>
        <w:numId w:val="26"/>
      </w:numPr>
    </w:pPr>
  </w:style>
  <w:style w:type="paragraph" w:customStyle="1" w:styleId="Point3letter">
    <w:name w:val="Point 3 (letter)"/>
    <w:basedOn w:val="Normal"/>
    <w:pPr>
      <w:numPr>
        <w:ilvl w:val="7"/>
        <w:numId w:val="26"/>
      </w:numPr>
    </w:pPr>
  </w:style>
  <w:style w:type="paragraph" w:customStyle="1" w:styleId="Point4letter">
    <w:name w:val="Point 4 (letter)"/>
    <w:basedOn w:val="Normal"/>
    <w:pPr>
      <w:numPr>
        <w:ilvl w:val="8"/>
        <w:numId w:val="26"/>
      </w:numPr>
    </w:pPr>
  </w:style>
  <w:style w:type="paragraph" w:customStyle="1" w:styleId="Bullet0">
    <w:name w:val="Bullet 0"/>
    <w:basedOn w:val="Normal"/>
    <w:pPr>
      <w:numPr>
        <w:numId w:val="27"/>
      </w:numPr>
    </w:pPr>
  </w:style>
  <w:style w:type="paragraph" w:customStyle="1" w:styleId="Bullet1">
    <w:name w:val="Bullet 1"/>
    <w:basedOn w:val="Normal"/>
    <w:pPr>
      <w:numPr>
        <w:numId w:val="28"/>
      </w:numPr>
    </w:pPr>
  </w:style>
  <w:style w:type="paragraph" w:customStyle="1" w:styleId="Bullet2">
    <w:name w:val="Bullet 2"/>
    <w:basedOn w:val="Normal"/>
    <w:pPr>
      <w:numPr>
        <w:numId w:val="29"/>
      </w:numPr>
    </w:pPr>
  </w:style>
  <w:style w:type="paragraph" w:customStyle="1" w:styleId="Bullet3">
    <w:name w:val="Bullet 3"/>
    <w:basedOn w:val="Normal"/>
    <w:pPr>
      <w:numPr>
        <w:numId w:val="30"/>
      </w:numPr>
    </w:pPr>
  </w:style>
  <w:style w:type="paragraph" w:customStyle="1" w:styleId="Bullet4">
    <w:name w:val="Bullet 4"/>
    <w:basedOn w:val="Normal"/>
    <w:pPr>
      <w:numPr>
        <w:numId w:val="31"/>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224BFD"/>
    <w:pPr>
      <w:tabs>
        <w:tab w:val="center" w:pos="4535"/>
        <w:tab w:val="right" w:pos="9071"/>
      </w:tabs>
      <w:spacing w:before="0"/>
    </w:pPr>
  </w:style>
  <w:style w:type="paragraph" w:customStyle="1" w:styleId="HeaderLandscape">
    <w:name w:val="HeaderLandscape"/>
    <w:basedOn w:val="Normal"/>
    <w:rsid w:val="00224BFD"/>
    <w:pPr>
      <w:tabs>
        <w:tab w:val="center" w:pos="7285"/>
        <w:tab w:val="right" w:pos="14003"/>
      </w:tabs>
      <w:spacing w:before="0"/>
    </w:pPr>
  </w:style>
  <w:style w:type="paragraph" w:styleId="Footer">
    <w:name w:val="footer"/>
    <w:basedOn w:val="Normal"/>
    <w:link w:val="FooterChar"/>
    <w:uiPriority w:val="99"/>
    <w:unhideWhenUsed/>
    <w:rsid w:val="00224BFD"/>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224BFD"/>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CS/TXT/?qid=1588580774040&amp;uri=CELEX%3A52019DC0640" TargetMode="External"/><Relationship Id="rId2" Type="http://schemas.openxmlformats.org/officeDocument/2006/relationships/hyperlink" Target="https://inland-navigation-market.org/wp-content/uploads/2022/03/Thematic-report_20212022_EN_BD.pdf" TargetMode="External"/><Relationship Id="rId1" Type="http://schemas.openxmlformats.org/officeDocument/2006/relationships/hyperlink" Target="https://transport.ec.europa.eu/facts-funding/studies-data/eu-transport-figures-statistical-pocketbook/statistical-pocketbook-2022_en" TargetMode="External"/><Relationship Id="rId5" Type="http://schemas.openxmlformats.org/officeDocument/2006/relationships/hyperlink" Target="http://data.europa.eu/eli/agree_interinstit/2016/512/oj" TargetMode="External"/><Relationship Id="rId4" Type="http://schemas.openxmlformats.org/officeDocument/2006/relationships/hyperlink" Target="file:///C:\Users\lezaikr\Downloads\090166e5d9dfde6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F8326-348E-485D-8714-66731EFFB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30</TotalTime>
  <Pages>13</Pages>
  <Words>8962</Words>
  <Characters>51086</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47</cp:revision>
  <cp:lastPrinted>2024-01-12T13:42:00Z</cp:lastPrinted>
  <dcterms:created xsi:type="dcterms:W3CDTF">2024-01-15T10:48:00Z</dcterms:created>
  <dcterms:modified xsi:type="dcterms:W3CDTF">2024-02-28T15:14:00Z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9.0, Build 20230224</vt:lpwstr>
  </property>
  <property fmtid="{D5CDD505-2E9C-101B-9397-08002B2CF9AE}" pid="5" name="Created using">
    <vt:lpwstr>LW 9.0, Build 20230317</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SJ-024</vt:lpwstr>
  </property>
  <property fmtid="{D5CDD505-2E9C-101B-9397-08002B2CF9AE}" pid="10" name="MSIP_Label_6bd9ddd1-4d20-43f6-abfa-fc3c07406f94_Enabled">
    <vt:lpwstr>true</vt:lpwstr>
  </property>
  <property fmtid="{D5CDD505-2E9C-101B-9397-08002B2CF9AE}" pid="11" name="MSIP_Label_6bd9ddd1-4d20-43f6-abfa-fc3c07406f94_SetDate">
    <vt:lpwstr>2024-01-12T15:11:56Z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a6460fa4-d6e8-4c97-b5d4-1f78e84a646e</vt:lpwstr>
  </property>
  <property fmtid="{D5CDD505-2E9C-101B-9397-08002B2CF9AE}" pid="16" name="MSIP_Label_6bd9ddd1-4d20-43f6-abfa-fc3c07406f94_ContentBits">
    <vt:lpwstr>0</vt:lpwstr>
  </property>
  <property fmtid="{D5CDD505-2E9C-101B-9397-08002B2CF9AE}" pid="17" name="DQCStatus">
    <vt:lpwstr>Green (DQC version 03)</vt:lpwstr>
  </property>
  <property name="OP_sanitized" fmtid="{D5CDD505-2E9C-101B-9397-08002B2CF9AE}" pid="18">
    <vt:lpwstr>True</vt:lpwstr>
  </property>
</Properties>
</file>