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99553" w14:textId="344EFAAF" w:rsidR="00D62472" w:rsidRDefault="0089166D" w:rsidP="0089166D">
      <w:pPr>
        <w:pStyle w:val="Pagedecouverture"/>
        <w:rPr>
          <w:noProof/>
        </w:rPr>
      </w:pPr>
      <w:bookmarkStart w:id="0" w:name="LW_BM_COVERPAGE"/>
      <w:r>
        <w:rPr>
          <w:noProof/>
        </w:rPr>
        <w:pict w14:anchorId="22A973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7B0B4C-3627-4A74-A8E0-7D2977FE530A" style="width:455.25pt;height:300pt">
            <v:imagedata r:id="rId12" o:title=""/>
          </v:shape>
        </w:pict>
      </w:r>
    </w:p>
    <w:bookmarkEnd w:id="0"/>
    <w:p w14:paraId="68A240E1" w14:textId="77777777" w:rsidR="00D62472" w:rsidRDefault="00D62472">
      <w:pPr>
        <w:pStyle w:val="Pagedecouverture"/>
        <w:rPr>
          <w:noProof/>
        </w:rPr>
        <w:sectPr w:rsidR="00D62472" w:rsidSect="0089166D">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339FECA1" w14:textId="77777777" w:rsidR="00D62472" w:rsidRDefault="00723CED">
      <w:pPr>
        <w:pStyle w:val="Heading1"/>
        <w:numPr>
          <w:ilvl w:val="0"/>
          <w:numId w:val="0"/>
        </w:numPr>
        <w:spacing w:before="0" w:after="120"/>
        <w:rPr>
          <w:rFonts w:ascii="Times New Roman" w:eastAsia="Calibri" w:hAnsi="Times New Roman" w:cs="Times New Roman"/>
          <w:noProof/>
          <w:sz w:val="24"/>
          <w:szCs w:val="24"/>
          <w:u w:val="single"/>
        </w:rPr>
      </w:pPr>
      <w:bookmarkStart w:id="1" w:name="_GoBack"/>
      <w:bookmarkEnd w:id="1"/>
      <w:r>
        <w:rPr>
          <w:rFonts w:ascii="Times New Roman" w:hAnsi="Times New Roman"/>
          <w:noProof/>
          <w:sz w:val="24"/>
          <w:u w:val="single"/>
        </w:rPr>
        <w:lastRenderedPageBreak/>
        <w:t>Inledning</w:t>
      </w:r>
    </w:p>
    <w:p w14:paraId="19459DC1" w14:textId="77777777" w:rsidR="00D62472" w:rsidRDefault="00723CED">
      <w:pPr>
        <w:shd w:val="clear" w:color="auto" w:fill="FFFFFF" w:themeFill="background1"/>
        <w:spacing w:after="120"/>
        <w:rPr>
          <w:noProof/>
          <w:color w:val="323130"/>
        </w:rPr>
      </w:pPr>
      <w:r>
        <w:rPr>
          <w:noProof/>
          <w:color w:val="000000" w:themeColor="text1"/>
        </w:rPr>
        <w:t>Under de senaste 25 åren har hälsoresultaten förbättrats avsevärt i de flesta länder. Den återstående medellivslängden har ökat med mer än fem år globalt, samtidigt som barndödligheten har halverats och mödradödligheten minskat med omkring 40 % mellan 2000 och 2023 (</w:t>
      </w:r>
      <w:r>
        <w:rPr>
          <w:rStyle w:val="FootnoteReference"/>
          <w:noProof/>
          <w:color w:val="000000" w:themeColor="text1"/>
        </w:rPr>
        <w:footnoteReference w:id="1"/>
      </w:r>
      <w:r>
        <w:rPr>
          <w:noProof/>
          <w:color w:val="000000" w:themeColor="text1"/>
        </w:rPr>
        <w:t>). Dessa framsteg har drivits av ekonomisk tillväxt, innovation och varaktig global hälsofinansiering. De är en följd av politiskt ledarskap, av arbetet med att konsolidera de nationella hälsostrategierna och hälso- och sjukvårdsinstitutionerna och av det ökade antalet inflytelserika och effektiva globala hälso- och sjukvårdsinstitutioner. </w:t>
      </w:r>
      <w:r>
        <w:rPr>
          <w:b/>
          <w:noProof/>
          <w:color w:val="323130"/>
        </w:rPr>
        <w:t>Trots betydande framsteg har det under de senaste åren skett en avmattning, och framstegen är fortfarande otillräckliga för att uppfylla de globala målen</w:t>
      </w:r>
      <w:r>
        <w:rPr>
          <w:noProof/>
          <w:color w:val="323130"/>
        </w:rPr>
        <w:t> (</w:t>
      </w:r>
      <w:r>
        <w:rPr>
          <w:rStyle w:val="FootnoteReference"/>
          <w:bCs/>
          <w:noProof/>
          <w:color w:val="323130"/>
        </w:rPr>
        <w:footnoteReference w:id="2"/>
      </w:r>
      <w:r>
        <w:rPr>
          <w:noProof/>
          <w:color w:val="323130"/>
        </w:rPr>
        <w:t>), samtidigt som hälsoresultaten fortsätter att präglas av ihållande ojämlikheter mellan könen.</w:t>
      </w:r>
    </w:p>
    <w:p w14:paraId="1EC1B09C" w14:textId="77777777" w:rsidR="00D62472" w:rsidRDefault="00723CED">
      <w:pPr>
        <w:shd w:val="clear" w:color="auto" w:fill="FFFFFF" w:themeFill="background1"/>
        <w:spacing w:after="120"/>
        <w:rPr>
          <w:noProof/>
          <w:color w:val="000000" w:themeColor="text1"/>
          <w:szCs w:val="24"/>
        </w:rPr>
      </w:pPr>
      <w:r>
        <w:rPr>
          <w:b/>
          <w:noProof/>
          <w:color w:val="000000" w:themeColor="text1"/>
        </w:rPr>
        <w:t xml:space="preserve">Hälsa utnyttjas alltmer i eftersträvandet av geopolitiska och geoekonomiska intressen. </w:t>
      </w:r>
      <w:r>
        <w:rPr>
          <w:noProof/>
          <w:color w:val="000000" w:themeColor="text1"/>
        </w:rPr>
        <w:t xml:space="preserve">Den globala styrningen på hälsoområdet håller på att övergå från multilateralt samarbete och humanitära principer till </w:t>
      </w:r>
      <w:r>
        <w:rPr>
          <w:b/>
          <w:noProof/>
          <w:color w:val="000000" w:themeColor="text1"/>
        </w:rPr>
        <w:t>tidvis öppet transaktionsbaserade bilaterala strategier</w:t>
      </w:r>
      <w:r>
        <w:rPr>
          <w:noProof/>
          <w:color w:val="000000" w:themeColor="text1"/>
        </w:rPr>
        <w:t>.</w:t>
      </w:r>
      <w:r>
        <w:rPr>
          <w:b/>
          <w:noProof/>
          <w:color w:val="000000" w:themeColor="text1"/>
        </w:rPr>
        <w:t xml:space="preserve"> </w:t>
      </w:r>
      <w:r>
        <w:rPr>
          <w:noProof/>
          <w:color w:val="000000" w:themeColor="text1"/>
        </w:rPr>
        <w:t xml:space="preserve">Detta försvårar tillhandahållandet av globala allmänna nyttigheter för hälsa, som är ett behov som överskrider nationella gränser och kräver dialog, samordning och förutsägbar finansiering på global nivå. </w:t>
      </w:r>
      <w:r>
        <w:rPr>
          <w:noProof/>
        </w:rPr>
        <w:t xml:space="preserve">Hälsa blir alltmer strategiskt för industri- och säkerhetspolitiken. </w:t>
      </w:r>
      <w:r>
        <w:rPr>
          <w:noProof/>
          <w:color w:val="000000" w:themeColor="text1"/>
        </w:rPr>
        <w:t xml:space="preserve">Samhället står också inför </w:t>
      </w:r>
      <w:r>
        <w:rPr>
          <w:b/>
          <w:noProof/>
          <w:color w:val="000000" w:themeColor="text1"/>
        </w:rPr>
        <w:t xml:space="preserve">alltmer omfattande hälsorelaterad desinformation, felaktig information samt utländsk informationsmanipulering och inblandning </w:t>
      </w:r>
      <w:r>
        <w:rPr>
          <w:noProof/>
          <w:color w:val="000000" w:themeColor="text1"/>
        </w:rPr>
        <w:t xml:space="preserve">som strider mot vetenskapliga bevis, urholkar allmänhetens förtroende för vetenskapen och undergräver evidensbaserade folkhälsoåtgärder. </w:t>
      </w:r>
    </w:p>
    <w:p w14:paraId="07A10CB1" w14:textId="77777777" w:rsidR="00D62472" w:rsidRDefault="00723CED">
      <w:pPr>
        <w:spacing w:after="120"/>
        <w:rPr>
          <w:rFonts w:eastAsiaTheme="minorEastAsia"/>
          <w:noProof/>
          <w:color w:val="000000" w:themeColor="text1"/>
          <w:szCs w:val="24"/>
        </w:rPr>
      </w:pPr>
      <w:r>
        <w:rPr>
          <w:noProof/>
          <w:color w:val="000000" w:themeColor="text1"/>
        </w:rPr>
        <w:t xml:space="preserve">Samtidigt </w:t>
      </w:r>
      <w:r>
        <w:rPr>
          <w:b/>
          <w:noProof/>
          <w:color w:val="000000" w:themeColor="text1"/>
        </w:rPr>
        <w:t>är den globala hälsofinansieringen fragmenterad och minskar kraftigt</w:t>
      </w:r>
      <w:r>
        <w:rPr>
          <w:noProof/>
          <w:color w:val="000000" w:themeColor="text1"/>
        </w:rPr>
        <w:t xml:space="preserve"> i reala termer. Utvecklingsbiståndet för hälsa sjönk med 21 % mellan 2024 och 2025, från cirka 45,8 miljarder euro till 36,1 miljarder euro, och ytterligare minskningar väntas fram till 2030 (</w:t>
      </w:r>
      <w:r>
        <w:rPr>
          <w:rStyle w:val="FootnoteReference"/>
          <w:noProof/>
          <w:color w:val="000000" w:themeColor="text1"/>
          <w:szCs w:val="24"/>
        </w:rPr>
        <w:footnoteReference w:id="3"/>
      </w:r>
      <w:r>
        <w:rPr>
          <w:noProof/>
          <w:color w:val="000000" w:themeColor="text1"/>
        </w:rPr>
        <w:t>). Bakom dessa siffror finns brister i hälso- och sjukvårdssystemen över hela världen, särskilt i låginkomstländer och instabila situationer (</w:t>
      </w:r>
      <w:r>
        <w:rPr>
          <w:rStyle w:val="FootnoteReference"/>
          <w:noProof/>
          <w:color w:val="000000" w:themeColor="text1"/>
          <w:szCs w:val="24"/>
        </w:rPr>
        <w:footnoteReference w:id="4"/>
      </w:r>
      <w:r>
        <w:rPr>
          <w:noProof/>
          <w:color w:val="000000" w:themeColor="text1"/>
        </w:rPr>
        <w:t>). De långvariga uppmaningarna att skapa en effektivare hälsoarkitektur på nationell, regional och global nivå har börjat få större genomslag. Detta inbegriper en modell som stärker samhällen, ökar självständigheten, förbättrar det nationella egenansvaret och främjar ett ökat ekonomiskt och politiskt ansvar (</w:t>
      </w:r>
      <w:r>
        <w:rPr>
          <w:b/>
          <w:noProof/>
          <w:color w:val="000000" w:themeColor="text1"/>
        </w:rPr>
        <w:t>hälsosuveränitet</w:t>
      </w:r>
      <w:r>
        <w:rPr>
          <w:noProof/>
          <w:color w:val="000000" w:themeColor="text1"/>
        </w:rPr>
        <w:t>), samtidigt som den stöder ett effektivt multilateralt samarbete och humanitärt bistånd.</w:t>
      </w:r>
    </w:p>
    <w:p w14:paraId="4870A8BC" w14:textId="77777777" w:rsidR="00D62472" w:rsidRDefault="00723CED">
      <w:pPr>
        <w:spacing w:after="120"/>
        <w:rPr>
          <w:noProof/>
          <w:color w:val="000000" w:themeColor="text1"/>
          <w:szCs w:val="24"/>
        </w:rPr>
      </w:pPr>
      <w:r>
        <w:rPr>
          <w:noProof/>
          <w:color w:val="000000" w:themeColor="text1"/>
        </w:rPr>
        <w:t>Ur ett folkhälsoperspektiv ökar</w:t>
      </w:r>
      <w:r>
        <w:rPr>
          <w:b/>
          <w:noProof/>
          <w:color w:val="000000" w:themeColor="text1"/>
        </w:rPr>
        <w:t xml:space="preserve"> sjukdomsutbrotten i frekvens och intensitet</w:t>
      </w:r>
      <w:r>
        <w:rPr>
          <w:noProof/>
          <w:color w:val="000000" w:themeColor="text1"/>
        </w:rPr>
        <w:t xml:space="preserve"> globalt. Denna trend drivs av föränderliga epidemiologiska mönster, klimatförändringar, miljöförstöring, förlust av biologisk mångfald, föroreningar, antimikrobiell resistens, osäker livsmedelsförsörjning och en otillräcklig tillgång till rent vatten och sanitet samt till ren och ekonomiskt överkomlig energi.</w:t>
      </w:r>
      <w:r>
        <w:rPr>
          <w:noProof/>
        </w:rPr>
        <w:t xml:space="preserve"> </w:t>
      </w:r>
      <w:r>
        <w:rPr>
          <w:noProof/>
          <w:color w:val="000000" w:themeColor="text1"/>
        </w:rPr>
        <w:t xml:space="preserve">Hälsohot överskrider gränserna, vilket innebär att brister i hälso- och sjukvårdssystemen i en del av världen ökar riskerna för människors välbefinnande och liv i EU och över hela världen, särskilt de mest utsatta människorna. Det finns även en risk för avbrott i grundläggande hälso- och sjukvårdstjänster som är avgörande för att förhindra sådan dödlighet och sjuklighet som går att undvika. I förlängningen undergräver allt detta den hållbara utvecklingen, välståndet i dagens samhälle och välbefinnandet för kommande generationer. </w:t>
      </w:r>
    </w:p>
    <w:p w14:paraId="2506043F" w14:textId="77777777" w:rsidR="00D62472" w:rsidRDefault="00723CED">
      <w:pPr>
        <w:spacing w:after="120"/>
        <w:rPr>
          <w:noProof/>
          <w:color w:val="000000" w:themeColor="text1"/>
          <w:szCs w:val="24"/>
        </w:rPr>
      </w:pPr>
      <w:r>
        <w:rPr>
          <w:b/>
          <w:noProof/>
          <w:color w:val="000000" w:themeColor="text1"/>
        </w:rPr>
        <w:t>Det är därför av avgörande betydelse att åtgärda de framväxande bristerna inom den globala hälsoresiliensen</w:t>
      </w:r>
      <w:r>
        <w:rPr>
          <w:noProof/>
          <w:color w:val="000000" w:themeColor="text1"/>
        </w:rPr>
        <w:t> (</w:t>
      </w:r>
      <w:r>
        <w:rPr>
          <w:rStyle w:val="FootnoteReference"/>
          <w:noProof/>
          <w:color w:val="000000" w:themeColor="text1"/>
          <w:szCs w:val="24"/>
        </w:rPr>
        <w:footnoteReference w:id="5"/>
      </w:r>
      <w:r>
        <w:rPr>
          <w:noProof/>
          <w:color w:val="000000" w:themeColor="text1"/>
        </w:rPr>
        <w:t>).</w:t>
      </w:r>
      <w:r>
        <w:rPr>
          <w:b/>
          <w:noProof/>
          <w:color w:val="000000" w:themeColor="text1"/>
        </w:rPr>
        <w:t xml:space="preserve"> </w:t>
      </w:r>
      <w:r>
        <w:rPr>
          <w:noProof/>
          <w:color w:val="000000" w:themeColor="text1"/>
        </w:rPr>
        <w:t xml:space="preserve">EU står fast vid sitt åtagande att fortsätta att bidra till stabilitet och kollektiva åtgärder för global hälsa. </w:t>
      </w:r>
    </w:p>
    <w:p w14:paraId="72DDB774" w14:textId="77777777" w:rsidR="00D62472" w:rsidRDefault="00723CED">
      <w:pPr>
        <w:spacing w:after="120"/>
        <w:rPr>
          <w:noProof/>
          <w:color w:val="000000" w:themeColor="text1"/>
          <w:szCs w:val="24"/>
        </w:rPr>
      </w:pPr>
      <w:r>
        <w:rPr>
          <w:noProof/>
          <w:color w:val="000000" w:themeColor="text1"/>
        </w:rPr>
        <w:t xml:space="preserve">Meddelandet innehåller EU:s vision om hur man ska arbeta med länder över hela världen för att hantera de ovannämnda utmaningarna tillsammans med EU-medlemsstaterna, multilaterala institutioner, det civila samhället och partner. </w:t>
      </w:r>
      <w:bookmarkStart w:id="2" w:name="_Hlk227084359"/>
      <w:r>
        <w:rPr>
          <w:noProof/>
          <w:color w:val="000000" w:themeColor="text1"/>
        </w:rPr>
        <w:t xml:space="preserve">Här </w:t>
      </w:r>
      <w:r>
        <w:rPr>
          <w:b/>
          <w:noProof/>
          <w:color w:val="000000" w:themeColor="text1"/>
        </w:rPr>
        <w:t>redogörs för beprövade lösningar från EU:s hälso- och sjukvårdsmodell, samtidigt som det starka multilaterala engagemanget kvarstår.</w:t>
      </w:r>
      <w:r>
        <w:rPr>
          <w:noProof/>
          <w:color w:val="000000" w:themeColor="text1"/>
        </w:rPr>
        <w:t xml:space="preserve"> </w:t>
      </w:r>
      <w:bookmarkEnd w:id="2"/>
      <w:r>
        <w:rPr>
          <w:b/>
          <w:noProof/>
          <w:color w:val="000000" w:themeColor="text1"/>
        </w:rPr>
        <w:t>Samordnade och verkningsfulla EU-åtgärder</w:t>
      </w:r>
      <w:r>
        <w:rPr>
          <w:noProof/>
          <w:color w:val="000000" w:themeColor="text1"/>
        </w:rPr>
        <w:t>, med stöd av EU:s delegationer och andra partner såsom de europeiska finansinstituten och nationella utvecklingsorgan, kommer att fortsätta att stödja partnerländernas hälsoprioriteringar på områden av ömsesidigt intresse och med full respekt för internationella regler, humanitära principer, immateriella rättigheter och principen om frivillig tekniköverföring på ömsesidigt överenskomna villkor, och samtidigt främja tillhandahållandet av globala allmänna nyttigheter för hälsa. Partnerskap är till sin natur ömsesidiga och de innebär en möjlighet att gemensamt dra lärdom av partnernas erfarenheter, diskutera forskning, anta innovativa strategier och stärka såväl den globala hälsoresiliensen som EU:s egen hälsoresiliens. Dessa partnerskap bidrar även till att främja EU:s strategiska oberoende, konkurrenskraft och ekonomiska säkerhet, i linje med flera centrala politiska strategier såsom EU:s konkurrenskraftskompass (</w:t>
      </w:r>
      <w:r>
        <w:rPr>
          <w:rStyle w:val="FootnoteReference"/>
          <w:noProof/>
          <w:color w:val="000000" w:themeColor="text1"/>
          <w:szCs w:val="24"/>
        </w:rPr>
        <w:footnoteReference w:id="6"/>
      </w:r>
      <w:r>
        <w:rPr>
          <w:noProof/>
          <w:color w:val="000000" w:themeColor="text1"/>
        </w:rPr>
        <w:t>). De drar nytta av en stärkt industriell bas i EU och erbjuder möjligheter för EU:s privata sektor, samtidigt som partnerna får stöd för att utveckla resilienta, hållbara och inkluderande hälso- och sjukvårdssystem. En dynamisk, konkurrenskraftig och innovativ hälso- och sjukvårdsindustri i EU är en grundpelare för både EU:s hälsoresiliens och den globala hälsoresiliensen.</w:t>
      </w:r>
    </w:p>
    <w:p w14:paraId="3ED3E3CA" w14:textId="77777777" w:rsidR="00D62472" w:rsidRDefault="00723CED">
      <w:pPr>
        <w:spacing w:after="120"/>
        <w:rPr>
          <w:noProof/>
        </w:rPr>
      </w:pPr>
      <w:r>
        <w:rPr>
          <w:noProof/>
          <w:color w:val="000000" w:themeColor="text1"/>
        </w:rPr>
        <w:t xml:space="preserve">Detta meddelande bygger på en rad etablerade politiska strategier och initiativ. </w:t>
      </w:r>
      <w:r>
        <w:rPr>
          <w:noProof/>
        </w:rPr>
        <w:t xml:space="preserve">Den </w:t>
      </w:r>
      <w:r>
        <w:rPr>
          <w:b/>
          <w:noProof/>
        </w:rPr>
        <w:t>europeiska hälsounionen</w:t>
      </w:r>
      <w:r>
        <w:rPr>
          <w:noProof/>
        </w:rPr>
        <w:t xml:space="preserve"> syftar till att bättre skydda EU-medborgarnas hälsa, förebygga och hantera framtida hälsokriser samt förbättra resiliensen i EU:s hälso- och sjukvårdssystem. EU har infört en omfattande ram för att bekämpa infektionssjukdomar som riskerar att orsaka epidemier och pandemier samt andra hälsohot. Ramen kompletteras av </w:t>
      </w:r>
      <w:r>
        <w:rPr>
          <w:b/>
          <w:noProof/>
        </w:rPr>
        <w:t>EU:s strategi för en beredskapsunion</w:t>
      </w:r>
      <w:r>
        <w:rPr>
          <w:noProof/>
        </w:rPr>
        <w:t> (</w:t>
      </w:r>
      <w:r>
        <w:rPr>
          <w:rStyle w:val="FootnoteReference"/>
          <w:noProof/>
          <w:szCs w:val="24"/>
        </w:rPr>
        <w:footnoteReference w:id="7"/>
      </w:r>
      <w:r>
        <w:rPr>
          <w:noProof/>
        </w:rPr>
        <w:t xml:space="preserve">), som stärker EU:s förmåga att förutse, förebygga, upptäcka och reagera på gränsöverskridande hot mot människors hälsa genom att främja en mer samordnad och resilient strategi för krisberedskap. I </w:t>
      </w:r>
      <w:r>
        <w:rPr>
          <w:b/>
          <w:noProof/>
        </w:rPr>
        <w:t>EU:s strategi för global hälsa</w:t>
      </w:r>
      <w:r>
        <w:rPr>
          <w:noProof/>
        </w:rPr>
        <w:t> (</w:t>
      </w:r>
      <w:r>
        <w:rPr>
          <w:rStyle w:val="FootnoteReference"/>
          <w:noProof/>
          <w:szCs w:val="24"/>
        </w:rPr>
        <w:footnoteReference w:id="8"/>
      </w:r>
      <w:r>
        <w:rPr>
          <w:noProof/>
        </w:rPr>
        <w:t xml:space="preserve">) fastställs en övergripande vision för EU:s roll inom global hälsa, med förankring i allmän hälso- och sjukvård, rättvisa, stärkta hälso- och sjukvårdssystem samt global hälsosäkerhet och med stöd för en One health-modell, där man erkänner det inneboende sambandet mellan människors hälsa, djurs hälsa samt en frisk och resilient natur. Ett komplement till denna ram är </w:t>
      </w:r>
      <w:r>
        <w:rPr>
          <w:b/>
          <w:noProof/>
        </w:rPr>
        <w:t>Global Gateway</w:t>
      </w:r>
      <w:r>
        <w:rPr>
          <w:noProof/>
        </w:rPr>
        <w:t xml:space="preserve">, som utgör EU:s strategiska politiska strategi för externa investeringar. Global Gateway gör det möjligt att genomföra denna vision i praktiken genom mobilisering av högkvalitativa, hållbara investeringar i hälsa i partnerländer. EU deltar även aktivt i förhandlingarna om pandemiavtalet. </w:t>
      </w:r>
    </w:p>
    <w:p w14:paraId="61D67F97" w14:textId="77777777" w:rsidR="00D62472" w:rsidRDefault="00723CED">
      <w:pPr>
        <w:spacing w:after="120"/>
        <w:rPr>
          <w:noProof/>
          <w:color w:val="000000" w:themeColor="text1"/>
          <w:szCs w:val="24"/>
        </w:rPr>
      </w:pPr>
      <w:r>
        <w:rPr>
          <w:noProof/>
          <w:color w:val="000000" w:themeColor="text1"/>
        </w:rPr>
        <w:t xml:space="preserve">Initiativet omfattar </w:t>
      </w:r>
      <w:r>
        <w:rPr>
          <w:b/>
          <w:noProof/>
          <w:color w:val="000000" w:themeColor="text1"/>
        </w:rPr>
        <w:t>fem prioriterade huvudområden</w:t>
      </w:r>
      <w:r>
        <w:rPr>
          <w:noProof/>
          <w:color w:val="000000" w:themeColor="text1"/>
        </w:rPr>
        <w:t xml:space="preserve"> och </w:t>
      </w:r>
      <w:r>
        <w:rPr>
          <w:b/>
          <w:noProof/>
          <w:color w:val="000000" w:themeColor="text1"/>
        </w:rPr>
        <w:t>nio flaggskeppsinitiativ</w:t>
      </w:r>
      <w:r>
        <w:rPr>
          <w:noProof/>
          <w:color w:val="000000" w:themeColor="text1"/>
        </w:rPr>
        <w:t xml:space="preserve">, där </w:t>
      </w:r>
      <w:r>
        <w:rPr>
          <w:b/>
          <w:noProof/>
          <w:color w:val="000000" w:themeColor="text1"/>
        </w:rPr>
        <w:t>EU:s åtgärder inriktas på de områden där de kan tillföra störst mervärde, med början mellan 2026 och 2027</w:t>
      </w:r>
      <w:r>
        <w:rPr>
          <w:noProof/>
          <w:color w:val="000000" w:themeColor="text1"/>
        </w:rPr>
        <w:t> (</w:t>
      </w:r>
      <w:r>
        <w:rPr>
          <w:rStyle w:val="FootnoteReference"/>
          <w:b/>
          <w:bCs/>
          <w:noProof/>
          <w:color w:val="000000" w:themeColor="text1"/>
          <w:szCs w:val="24"/>
        </w:rPr>
        <w:footnoteReference w:id="9"/>
      </w:r>
      <w:r>
        <w:rPr>
          <w:noProof/>
          <w:color w:val="000000" w:themeColor="text1"/>
        </w:rPr>
        <w:t xml:space="preserve">). </w:t>
      </w:r>
    </w:p>
    <w:p w14:paraId="7CE9C16F" w14:textId="77777777" w:rsidR="00D62472" w:rsidRDefault="00D62472">
      <w:pPr>
        <w:spacing w:after="120"/>
        <w:rPr>
          <w:noProof/>
          <w:color w:val="000000" w:themeColor="text1"/>
          <w:szCs w:val="24"/>
        </w:rPr>
      </w:pPr>
    </w:p>
    <w:p w14:paraId="2EAEA9A6" w14:textId="77777777" w:rsidR="00D62472" w:rsidRDefault="00723CE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Bidra till en effektivare och mindre fragmenterad global hälsoarkitektur</w:t>
      </w:r>
    </w:p>
    <w:p w14:paraId="7DAF158D" w14:textId="77777777" w:rsidR="00D62472" w:rsidRDefault="00723CED">
      <w:pPr>
        <w:spacing w:after="120"/>
        <w:rPr>
          <w:noProof/>
          <w:color w:val="000000" w:themeColor="text1"/>
          <w:szCs w:val="24"/>
        </w:rPr>
      </w:pPr>
      <w:r>
        <w:rPr>
          <w:noProof/>
          <w:color w:val="000000" w:themeColor="text1"/>
        </w:rPr>
        <w:t>De globala hälsoinitiativ som lanserades runt millennieskiftet har varit avgörande för att bekämpa hiv/aids, tuberkulos, malaria och andra smittsamma sjukdomar. Nu krävs dock en omfattande reform av den arkitektur som gav upphov till de tidigare vinsterna för att den ska förbli effektiv och ändamålsenlig. Dagens globala hälsoarkitektur präglas av brister och fragmentering, däribland avsteg från centrala mandat, överlappningar och otillräcklig samordning mellan hälsoaktörer, både mellan och inom regioner. Dessutom hindrar den sjukdomsspecifika fragmenteringen ibland arbetet för att stärka och integrera de nationella hälso- och sjukvårdssystemen.</w:t>
      </w:r>
    </w:p>
    <w:p w14:paraId="40DAB0AB" w14:textId="77777777" w:rsidR="00D62472" w:rsidRDefault="00723CED">
      <w:pPr>
        <w:pStyle w:val="ListNumberLevel3"/>
        <w:spacing w:after="120"/>
        <w:rPr>
          <w:noProof/>
          <w:color w:val="000000" w:themeColor="text1"/>
          <w:szCs w:val="24"/>
        </w:rPr>
      </w:pPr>
      <w:r>
        <w:rPr>
          <w:noProof/>
          <w:color w:val="000000" w:themeColor="text1"/>
        </w:rPr>
        <w:t xml:space="preserve">Globalt samarbete är oumbärligt för att skydda hälsan för alla människor världen över. Det är bråttom att ta tillfället i akt och genomföra reformer för att öka effektiviteten och gradvis närma oss målet om </w:t>
      </w:r>
      <w:r>
        <w:rPr>
          <w:b/>
          <w:noProof/>
          <w:color w:val="000000" w:themeColor="text1"/>
        </w:rPr>
        <w:t>nationell hälsosuveränitet</w:t>
      </w:r>
      <w:r>
        <w:rPr>
          <w:noProof/>
          <w:color w:val="000000" w:themeColor="text1"/>
        </w:rPr>
        <w:t xml:space="preserve">. </w:t>
      </w:r>
      <w:r>
        <w:rPr>
          <w:noProof/>
        </w:rPr>
        <w:t xml:space="preserve">För att underlätta konvergens i omvandlingen av den globala hälsoarkitekturen kommer kommissionen till fullo att </w:t>
      </w:r>
      <w:r>
        <w:rPr>
          <w:b/>
          <w:noProof/>
        </w:rPr>
        <w:t>stödja och delta i processen, som leds av Världshälsoorganisationen (WHO)</w:t>
      </w:r>
      <w:r>
        <w:rPr>
          <w:noProof/>
        </w:rPr>
        <w:t> (</w:t>
      </w:r>
      <w:r>
        <w:rPr>
          <w:rStyle w:val="FootnoteReference"/>
          <w:b/>
          <w:noProof/>
          <w:szCs w:val="24"/>
        </w:rPr>
        <w:footnoteReference w:id="10"/>
      </w:r>
      <w:r>
        <w:rPr>
          <w:noProof/>
        </w:rPr>
        <w:t>).</w:t>
      </w:r>
    </w:p>
    <w:p w14:paraId="20B86012" w14:textId="77777777" w:rsidR="00D62472" w:rsidRDefault="00723CED">
      <w:pPr>
        <w:pStyle w:val="ListNumberLevel3"/>
        <w:spacing w:after="120"/>
        <w:rPr>
          <w:noProof/>
          <w:color w:val="000000" w:themeColor="text1"/>
        </w:rPr>
      </w:pPr>
      <w:r>
        <w:rPr>
          <w:noProof/>
          <w:color w:val="000000" w:themeColor="text1"/>
        </w:rPr>
        <w:t xml:space="preserve">Kommissionen kommer att </w:t>
      </w:r>
      <w:r>
        <w:rPr>
          <w:b/>
          <w:noProof/>
          <w:color w:val="000000" w:themeColor="text1"/>
        </w:rPr>
        <w:t>främja en global hälsoarkitektur som stärker det nationella egenansvaret</w:t>
      </w:r>
      <w:r>
        <w:rPr>
          <w:noProof/>
          <w:color w:val="000000" w:themeColor="text1"/>
        </w:rPr>
        <w:t xml:space="preserve"> och hjälper partnerländer att uppnå deras mål om </w:t>
      </w:r>
      <w:r>
        <w:rPr>
          <w:b/>
          <w:noProof/>
          <w:color w:val="000000" w:themeColor="text1"/>
        </w:rPr>
        <w:t>hälsosuveränitet</w:t>
      </w:r>
      <w:r>
        <w:rPr>
          <w:noProof/>
          <w:color w:val="000000" w:themeColor="text1"/>
        </w:rPr>
        <w:t xml:space="preserve">. Kommissionen kommer att stödja reformer som </w:t>
      </w:r>
      <w:r>
        <w:rPr>
          <w:b/>
          <w:noProof/>
          <w:color w:val="000000" w:themeColor="text1"/>
        </w:rPr>
        <w:t>prioriterar de mest riskutsatta och hårdast drabbade befolkningsgrupperna</w:t>
      </w:r>
      <w:r>
        <w:rPr>
          <w:noProof/>
          <w:color w:val="000000" w:themeColor="text1"/>
        </w:rPr>
        <w:t xml:space="preserve"> och som riktar resurserna till de sammanhang där de gör störst nytta. Reformerna måste säkerställa att den globala hälsoarkitekturen följer gemensamt överenskomna humanitära normer och bör systematiskt undanröja könsrelaterade hälsohinder.</w:t>
      </w:r>
    </w:p>
    <w:tbl>
      <w:tblPr>
        <w:tblStyle w:val="TableGrid"/>
        <w:tblW w:w="0" w:type="auto"/>
        <w:tblLook w:val="04A0" w:firstRow="1" w:lastRow="0" w:firstColumn="1" w:lastColumn="0" w:noHBand="0" w:noVBand="1"/>
      </w:tblPr>
      <w:tblGrid>
        <w:gridCol w:w="9010"/>
      </w:tblGrid>
      <w:tr w:rsidR="00D62472" w14:paraId="36F822A4" w14:textId="77777777">
        <w:tc>
          <w:tcPr>
            <w:tcW w:w="9344" w:type="dxa"/>
          </w:tcPr>
          <w:p w14:paraId="5C4A651C" w14:textId="77777777" w:rsidR="00D62472" w:rsidRDefault="00723CED">
            <w:pPr>
              <w:pStyle w:val="ListNumberLevel3"/>
              <w:spacing w:after="120"/>
              <w:rPr>
                <w:b/>
                <w:noProof/>
                <w:color w:val="000000" w:themeColor="text1"/>
                <w:szCs w:val="24"/>
              </w:rPr>
            </w:pPr>
            <w:r>
              <w:rPr>
                <w:b/>
                <w:noProof/>
                <w:color w:val="000000" w:themeColor="text1"/>
              </w:rPr>
              <w:t>EU:s värdebaserade strategi för global hälsa</w:t>
            </w:r>
          </w:p>
          <w:p w14:paraId="2D15C375" w14:textId="77777777" w:rsidR="00D62472" w:rsidRDefault="00723CED">
            <w:pPr>
              <w:pStyle w:val="ListNumberLevel3"/>
              <w:spacing w:after="120"/>
              <w:rPr>
                <w:noProof/>
                <w:szCs w:val="24"/>
              </w:rPr>
            </w:pPr>
            <w:r>
              <w:rPr>
                <w:b/>
                <w:noProof/>
              </w:rPr>
              <w:t>EU:s åtgärder för global hälsa styrs av de grundläggande värdena</w:t>
            </w:r>
            <w:r>
              <w:rPr>
                <w:noProof/>
              </w:rPr>
              <w:t xml:space="preserve"> jämlikhet, icke-diskriminering och alla människors rätt att utöva sina mänskliga rättigheter och grundläggande friheter. Genom vår människorättsbaserade strategi säkerställs lika tillgång till hälso- och sjukvård för alla – däribland ungdomar, äldre personer, flickor och kvinnor, personer med funktionsnedsättning och hbtqi+-personer. Strategin skyddar människor i missgynnade och utsatta situationer, till exempel genom att säkerställa att de har tillgång till sexuell och reproduktiv hälsa och rättigheter (</w:t>
            </w:r>
            <w:r>
              <w:rPr>
                <w:rStyle w:val="FootnoteReference"/>
                <w:noProof/>
                <w:szCs w:val="24"/>
              </w:rPr>
              <w:footnoteReference w:id="11"/>
            </w:r>
            <w:r>
              <w:rPr>
                <w:noProof/>
              </w:rPr>
              <w:t xml:space="preserve">) samt stöd för psykisk hälsa och psykosocialt stöd. </w:t>
            </w:r>
          </w:p>
        </w:tc>
      </w:tr>
    </w:tbl>
    <w:p w14:paraId="6855BDD3" w14:textId="77777777" w:rsidR="00D62472" w:rsidRDefault="00723CED">
      <w:pPr>
        <w:pStyle w:val="ListNumberLevel3"/>
        <w:spacing w:after="120"/>
        <w:rPr>
          <w:noProof/>
          <w:color w:val="000000" w:themeColor="text1"/>
          <w:szCs w:val="24"/>
        </w:rPr>
      </w:pPr>
      <w:r>
        <w:rPr>
          <w:noProof/>
          <w:color w:val="000000" w:themeColor="text1"/>
        </w:rPr>
        <w:t xml:space="preserve">I ett snabbt föränderligt geopolitiskt sammanhang </w:t>
      </w:r>
      <w:r>
        <w:rPr>
          <w:b/>
          <w:noProof/>
          <w:color w:val="000000" w:themeColor="text1"/>
        </w:rPr>
        <w:t>fortsätter EU att vara en tillförlitlig och förutsägbar partner</w:t>
      </w:r>
      <w:r>
        <w:rPr>
          <w:noProof/>
          <w:color w:val="000000" w:themeColor="text1"/>
        </w:rPr>
        <w:t xml:space="preserve">. Reformerna måste på lämpligt sätt främja de regionala institutionernas roll, men samtidigt stödja </w:t>
      </w:r>
      <w:r>
        <w:rPr>
          <w:b/>
          <w:noProof/>
          <w:color w:val="000000" w:themeColor="text1"/>
        </w:rPr>
        <w:t>multilateralism</w:t>
      </w:r>
      <w:r>
        <w:rPr>
          <w:noProof/>
          <w:color w:val="000000" w:themeColor="text1"/>
        </w:rPr>
        <w:t xml:space="preserve">, där </w:t>
      </w:r>
      <w:r>
        <w:rPr>
          <w:b/>
          <w:noProof/>
          <w:color w:val="000000" w:themeColor="text1"/>
        </w:rPr>
        <w:t>WHO står i centrum</w:t>
      </w:r>
      <w:r>
        <w:rPr>
          <w:noProof/>
          <w:color w:val="000000" w:themeColor="text1"/>
        </w:rPr>
        <w:t xml:space="preserve"> och inriktar sig på sitt </w:t>
      </w:r>
      <w:r>
        <w:rPr>
          <w:b/>
          <w:noProof/>
          <w:color w:val="000000" w:themeColor="text1"/>
        </w:rPr>
        <w:t>centrala normativa mandat, sitt standardiseringsmandat samt sina mandat för global hälsosäkerhet, samordning och sammankallande till möten</w:t>
      </w:r>
      <w:r>
        <w:rPr>
          <w:noProof/>
          <w:color w:val="000000" w:themeColor="text1"/>
        </w:rPr>
        <w:t xml:space="preserve">. </w:t>
      </w:r>
    </w:p>
    <w:p w14:paraId="3C603619" w14:textId="77777777" w:rsidR="00D62472" w:rsidRDefault="00723CED">
      <w:pPr>
        <w:pStyle w:val="ListNumberLevel3"/>
        <w:spacing w:after="120"/>
        <w:rPr>
          <w:b/>
          <w:i/>
          <w:noProof/>
          <w:color w:val="000000" w:themeColor="text1"/>
          <w:szCs w:val="24"/>
        </w:rPr>
      </w:pPr>
      <w:r>
        <w:rPr>
          <w:noProof/>
          <w:color w:val="000000" w:themeColor="text1"/>
        </w:rPr>
        <w:t xml:space="preserve">Alla aktörer måste arbeta på ett samordnat sätt. De måste sträva efter att undvika dubbelarbete samt öka öppenheten och ansvarsskyldigheten </w:t>
      </w:r>
      <w:r>
        <w:rPr>
          <w:b/>
          <w:noProof/>
          <w:color w:val="000000" w:themeColor="text1"/>
        </w:rPr>
        <w:t>i syfte att främja en effektivare och mindre fragmenterad global hälsoarkitektur</w:t>
      </w:r>
      <w:r>
        <w:rPr>
          <w:noProof/>
          <w:color w:val="000000" w:themeColor="text1"/>
        </w:rPr>
        <w:t xml:space="preserve"> som är ändamålsenlig, rättvis och hållbar. En stark och väl samordnad närvaro av EU och dess medlemsstater i styrelserna för de viktigaste </w:t>
      </w:r>
      <w:r>
        <w:rPr>
          <w:b/>
          <w:noProof/>
          <w:color w:val="000000" w:themeColor="text1"/>
        </w:rPr>
        <w:t>globala hälsoinitiativen</w:t>
      </w:r>
      <w:r>
        <w:rPr>
          <w:noProof/>
          <w:color w:val="000000" w:themeColor="text1"/>
        </w:rPr>
        <w:t>, närmare bestämt Globala fonden för bekämpning av aids, tuberkulos och malaria, Gavi-alliansen och Pandemifonden, är avgörande för att se till att dessa initiativ kompletterar varandra och spelar sin roll fullt ut för att hjälpa länder att övergå till fullständig hälsosuveränitet. Sjukdomsspecifika initiativ, särskilt Globala fonden och Gavi-alliansen, bör fortsätta att spela en viktig roll för att säkerställa en rättvisare tillgång till produkter av god kvalitet till överkomliga priser samt för att diversifiera leveranskedjorna. Dessa initiativ bör påverka efterfrågan på ett sätt som stöder den globala hälsoresiliensen, och samtidigt säkerställa rättvisa, förutsägbara och hållbara marknadsvillkor, även för europeiska och nya tillverkare. Det är samtidigt viktigt att Pandemifonden fortsätter att fylla sin funktion för att åtgärda de främsta bristerna i samband med förebyggande av, beredskap för och insatser vid pandemier.</w:t>
      </w:r>
    </w:p>
    <w:p w14:paraId="52082CE1" w14:textId="77777777" w:rsidR="00D62472" w:rsidRDefault="00723CED">
      <w:pPr>
        <w:pStyle w:val="ListParagraph"/>
        <w:numPr>
          <w:ilvl w:val="0"/>
          <w:numId w:val="1"/>
        </w:numPr>
        <w:spacing w:after="120"/>
        <w:ind w:left="714" w:hanging="357"/>
        <w:contextualSpacing w:val="0"/>
        <w:rPr>
          <w:b/>
          <w:i/>
          <w:noProof/>
          <w:szCs w:val="24"/>
          <w:u w:val="single"/>
        </w:rPr>
      </w:pPr>
      <w:r>
        <w:rPr>
          <w:b/>
          <w:i/>
          <w:noProof/>
        </w:rPr>
        <w:t xml:space="preserve">Flaggskeppsinitiativ 1: </w:t>
      </w:r>
      <w:r>
        <w:rPr>
          <w:b/>
          <w:i/>
          <w:noProof/>
          <w:u w:val="single"/>
        </w:rPr>
        <w:t>Förbättra samordningen inom EU om global hälsa</w:t>
      </w:r>
    </w:p>
    <w:p w14:paraId="1EAE9EBD" w14:textId="77777777" w:rsidR="00D62472" w:rsidRDefault="00723CED">
      <w:pPr>
        <w:pStyle w:val="ListParagraph"/>
        <w:spacing w:after="120"/>
        <w:contextualSpacing w:val="0"/>
        <w:rPr>
          <w:b/>
          <w:i/>
          <w:noProof/>
          <w:color w:val="000000" w:themeColor="text1"/>
          <w:szCs w:val="24"/>
        </w:rPr>
      </w:pPr>
      <w:r>
        <w:rPr>
          <w:b/>
          <w:i/>
          <w:noProof/>
          <w:color w:val="000000" w:themeColor="text1"/>
        </w:rPr>
        <w:t>Med utgångspunkt i Team Europe-strategin (</w:t>
      </w:r>
      <w:r>
        <w:rPr>
          <w:rStyle w:val="FootnoteReference"/>
          <w:b/>
          <w:i/>
          <w:noProof/>
          <w:color w:val="000000" w:themeColor="text1"/>
          <w:szCs w:val="24"/>
        </w:rPr>
        <w:footnoteReference w:id="12"/>
      </w:r>
      <w:r>
        <w:rPr>
          <w:b/>
          <w:i/>
          <w:noProof/>
          <w:color w:val="000000" w:themeColor="text1"/>
        </w:rPr>
        <w:t>) och för att understryka effekterna av EU:s och dess medlemsstaters globala hälsoåtgärder kommer kommissionen att ytterligare öka samordningen med och mellan medlemsstaterna innan internationella initiativ och viktiga finansieringsdelmål utökas. Kommissionen kommer att ytterligare förbättra kartläggningen av EU:s och medlemsstaternas investeringar i och åtgärder för global hälsa och kommer att regelbundet uppdatera den på ett övergripande sätt för att förbättra samstämmigheten, öppenheten och ansvarsskyldigheten samt för att underlätta synergier och komplementaritet mellan givarna.</w:t>
      </w:r>
    </w:p>
    <w:p w14:paraId="2C0C7AD3" w14:textId="77777777" w:rsidR="00D62472" w:rsidRDefault="00723CED">
      <w:pPr>
        <w:pStyle w:val="ListParagraph"/>
        <w:spacing w:after="120"/>
        <w:contextualSpacing w:val="0"/>
        <w:rPr>
          <w:b/>
          <w:i/>
          <w:noProof/>
          <w:color w:val="000000" w:themeColor="text1"/>
          <w:szCs w:val="24"/>
        </w:rPr>
      </w:pPr>
      <w:r>
        <w:rPr>
          <w:b/>
          <w:i/>
          <w:noProof/>
          <w:color w:val="000000" w:themeColor="text1"/>
        </w:rPr>
        <w:t xml:space="preserve"> </w:t>
      </w:r>
    </w:p>
    <w:p w14:paraId="75D0B309" w14:textId="77777777" w:rsidR="00D62472" w:rsidRDefault="00723CE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 xml:space="preserve">Stödja resilienta, nationellt ledda hälso- och sjukvårdssystem </w:t>
      </w:r>
    </w:p>
    <w:p w14:paraId="62715DEC" w14:textId="77777777" w:rsidR="00D62472" w:rsidRDefault="00723CED">
      <w:pPr>
        <w:spacing w:after="120"/>
        <w:rPr>
          <w:noProof/>
          <w:color w:val="000000" w:themeColor="text1"/>
        </w:rPr>
      </w:pPr>
      <w:r>
        <w:rPr>
          <w:noProof/>
          <w:color w:val="000000" w:themeColor="text1"/>
        </w:rPr>
        <w:t>Grundstommen för den globala hälsoresiliensen är nationellt ledda hälso- och sjukvårdssystem som tillhandahåller tillgängliga grundläggande tjänster av hög kvalitet och skyddar människors hälsa. Säkerställandet av kontinuiteten för integrerade primärvårdstjänster – inbegripet mödra- och spädbarnshälsa samt tjänster för sexuell och reproduktiv hälsa – är avgörande för att förhindra onödig sjuklighet och dödlighet och upprätthålla motståndskraftiga system under kriser och chocker. För detta krävs jämställdhetsanpassade primärvårdstjänster och hälso- och sjukvårdssystem som kan hantera viktiga folkhälsoutmaningar som sjukdomar som kan förebyggas genom vaccination samt undernäring, sexuellt överförbara infektioner, psykisk ohälsa och icke-smittsamma sjukdomar. Digitalisering och innovation är avgörande faktorer för hälsosuveränitet och gör att länder kan säkerställa en rättvisare tillgång till hälso- och sjukvårdstjänster samt göra dessa tjänster effektivare och mer interoperabla, skalbara och kostnadseffektiva, vilket ger patienterna en starkare ställning, bland annat genom datasystem, telemedicin och AI-stödda verktyg, om de är säkra och tillförlitliga.</w:t>
      </w:r>
      <w:r>
        <w:rPr>
          <w:rFonts w:ascii="Segoe UI" w:hAnsi="Segoe UI"/>
          <w:noProof/>
          <w:sz w:val="18"/>
        </w:rPr>
        <w:t xml:space="preserve"> </w:t>
      </w:r>
      <w:r>
        <w:rPr>
          <w:noProof/>
          <w:color w:val="000000" w:themeColor="text1"/>
        </w:rPr>
        <w:t>Hälsopolitiken måste ta hänsyn till de bakomliggande orsakerna till ohälsa, såsom fattigdom och sociala ojämlikheter, samt miljörelaterade orsaker, genom en integrerad One Health-modell.</w:t>
      </w:r>
    </w:p>
    <w:p w14:paraId="322D181A" w14:textId="77777777" w:rsidR="00D62472" w:rsidRDefault="00723CED">
      <w:pPr>
        <w:spacing w:after="120"/>
        <w:rPr>
          <w:b/>
          <w:noProof/>
          <w:color w:val="000000" w:themeColor="text1"/>
          <w:szCs w:val="24"/>
        </w:rPr>
      </w:pPr>
      <w:r>
        <w:rPr>
          <w:noProof/>
          <w:color w:val="000000" w:themeColor="text1"/>
        </w:rPr>
        <w:t xml:space="preserve">Att stärka hälso- och sjukvårdssystemen är särskilt viktigt i </w:t>
      </w:r>
      <w:r>
        <w:rPr>
          <w:b/>
          <w:noProof/>
          <w:color w:val="000000" w:themeColor="text1"/>
        </w:rPr>
        <w:t>instabila situationer</w:t>
      </w:r>
      <w:r>
        <w:rPr>
          <w:noProof/>
          <w:color w:val="000000" w:themeColor="text1"/>
        </w:rPr>
        <w:t xml:space="preserve"> och inom mer avancerade system i händelse av </w:t>
      </w:r>
      <w:r>
        <w:rPr>
          <w:b/>
          <w:noProof/>
          <w:color w:val="000000" w:themeColor="text1"/>
        </w:rPr>
        <w:t>omfattande</w:t>
      </w:r>
      <w:r>
        <w:rPr>
          <w:noProof/>
          <w:color w:val="000000" w:themeColor="text1"/>
        </w:rPr>
        <w:t xml:space="preserve"> </w:t>
      </w:r>
      <w:r>
        <w:rPr>
          <w:b/>
          <w:noProof/>
          <w:color w:val="000000" w:themeColor="text1"/>
        </w:rPr>
        <w:t>hälsokriser</w:t>
      </w:r>
      <w:r>
        <w:rPr>
          <w:noProof/>
          <w:color w:val="000000" w:themeColor="text1"/>
        </w:rPr>
        <w:t>, såsom storskaliga epidemier eller pandemier.</w:t>
      </w:r>
      <w:r>
        <w:rPr>
          <w:noProof/>
        </w:rPr>
        <w:t xml:space="preserve"> </w:t>
      </w:r>
      <w:r>
        <w:rPr>
          <w:b/>
          <w:noProof/>
          <w:color w:val="000000" w:themeColor="text1"/>
        </w:rPr>
        <w:t>Utsatta befolkningsgrupper</w:t>
      </w:r>
      <w:r>
        <w:rPr>
          <w:noProof/>
          <w:color w:val="000000" w:themeColor="text1"/>
        </w:rPr>
        <w:t xml:space="preserve"> och </w:t>
      </w:r>
      <w:r>
        <w:rPr>
          <w:b/>
          <w:noProof/>
          <w:color w:val="000000" w:themeColor="text1"/>
        </w:rPr>
        <w:t>humanitära sammanhang</w:t>
      </w:r>
      <w:r>
        <w:rPr>
          <w:noProof/>
          <w:color w:val="000000" w:themeColor="text1"/>
        </w:rPr>
        <w:t xml:space="preserve"> förtjänar särskild uppmärksamhet.</w:t>
      </w:r>
      <w:r>
        <w:rPr>
          <w:b/>
          <w:noProof/>
          <w:color w:val="000000" w:themeColor="text1"/>
        </w:rPr>
        <w:t xml:space="preserve"> </w:t>
      </w:r>
      <w:r>
        <w:rPr>
          <w:noProof/>
          <w:color w:val="000000" w:themeColor="text1"/>
        </w:rPr>
        <w:t xml:space="preserve">Global tvångsförflyttning av befolkning och osäker livsmedelsförsörjning, klimatförändringar och extrema naturkatastrofer, bristen på ren och ekonomiskt överkomlig energi, våld och konflikter, sociala ojämlikheter och återkommande epidemiska utbrott har ytterligare minskat kapaciteten hos redan </w:t>
      </w:r>
      <w:r>
        <w:rPr>
          <w:b/>
          <w:noProof/>
          <w:color w:val="000000" w:themeColor="text1"/>
        </w:rPr>
        <w:t>ansträngda nationella hälso- och sjukvårdssystem</w:t>
      </w:r>
      <w:r>
        <w:rPr>
          <w:noProof/>
          <w:color w:val="000000" w:themeColor="text1"/>
        </w:rPr>
        <w:t xml:space="preserve"> i många instabila, konflikt- och krisdrabbade länder över hela världen. Detta leder till en minskad tillgång till grundläggande primärvårdstjänster och begränsade framsteg mot </w:t>
      </w:r>
      <w:r>
        <w:rPr>
          <w:b/>
          <w:noProof/>
          <w:color w:val="000000" w:themeColor="text1"/>
        </w:rPr>
        <w:t>allmän hälso- och sjukvård</w:t>
      </w:r>
      <w:r>
        <w:rPr>
          <w:noProof/>
          <w:color w:val="000000" w:themeColor="text1"/>
        </w:rPr>
        <w:t>.</w:t>
      </w:r>
    </w:p>
    <w:p w14:paraId="07027078" w14:textId="77777777" w:rsidR="00D62472" w:rsidRDefault="00723CED">
      <w:pPr>
        <w:spacing w:after="120"/>
        <w:rPr>
          <w:noProof/>
          <w:color w:val="000000" w:themeColor="text1"/>
          <w:szCs w:val="24"/>
        </w:rPr>
      </w:pPr>
      <w:r>
        <w:rPr>
          <w:b/>
          <w:noProof/>
          <w:color w:val="000000" w:themeColor="text1"/>
        </w:rPr>
        <w:t xml:space="preserve">Hälsosuveränitet </w:t>
      </w:r>
      <w:r>
        <w:rPr>
          <w:noProof/>
          <w:color w:val="000000" w:themeColor="text1"/>
        </w:rPr>
        <w:t xml:space="preserve">kräver tillräcklig och effektiv inhemsk hälsofinansiering. </w:t>
      </w:r>
      <w:r>
        <w:rPr>
          <w:b/>
          <w:noProof/>
          <w:color w:val="000000" w:themeColor="text1"/>
        </w:rPr>
        <w:t>Patientavgifter</w:t>
      </w:r>
      <w:r>
        <w:rPr>
          <w:noProof/>
          <w:color w:val="000000" w:themeColor="text1"/>
        </w:rPr>
        <w:t xml:space="preserve"> är den främsta finansieringskällan i 30 låginkomstländer (</w:t>
      </w:r>
      <w:r>
        <w:rPr>
          <w:rStyle w:val="FootnoteReference"/>
          <w:noProof/>
          <w:color w:val="000000" w:themeColor="text1"/>
          <w:szCs w:val="24"/>
        </w:rPr>
        <w:footnoteReference w:id="13"/>
      </w:r>
      <w:r>
        <w:rPr>
          <w:noProof/>
          <w:color w:val="000000" w:themeColor="text1"/>
        </w:rPr>
        <w:t xml:space="preserve">) och leder till att miljontals människor drabbas av fattigdom. Vidare står </w:t>
      </w:r>
      <w:r>
        <w:rPr>
          <w:b/>
          <w:noProof/>
          <w:color w:val="000000" w:themeColor="text1"/>
        </w:rPr>
        <w:t>biståndet till tredjeländer</w:t>
      </w:r>
      <w:r>
        <w:rPr>
          <w:noProof/>
          <w:color w:val="000000" w:themeColor="text1"/>
        </w:rPr>
        <w:t xml:space="preserve"> för uppskattningsvis 30–45 % av de totala utgifterna för hälso- och sjukvård i vissa ekonomier (</w:t>
      </w:r>
      <w:r>
        <w:rPr>
          <w:rStyle w:val="FootnoteReference"/>
          <w:noProof/>
          <w:color w:val="000000" w:themeColor="text1"/>
          <w:szCs w:val="24"/>
        </w:rPr>
        <w:footnoteReference w:id="14"/>
      </w:r>
      <w:r>
        <w:rPr>
          <w:noProof/>
          <w:color w:val="000000" w:themeColor="text1"/>
        </w:rPr>
        <w:t xml:space="preserve">). Ett långsiktigt beroende av extern finansiering riskerar att undergräva det nationella egenansvaret och enskilda länders förmåga att garantera goda hälsoresultat. Särskilt i den nuvarande situationen med sänkt offentligt utvecklingsbistånd bör en effektivare och mer ändamålsenlig strategi mot instabilitet omfatta ett samordnat samarbete mellan humanitärt bistånd, utvecklingsbistånd och nationell kapacitet. Det krävs en robust förvaltning av de offentliga finanserna, en ekonomisk politik som stöder långsiktig tillväxt samt stabila inhemska institutioner för att förbättra hälsoresultaten och säkerställa en hållbar och långsiktig finansiering av hälso- och sjukvården. </w:t>
      </w:r>
      <w:r>
        <w:rPr>
          <w:noProof/>
        </w:rPr>
        <w:t>I slutändan är det bara länderna själva som kan driva på förändringar, genom ansvarsskyldighet, värdig vård, tillgänglighet och nationellt egenansvar,</w:t>
      </w:r>
      <w:r>
        <w:rPr>
          <w:noProof/>
          <w:color w:val="000000" w:themeColor="text1"/>
        </w:rPr>
        <w:t xml:space="preserve"> kompletterat med internationellt stöd på global och regional nivå, bland annat genom G7 och G20.</w:t>
      </w:r>
    </w:p>
    <w:p w14:paraId="03A168F7" w14:textId="77777777" w:rsidR="00D62472" w:rsidRDefault="00723CED">
      <w:pPr>
        <w:pBdr>
          <w:top w:val="single" w:sz="4" w:space="1" w:color="auto"/>
          <w:left w:val="single" w:sz="4" w:space="4" w:color="auto"/>
          <w:bottom w:val="single" w:sz="4" w:space="1" w:color="auto"/>
          <w:right w:val="single" w:sz="4" w:space="4" w:color="auto"/>
        </w:pBdr>
        <w:spacing w:after="120"/>
        <w:rPr>
          <w:b/>
          <w:noProof/>
          <w:color w:val="000000" w:themeColor="text1"/>
          <w:szCs w:val="24"/>
        </w:rPr>
      </w:pPr>
      <w:r>
        <w:rPr>
          <w:b/>
          <w:noProof/>
          <w:color w:val="000000" w:themeColor="text1"/>
        </w:rPr>
        <w:t xml:space="preserve">EU:s erfarenhet av hälso- och sjukvårdssystemens resiliens </w:t>
      </w:r>
    </w:p>
    <w:p w14:paraId="62447623" w14:textId="77777777" w:rsidR="00D62472" w:rsidRDefault="00723CED">
      <w:pPr>
        <w:pBdr>
          <w:top w:val="single" w:sz="4" w:space="1" w:color="auto"/>
          <w:left w:val="single" w:sz="4" w:space="4" w:color="auto"/>
          <w:bottom w:val="single" w:sz="4" w:space="1" w:color="auto"/>
          <w:right w:val="single" w:sz="4" w:space="4" w:color="auto"/>
        </w:pBdr>
        <w:spacing w:after="120"/>
        <w:rPr>
          <w:noProof/>
          <w:szCs w:val="24"/>
        </w:rPr>
      </w:pPr>
      <w:r>
        <w:rPr>
          <w:noProof/>
        </w:rPr>
        <w:t>EU kan utnyttja medlemsstaternas erfarenheter av att skapa inkluderande och resilienta hälso- och sjukvårdssystem. EU-medlemsstaterna har en mängd olika hälso- och sjukvårdssystem. De står inför olika utmaningar och har olika resursnivåer. Trots detta delar de alla ett starkt engagemang för allmän hälso- och sjukvård och tillhandahållandet av både primärvård och mer avancerad hälso- och sjukvård. De förlitar sig även på</w:t>
      </w:r>
      <w:r>
        <w:rPr>
          <w:noProof/>
          <w:color w:val="000000" w:themeColor="text1"/>
        </w:rPr>
        <w:t xml:space="preserve"> dynamisk forskning och innovation, rättssäkerhet, samarbete med andra länder och en stark hälso- och sjukvårdsindustri och hälsoföretagssektor.</w:t>
      </w:r>
    </w:p>
    <w:p w14:paraId="77751592" w14:textId="77777777" w:rsidR="00D62472" w:rsidRDefault="00723CED">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Som komplement till detta har EU en unik förmåga att agera som en avancerad ram för regional integration. EU har antagit modeller för att förebygga och bekämpa </w:t>
      </w:r>
      <w:r>
        <w:rPr>
          <w:b/>
          <w:noProof/>
        </w:rPr>
        <w:t>stora icke-smittsamma sjukdomar</w:t>
      </w:r>
      <w:r>
        <w:rPr>
          <w:noProof/>
        </w:rPr>
        <w:t xml:space="preserve">, men även </w:t>
      </w:r>
      <w:r>
        <w:rPr>
          <w:b/>
          <w:noProof/>
        </w:rPr>
        <w:t>sällsynta och komplexa sjukdomar</w:t>
      </w:r>
      <w:r>
        <w:rPr>
          <w:noProof/>
        </w:rPr>
        <w:t> (</w:t>
      </w:r>
      <w:r>
        <w:rPr>
          <w:rStyle w:val="FootnoteReference"/>
          <w:b/>
          <w:noProof/>
          <w:szCs w:val="24"/>
        </w:rPr>
        <w:footnoteReference w:id="15"/>
      </w:r>
      <w:r>
        <w:rPr>
          <w:noProof/>
        </w:rPr>
        <w:t>).</w:t>
      </w:r>
    </w:p>
    <w:p w14:paraId="61C981B7" w14:textId="77777777" w:rsidR="00D62472" w:rsidRDefault="00723CED">
      <w:pPr>
        <w:pBdr>
          <w:top w:val="single" w:sz="4" w:space="1" w:color="auto"/>
          <w:left w:val="single" w:sz="4" w:space="4" w:color="auto"/>
          <w:bottom w:val="single" w:sz="4" w:space="1" w:color="auto"/>
          <w:right w:val="single" w:sz="4" w:space="4" w:color="auto"/>
        </w:pBdr>
        <w:spacing w:after="120"/>
        <w:rPr>
          <w:bCs/>
          <w:noProof/>
          <w:color w:val="000000" w:themeColor="text1"/>
          <w:szCs w:val="24"/>
        </w:rPr>
      </w:pPr>
      <w:r>
        <w:rPr>
          <w:noProof/>
          <w:color w:val="000000" w:themeColor="text1"/>
        </w:rPr>
        <w:t xml:space="preserve">EU har föreslagit och utarbetat starka regelverk för att förbättra tillgången till läkemedel och medicintekniska produkter samt för att stärka försörjningstryggheten och ta itu med folkhälsoutmaningar såsom antimikrobiell resistens, särskilt genom initiativ som </w:t>
      </w:r>
      <w:r>
        <w:rPr>
          <w:b/>
          <w:noProof/>
          <w:color w:val="000000" w:themeColor="text1"/>
        </w:rPr>
        <w:t>läkemedelsstrategin för Europa</w:t>
      </w:r>
      <w:r>
        <w:rPr>
          <w:noProof/>
          <w:color w:val="000000" w:themeColor="text1"/>
        </w:rPr>
        <w:t> (</w:t>
      </w:r>
      <w:r>
        <w:rPr>
          <w:rStyle w:val="FootnoteReference"/>
          <w:b/>
          <w:noProof/>
          <w:color w:val="000000" w:themeColor="text1"/>
          <w:szCs w:val="24"/>
        </w:rPr>
        <w:footnoteReference w:id="16"/>
      </w:r>
      <w:r>
        <w:rPr>
          <w:noProof/>
          <w:color w:val="000000" w:themeColor="text1"/>
        </w:rPr>
        <w:t xml:space="preserve">), förslaget till </w:t>
      </w:r>
      <w:r>
        <w:rPr>
          <w:b/>
          <w:noProof/>
          <w:color w:val="000000" w:themeColor="text1"/>
        </w:rPr>
        <w:t>förordning om kritiska läkemedel</w:t>
      </w:r>
      <w:r>
        <w:rPr>
          <w:noProof/>
          <w:color w:val="000000" w:themeColor="text1"/>
        </w:rPr>
        <w:t> (</w:t>
      </w:r>
      <w:r>
        <w:rPr>
          <w:rStyle w:val="FootnoteReference"/>
          <w:b/>
          <w:noProof/>
          <w:color w:val="000000" w:themeColor="text1"/>
          <w:szCs w:val="24"/>
        </w:rPr>
        <w:footnoteReference w:id="17"/>
      </w:r>
      <w:r>
        <w:rPr>
          <w:noProof/>
          <w:color w:val="000000" w:themeColor="text1"/>
        </w:rPr>
        <w:t xml:space="preserve">) och rådets rekommendation om intensifiering av EU:s åtgärder för att </w:t>
      </w:r>
      <w:r>
        <w:rPr>
          <w:b/>
          <w:noProof/>
          <w:color w:val="000000" w:themeColor="text1"/>
        </w:rPr>
        <w:t>bekämpa antimikrobiell resistens genom en One Health-modell</w:t>
      </w:r>
      <w:r>
        <w:rPr>
          <w:noProof/>
          <w:color w:val="000000" w:themeColor="text1"/>
        </w:rPr>
        <w:t> (</w:t>
      </w:r>
      <w:r>
        <w:rPr>
          <w:rStyle w:val="FootnoteReference"/>
          <w:b/>
          <w:bCs/>
          <w:noProof/>
          <w:color w:val="000000" w:themeColor="text1"/>
          <w:szCs w:val="24"/>
        </w:rPr>
        <w:footnoteReference w:id="18"/>
      </w:r>
      <w:r>
        <w:rPr>
          <w:noProof/>
          <w:color w:val="000000" w:themeColor="text1"/>
        </w:rPr>
        <w:t>), där rådet uppmuntrar en återhållsam användning av antimikrobiella medel, med konkreta mål för att minska användningen av antimikrobiella medel, stärka de nationella handlingsplanerna, förstärka övervakningen och förbättra medvetenheten.</w:t>
      </w:r>
    </w:p>
    <w:p w14:paraId="0A82371B" w14:textId="77777777" w:rsidR="00D62472" w:rsidRDefault="00723CE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rPr>
        <w:t>Det</w:t>
      </w:r>
      <w:r>
        <w:rPr>
          <w:b/>
          <w:noProof/>
        </w:rPr>
        <w:t xml:space="preserve"> europeiska hälsodataområdet</w:t>
      </w:r>
      <w:r>
        <w:rPr>
          <w:noProof/>
        </w:rPr>
        <w:t xml:space="preserve"> kommer att utnyttja </w:t>
      </w:r>
      <w:r>
        <w:rPr>
          <w:b/>
          <w:noProof/>
        </w:rPr>
        <w:t>digitaliseringens</w:t>
      </w:r>
      <w:r>
        <w:rPr>
          <w:noProof/>
        </w:rPr>
        <w:t xml:space="preserve"> kraft, ge patienterna möjlighet att bättre kontrollera och dela sina hälsodata och förbättra tillhandahållandet av hälso- och sjukvård. Det möjliggör säker och tillförlitlig återanvändning av hälsodata för forskning, innovation och beslutsfattande. I EU:s ramar betonas </w:t>
      </w:r>
      <w:r>
        <w:rPr>
          <w:b/>
          <w:noProof/>
        </w:rPr>
        <w:t>öppenhet, etisk användning och gemensamma standarder</w:t>
      </w:r>
      <w:r>
        <w:rPr>
          <w:noProof/>
        </w:rPr>
        <w:t>, och det säkerställs att den digitala omställningen gynnar alla berörda parter på ett rimligt och rättvist sätt.</w:t>
      </w:r>
      <w:r>
        <w:rPr>
          <w:noProof/>
          <w:color w:val="000000" w:themeColor="text1"/>
        </w:rPr>
        <w:t xml:space="preserve"> </w:t>
      </w:r>
    </w:p>
    <w:p w14:paraId="4088B052" w14:textId="77777777" w:rsidR="00D62472" w:rsidRDefault="00723CED">
      <w:pPr>
        <w:pBdr>
          <w:top w:val="single" w:sz="4" w:space="1" w:color="auto"/>
          <w:left w:val="single" w:sz="4" w:space="4" w:color="auto"/>
          <w:bottom w:val="single" w:sz="4" w:space="1" w:color="auto"/>
          <w:right w:val="single" w:sz="4" w:space="4" w:color="auto"/>
        </w:pBdr>
        <w:spacing w:after="120"/>
        <w:rPr>
          <w:noProof/>
          <w:color w:val="000000" w:themeColor="text1"/>
        </w:rPr>
      </w:pPr>
      <w:r>
        <w:rPr>
          <w:noProof/>
          <w:color w:val="000000" w:themeColor="text1"/>
        </w:rPr>
        <w:t xml:space="preserve">Vidare är stabila </w:t>
      </w:r>
      <w:r>
        <w:rPr>
          <w:b/>
          <w:noProof/>
          <w:color w:val="000000" w:themeColor="text1"/>
        </w:rPr>
        <w:t>sociala trygghetssystem</w:t>
      </w:r>
      <w:r>
        <w:rPr>
          <w:noProof/>
          <w:color w:val="000000" w:themeColor="text1"/>
        </w:rPr>
        <w:t xml:space="preserve"> avgörande för att dämpa de socioekonomiska effekterna av chocker. </w:t>
      </w:r>
    </w:p>
    <w:p w14:paraId="56E10564" w14:textId="77777777" w:rsidR="00D62472" w:rsidRDefault="00723CED">
      <w:pPr>
        <w:spacing w:after="120"/>
        <w:rPr>
          <w:noProof/>
          <w:color w:val="000000" w:themeColor="text1"/>
          <w:szCs w:val="24"/>
        </w:rPr>
      </w:pPr>
      <w:r>
        <w:rPr>
          <w:noProof/>
          <w:color w:val="000000" w:themeColor="text1"/>
        </w:rPr>
        <w:t>Att kollektivt hjälpa hälso- och sjukvårdssystemen att övergå till en effektivare och mer resilient och tillgänglig modell inom alla deras grundläggande byggstenar (</w:t>
      </w:r>
      <w:r>
        <w:rPr>
          <w:rStyle w:val="FootnoteReference"/>
          <w:noProof/>
          <w:color w:val="000000" w:themeColor="text1"/>
          <w:szCs w:val="24"/>
        </w:rPr>
        <w:footnoteReference w:id="19"/>
      </w:r>
      <w:r>
        <w:rPr>
          <w:noProof/>
          <w:color w:val="000000" w:themeColor="text1"/>
        </w:rPr>
        <w:t xml:space="preserve">) har varit en viktig prioritering inom EU:s strategi för global hälsa och kommer att förbli en hörnsten i EU:s åtgärder för global hälsa. </w:t>
      </w:r>
    </w:p>
    <w:p w14:paraId="1198B1BC" w14:textId="77777777" w:rsidR="00D62472" w:rsidRDefault="00723CED">
      <w:pPr>
        <w:spacing w:after="120"/>
        <w:rPr>
          <w:noProof/>
          <w:color w:val="000000" w:themeColor="text1"/>
          <w:szCs w:val="24"/>
        </w:rPr>
      </w:pPr>
      <w:r>
        <w:rPr>
          <w:noProof/>
          <w:color w:val="000000" w:themeColor="text1"/>
        </w:rPr>
        <w:t xml:space="preserve">Överlag är EU, tillsammans med medlemsstaterna och europeiska finansinstitut, inom en Team Europe-strategi, </w:t>
      </w:r>
      <w:r>
        <w:rPr>
          <w:b/>
          <w:noProof/>
          <w:color w:val="000000" w:themeColor="text1"/>
        </w:rPr>
        <w:t>bland de ledande givarna till global hälsa</w:t>
      </w:r>
      <w:r>
        <w:rPr>
          <w:noProof/>
          <w:color w:val="000000" w:themeColor="text1"/>
        </w:rPr>
        <w:t>. Till exempel står EU och dess medlemsstater tillsammans för den största andelen bidrag till WHO (</w:t>
      </w:r>
      <w:r>
        <w:rPr>
          <w:rStyle w:val="FootnoteReference"/>
          <w:noProof/>
          <w:color w:val="000000" w:themeColor="text1"/>
          <w:szCs w:val="24"/>
        </w:rPr>
        <w:footnoteReference w:id="20"/>
      </w:r>
      <w:r>
        <w:rPr>
          <w:noProof/>
          <w:color w:val="000000" w:themeColor="text1"/>
        </w:rPr>
        <w:t xml:space="preserve">). </w:t>
      </w:r>
    </w:p>
    <w:p w14:paraId="29E73C0F" w14:textId="77777777" w:rsidR="00D62472" w:rsidRDefault="00723CED">
      <w:pPr>
        <w:spacing w:after="120"/>
        <w:rPr>
          <w:noProof/>
          <w:color w:val="000000" w:themeColor="text1"/>
          <w:szCs w:val="24"/>
        </w:rPr>
      </w:pPr>
      <w:r>
        <w:rPr>
          <w:noProof/>
          <w:color w:val="000000" w:themeColor="text1"/>
        </w:rPr>
        <w:t>Mellan 2021 och 2025 avsatte kommissionen omkring 6 miljarder euro i offentligt utvecklingsbistånd för global hälsa. Ungefär hälften av bidragen har riktats till regionala institutioner och länder, medan den andra hälften anslagits på global nivå (</w:t>
      </w:r>
      <w:r>
        <w:rPr>
          <w:rStyle w:val="FootnoteReference"/>
          <w:noProof/>
          <w:color w:val="000000" w:themeColor="text1"/>
          <w:szCs w:val="24"/>
        </w:rPr>
        <w:footnoteReference w:id="21"/>
      </w:r>
      <w:r>
        <w:rPr>
          <w:noProof/>
          <w:color w:val="000000" w:themeColor="text1"/>
        </w:rPr>
        <w:t>). Dessa bidrag kompletteras med ytterligare EU-finansieringsflöden till stöd för globala hälsomål inom forskning, innovation och investeringsinstrument.</w:t>
      </w:r>
    </w:p>
    <w:p w14:paraId="26F7DF39" w14:textId="77777777" w:rsidR="00D62472" w:rsidRDefault="00723CED">
      <w:pPr>
        <w:spacing w:after="120"/>
        <w:rPr>
          <w:noProof/>
          <w:color w:val="000000" w:themeColor="text1"/>
          <w:szCs w:val="24"/>
        </w:rPr>
      </w:pPr>
      <w:r>
        <w:rPr>
          <w:noProof/>
          <w:color w:val="000000" w:themeColor="text1"/>
        </w:rPr>
        <w:t xml:space="preserve">På </w:t>
      </w:r>
      <w:r>
        <w:rPr>
          <w:b/>
          <w:noProof/>
          <w:color w:val="000000" w:themeColor="text1"/>
        </w:rPr>
        <w:t>regional nivå</w:t>
      </w:r>
      <w:r>
        <w:rPr>
          <w:noProof/>
          <w:color w:val="000000" w:themeColor="text1"/>
        </w:rPr>
        <w:t xml:space="preserve"> har kommissionen främjat partnerskap med centrala regionala institutioner, såsom Afrikanska centrumet för förebyggande och kontroll av sjukdomar, Afrikanska läkemedelsmyndigheten, den panamerikanska hälsoorganisationen och Karibiens folkhälsobyrå, för att verka för utbyte av sakkunskap och information på området förstärkning av hälso- och sjukvårdssystemen. Kommissionen kommer att öka detta </w:t>
      </w:r>
      <w:r>
        <w:rPr>
          <w:b/>
          <w:noProof/>
          <w:color w:val="000000" w:themeColor="text1"/>
        </w:rPr>
        <w:t>samarbete på områden av ömsesidigt intresse</w:t>
      </w:r>
      <w:r>
        <w:rPr>
          <w:noProof/>
          <w:color w:val="000000" w:themeColor="text1"/>
        </w:rPr>
        <w:t xml:space="preserve">, erkänna dessa regionala institutioners viktiga roll när det gäller att stödja länder samt bygga vidare på sakkunskapen hos EU-organ som Europeiska läkemedelsmyndigheten, Europeiska centrumet för förebyggande och kontroll av sjukdomar och Europeiska myndigheten för livsmedelssäkerhet, när så är lämpligt och utan att påverka fullgörandet av deras mandat i EU. </w:t>
      </w:r>
    </w:p>
    <w:p w14:paraId="0E3B4409" w14:textId="77777777" w:rsidR="00D62472" w:rsidRDefault="00723CED">
      <w:pPr>
        <w:spacing w:after="120"/>
        <w:rPr>
          <w:noProof/>
          <w:color w:val="000000" w:themeColor="text1"/>
          <w:szCs w:val="24"/>
        </w:rPr>
      </w:pPr>
      <w:r>
        <w:rPr>
          <w:noProof/>
          <w:color w:val="000000" w:themeColor="text1"/>
        </w:rPr>
        <w:t xml:space="preserve">Särskild uppmärksamhet kommer att ägnas Ukraina och </w:t>
      </w:r>
      <w:r>
        <w:rPr>
          <w:b/>
          <w:noProof/>
          <w:color w:val="000000" w:themeColor="text1"/>
        </w:rPr>
        <w:t>EU:s grannskap</w:t>
      </w:r>
      <w:r>
        <w:rPr>
          <w:noProof/>
          <w:color w:val="000000" w:themeColor="text1"/>
        </w:rPr>
        <w:t>, med utgångspunkt i det omfattande arbete som utförts för att hjälpa partner att förbereda sig inför anslutningen. Gemensamma insatser, fortsatta investeringar och reformer är avgörande för att uppfylla EU:s folkhälsonormer och skydda EU-medborgarna i en större union. Kommissionen stöder därför kandidatländerna på deras väg mot anslutning genom att tillhandahålla sakkunskap och tekniskt stöd för att se till att de anpassar sig till EU:s regelverk på folkhälsoområdet och säkerställa ett effektivt genomförande på alla områden. Till exempel stöder kommissionen genom WHO återhämtningen och omvandlingen av hälso- och sjukvårdssystemet i Ukraina. I detta ingår flera kritiska komponenter, såsom att inrätta nationella myndigheter, laboratorier och databaser, tillgodose personalbehoven och tillhandahålla omfattande utbildning. EU erbjuder finansiering för att tillhandahålla ytterligare konkret stöd på områdena hälsosäkerhet, hantering av smittsamma sjukdomar, hantering av antimikrobiell resistens samt utbildning av myndighetsexperter. En ytterligare del av den gradvisa integrationsprocessen är deltagandet som observatörer i Europeiska läkemedelsmyndighetens arbetsgrupper och sjukdomsnätverken vid Europeiska centrumet för förebyggande och kontroll av sjukdomar, vilket bidrar till kapacitetsuppbyggnad på hälsoområdet och ökad teknisk sakkunskap. När kandidatländerna väl följer EU:s dataskyddsregler kan de även beviljas tillgång till systemet för tidig varning och reaktion vid allvarliga gränsöverskridande hot mot människors hälsa, för att säkerställa att det finns säkra hälsonormer av hög kvalitet på anslutningsdagen.</w:t>
      </w:r>
    </w:p>
    <w:p w14:paraId="12ADB4D6" w14:textId="77777777" w:rsidR="00D62472" w:rsidRDefault="00723CED">
      <w:pPr>
        <w:spacing w:after="120"/>
        <w:rPr>
          <w:noProof/>
          <w:color w:val="000000" w:themeColor="text1"/>
          <w:szCs w:val="24"/>
        </w:rPr>
      </w:pPr>
      <w:r>
        <w:rPr>
          <w:noProof/>
          <w:color w:val="000000" w:themeColor="text1"/>
        </w:rPr>
        <w:t>Genom förvaltningsfonden med flera partner för antimikrobiell resistens stöder EU, tillsammans med flera medlemsstater, låg- och medelinkomstländer när de genomför nationella handlingsplaner för att bekämpa antimikrobiell resistens och stärker sin övervakning inom en One Health-modell.</w:t>
      </w:r>
    </w:p>
    <w:p w14:paraId="2CFF259F" w14:textId="77777777" w:rsidR="00D62472" w:rsidRDefault="00723CED">
      <w:pPr>
        <w:spacing w:after="120"/>
        <w:rPr>
          <w:noProof/>
          <w:color w:val="000000" w:themeColor="text1"/>
          <w:szCs w:val="24"/>
        </w:rPr>
      </w:pPr>
      <w:r>
        <w:rPr>
          <w:noProof/>
          <w:color w:val="000000" w:themeColor="text1"/>
        </w:rPr>
        <w:t xml:space="preserve">Inom ramen för </w:t>
      </w:r>
      <w:r>
        <w:rPr>
          <w:b/>
          <w:noProof/>
          <w:color w:val="000000" w:themeColor="text1"/>
        </w:rPr>
        <w:t>Global Gateway</w:t>
      </w:r>
      <w:r>
        <w:rPr>
          <w:noProof/>
          <w:color w:val="000000" w:themeColor="text1"/>
        </w:rPr>
        <w:t xml:space="preserve">, Global Gateway Investment Hub och lanseringen av innovativa finansiella instrument, såsom garantier (t.ex. Human Development Accelerator) och blandad finansiering, kommer kommissionen att uppmuntra ömsesidigt gynnsamma investeringar i global hälsa från Europas privata sektor. </w:t>
      </w:r>
    </w:p>
    <w:p w14:paraId="53532139" w14:textId="77777777" w:rsidR="00D62472" w:rsidRDefault="00723CED">
      <w:pPr>
        <w:pStyle w:val="ListParagraph"/>
        <w:numPr>
          <w:ilvl w:val="0"/>
          <w:numId w:val="1"/>
        </w:numPr>
        <w:spacing w:after="120"/>
        <w:contextualSpacing w:val="0"/>
        <w:rPr>
          <w:b/>
          <w:i/>
          <w:noProof/>
          <w:szCs w:val="24"/>
        </w:rPr>
      </w:pPr>
      <w:r>
        <w:rPr>
          <w:b/>
          <w:i/>
          <w:noProof/>
        </w:rPr>
        <w:t xml:space="preserve">Flaggskeppsinitiativ 2: </w:t>
      </w:r>
      <w:r>
        <w:rPr>
          <w:b/>
          <w:i/>
          <w:noProof/>
          <w:u w:val="single"/>
        </w:rPr>
        <w:t>Stödja partnerländers övergång till hälsosuveränitet genom att tillhandahålla hållbar finansiering och sakkunskap</w:t>
      </w:r>
    </w:p>
    <w:p w14:paraId="372E6717" w14:textId="77777777" w:rsidR="00D62472" w:rsidRDefault="00723CED">
      <w:pPr>
        <w:pStyle w:val="ListParagraph"/>
        <w:spacing w:after="120"/>
        <w:ind w:left="714"/>
        <w:contextualSpacing w:val="0"/>
        <w:rPr>
          <w:b/>
          <w:i/>
          <w:noProof/>
          <w:color w:val="000000" w:themeColor="text1"/>
        </w:rPr>
      </w:pPr>
      <w:r>
        <w:rPr>
          <w:b/>
          <w:i/>
          <w:noProof/>
          <w:color w:val="000000" w:themeColor="text1"/>
        </w:rPr>
        <w:t xml:space="preserve">Genom att bygga vidare på befintligt EU-stöd kommer kommissionen att samarbeta med partnerländer för att påskynda deras omställning till hälsosuveränitet och uppnåendet av allmän hälso- och sjukvård, där könsklyftan i fråga om tillgången till samt priset och kvaliteten på vården åtgärdas, med huvudfokus på primärvård och i enlighet med One Health-modellen. Utöver sjukdomsspecifika ansatser kommer kommissionen att föreslå ett integrerat erbjudande som kan omfatta a) stöd till utformningen av en stark hälsopolitik och heltäckande strategier, b) ökad mobilisering av inhemska resurser och förvaltning av offentliga medel för att frigöra budgetutrymme för hälsopolitik och politik för socialt skydd, c) innovativa finansiella instrument som tillgodoser den offentliga sektorns behov, samtidigt som de stöder användningen av relevanta lösningar från EU:s privata sektor på frivilliga och ömsesidigt överenskomna villkor, även inom e-hälsa, inom ramen för Global Gateway. EU:s delegationer kommer att spela en central roll i genomförandet genom att säkerställa samordningen med EU-medlemsstaterna, anpassningen till ländernas prioriteringar samt ett effektivt och samordnat genomförande. </w:t>
      </w:r>
    </w:p>
    <w:p w14:paraId="0A35BFF7" w14:textId="77777777" w:rsidR="00D62472" w:rsidRDefault="00723CED">
      <w:pPr>
        <w:pStyle w:val="ListParagraph"/>
        <w:spacing w:after="120"/>
        <w:ind w:left="714"/>
        <w:contextualSpacing w:val="0"/>
        <w:rPr>
          <w:b/>
          <w:i/>
          <w:noProof/>
          <w:color w:val="000000" w:themeColor="text1"/>
          <w:szCs w:val="24"/>
        </w:rPr>
      </w:pPr>
      <w:r>
        <w:rPr>
          <w:b/>
          <w:i/>
          <w:noProof/>
          <w:color w:val="000000" w:themeColor="text1"/>
        </w:rPr>
        <w:t xml:space="preserve">Samarbete kommer att främjas mellan EU:s byråer och regionala byråer, där så är relevant och med respekt för EU-byråernas mandat inom EU, i grannskapet och mellan EU:s nätverk och folkhälsoinstituten i partnerländer och partnerregioner, för att sprida EU:s omfattande erfarenhet av att hantera folkhälsoutmaningar. EU kommer att ägna särskild uppmärksamhet åt Ukraina och partner i EU:s grannskap samt söka nya partnerskap med likasinnade regioner. </w:t>
      </w:r>
    </w:p>
    <w:p w14:paraId="4B121BB4" w14:textId="77777777" w:rsidR="00D62472" w:rsidRDefault="00D62472">
      <w:pPr>
        <w:pStyle w:val="ListParagraph"/>
        <w:spacing w:after="120"/>
        <w:ind w:left="714"/>
        <w:contextualSpacing w:val="0"/>
        <w:rPr>
          <w:b/>
          <w:i/>
          <w:noProof/>
          <w:color w:val="000000" w:themeColor="text1"/>
          <w:szCs w:val="24"/>
        </w:rPr>
      </w:pPr>
    </w:p>
    <w:p w14:paraId="10BDB258" w14:textId="77777777" w:rsidR="00D62472" w:rsidRDefault="00723CE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Stärka förebyggande av, beredskap för och insatser vid globala hälsohot och hälsokriser</w:t>
      </w:r>
    </w:p>
    <w:p w14:paraId="586F874D" w14:textId="77777777" w:rsidR="00D62472" w:rsidRDefault="00723CED">
      <w:pPr>
        <w:pStyle w:val="ListNumberLevel3"/>
        <w:spacing w:after="120"/>
        <w:rPr>
          <w:noProof/>
          <w:color w:val="000000" w:themeColor="text1"/>
          <w:szCs w:val="24"/>
        </w:rPr>
      </w:pPr>
      <w:r>
        <w:rPr>
          <w:noProof/>
          <w:color w:val="000000" w:themeColor="text1"/>
        </w:rPr>
        <w:t xml:space="preserve">Världen står inför </w:t>
      </w:r>
      <w:r>
        <w:rPr>
          <w:noProof/>
        </w:rPr>
        <w:t>stora globala hälsohot</w:t>
      </w:r>
      <w:r>
        <w:rPr>
          <w:noProof/>
          <w:color w:val="000000" w:themeColor="text1"/>
        </w:rPr>
        <w:t xml:space="preserve"> och spridning av infektionssjukdomar, och influensa och andningssjukdomar fortsätter att väcka stor oro. Mot bakgrund av de nuvarande geopolitiska förändringarna hämmas de </w:t>
      </w:r>
      <w:r>
        <w:rPr>
          <w:b/>
          <w:noProof/>
          <w:color w:val="000000" w:themeColor="text1"/>
        </w:rPr>
        <w:t xml:space="preserve">globala hälsonätverken </w:t>
      </w:r>
      <w:r>
        <w:rPr>
          <w:noProof/>
          <w:color w:val="000000" w:themeColor="text1"/>
        </w:rPr>
        <w:t xml:space="preserve">allt oftare av brister i de grundläggande systemen för klinisk och epidemiologisk övervakning, otillräcklig laboratorie- och behandlingskapacitet samt brister i tillgången till medicinska motåtgärder och beredskapen hos arbetsstyrkan inom akutsjukvården. Detta kräver integrerade åtgärder på </w:t>
      </w:r>
      <w:r>
        <w:rPr>
          <w:b/>
          <w:noProof/>
          <w:color w:val="000000" w:themeColor="text1"/>
        </w:rPr>
        <w:t>global</w:t>
      </w:r>
      <w:r>
        <w:rPr>
          <w:noProof/>
          <w:color w:val="000000" w:themeColor="text1"/>
        </w:rPr>
        <w:t xml:space="preserve">, </w:t>
      </w:r>
      <w:r>
        <w:rPr>
          <w:b/>
          <w:noProof/>
          <w:color w:val="000000" w:themeColor="text1"/>
        </w:rPr>
        <w:t>regional</w:t>
      </w:r>
      <w:r>
        <w:rPr>
          <w:noProof/>
          <w:color w:val="000000" w:themeColor="text1"/>
        </w:rPr>
        <w:t xml:space="preserve"> och </w:t>
      </w:r>
      <w:r>
        <w:rPr>
          <w:b/>
          <w:noProof/>
          <w:color w:val="000000" w:themeColor="text1"/>
        </w:rPr>
        <w:t>nationell</w:t>
      </w:r>
      <w:r>
        <w:rPr>
          <w:noProof/>
          <w:color w:val="000000" w:themeColor="text1"/>
        </w:rPr>
        <w:t xml:space="preserve"> nivå för att bidra till och stödja effektiva globala nätverk och hjälpa till att täppa till luckor vad gäller sakkunskap, resurser och informationsutbyte. I detta sammanhang bör vederbörlig uppmärksamhet ägnas åt de länder och regionala organisationer som gränsar till EU:s yttersta randområden.</w:t>
      </w:r>
    </w:p>
    <w:p w14:paraId="49A66AB1" w14:textId="77777777" w:rsidR="00D62472" w:rsidRDefault="00723CED">
      <w:pPr>
        <w:pStyle w:val="NumPar4"/>
        <w:spacing w:after="120"/>
        <w:rPr>
          <w:bCs/>
          <w:noProof/>
        </w:rPr>
      </w:pPr>
      <w:r>
        <w:rPr>
          <w:noProof/>
        </w:rPr>
        <w:t xml:space="preserve">Samtidigt kan </w:t>
      </w:r>
      <w:r>
        <w:rPr>
          <w:b/>
          <w:noProof/>
        </w:rPr>
        <w:t>modern teknik</w:t>
      </w:r>
      <w:r>
        <w:rPr>
          <w:noProof/>
        </w:rPr>
        <w:t xml:space="preserve">, såsom sekvensering eller AI-stödda underrättelsesystem, vidareutvecklas och användas för att täppa till luckor och tillhandahålla mer </w:t>
      </w:r>
      <w:r>
        <w:rPr>
          <w:b/>
          <w:noProof/>
        </w:rPr>
        <w:t>realtidsövervakning</w:t>
      </w:r>
      <w:r>
        <w:rPr>
          <w:noProof/>
        </w:rPr>
        <w:t xml:space="preserve"> och </w:t>
      </w:r>
      <w:r>
        <w:rPr>
          <w:b/>
          <w:noProof/>
        </w:rPr>
        <w:t>snabbare identifiering av hot och insatser</w:t>
      </w:r>
      <w:r>
        <w:rPr>
          <w:noProof/>
        </w:rPr>
        <w:t>. Vidare bör kapaciteten för hantering av avloppsvatten och övervakning av miljön stärkas eftersom den kan användas för att upptäcka patogena signaler innan de kliniska rapporteringssystemen gör det.</w:t>
      </w:r>
    </w:p>
    <w:p w14:paraId="1057DA5A" w14:textId="77777777" w:rsidR="00D62472" w:rsidRDefault="00723CED">
      <w:pPr>
        <w:pStyle w:val="ListNumberLevel3"/>
        <w:spacing w:after="120"/>
        <w:rPr>
          <w:noProof/>
          <w:color w:val="000000" w:themeColor="text1"/>
          <w:szCs w:val="24"/>
        </w:rPr>
      </w:pPr>
      <w:r>
        <w:rPr>
          <w:b/>
          <w:noProof/>
          <w:color w:val="000000" w:themeColor="text1"/>
        </w:rPr>
        <w:t>Hastigheten</w:t>
      </w:r>
      <w:r>
        <w:rPr>
          <w:noProof/>
          <w:color w:val="000000" w:themeColor="text1"/>
        </w:rPr>
        <w:t xml:space="preserve"> spelar en avgörande roll för insatser vid utbrott (</w:t>
      </w:r>
      <w:r>
        <w:rPr>
          <w:rStyle w:val="FootnoteReference"/>
          <w:noProof/>
          <w:color w:val="000000" w:themeColor="text1"/>
          <w:szCs w:val="24"/>
        </w:rPr>
        <w:footnoteReference w:id="22"/>
      </w:r>
      <w:r>
        <w:rPr>
          <w:noProof/>
          <w:color w:val="000000" w:themeColor="text1"/>
        </w:rPr>
        <w:t xml:space="preserve">). Systemen för tidig varning måste omfatta betrodda lokala nätverk. Mpox-utbrottet på den afrikanska kontinenten 2024 visade hur samordnade åtgärder kan påskynda utvecklingen, godkännandet och användningen av medicinsk sakkunskap och medicinska motåtgärder. Det avslöjade också brister när det gäller att upptäcka hot, vilka måste åtgärdas för att vi ska kunna begränsa framtida sjukdomsutbrott. </w:t>
      </w:r>
      <w:r>
        <w:rPr>
          <w:b/>
          <w:noProof/>
          <w:color w:val="000000" w:themeColor="text1"/>
        </w:rPr>
        <w:t>Patogenagnostiska plattformar</w:t>
      </w:r>
      <w:r>
        <w:rPr>
          <w:noProof/>
          <w:color w:val="000000" w:themeColor="text1"/>
        </w:rPr>
        <w:t xml:space="preserve">, som är införlivade i de rutinmässiga övervakningssystemen, erbjuder en lovande väg framåt. Genom att bygga in beredskap för kraftigt ökad belastning i den ordinarie infrastrukturen kan länder stärka sin förmåga att reagera snabbt när nästa hot uppstår. </w:t>
      </w:r>
    </w:p>
    <w:p w14:paraId="15605E34" w14:textId="77777777" w:rsidR="00D62472" w:rsidRDefault="00723CED">
      <w:pPr>
        <w:pStyle w:val="ListNumberLevel3"/>
        <w:spacing w:after="120"/>
        <w:rPr>
          <w:noProof/>
          <w:color w:val="000000" w:themeColor="text1"/>
          <w:szCs w:val="24"/>
        </w:rPr>
      </w:pPr>
      <w:r>
        <w:rPr>
          <w:b/>
          <w:noProof/>
          <w:color w:val="000000" w:themeColor="text1"/>
        </w:rPr>
        <w:t>Övervakningsdata, inklusive data om patogener</w:t>
      </w:r>
      <w:r>
        <w:rPr>
          <w:noProof/>
          <w:color w:val="000000" w:themeColor="text1"/>
        </w:rPr>
        <w:t xml:space="preserve">, bör snabbt överföras till globalt tillgängliga system för att möjliggöra en snabb utveckling av medicinska motåtgärder, i en anda av globalt ansvar och global solidaritet som bygger på multilaterala och internationella framgångar. WHO och Pandemifonden spelar en avgörande roll i detta avseende. </w:t>
      </w:r>
    </w:p>
    <w:p w14:paraId="2D0AAA83" w14:textId="77777777" w:rsidR="00D62472" w:rsidRDefault="00723CED">
      <w:pPr>
        <w:pStyle w:val="ListNumberLevel3"/>
        <w:spacing w:after="120"/>
        <w:rPr>
          <w:noProof/>
          <w:color w:val="000000" w:themeColor="text1"/>
          <w:szCs w:val="24"/>
        </w:rPr>
      </w:pPr>
      <w:r>
        <w:rPr>
          <w:b/>
          <w:noProof/>
          <w:color w:val="000000" w:themeColor="text1"/>
        </w:rPr>
        <w:t>Global hälsoresiliens</w:t>
      </w:r>
      <w:r>
        <w:rPr>
          <w:noProof/>
          <w:color w:val="000000" w:themeColor="text1"/>
        </w:rPr>
        <w:t xml:space="preserve"> kräver hälso- och sjukvårdstjänster som kan förebygga, förbereda sig för och reagera på chocker, samtidigt som de bibehåller sin kapacitet att tillhandahålla grundläggande hälso- och sjukvård till befolkningen. Detta kräver uthålliga investeringar i förebyggande åtgärder, beredskap och insatskapacitet, särskilt i låg- och medelinkomstländer, som ofta är mest utsatta för globala hälsohot som pandemier. </w:t>
      </w:r>
    </w:p>
    <w:p w14:paraId="0D3C3138" w14:textId="77777777" w:rsidR="00D62472" w:rsidRDefault="00723CED">
      <w:pPr>
        <w:pStyle w:val="ListNumberLevel3"/>
        <w:spacing w:after="120"/>
        <w:rPr>
          <w:noProof/>
          <w:color w:val="000000" w:themeColor="text1"/>
          <w:szCs w:val="24"/>
        </w:rPr>
      </w:pPr>
      <w:r>
        <w:rPr>
          <w:noProof/>
          <w:color w:val="000000" w:themeColor="text1"/>
        </w:rPr>
        <w:t xml:space="preserve">Effektiva pandemiåtgärder är även beroende av </w:t>
      </w:r>
      <w:r>
        <w:rPr>
          <w:b/>
          <w:noProof/>
          <w:color w:val="000000" w:themeColor="text1"/>
        </w:rPr>
        <w:t>tillgången till medicinska motåtgärder</w:t>
      </w:r>
      <w:r>
        <w:rPr>
          <w:noProof/>
          <w:color w:val="000000" w:themeColor="text1"/>
        </w:rPr>
        <w:t>, bland annat för de mest riskutsatta befolkningsgrupperna, däribland grupper som möter könsrelaterade hinder. På internationell nivå har EU främjat partnerskap om medicinska motåtgärder med Afrikanska centrumet för förebyggande och kontroll av sjukdomar, den panamerikanska hälsoorganisationen, Kanada, Japan och Sydkorea. Framöver kommer kommissionen även att arbeta för att stärka samarbetet på området medicinska motåtgärder med andra relevanta regionala organ, som Sydostasiatiska nationers förbund.</w:t>
      </w:r>
    </w:p>
    <w:tbl>
      <w:tblPr>
        <w:tblStyle w:val="TableGrid"/>
        <w:tblW w:w="0" w:type="auto"/>
        <w:tblLook w:val="04A0" w:firstRow="1" w:lastRow="0" w:firstColumn="1" w:lastColumn="0" w:noHBand="0" w:noVBand="1"/>
      </w:tblPr>
      <w:tblGrid>
        <w:gridCol w:w="9010"/>
      </w:tblGrid>
      <w:tr w:rsidR="00D62472" w14:paraId="0AD478B5" w14:textId="77777777">
        <w:tc>
          <w:tcPr>
            <w:tcW w:w="9344" w:type="dxa"/>
          </w:tcPr>
          <w:p w14:paraId="5938EBB6" w14:textId="77777777" w:rsidR="00D62472" w:rsidRDefault="00723CED">
            <w:pPr>
              <w:spacing w:after="120"/>
              <w:rPr>
                <w:b/>
                <w:noProof/>
                <w:szCs w:val="24"/>
              </w:rPr>
            </w:pPr>
            <w:r>
              <w:rPr>
                <w:b/>
                <w:noProof/>
              </w:rPr>
              <w:t>EU:s ram för hälsosäkerhet</w:t>
            </w:r>
          </w:p>
          <w:p w14:paraId="77B7920F" w14:textId="77777777" w:rsidR="00D62472" w:rsidRDefault="00723CED">
            <w:pPr>
              <w:spacing w:after="120"/>
              <w:rPr>
                <w:noProof/>
                <w:szCs w:val="24"/>
              </w:rPr>
            </w:pPr>
            <w:r>
              <w:rPr>
                <w:noProof/>
              </w:rPr>
              <w:t xml:space="preserve">EU:s ram för hälsosäkerhet, som stärktes efter covid-19, utgör en </w:t>
            </w:r>
            <w:r>
              <w:rPr>
                <w:b/>
                <w:noProof/>
              </w:rPr>
              <w:t xml:space="preserve">stark grund för samarbetet med våra partner </w:t>
            </w:r>
            <w:r>
              <w:rPr>
                <w:noProof/>
              </w:rPr>
              <w:t xml:space="preserve">och är </w:t>
            </w:r>
            <w:r>
              <w:rPr>
                <w:b/>
                <w:noProof/>
              </w:rPr>
              <w:t>vårt bidrag till den globala hälsosäkerheten</w:t>
            </w:r>
            <w:r>
              <w:rPr>
                <w:noProof/>
              </w:rPr>
              <w:t>. Den bygger på en förstärkt förordning som omfattar förebyggande åtgärder, beredskap och insatser vid allvarliga gränsöverskridande hälsohot (</w:t>
            </w:r>
            <w:r>
              <w:rPr>
                <w:rStyle w:val="FootnoteReference"/>
                <w:noProof/>
                <w:szCs w:val="24"/>
              </w:rPr>
              <w:footnoteReference w:id="23"/>
            </w:r>
            <w:r>
              <w:rPr>
                <w:noProof/>
              </w:rPr>
              <w:t>). Inom ramen för denna förordning ingår unionsplanen för förebyggande åtgärder, beredskap och insatser (</w:t>
            </w:r>
            <w:r>
              <w:rPr>
                <w:rStyle w:val="FootnoteReference"/>
                <w:noProof/>
                <w:szCs w:val="24"/>
              </w:rPr>
              <w:footnoteReference w:id="24"/>
            </w:r>
            <w:r>
              <w:rPr>
                <w:noProof/>
              </w:rPr>
              <w:t>), som innehåller en beskrivning av effektiva mekanismer för styrning och samordning inom EU, dess byråer, organ och medlemsstater samt med internationella organisationer som WHO och andra internationella parter; dessa mekanismer är avgörande för att i praktiken säkerställa beredskap för och insatser vid allvarliga gränsöverskridande hot mot människors hälsa. Genom EU:s förordning om en åtgärdsram vid hot mot folkhälsan (</w:t>
            </w:r>
            <w:r>
              <w:rPr>
                <w:rStyle w:val="FootnoteReference"/>
                <w:noProof/>
                <w:szCs w:val="24"/>
              </w:rPr>
              <w:footnoteReference w:id="25"/>
            </w:r>
            <w:r>
              <w:rPr>
                <w:noProof/>
              </w:rPr>
              <w:t>) skapas dessutom en ram för nödåtgärder för att se till att krisnödvändiga medicinska motåtgärder vidtas i händelse av ett hot mot folkhälsan på unionsnivå.</w:t>
            </w:r>
          </w:p>
          <w:p w14:paraId="586B4DB2" w14:textId="77777777" w:rsidR="00D62472" w:rsidRDefault="00723CED">
            <w:pPr>
              <w:spacing w:after="120"/>
              <w:rPr>
                <w:noProof/>
                <w:color w:val="000000" w:themeColor="text1"/>
              </w:rPr>
            </w:pPr>
            <w:r>
              <w:rPr>
                <w:noProof/>
              </w:rPr>
              <w:t>I den nya ramen föreskrivs dessutom större roller för Europeiska centrumet för förebyggande och kontroll av sjukdomar och Europeiska läkemedelsmyndigheten. År 2021 inrättades en särskild myndighet för beredskap och insatser vid hälsokriser inom kommissionen, med fokus på medicinska motåtgärder. Vad beträffar denna specifika aspekt kommer kommissionen, enligt strategin för medicinska motåtgärder (</w:t>
            </w:r>
            <w:r>
              <w:rPr>
                <w:rStyle w:val="FootnoteReference"/>
                <w:noProof/>
              </w:rPr>
              <w:footnoteReference w:id="26"/>
            </w:r>
            <w:r>
              <w:rPr>
                <w:noProof/>
              </w:rPr>
              <w:t xml:space="preserve">), att fortsätta att samarbeta med internationella partner och därigenom förbättra synergieffekterna och anpassningen mellan EU-initiativ och globala initiativ för utveckling av medicinska motåtgärder. Genom denna ram säkerställs även ett ökat internationellt samarbete om </w:t>
            </w:r>
            <w:r>
              <w:rPr>
                <w:noProof/>
                <w:color w:val="000000" w:themeColor="text1"/>
              </w:rPr>
              <w:t>underrättelser om hälsohot</w:t>
            </w:r>
            <w:r>
              <w:rPr>
                <w:noProof/>
              </w:rPr>
              <w:t xml:space="preserve">, där man ser till att </w:t>
            </w:r>
            <w:r>
              <w:rPr>
                <w:noProof/>
                <w:color w:val="000000" w:themeColor="text1"/>
              </w:rPr>
              <w:t>data matas in i globala övervakningssystem</w:t>
            </w:r>
            <w:r>
              <w:rPr>
                <w:noProof/>
              </w:rPr>
              <w:t xml:space="preserve">. </w:t>
            </w:r>
            <w:r>
              <w:rPr>
                <w:noProof/>
                <w:color w:val="000000" w:themeColor="text1"/>
              </w:rPr>
              <w:t xml:space="preserve">Ramen är starkt beroende av EU-medlemsstaternas, grannskapets och EES-ländernas inmatningskapacitet på regional och global nivå. </w:t>
            </w:r>
          </w:p>
          <w:p w14:paraId="2790966F" w14:textId="77777777" w:rsidR="00D62472" w:rsidRDefault="00723CED">
            <w:pPr>
              <w:spacing w:after="120"/>
              <w:rPr>
                <w:noProof/>
                <w:color w:val="000000" w:themeColor="text1"/>
                <w:szCs w:val="24"/>
              </w:rPr>
            </w:pPr>
            <w:r>
              <w:rPr>
                <w:noProof/>
                <w:color w:val="000000" w:themeColor="text1"/>
              </w:rPr>
              <w:t>Förordning (EU) 2022/2371 är relevant för EES-länderna, som ska genomföra den fullt ut. Dessutom har ett avtal om hälsosäkerhet ingåtts med Schweiz. Förhandlingar pågår med Eftastaterna i EES om ett internationellt avtal om att associera Island, Liechtenstein och Norge till unionens nödåtgärder på hälsoområdet i fråga om medicinska motåtgärder för att ytterligare stärka den globala hälsoresiliensen.</w:t>
            </w:r>
          </w:p>
          <w:p w14:paraId="70E7E1F5" w14:textId="77777777" w:rsidR="00D62472" w:rsidRDefault="00723CED">
            <w:pPr>
              <w:spacing w:after="120"/>
              <w:rPr>
                <w:noProof/>
                <w:szCs w:val="24"/>
              </w:rPr>
            </w:pPr>
            <w:r>
              <w:rPr>
                <w:noProof/>
              </w:rPr>
              <w:t xml:space="preserve">Inom ramen för </w:t>
            </w:r>
            <w:r>
              <w:rPr>
                <w:b/>
                <w:noProof/>
              </w:rPr>
              <w:t>unionens civilskyddsmekanism</w:t>
            </w:r>
            <w:r>
              <w:rPr>
                <w:noProof/>
              </w:rPr>
              <w:t xml:space="preserve"> underlättar kommissionen snabb samordning av ömsesidigt bistånd för utplacering av medicinska team och utrustning samt insättande av katastrofbistånd när länder drabbas av större hälsokriser. Ett komplement till denna mekanism är </w:t>
            </w:r>
            <w:r>
              <w:rPr>
                <w:b/>
                <w:noProof/>
              </w:rPr>
              <w:t>rescEU</w:t>
            </w:r>
            <w:r>
              <w:rPr>
                <w:noProof/>
              </w:rPr>
              <w:t xml:space="preserve">, en centralt förvaltad europeisk reserv av kritisk kapacitet (såsom medicinska beredskapslager, fältsjukhus och tillgångar för medicinsk evakuering) som används för att sätta in snabbt stöd när de nationella resurserna är överbelastade. Kommissionen vidtar även åtgärder i humanitära nödsituationer genom att mobilisera finansiering eller tillhandahålla livräddande medicinska förnödenheter, logistik samt bistånd och sakkunskap via ReliefEU. </w:t>
            </w:r>
          </w:p>
        </w:tc>
      </w:tr>
    </w:tbl>
    <w:p w14:paraId="14275F3E" w14:textId="77777777" w:rsidR="00D62472" w:rsidRDefault="00D62472">
      <w:pPr>
        <w:pStyle w:val="ListNumberLevel2"/>
        <w:spacing w:after="120"/>
        <w:ind w:left="720"/>
        <w:rPr>
          <w:b/>
          <w:i/>
          <w:noProof/>
          <w:color w:val="000000" w:themeColor="text1"/>
          <w:szCs w:val="24"/>
        </w:rPr>
      </w:pPr>
    </w:p>
    <w:p w14:paraId="457D9CCC" w14:textId="77777777" w:rsidR="00D62472" w:rsidRDefault="00723CED">
      <w:pPr>
        <w:pStyle w:val="ListNumberLevel2"/>
        <w:numPr>
          <w:ilvl w:val="1"/>
          <w:numId w:val="3"/>
        </w:numPr>
        <w:spacing w:after="120"/>
        <w:rPr>
          <w:b/>
          <w:i/>
          <w:noProof/>
          <w:color w:val="000000" w:themeColor="text1"/>
          <w:szCs w:val="24"/>
        </w:rPr>
      </w:pPr>
      <w:r>
        <w:rPr>
          <w:b/>
          <w:i/>
          <w:noProof/>
          <w:color w:val="000000" w:themeColor="text1"/>
        </w:rPr>
        <w:t xml:space="preserve">Flaggskeppsinitiativ 3: </w:t>
      </w:r>
      <w:r>
        <w:rPr>
          <w:b/>
          <w:i/>
          <w:noProof/>
          <w:color w:val="000000" w:themeColor="text1"/>
          <w:u w:val="single"/>
        </w:rPr>
        <w:t>Stärka globala nätverk för att förbättra upptäckt, beredskap och insatser</w:t>
      </w:r>
    </w:p>
    <w:p w14:paraId="7EF51EB0" w14:textId="77777777" w:rsidR="00D62472" w:rsidRDefault="00723CED">
      <w:pPr>
        <w:spacing w:after="120"/>
        <w:ind w:left="720"/>
        <w:rPr>
          <w:b/>
          <w:bCs/>
          <w:i/>
          <w:iCs/>
          <w:noProof/>
          <w:szCs w:val="24"/>
        </w:rPr>
      </w:pPr>
      <w:r>
        <w:rPr>
          <w:b/>
          <w:i/>
          <w:noProof/>
        </w:rPr>
        <w:t>Kommissionen kommer att bidra till tidigare upptäckt av epidemi- och pandemihot, genom att stärka globala övervakningsnätverk och laboratorier. I synnerhet kommer samarbetet med WHO och andra globala och regionala partner att främja ytterligare källor till epidemiologisk omvärldsbevakning, bland annat genom miljöövervakning (</w:t>
      </w:r>
      <w:r>
        <w:rPr>
          <w:rStyle w:val="FootnoteReference"/>
          <w:b/>
          <w:bCs/>
          <w:i/>
          <w:iCs/>
          <w:noProof/>
          <w:szCs w:val="24"/>
        </w:rPr>
        <w:footnoteReference w:id="27"/>
      </w:r>
      <w:r>
        <w:rPr>
          <w:b/>
          <w:i/>
          <w:noProof/>
        </w:rPr>
        <w:t>). Dessutom kommer Europeiska centrumet för förebyggande och kontroll av sjukdomar att öka utbildningen för övervaknings- och laboratorieexperter, bland annat genom samarbete med EU-referenslaboratorier. Slutligen kommer kommissionen att stödja bättre övervaknings- och laboratorieinfrastruktur i låginkomstländer och prioriterade medelinkomstländer genom Pandemifonden och särskilda stödåtgärder tillsammans med WHO eller andra relevanta globala och regionala partner, för att undvika dubbelarbete och parallella nätverk.</w:t>
      </w:r>
    </w:p>
    <w:p w14:paraId="1CA74B50" w14:textId="77777777" w:rsidR="00D62472" w:rsidRDefault="00723CED">
      <w:pPr>
        <w:spacing w:after="120"/>
        <w:ind w:left="720"/>
        <w:rPr>
          <w:b/>
          <w:bCs/>
          <w:i/>
          <w:iCs/>
          <w:noProof/>
          <w:szCs w:val="24"/>
        </w:rPr>
      </w:pPr>
      <w:r>
        <w:rPr>
          <w:b/>
          <w:i/>
          <w:noProof/>
        </w:rPr>
        <w:t>Kommissionen kommer att utöka samarbetet mellan Europeiska centrumet för förebyggande och kontroll av sjukdomar och nationella och regionala centrum för sjukdomsbekämpning för att underlätta flödet av information om patogener, liksom samarbetet med WHO:s globala nätverk för varning och insatser vid utbrott för att stödja snabba internationella insatser.</w:t>
      </w:r>
    </w:p>
    <w:p w14:paraId="5900FBD3" w14:textId="77777777" w:rsidR="00D62472" w:rsidRDefault="00723CED">
      <w:pPr>
        <w:spacing w:after="120"/>
        <w:ind w:left="720"/>
        <w:rPr>
          <w:b/>
          <w:bCs/>
          <w:i/>
          <w:iCs/>
          <w:noProof/>
          <w:szCs w:val="24"/>
        </w:rPr>
      </w:pPr>
      <w:r>
        <w:rPr>
          <w:b/>
          <w:i/>
          <w:noProof/>
        </w:rPr>
        <w:t>Slutligen kommer kommissionen att bidra till att stärka de förebyggande åtgärderna genom att genomföra effektivare vaccinationskampanjer och beredskapsåtgärder i EU och angränsande regioner.</w:t>
      </w:r>
    </w:p>
    <w:p w14:paraId="15C9BD99" w14:textId="77777777" w:rsidR="00D62472" w:rsidRDefault="00723CED">
      <w:pPr>
        <w:pStyle w:val="ListNumberLevel2"/>
        <w:numPr>
          <w:ilvl w:val="1"/>
          <w:numId w:val="3"/>
        </w:numPr>
        <w:spacing w:after="120"/>
        <w:rPr>
          <w:b/>
          <w:i/>
          <w:noProof/>
          <w:color w:val="000000" w:themeColor="text1"/>
          <w:szCs w:val="24"/>
          <w:u w:val="single"/>
        </w:rPr>
      </w:pPr>
      <w:r>
        <w:rPr>
          <w:b/>
          <w:i/>
          <w:noProof/>
          <w:color w:val="000000" w:themeColor="text1"/>
        </w:rPr>
        <w:t xml:space="preserve">Flaggskeppsinitiativ 4: </w:t>
      </w:r>
      <w:r>
        <w:rPr>
          <w:b/>
          <w:i/>
          <w:noProof/>
          <w:color w:val="000000" w:themeColor="text1"/>
          <w:u w:val="single"/>
        </w:rPr>
        <w:t>Stärka insatskapaciteten genom tillgång till medicinska motåtgärder</w:t>
      </w:r>
    </w:p>
    <w:p w14:paraId="777B584B" w14:textId="77777777" w:rsidR="00D62472" w:rsidRDefault="00723CED">
      <w:pPr>
        <w:pStyle w:val="ListNumberLevel2"/>
        <w:spacing w:after="120"/>
        <w:ind w:left="714"/>
        <w:rPr>
          <w:b/>
          <w:i/>
          <w:noProof/>
          <w:color w:val="000000" w:themeColor="text1"/>
          <w:szCs w:val="24"/>
          <w:u w:val="single"/>
        </w:rPr>
      </w:pPr>
      <w:r>
        <w:rPr>
          <w:b/>
          <w:i/>
          <w:noProof/>
          <w:color w:val="000000" w:themeColor="text1"/>
        </w:rPr>
        <w:t>Behandlingar: Kommissionen kommer att stödja inrättandet av den globala koalitionen för utveckling av behandlingar (Global Therapeutics Development Coalition) och inrätta ett EU-nav för behandlingar (EU Therapeutics Hub), som kommer att ta itu med den kroniskt eftersatta utvecklingen av behandlingar. Utöver detta kommer kommissionen att mobilisera innovativa finansiella instrument för att bidra till utvecklingen av nya behandlingar, särskilt av bredare karaktär.</w:t>
      </w:r>
    </w:p>
    <w:p w14:paraId="51F71A8C" w14:textId="77777777" w:rsidR="00D62472" w:rsidRDefault="00723CED">
      <w:pPr>
        <w:spacing w:after="120"/>
        <w:ind w:left="714"/>
        <w:rPr>
          <w:b/>
          <w:i/>
          <w:noProof/>
          <w:color w:val="000000" w:themeColor="text1"/>
          <w:szCs w:val="24"/>
        </w:rPr>
      </w:pPr>
      <w:r>
        <w:rPr>
          <w:b/>
          <w:i/>
          <w:noProof/>
          <w:color w:val="000000" w:themeColor="text1"/>
        </w:rPr>
        <w:t>Vacciner: För att förverkliga ambitionen om att ta fram ett säkert och effektivt vaccin mot alla prioriterade virusfamiljer och okända patogener (sjukdom X-scenarier (</w:t>
      </w:r>
      <w:r>
        <w:rPr>
          <w:rStyle w:val="FootnoteReference"/>
          <w:b/>
          <w:i/>
          <w:noProof/>
          <w:color w:val="000000" w:themeColor="text1"/>
          <w:szCs w:val="24"/>
        </w:rPr>
        <w:footnoteReference w:id="28"/>
      </w:r>
      <w:r>
        <w:rPr>
          <w:b/>
          <w:i/>
          <w:noProof/>
          <w:color w:val="000000" w:themeColor="text1"/>
        </w:rPr>
        <w:t>)) inom 100 dagar från förklaringen om en pandemi kommer kommissionen att öka sitt engagemang för Coalition for Epidemic Preparedness Innovations och säkerställa fortsatta investeringar i det europiska vaccinnavet för att stödja nya vacciner.</w:t>
      </w:r>
    </w:p>
    <w:p w14:paraId="0FC25CE1" w14:textId="77777777" w:rsidR="00D62472" w:rsidRDefault="00723CED">
      <w:pPr>
        <w:spacing w:after="120"/>
        <w:ind w:left="714"/>
        <w:rPr>
          <w:b/>
          <w:i/>
          <w:noProof/>
          <w:color w:val="000000" w:themeColor="text1"/>
          <w:szCs w:val="24"/>
        </w:rPr>
      </w:pPr>
      <w:r>
        <w:rPr>
          <w:b/>
          <w:i/>
          <w:noProof/>
          <w:color w:val="000000" w:themeColor="text1"/>
        </w:rPr>
        <w:t xml:space="preserve">Diagnostik: </w:t>
      </w:r>
      <w:bookmarkStart w:id="7" w:name="_Hlk228288930"/>
      <w:r>
        <w:rPr>
          <w:b/>
          <w:i/>
          <w:noProof/>
          <w:color w:val="000000" w:themeColor="text1"/>
        </w:rPr>
        <w:t>Kommissionen kommer att stödja inrättandet av ett EU-nav för diagnostik (EU Diagnostics Hub), som kommer att främja utvecklingen och marknadslanseringen av nya diagnostiska tester och ny diagnostisk teknik vars användning lätt kan ändras och/eller utökas när en pandemi bryter ut</w:t>
      </w:r>
      <w:bookmarkEnd w:id="7"/>
      <w:r>
        <w:rPr>
          <w:b/>
          <w:i/>
          <w:noProof/>
          <w:color w:val="000000" w:themeColor="text1"/>
        </w:rPr>
        <w:t>. Genom att utnyttja befintlig och ny teknik för testning räknar kommissionen med att bidra till en bredare och mer rättvis tillgång till diagnostik i allmänhet och för utsatta befolkningsgrupper eller minoritetsgrupper i synnerhet, i samarbete med andra befintliga initiativ.</w:t>
      </w:r>
    </w:p>
    <w:p w14:paraId="2E71EC6C" w14:textId="77777777" w:rsidR="00D62472" w:rsidRDefault="00723CED">
      <w:pPr>
        <w:pStyle w:val="ListNumberLevel2"/>
        <w:numPr>
          <w:ilvl w:val="1"/>
          <w:numId w:val="3"/>
        </w:numPr>
        <w:spacing w:after="120"/>
        <w:rPr>
          <w:b/>
          <w:i/>
          <w:noProof/>
          <w:color w:val="000000" w:themeColor="text1"/>
          <w:szCs w:val="24"/>
        </w:rPr>
      </w:pPr>
      <w:r>
        <w:rPr>
          <w:b/>
          <w:i/>
          <w:noProof/>
        </w:rPr>
        <w:t xml:space="preserve">Flaggskeppsinitiativ 5: </w:t>
      </w:r>
      <w:r>
        <w:rPr>
          <w:b/>
          <w:i/>
          <w:noProof/>
          <w:u w:val="single"/>
        </w:rPr>
        <w:t xml:space="preserve"> Stödja en </w:t>
      </w:r>
      <w:r>
        <w:rPr>
          <w:b/>
          <w:i/>
          <w:noProof/>
          <w:color w:val="000000" w:themeColor="text1"/>
          <w:u w:val="single"/>
        </w:rPr>
        <w:t>mätare för global hälsa och resiliens</w:t>
      </w:r>
    </w:p>
    <w:p w14:paraId="6387A60D" w14:textId="77777777" w:rsidR="00D62472" w:rsidRDefault="00723CED">
      <w:pPr>
        <w:spacing w:after="120"/>
        <w:ind w:left="714"/>
        <w:rPr>
          <w:b/>
          <w:i/>
          <w:noProof/>
          <w:szCs w:val="24"/>
        </w:rPr>
      </w:pPr>
      <w:r>
        <w:rPr>
          <w:b/>
          <w:i/>
          <w:noProof/>
        </w:rPr>
        <w:t>Syftet med mätaren för global hälsa och resiliens är att säkerställa en konsekvent strategi för att rutinmässigt mäta globala hälsoutgifter och komplettera pågående insatser för att stärka nationella finansieringsdata i syfte att säkerställa en mer enhetlig och effektivare finansiering. Den kommer att utvecklas i samarbete med OECD, WHO och Världsbanken.</w:t>
      </w:r>
    </w:p>
    <w:p w14:paraId="65FA311D" w14:textId="77777777" w:rsidR="00D62472" w:rsidRDefault="00723CED">
      <w:pPr>
        <w:spacing w:after="120"/>
        <w:ind w:left="714"/>
        <w:rPr>
          <w:b/>
          <w:i/>
          <w:noProof/>
        </w:rPr>
      </w:pPr>
      <w:r>
        <w:rPr>
          <w:b/>
          <w:i/>
          <w:noProof/>
        </w:rPr>
        <w:t>Inledningsvis kommer mätaren att inriktas på förebyggande av, beredskap för och insatser vid pandemier genom att kartlägga partnernas inhemska utgifter och det internationella stöd de mottar på detta område, för att undvika dubbelarbete och öka öppenheten, ansvarsskyldigheten och effektiviteten i finansieringen av global hälsosäkerhet. Om uppgifterna tillåter det kommer mätaren att främja användningen av könsuppdelade och, i förekommande fall, jämställdhetsrelaterade kostnads- och resultatindikatorer. Ytterligare utgiftsområden för global hälsa bör läggas till successivt för att täcka bredare globala hälsoprioriteringar.</w:t>
      </w:r>
    </w:p>
    <w:p w14:paraId="4A3B110F" w14:textId="77777777" w:rsidR="00D62472" w:rsidRDefault="00D62472">
      <w:pPr>
        <w:spacing w:after="120"/>
        <w:ind w:left="714"/>
        <w:rPr>
          <w:b/>
          <w:i/>
          <w:noProof/>
          <w:szCs w:val="24"/>
        </w:rPr>
      </w:pPr>
    </w:p>
    <w:p w14:paraId="570A3906" w14:textId="77777777" w:rsidR="00D62472" w:rsidRDefault="00723CE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Diversifiera de globala leveranskedjorna och stödja utvecklingen och tillverkningen av viktiga hälsoprodukter i partnerländerna, baserat på ömsesidiga intressen</w:t>
      </w:r>
    </w:p>
    <w:p w14:paraId="3E3A8D72" w14:textId="77777777" w:rsidR="00D62472" w:rsidRDefault="00723CED">
      <w:pPr>
        <w:pStyle w:val="ListNumberLevel2"/>
        <w:spacing w:after="120"/>
        <w:rPr>
          <w:noProof/>
          <w:color w:val="000000" w:themeColor="text1"/>
          <w:szCs w:val="24"/>
        </w:rPr>
      </w:pPr>
      <w:r>
        <w:rPr>
          <w:noProof/>
          <w:color w:val="000000" w:themeColor="text1"/>
        </w:rPr>
        <w:t xml:space="preserve">Samarbetet med EU:s näringsliv har varit en naturlig del av EU:s erbjudande om globala hälsopartnerskap, och EU:s investeringar främjar ömsesidiga intressen som ökar EU:s kapacitet och utökar tillverkningsbasen för kompletterande hälsoprodukter, vilket leder till säkrare och mer diversifierade globala leveranskedjor på hälsoområdet. Det är därför viktigt att EU upprätthåller och ytterligare stärker sin redan starka läkemedelsindustri för att stödja EU:s strategiska oberoende och konkurrenskraft och ge ett viktigt bidrag till den globala tillverkningskapaciteten. </w:t>
      </w:r>
    </w:p>
    <w:p w14:paraId="67512853" w14:textId="77777777" w:rsidR="00D62472" w:rsidRDefault="00723CED">
      <w:pPr>
        <w:pStyle w:val="ListNumberLevel2"/>
        <w:spacing w:after="120"/>
        <w:rPr>
          <w:noProof/>
          <w:color w:val="000000" w:themeColor="text1"/>
          <w:szCs w:val="24"/>
        </w:rPr>
      </w:pPr>
      <w:r>
        <w:rPr>
          <w:noProof/>
          <w:color w:val="000000" w:themeColor="text1"/>
        </w:rPr>
        <w:t>Störningar i de globala leveranskedjorna kan påverka både EU:s och våra partnerländers strategiska oberoende. Dessa störningar blir allt vanligare och allvarligare, och drivs på av det växande antalet globala chocker, såsom pandemier och geopolitiska spänningar. Deras inverkan avslöjar gemensamma sårbarheter och ömsesidiga beroenden (</w:t>
      </w:r>
      <w:r>
        <w:rPr>
          <w:rStyle w:val="FootnoteReference"/>
          <w:noProof/>
          <w:color w:val="000000" w:themeColor="text1"/>
          <w:szCs w:val="24"/>
        </w:rPr>
        <w:footnoteReference w:id="29"/>
      </w:r>
      <w:r>
        <w:rPr>
          <w:noProof/>
          <w:color w:val="000000" w:themeColor="text1"/>
        </w:rPr>
        <w:t>). Samtidigt medför den globala leverantörsbasen för viktiga hälsoprodukter, såsom vacciner, aktiva farmaceutiska substanser och antibiotika, när den är koncentrerad till ett begränsat antal tillverkare, anläggningar och geografiska områden, en ökad exponering för externa chocker och flaskhalsar i försörjningen.</w:t>
      </w:r>
    </w:p>
    <w:p w14:paraId="2F84F728" w14:textId="77777777" w:rsidR="00D62472" w:rsidRDefault="00723CED">
      <w:pPr>
        <w:pStyle w:val="ListNumberLevel2"/>
        <w:spacing w:after="120"/>
        <w:rPr>
          <w:noProof/>
          <w:color w:val="000000" w:themeColor="text1"/>
          <w:szCs w:val="24"/>
        </w:rPr>
      </w:pPr>
      <w:r>
        <w:rPr>
          <w:b/>
          <w:noProof/>
          <w:color w:val="000000" w:themeColor="text1"/>
        </w:rPr>
        <w:t>Diversifierade och väl integrerade globala leveranskedjor hjälper till att bygga upp hälsoresiliens mot chocker och geopolitisk osäkerhet</w:t>
      </w:r>
      <w:r>
        <w:rPr>
          <w:noProof/>
          <w:color w:val="000000" w:themeColor="text1"/>
        </w:rPr>
        <w:t>; de verkar inom</w:t>
      </w:r>
      <w:r>
        <w:rPr>
          <w:b/>
          <w:noProof/>
          <w:color w:val="000000" w:themeColor="text1"/>
        </w:rPr>
        <w:t xml:space="preserve"> öppna, regelbaserade internationella handels- och partnerskapsramar</w:t>
      </w:r>
      <w:r>
        <w:rPr>
          <w:noProof/>
          <w:color w:val="000000" w:themeColor="text1"/>
        </w:rPr>
        <w:t xml:space="preserve"> som säkerställer att ingen region strukturellt utestängs från tillgång till de medel som behövs för den egna hälsosäkerheten. </w:t>
      </w:r>
    </w:p>
    <w:p w14:paraId="1B0A8ECD" w14:textId="77777777" w:rsidR="00D62472" w:rsidRDefault="00723CED">
      <w:pPr>
        <w:pStyle w:val="ListNumberLevel2"/>
        <w:spacing w:after="120"/>
        <w:rPr>
          <w:noProof/>
          <w:color w:val="000000" w:themeColor="text1"/>
          <w:szCs w:val="24"/>
        </w:rPr>
      </w:pPr>
      <w:r>
        <w:rPr>
          <w:noProof/>
          <w:color w:val="000000" w:themeColor="text1"/>
        </w:rPr>
        <w:t>På samma sätt kan företagen i EU dra nytta av en enklare tillgång till nya, expanderande och regelbaserade marknader som stöder rättssäkerhet och innovation, genom partnerskap med lokala företag och myndigheter, vid behov underbyggda av frivilliga tekniköverföringar på ömsesidigt överenskomna villkor och riktade investeringar. Detta kan ge företagen i EU en kompletterande ingång till marknaden, utöver enbart export. Det gäller särskilt för produkter som är utformade för att tillgodose ihållande och icke eller dåligt tillgodosedda hälsobehov, bland annat i samband med cancer, sexuell och reproduktiv hälsa, malaria, hiv, tuberkulos och sjukdomar som kan vara epidemiska, såsom luftvägsvirus, mpox och vektorburna febersjukdomar.</w:t>
      </w:r>
    </w:p>
    <w:p w14:paraId="7F151D12" w14:textId="77777777" w:rsidR="00D62472" w:rsidRDefault="00723CED">
      <w:pPr>
        <w:pBdr>
          <w:top w:val="single" w:sz="4" w:space="1" w:color="auto"/>
          <w:left w:val="single" w:sz="4" w:space="4" w:color="auto"/>
          <w:bottom w:val="single" w:sz="4" w:space="1" w:color="auto"/>
          <w:right w:val="single" w:sz="4" w:space="4" w:color="auto"/>
        </w:pBdr>
        <w:spacing w:after="120"/>
        <w:rPr>
          <w:b/>
          <w:noProof/>
          <w:szCs w:val="24"/>
        </w:rPr>
      </w:pPr>
      <w:r>
        <w:rPr>
          <w:b/>
          <w:noProof/>
        </w:rPr>
        <w:t>EU:s tillverknings- och innovationsmodell</w:t>
      </w:r>
    </w:p>
    <w:p w14:paraId="68092A22" w14:textId="77777777" w:rsidR="00D62472" w:rsidRDefault="00723CE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rPr>
        <w:t>Genom lagstiftningsmässig mognad främjas en snabb</w:t>
      </w:r>
      <w:r>
        <w:rPr>
          <w:b/>
          <w:noProof/>
        </w:rPr>
        <w:t xml:space="preserve"> tillgång till kvalitetssäkrade läkemedel och vacciner</w:t>
      </w:r>
      <w:r>
        <w:rPr>
          <w:noProof/>
        </w:rPr>
        <w:t xml:space="preserve">, robust farmakovigilans, förfaranden för nödgodkännanden och </w:t>
      </w:r>
      <w:r>
        <w:rPr>
          <w:b/>
          <w:noProof/>
        </w:rPr>
        <w:t>förutsägbara marknadsvillkor</w:t>
      </w:r>
      <w:r>
        <w:rPr>
          <w:noProof/>
        </w:rPr>
        <w:t xml:space="preserve"> för hållbar tillverkning. </w:t>
      </w:r>
      <w:r>
        <w:rPr>
          <w:noProof/>
          <w:color w:val="000000" w:themeColor="text1"/>
        </w:rPr>
        <w:t>Regler för att öka försörjningstryggheten och tillgången till läkemedel, kritiska läkemedel och medicintekniska produkter (</w:t>
      </w:r>
      <w:r>
        <w:rPr>
          <w:rStyle w:val="FootnoteReference"/>
          <w:noProof/>
          <w:color w:val="000000" w:themeColor="text1"/>
          <w:szCs w:val="24"/>
        </w:rPr>
        <w:footnoteReference w:id="30"/>
      </w:r>
      <w:r>
        <w:rPr>
          <w:noProof/>
          <w:color w:val="000000" w:themeColor="text1"/>
        </w:rPr>
        <w:t>) kan visa sig användbara för resiliensen hos partnernas hälso- och sjukvårdssystem.</w:t>
      </w:r>
    </w:p>
    <w:p w14:paraId="42A23816" w14:textId="77777777" w:rsidR="00D62472" w:rsidRDefault="00723CED">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EU skapar rättssäkerhet, starka läkemedelssystem och betydande tillverkningskapacitet. EU använder sig av sakkunskap från </w:t>
      </w:r>
      <w:r>
        <w:rPr>
          <w:b/>
          <w:noProof/>
        </w:rPr>
        <w:t>Europeiska läkemedelsmyndigheten</w:t>
      </w:r>
      <w:r>
        <w:rPr>
          <w:noProof/>
        </w:rPr>
        <w:t xml:space="preserve">, som ansvarar för vetenskaplig utvärdering, tillsyn och säkerhetsövervakning av läkemedel och som kan dela med sig av sina kunskaper med motparter i andra regioner i världen. </w:t>
      </w:r>
    </w:p>
    <w:p w14:paraId="644E86BF" w14:textId="77777777" w:rsidR="00D62472" w:rsidRDefault="00723CE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color w:val="000000" w:themeColor="text1"/>
        </w:rPr>
        <w:t xml:space="preserve">Vidare främjar EU forskning och innovation genom en mängd olika initiativ, däribland </w:t>
      </w:r>
      <w:r>
        <w:rPr>
          <w:b/>
          <w:noProof/>
          <w:color w:val="000000" w:themeColor="text1"/>
        </w:rPr>
        <w:t>partnerskapet mellan Europa och utvecklingsländerna inom området klinisk prövning</w:t>
      </w:r>
      <w:r>
        <w:rPr>
          <w:noProof/>
          <w:color w:val="000000" w:themeColor="text1"/>
        </w:rPr>
        <w:t xml:space="preserve"> (EDCTP) (</w:t>
      </w:r>
      <w:r>
        <w:rPr>
          <w:rStyle w:val="FootnoteReference"/>
          <w:noProof/>
          <w:color w:val="000000" w:themeColor="text1"/>
          <w:szCs w:val="24"/>
        </w:rPr>
        <w:footnoteReference w:id="31"/>
      </w:r>
      <w:r>
        <w:rPr>
          <w:noProof/>
          <w:color w:val="000000" w:themeColor="text1"/>
        </w:rPr>
        <w:t xml:space="preserve">), som spenderar upp till 910 miljoner euro från Horisont Europa och som mobiliserar åtminstone samma belopp från europeiska, afrikanska och internationella partner för att stödja klinisk forskning i syfte att påskynda utvecklingen av nya eller förbättrade läkemedel, vacciner, mikrobicider och diagnosmetoder mot fattigdomsrelaterade och nya infektionssjukdomar, med fokus på Afrika söder om Sahara. Partnerskapet finansierar kliniska prövningar och genomförandeforskning i flera olika länder, samtidigt som det stärker forskningskapaciteten, den etiska granskningen och regelverken på nationell nivå, i starkt partnerskap med de afrikanska institutionerna. </w:t>
      </w:r>
    </w:p>
    <w:p w14:paraId="339436A9" w14:textId="77777777" w:rsidR="00D62472" w:rsidRDefault="00723CED">
      <w:pPr>
        <w:pStyle w:val="ListNumberLevel2"/>
        <w:spacing w:after="120"/>
        <w:rPr>
          <w:noProof/>
          <w:color w:val="000000" w:themeColor="text1"/>
          <w:szCs w:val="24"/>
        </w:rPr>
      </w:pPr>
      <w:r>
        <w:rPr>
          <w:noProof/>
          <w:color w:val="000000" w:themeColor="text1"/>
        </w:rPr>
        <w:t xml:space="preserve">Efter uppmaning från afrikanska ledare lanserade EU i maj 2021 </w:t>
      </w:r>
      <w:r>
        <w:rPr>
          <w:b/>
          <w:noProof/>
          <w:color w:val="000000" w:themeColor="text1"/>
        </w:rPr>
        <w:t>Team Europe-initiativet om tillverkning och tillgång till vacciner, läkemedel och hälsoteknik i Afrika</w:t>
      </w:r>
      <w:r>
        <w:rPr>
          <w:noProof/>
          <w:color w:val="000000" w:themeColor="text1"/>
        </w:rPr>
        <w:t>, känt som</w:t>
      </w:r>
      <w:r>
        <w:rPr>
          <w:b/>
          <w:noProof/>
          <w:color w:val="000000" w:themeColor="text1"/>
        </w:rPr>
        <w:t xml:space="preserve"> MAV+</w:t>
      </w:r>
      <w:r>
        <w:rPr>
          <w:noProof/>
          <w:color w:val="000000" w:themeColor="text1"/>
        </w:rPr>
        <w:t> (</w:t>
      </w:r>
      <w:r>
        <w:rPr>
          <w:rStyle w:val="FootnoteReference"/>
          <w:noProof/>
          <w:color w:val="000000" w:themeColor="text1"/>
          <w:szCs w:val="24"/>
        </w:rPr>
        <w:footnoteReference w:id="32"/>
      </w:r>
      <w:r>
        <w:rPr>
          <w:noProof/>
          <w:color w:val="000000" w:themeColor="text1"/>
        </w:rPr>
        <w:t>). Hittills har MAV+ investerat omkring 2 miljarder euro, framför allt i Sydafrika, Senegal, Ghana, Nigeria, Rwanda och Egypten, och har på kontinental nivå samarbetat med Afrikanska centrumet för förebyggande och kontroll av sjukdomar, Afrikanska läkemedelsmyndigheten och Afrikanska unionens utvecklingsbyrå – partnerskapet för Afrikas utveckling samt med WHO. MAV+-ramen behandlar utbud, efterfrågan och en gynnsam miljö på ett kompletterande sätt (</w:t>
      </w:r>
      <w:r>
        <w:rPr>
          <w:rStyle w:val="FootnoteReference"/>
          <w:noProof/>
          <w:color w:val="000000" w:themeColor="text1"/>
          <w:szCs w:val="24"/>
        </w:rPr>
        <w:footnoteReference w:id="33"/>
      </w:r>
      <w:r>
        <w:rPr>
          <w:noProof/>
          <w:color w:val="000000" w:themeColor="text1"/>
        </w:rPr>
        <w:t>).</w:t>
      </w:r>
    </w:p>
    <w:p w14:paraId="5801D31A" w14:textId="77777777" w:rsidR="00D62472" w:rsidRDefault="00723CED">
      <w:pPr>
        <w:pStyle w:val="ListNumberLevel2"/>
        <w:spacing w:after="120"/>
        <w:rPr>
          <w:noProof/>
          <w:color w:val="000000" w:themeColor="text1"/>
          <w:szCs w:val="24"/>
        </w:rPr>
      </w:pPr>
      <w:r>
        <w:rPr>
          <w:noProof/>
          <w:color w:val="000000" w:themeColor="text1"/>
        </w:rPr>
        <w:t>Kommissionen kommer att öka satsningarna för att diversifiera de globala leveranskedjorna och stärka tillverkningskapaciteten för viktiga hälsoprodukter samt stödja försörjningstryggheten på områden av ömsesidigt intresse för EU och dess partnerländer, samtidigt som EU-industrins fortsatta konkurrenskraft säkerställs. Detta kan omfatta centrala sårbarheter i leveranskedjor (såsom specifika vacciner, antibiotika, aktiva farmaceutiska substanser och andra viktiga hälsoprodukter, till vilka tillgången för behövande befolkningsgrupper bör förbättras, t.ex. varor för mödravård och reproduktiv hälsa) där en koncentrerad produktion och begränsad geografisk diversifiering eller andra flaskhalsar, såsom splittrad efterfrågan, skapar systemrisker.</w:t>
      </w:r>
    </w:p>
    <w:p w14:paraId="590C60E3" w14:textId="77777777" w:rsidR="00D62472" w:rsidRDefault="00723CE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Flaggskeppsinitiativ 6: </w:t>
      </w:r>
      <w:r>
        <w:rPr>
          <w:b/>
          <w:i/>
          <w:noProof/>
          <w:color w:val="000000" w:themeColor="text1"/>
          <w:u w:val="single"/>
        </w:rPr>
        <w:t xml:space="preserve">Främja EU-stöd till diversifiering av de globala leveranskedjorna samt utveckling och tillverkning av viktiga hälsoprodukter </w:t>
      </w:r>
      <w:r>
        <w:rPr>
          <w:b/>
          <w:i/>
          <w:noProof/>
          <w:u w:val="single"/>
        </w:rPr>
        <w:t>baserat på ömsesidigt intresse</w:t>
      </w:r>
    </w:p>
    <w:p w14:paraId="4AEDD981" w14:textId="77777777" w:rsidR="00D62472" w:rsidRDefault="00723CED">
      <w:pPr>
        <w:spacing w:after="120"/>
        <w:ind w:left="714"/>
        <w:rPr>
          <w:b/>
          <w:i/>
          <w:noProof/>
          <w:szCs w:val="24"/>
        </w:rPr>
      </w:pPr>
      <w:r>
        <w:rPr>
          <w:b/>
          <w:i/>
          <w:noProof/>
        </w:rPr>
        <w:t>Kommissionen kommer att påskynda införandet av EU:s investeringsverktyg, såsom garantier (t.ex. Human Development Accelerator (</w:t>
      </w:r>
      <w:r>
        <w:rPr>
          <w:rStyle w:val="FootnoteReference"/>
          <w:b/>
          <w:bCs/>
          <w:i/>
          <w:iCs/>
          <w:noProof/>
          <w:szCs w:val="24"/>
        </w:rPr>
        <w:footnoteReference w:id="34"/>
      </w:r>
      <w:r>
        <w:rPr>
          <w:b/>
          <w:i/>
          <w:noProof/>
        </w:rPr>
        <w:t xml:space="preserve">)) eller en blandning av bidrag och lån, och kommer att verka för samarbete med finanssektorn och filantropiska organisationer samt med den privata sektorn, baserat på ömsesidiga intressen i syfte att stödja gemensamma investeringar från EU och lokala företag i partnerländer. </w:t>
      </w:r>
    </w:p>
    <w:p w14:paraId="21BDF911" w14:textId="77777777" w:rsidR="00D62472" w:rsidRDefault="00723CED">
      <w:pPr>
        <w:pStyle w:val="ListNumberLevel2"/>
        <w:spacing w:after="120"/>
        <w:ind w:left="709"/>
        <w:rPr>
          <w:b/>
          <w:i/>
          <w:noProof/>
          <w:color w:val="000000" w:themeColor="text1"/>
        </w:rPr>
      </w:pPr>
      <w:r>
        <w:rPr>
          <w:b/>
          <w:i/>
          <w:noProof/>
          <w:color w:val="000000" w:themeColor="text1"/>
        </w:rPr>
        <w:t>För att se till att dessa investeringar är effektiva och hållbara kommer kommissionen att fortsätta att stärka den gynnsamma miljön för industriell utveckling, bland annat genom stöd till forskning, jämställdhetsinriktad kompetens- och arbetskraftsutveckling samt innovation och hinderfria marknader. I relevanta fall kommer kommissionen att mobilisera sitt nätverk av akademiska institutioner och offentlig-privata partnerskap i EU. Kommissionen kommer också att fortsätta att mobilisera Europeiska läkemedelsmyndigheten och nätverket av nationella tillsynsmyndigheter i EU för att stödja samarbetsinriktade regleringsvägar.</w:t>
      </w:r>
    </w:p>
    <w:p w14:paraId="1008B46E" w14:textId="77777777" w:rsidR="00D62472" w:rsidRDefault="00723CE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Flaggskeppsinitiativ 7: </w:t>
      </w:r>
      <w:r>
        <w:rPr>
          <w:b/>
          <w:i/>
          <w:noProof/>
          <w:color w:val="000000" w:themeColor="text1"/>
          <w:u w:val="single"/>
        </w:rPr>
        <w:t>Främja ett globalt partnerskap för kunskapsutbyte om medicinska motåtgärder och belastningskapacitet</w:t>
      </w:r>
    </w:p>
    <w:p w14:paraId="38FE9CBB" w14:textId="77777777" w:rsidR="00D62472" w:rsidRDefault="00723CED">
      <w:pPr>
        <w:pStyle w:val="ListNumberLevel2"/>
        <w:spacing w:after="120"/>
        <w:ind w:left="714"/>
        <w:rPr>
          <w:b/>
          <w:i/>
          <w:noProof/>
          <w:color w:val="000000" w:themeColor="text1"/>
          <w:szCs w:val="24"/>
        </w:rPr>
      </w:pPr>
      <w:r>
        <w:rPr>
          <w:b/>
          <w:i/>
          <w:noProof/>
          <w:color w:val="000000" w:themeColor="text1"/>
        </w:rPr>
        <w:t>För att stärka efterfrågan strävar kommissionen efter att öka sitt samarbete med partnerregioner, globala hälsoinitiativ och internationella finansieringsinstitutioner om upphandlingsramar och förhandsåtaganden om inköp för att motivera varaktiga investeringar från diversifierade tillverkare. I detta syfte bör gemensam upphandling utforskas (</w:t>
      </w:r>
      <w:r>
        <w:rPr>
          <w:rStyle w:val="FootnoteReference"/>
          <w:b/>
          <w:i/>
          <w:noProof/>
          <w:color w:val="000000" w:themeColor="text1"/>
          <w:szCs w:val="24"/>
        </w:rPr>
        <w:footnoteReference w:id="35"/>
      </w:r>
      <w:r>
        <w:rPr>
          <w:b/>
          <w:i/>
          <w:noProof/>
          <w:color w:val="000000" w:themeColor="text1"/>
        </w:rPr>
        <w:t xml:space="preserve">), samtidigt som partnerskap som bygger på ömsesidiga fördelar stärks. Framöver kommer kommissionen även att söka nya partnerskap med likasinnade regioner. Tillsammans med WHO kommer kommissionen att öka sitt samarbete för att enas om gemensamma principer med regionala upphandlingspartner i Afrika, Latinamerika, Asien och Mellanöstern. </w:t>
      </w:r>
    </w:p>
    <w:p w14:paraId="1ACF7153" w14:textId="77777777" w:rsidR="00D62472" w:rsidRDefault="00723CED">
      <w:pPr>
        <w:pStyle w:val="ListNumberLevel2"/>
        <w:spacing w:after="120"/>
        <w:ind w:left="714"/>
        <w:rPr>
          <w:b/>
          <w:i/>
          <w:noProof/>
          <w:color w:val="000000" w:themeColor="text1"/>
          <w:szCs w:val="24"/>
        </w:rPr>
      </w:pPr>
      <w:r>
        <w:rPr>
          <w:b/>
          <w:i/>
          <w:noProof/>
          <w:color w:val="000000" w:themeColor="text1"/>
        </w:rPr>
        <w:t>Med utgångspunkt i framgångarna med EU Fab (</w:t>
      </w:r>
      <w:r>
        <w:rPr>
          <w:rStyle w:val="FootnoteReference"/>
          <w:b/>
          <w:i/>
          <w:noProof/>
          <w:color w:val="000000" w:themeColor="text1"/>
          <w:szCs w:val="24"/>
        </w:rPr>
        <w:footnoteReference w:id="36"/>
      </w:r>
      <w:r>
        <w:rPr>
          <w:b/>
          <w:i/>
          <w:noProof/>
          <w:color w:val="000000" w:themeColor="text1"/>
        </w:rPr>
        <w:t>) kommer kommissionen att dela med sig av sina kunskaper om produktionen av belastningskapacitet med internationella partner, som sedan kan anpassa dessa till sina egna sammanhang.</w:t>
      </w:r>
    </w:p>
    <w:p w14:paraId="233B4A41" w14:textId="77777777" w:rsidR="00D62472" w:rsidRDefault="00723CE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Flaggskeppsinitiativ 8: </w:t>
      </w:r>
      <w:r>
        <w:rPr>
          <w:b/>
          <w:i/>
          <w:noProof/>
          <w:color w:val="000000" w:themeColor="text1"/>
          <w:u w:val="single"/>
        </w:rPr>
        <w:t>Stödja nätverk för klinisk forskning för heltäckande klinisk utveckling av hälsoprodukter</w:t>
      </w:r>
      <w:r>
        <w:rPr>
          <w:b/>
          <w:i/>
          <w:noProof/>
          <w:color w:val="000000" w:themeColor="text1"/>
        </w:rPr>
        <w:t xml:space="preserve"> </w:t>
      </w:r>
    </w:p>
    <w:p w14:paraId="349C75EF" w14:textId="77777777" w:rsidR="00D62472" w:rsidRDefault="00723CED">
      <w:pPr>
        <w:pStyle w:val="ListNumberLevel2"/>
        <w:spacing w:after="120"/>
        <w:ind w:left="714"/>
        <w:rPr>
          <w:b/>
          <w:i/>
          <w:noProof/>
          <w:color w:val="000000" w:themeColor="text1"/>
          <w:szCs w:val="24"/>
        </w:rPr>
      </w:pPr>
      <w:r>
        <w:rPr>
          <w:b/>
          <w:i/>
          <w:noProof/>
          <w:color w:val="000000" w:themeColor="text1"/>
        </w:rPr>
        <w:t>Kommissionen har för avsikt att utöka sitt stöd till heltäckande klinisk forskning och multinationella kliniska prövningar, med kraftfulla dataskyddsåtgärder (</w:t>
      </w:r>
      <w:r>
        <w:rPr>
          <w:rStyle w:val="FootnoteReference"/>
          <w:b/>
          <w:i/>
          <w:noProof/>
          <w:color w:val="000000" w:themeColor="text1"/>
          <w:szCs w:val="24"/>
        </w:rPr>
        <w:footnoteReference w:id="37"/>
      </w:r>
      <w:r>
        <w:rPr>
          <w:b/>
          <w:i/>
          <w:noProof/>
          <w:color w:val="000000" w:themeColor="text1"/>
        </w:rPr>
        <w:t xml:space="preserve">), genom särskilda nätverk på grundval av erfarenheterna från partnerskapet för klinisk prövning med Afrika inom ramen för det gemensamma företaget för global hälsa EDCTP3. </w:t>
      </w:r>
    </w:p>
    <w:p w14:paraId="71650EE3" w14:textId="77777777" w:rsidR="00D62472" w:rsidRDefault="00D62472">
      <w:pPr>
        <w:pStyle w:val="ListNumberLevel2"/>
        <w:spacing w:after="120"/>
        <w:ind w:left="714"/>
        <w:rPr>
          <w:b/>
          <w:i/>
          <w:noProof/>
          <w:color w:val="000000" w:themeColor="text1"/>
          <w:szCs w:val="24"/>
        </w:rPr>
      </w:pPr>
    </w:p>
    <w:p w14:paraId="4CF91C17" w14:textId="77777777" w:rsidR="00D62472" w:rsidRDefault="00723CE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Stärka samhällets resiliens genom att främja förtroendet för vetenskapen och motverka desinformation, felaktig information samt utländsk informationsmanipulering och inblandning</w:t>
      </w:r>
    </w:p>
    <w:p w14:paraId="0BB7817D" w14:textId="77777777" w:rsidR="00D62472" w:rsidRDefault="00723CED">
      <w:pPr>
        <w:pStyle w:val="ListNumberLevel2"/>
        <w:spacing w:after="120"/>
        <w:rPr>
          <w:noProof/>
          <w:color w:val="000000" w:themeColor="text1"/>
          <w:szCs w:val="24"/>
        </w:rPr>
      </w:pPr>
      <w:r>
        <w:rPr>
          <w:noProof/>
          <w:color w:val="000000" w:themeColor="text1"/>
        </w:rPr>
        <w:t xml:space="preserve">Att hantera gemensamma hälsoutmaningar innebär att göra det möjligt för forskare och yrkesverksamma över hela världen att samarbeta smidigt; att se till att kunskapen inte känner några gränser är vad som driver </w:t>
      </w:r>
      <w:r>
        <w:rPr>
          <w:b/>
          <w:noProof/>
          <w:color w:val="000000" w:themeColor="text1"/>
        </w:rPr>
        <w:t>vetenskapliga framsteg och lösningar</w:t>
      </w:r>
      <w:r>
        <w:rPr>
          <w:noProof/>
          <w:color w:val="000000" w:themeColor="text1"/>
        </w:rPr>
        <w:t xml:space="preserve"> på några av världens mest angelägna problem, bland annat på folkhälsoområdet. I detta avseende har </w:t>
      </w:r>
      <w:r>
        <w:rPr>
          <w:b/>
          <w:noProof/>
          <w:color w:val="000000" w:themeColor="text1"/>
        </w:rPr>
        <w:t>öppna databaser</w:t>
      </w:r>
      <w:r>
        <w:rPr>
          <w:noProof/>
          <w:color w:val="000000" w:themeColor="text1"/>
        </w:rPr>
        <w:t xml:space="preserve"> demokratiserat tillgången till kunskap, gjort forskningen mer synlig och underlättat tvärvetenskapligt samarbete; de är också avgörande för att utveckla verktyg för artificiell intelligens samt läkemedel och medicinsk teknik.</w:t>
      </w:r>
    </w:p>
    <w:p w14:paraId="19EF57CD" w14:textId="77777777" w:rsidR="00D62472" w:rsidRDefault="00723CED">
      <w:pPr>
        <w:pStyle w:val="ListNumberLevel2"/>
        <w:spacing w:after="120"/>
        <w:rPr>
          <w:noProof/>
          <w:color w:val="000000" w:themeColor="text1"/>
          <w:szCs w:val="24"/>
        </w:rPr>
      </w:pPr>
      <w:r>
        <w:rPr>
          <w:noProof/>
          <w:color w:val="000000" w:themeColor="text1"/>
        </w:rPr>
        <w:t xml:space="preserve">Den ökande spridningen av </w:t>
      </w:r>
      <w:r>
        <w:rPr>
          <w:b/>
          <w:noProof/>
          <w:color w:val="000000" w:themeColor="text1"/>
        </w:rPr>
        <w:t>desinformation, felaktig information (</w:t>
      </w:r>
      <w:r>
        <w:rPr>
          <w:rStyle w:val="FootnoteReference"/>
          <w:b/>
          <w:noProof/>
          <w:color w:val="000000" w:themeColor="text1"/>
          <w:szCs w:val="24"/>
        </w:rPr>
        <w:footnoteReference w:id="38"/>
      </w:r>
      <w:r>
        <w:rPr>
          <w:b/>
          <w:noProof/>
          <w:color w:val="000000" w:themeColor="text1"/>
        </w:rPr>
        <w:t xml:space="preserve">) samt utländsk informationsmanipulering och inblandning på hälsoområdet </w:t>
      </w:r>
      <w:r>
        <w:rPr>
          <w:noProof/>
          <w:color w:val="000000" w:themeColor="text1"/>
        </w:rPr>
        <w:t xml:space="preserve">utgör stora utmaningar för hälsoforskningen och den globala hälsoresiliensen, eftersom detta undergräver förtroendet för folkhälsomyndigheter, vetenskap och medicin och gör det svårt för människor att fatta välgrundade beslut. Under större hälsokriser </w:t>
      </w:r>
      <w:r>
        <w:rPr>
          <w:b/>
          <w:noProof/>
          <w:color w:val="000000" w:themeColor="text1"/>
        </w:rPr>
        <w:t>ökar risken för desinformation, felaktig information samt utländsk informationsmanipulering och inblandning på hälsoområdet</w:t>
      </w:r>
      <w:r>
        <w:rPr>
          <w:noProof/>
          <w:color w:val="000000" w:themeColor="text1"/>
        </w:rPr>
        <w:t>. Fientliga aktörers spridning av feltolkad eller falsk hälso- och sjukvårdsinformation under covid-19-pandemin är ett tydligt exempel på när vetenskapen har använts som ett vapen, med allvarliga konsekvenser som vaccinskepsis eller allmänhetens motstånd mot nödvändiga folkhälsoåtgärder (t.ex. användning av munskydd och social distansering). Detta undergräver effektiviteten i kommunikationen om folkhälsorisker, samhällsengagemanget och andra åtgärder. Det försämrar även förmågan till förebyggande av, beredskap för och insatser vid hälsokriser över hela världen. Den utländska informationsmanipulering och inblandning som rapporterades under pandemin omfattade även främjande och organisering av fysiska hot och trakasserier mot forskare och yrkesverksamma som deltog i insatserna. Utöver att direkt hindra folkhälsoåtgärder hade detta en hämmande och polariserande verkan i största allmänhet (</w:t>
      </w:r>
      <w:r>
        <w:rPr>
          <w:rStyle w:val="FootnoteReference"/>
          <w:noProof/>
          <w:color w:val="000000" w:themeColor="text1"/>
        </w:rPr>
        <w:footnoteReference w:id="39"/>
      </w:r>
      <w:r>
        <w:rPr>
          <w:noProof/>
          <w:color w:val="000000" w:themeColor="text1"/>
        </w:rPr>
        <w:t>).</w:t>
      </w:r>
    </w:p>
    <w:p w14:paraId="0E082094" w14:textId="77777777" w:rsidR="00D62472" w:rsidRDefault="00723CED">
      <w:pPr>
        <w:pStyle w:val="ListNumberLevel2"/>
        <w:spacing w:after="120"/>
        <w:rPr>
          <w:noProof/>
          <w:color w:val="000000" w:themeColor="text1"/>
        </w:rPr>
      </w:pPr>
      <w:r>
        <w:rPr>
          <w:noProof/>
          <w:color w:val="000000" w:themeColor="text1"/>
        </w:rPr>
        <w:t>För att motverka utländsk informationsmanipulering och inblandning samt desinformation och felaktig information på hälsoområdet krävs mer övervakning, skyndsamma reaktioner på plattformar samt proaktiv och faktabaserad information som är anpassad till den specifika kulturen och situationen.</w:t>
      </w:r>
      <w:r>
        <w:rPr>
          <w:b/>
          <w:noProof/>
          <w:color w:val="000000" w:themeColor="text1"/>
        </w:rPr>
        <w:t xml:space="preserve"> </w:t>
      </w:r>
      <w:r>
        <w:rPr>
          <w:noProof/>
          <w:color w:val="000000" w:themeColor="text1"/>
        </w:rPr>
        <w:t>På grund av den ökande användningen av AI-verktyg på hälsoområdet är digital kompetens, mediekunnighet samt användarvänliga digitala verktyg oundgängliga för att människor kritiskt ska kunna bedöma onlineinnehåll och förstå hur det genereras och riktas. För att se till att folkhälsokommunikationen är effektiv bör myndigheterna samarbeta med hälso- och sjukvårdspersonal, lokalsamhällen och berörda parter, däribland betrodda mellanhänder som yrkesnätverk, samhällsledare och trosbaserade organisationer. I detta sammanhang spelar EU:s delegationer en avgörande roll för att mobilisera Team Europe på plats och stödja myndigheterna i partnerländer.</w:t>
      </w:r>
    </w:p>
    <w:p w14:paraId="68D67DB8" w14:textId="77777777" w:rsidR="00D62472" w:rsidRDefault="00723CED">
      <w:pPr>
        <w:pStyle w:val="ListNumberLevel2"/>
        <w:spacing w:after="120"/>
        <w:rPr>
          <w:noProof/>
          <w:color w:val="000000" w:themeColor="text1"/>
          <w:szCs w:val="24"/>
        </w:rPr>
      </w:pPr>
      <w:r>
        <w:rPr>
          <w:noProof/>
          <w:color w:val="000000" w:themeColor="text1"/>
        </w:rPr>
        <w:t xml:space="preserve">Samtidigt måste </w:t>
      </w:r>
      <w:r>
        <w:rPr>
          <w:b/>
          <w:noProof/>
          <w:color w:val="000000" w:themeColor="text1"/>
        </w:rPr>
        <w:t>kampen mot piratkopierade och undermåliga läkemedel</w:t>
      </w:r>
      <w:r>
        <w:rPr>
          <w:noProof/>
          <w:color w:val="000000" w:themeColor="text1"/>
        </w:rPr>
        <w:t xml:space="preserve"> intensifieras, genom att man utnyttjar EU:s erfarenhet och sakkunskap inom sektorn och tar vara på möjligheterna med den nya tekniken. Att ta itu med riskerna med sådana produkter är avgörande för att säkerställa höga globala standarder och för att bemöta specifika hot såsom ökad antimikrobiell resistens. </w:t>
      </w:r>
    </w:p>
    <w:p w14:paraId="07A1DF47" w14:textId="77777777" w:rsidR="00D62472" w:rsidRDefault="00723CED">
      <w:pPr>
        <w:pBdr>
          <w:top w:val="single" w:sz="4" w:space="1" w:color="auto"/>
          <w:left w:val="single" w:sz="4" w:space="4" w:color="auto"/>
          <w:bottom w:val="single" w:sz="4" w:space="1" w:color="auto"/>
          <w:right w:val="single" w:sz="4" w:space="4" w:color="auto"/>
        </w:pBdr>
        <w:spacing w:after="120"/>
        <w:rPr>
          <w:b/>
          <w:noProof/>
          <w:szCs w:val="24"/>
        </w:rPr>
      </w:pPr>
      <w:r>
        <w:rPr>
          <w:b/>
          <w:noProof/>
        </w:rPr>
        <w:t>EU:s strategi för att säkerställa förtroendet för vetenskapen och motverka desinformation, felaktig information samt utländsk informationsmanipulering och inblandning på hälsoområdet</w:t>
      </w:r>
    </w:p>
    <w:p w14:paraId="67FF5BB1" w14:textId="77777777" w:rsidR="00D62472" w:rsidRDefault="00723CED">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Allmänhetens förtroende för vetenskaplig forskning är en nödvändig förutsättning för acceptansen för och spridningen av vetenskaplig och teknisk innovation som kan förbättra folkhälsan och främja det individuella och sociala välbefinnandet. I EU finns forsknings- och utbildningsmöjligheter på högsta nivå och ett orubbligt engagemang för den akademiska friheten, mångfald och inkludering, vilket betonas i initiativet </w:t>
      </w:r>
      <w:r>
        <w:rPr>
          <w:b/>
          <w:noProof/>
        </w:rPr>
        <w:t>Välj Europa</w:t>
      </w:r>
      <w:r>
        <w:rPr>
          <w:noProof/>
        </w:rPr>
        <w:t xml:space="preserve">. Erasmus+-programmet skapar, genom sin internationella dimension – som är anpassad till Global Gateway-prioriteringarna, resiliens mot desinformation i partnerländer genom att stärka de hälsorelaterade utbildningssystemen. Den EU-stödda </w:t>
      </w:r>
      <w:r>
        <w:rPr>
          <w:noProof/>
          <w:color w:val="000000" w:themeColor="text1"/>
        </w:rPr>
        <w:t>globala hälsoforskningen, som omfattar kollegial granskning, uppfyller de högsta vetenskapliga standarderna och är i linje med</w:t>
      </w:r>
      <w:r>
        <w:rPr>
          <w:b/>
          <w:noProof/>
          <w:color w:val="000000" w:themeColor="text1"/>
        </w:rPr>
        <w:t xml:space="preserve"> WHO:s nya vägledning för bästa praxis vid kliniska prövningar</w:t>
      </w:r>
      <w:r>
        <w:rPr>
          <w:noProof/>
          <w:color w:val="000000" w:themeColor="text1"/>
        </w:rPr>
        <w:t> (</w:t>
      </w:r>
      <w:r>
        <w:rPr>
          <w:rStyle w:val="FootnoteReference"/>
          <w:b/>
          <w:noProof/>
          <w:color w:val="000000" w:themeColor="text1"/>
          <w:szCs w:val="24"/>
        </w:rPr>
        <w:footnoteReference w:id="40"/>
      </w:r>
      <w:r>
        <w:rPr>
          <w:noProof/>
          <w:color w:val="000000" w:themeColor="text1"/>
        </w:rPr>
        <w:t>).</w:t>
      </w:r>
    </w:p>
    <w:p w14:paraId="4A6D7848" w14:textId="77777777" w:rsidR="00D62472" w:rsidRDefault="00723CE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color w:val="000000" w:themeColor="text1"/>
        </w:rPr>
        <w:t xml:space="preserve">Kommissionen håller för närvarande på att utarbeta och tillhandahålla vägledning till EU-medlemsstaterna om förebyggande, upptäckt och hantering av felaktig information och desinformation på området medicinska motåtgärder. I </w:t>
      </w:r>
      <w:r>
        <w:rPr>
          <w:b/>
          <w:noProof/>
          <w:color w:val="000000" w:themeColor="text1"/>
        </w:rPr>
        <w:t>förordningen om digitala tjänster</w:t>
      </w:r>
      <w:r>
        <w:rPr>
          <w:noProof/>
          <w:color w:val="000000" w:themeColor="text1"/>
        </w:rPr>
        <w:t xml:space="preserve"> föreskrivs en säker, förutsägbar och tillförlitlig onlinemiljö i EU, och den därtill hörande uppförandekoden om desinformation innehåller en lång rad åtaganden och åtgärder för att ta itu med fenomenet desinformation online, bland annat på folkhälsoområdet. Det </w:t>
      </w:r>
      <w:r>
        <w:rPr>
          <w:b/>
          <w:noProof/>
          <w:color w:val="000000" w:themeColor="text1"/>
        </w:rPr>
        <w:t>europeiska observatoriet för digitala medier</w:t>
      </w:r>
      <w:r>
        <w:rPr>
          <w:noProof/>
          <w:color w:val="000000" w:themeColor="text1"/>
        </w:rPr>
        <w:t xml:space="preserve"> övervakar spridningen i EU av desinformation, felaktig information samt utländsk informationsmanipulering och inblandning, även på hälsoområdet. EU stöder det viktiga arbete som utförs av </w:t>
      </w:r>
      <w:r>
        <w:rPr>
          <w:b/>
          <w:noProof/>
          <w:color w:val="000000" w:themeColor="text1"/>
        </w:rPr>
        <w:t>faktagranskande organisationer</w:t>
      </w:r>
      <w:r>
        <w:rPr>
          <w:noProof/>
          <w:color w:val="000000" w:themeColor="text1"/>
        </w:rPr>
        <w:t xml:space="preserve"> (till exempel har det europeiska nätverket av faktagranskare påbörjat sin verksamhet). </w:t>
      </w:r>
      <w:r>
        <w:rPr>
          <w:noProof/>
        </w:rPr>
        <w:t xml:space="preserve">Åtgärder inom ramen för det </w:t>
      </w:r>
      <w:r>
        <w:rPr>
          <w:b/>
          <w:noProof/>
          <w:color w:val="000000" w:themeColor="text1"/>
        </w:rPr>
        <w:t>europeiska demokratiförsvaret</w:t>
      </w:r>
      <w:r>
        <w:rPr>
          <w:noProof/>
          <w:color w:val="000000" w:themeColor="text1"/>
        </w:rPr>
        <w:t xml:space="preserve"> bidrar till att skydda informationsutrymmets integritet genom att bidra till att bygga upp samhällets resiliens mot desinformation, felaktig information samt utländsk informationsmanipulering och inblandning på hälsoområdet.</w:t>
      </w:r>
    </w:p>
    <w:p w14:paraId="64AC39F8" w14:textId="77777777" w:rsidR="00D62472" w:rsidRDefault="00723CED">
      <w:pPr>
        <w:pBdr>
          <w:top w:val="single" w:sz="4" w:space="1" w:color="auto"/>
          <w:left w:val="single" w:sz="4" w:space="4" w:color="auto"/>
          <w:bottom w:val="single" w:sz="4" w:space="1" w:color="auto"/>
          <w:right w:val="single" w:sz="4" w:space="4" w:color="auto"/>
        </w:pBdr>
        <w:spacing w:after="120"/>
        <w:rPr>
          <w:bCs/>
          <w:noProof/>
          <w:color w:val="000000" w:themeColor="text1"/>
          <w:szCs w:val="24"/>
        </w:rPr>
      </w:pPr>
      <w:r>
        <w:rPr>
          <w:b/>
          <w:noProof/>
          <w:color w:val="000000" w:themeColor="text1"/>
        </w:rPr>
        <w:t>EU:s verktygslåda för utländsk informationsmanipulering och inblandning</w:t>
      </w:r>
      <w:r>
        <w:rPr>
          <w:noProof/>
          <w:color w:val="000000" w:themeColor="text1"/>
        </w:rPr>
        <w:t xml:space="preserve">, som omfattar en rad möjliga EU-åtgärder mot utländsk informationsmanipulering och inblandning, kan även mobiliseras för att stödja EU-delegationernas arbete för att motverka och vederlägga manipulativa budskap, vilket var fallet under 2024 års mpox-utbrott på den afrikanska kontinenten. </w:t>
      </w:r>
    </w:p>
    <w:p w14:paraId="3E38DACD" w14:textId="77777777" w:rsidR="00D62472" w:rsidRDefault="00723CE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Flaggskeppsinitiativ 9: </w:t>
      </w:r>
      <w:r>
        <w:rPr>
          <w:b/>
          <w:i/>
          <w:noProof/>
          <w:color w:val="000000" w:themeColor="text1"/>
          <w:u w:val="single"/>
        </w:rPr>
        <w:t>Säkerställa global tillgång till viktiga register över hälsovetenskap, genom och biodata samt stärka det internationella samarbetet</w:t>
      </w:r>
      <w:r>
        <w:rPr>
          <w:b/>
          <w:i/>
          <w:noProof/>
          <w:color w:val="000000" w:themeColor="text1"/>
        </w:rPr>
        <w:t xml:space="preserve"> </w:t>
      </w:r>
    </w:p>
    <w:p w14:paraId="262EC00B" w14:textId="77777777" w:rsidR="00D62472" w:rsidRDefault="00723CED">
      <w:pPr>
        <w:spacing w:after="120"/>
        <w:ind w:left="714"/>
        <w:rPr>
          <w:b/>
          <w:i/>
          <w:noProof/>
          <w:color w:val="000000" w:themeColor="text1"/>
          <w:szCs w:val="24"/>
        </w:rPr>
      </w:pPr>
      <w:r>
        <w:rPr>
          <w:b/>
          <w:i/>
          <w:noProof/>
          <w:color w:val="000000" w:themeColor="text1"/>
        </w:rPr>
        <w:t>För att motverka felaktig information krävs även tillgång till tillförlitliga vetenskapliga data. Kommissionen kommer att säkerställa öppen tillgång till register och viktiga databaser om vetenskap, genom och biodata i EU som är avgörande för forskning om och utveckling av läkemedel och medicinsk teknik (</w:t>
      </w:r>
      <w:r>
        <w:rPr>
          <w:rStyle w:val="FootnoteReference"/>
          <w:b/>
          <w:i/>
          <w:noProof/>
          <w:color w:val="000000" w:themeColor="text1"/>
          <w:szCs w:val="24"/>
        </w:rPr>
        <w:footnoteReference w:id="41"/>
      </w:r>
      <w:r>
        <w:rPr>
          <w:b/>
          <w:i/>
          <w:noProof/>
          <w:color w:val="000000" w:themeColor="text1"/>
        </w:rPr>
        <w:t xml:space="preserve">). </w:t>
      </w:r>
    </w:p>
    <w:p w14:paraId="6A8A2A1B" w14:textId="77777777" w:rsidR="00D62472" w:rsidRDefault="00723CED">
      <w:pPr>
        <w:pStyle w:val="ListParagraph"/>
        <w:spacing w:after="120"/>
        <w:ind w:left="714"/>
        <w:contextualSpacing w:val="0"/>
        <w:rPr>
          <w:b/>
          <w:i/>
          <w:noProof/>
          <w:color w:val="000000" w:themeColor="text1"/>
          <w:szCs w:val="24"/>
        </w:rPr>
      </w:pPr>
      <w:r>
        <w:rPr>
          <w:b/>
          <w:i/>
          <w:noProof/>
          <w:color w:val="000000" w:themeColor="text1"/>
        </w:rPr>
        <w:t>Kommissionen kommer med stöd av EU-delegationerna att arbeta för att stärka samarbetet med partnerländer både om lagstiftningsmässiga och vetenskapliga aspekter, med utgångspunkt i en sammanställning av bästa praxis för ansvarsfull forskning och innovation och vetenskaplig kommunikation.</w:t>
      </w:r>
    </w:p>
    <w:p w14:paraId="517E2BEB" w14:textId="77777777" w:rsidR="00D62472" w:rsidRDefault="00D62472">
      <w:pPr>
        <w:spacing w:after="160" w:line="259" w:lineRule="auto"/>
        <w:jc w:val="left"/>
        <w:rPr>
          <w:b/>
          <w:bCs/>
          <w:noProof/>
          <w:szCs w:val="24"/>
          <w:u w:val="single"/>
        </w:rPr>
      </w:pPr>
    </w:p>
    <w:p w14:paraId="7067B59A" w14:textId="77777777" w:rsidR="00D62472" w:rsidRDefault="00723CED">
      <w:pPr>
        <w:spacing w:after="160" w:line="259" w:lineRule="auto"/>
        <w:jc w:val="left"/>
        <w:rPr>
          <w:b/>
          <w:bCs/>
          <w:noProof/>
          <w:color w:val="000000" w:themeColor="text1"/>
          <w:szCs w:val="24"/>
          <w:u w:val="single"/>
        </w:rPr>
      </w:pPr>
      <w:r>
        <w:rPr>
          <w:b/>
          <w:noProof/>
          <w:u w:val="single"/>
        </w:rPr>
        <w:t>Slutsatser</w:t>
      </w:r>
    </w:p>
    <w:p w14:paraId="55AECFFA" w14:textId="77777777" w:rsidR="00D62472" w:rsidRDefault="00723CED">
      <w:pPr>
        <w:spacing w:after="120"/>
        <w:rPr>
          <w:b/>
          <w:bCs/>
          <w:noProof/>
          <w:szCs w:val="24"/>
        </w:rPr>
      </w:pPr>
      <w:r>
        <w:rPr>
          <w:noProof/>
        </w:rPr>
        <w:t xml:space="preserve">EU är fortsatt fast beslutet att vara en principfast, tillförlitlig och framåtblickande global hälsopartner i ett snabbt föränderligt geopolitiskt sammanhang. </w:t>
      </w:r>
      <w:r>
        <w:rPr>
          <w:noProof/>
          <w:color w:val="000000" w:themeColor="text1"/>
        </w:rPr>
        <w:t>Med utgångspunkt i våra unika styrkor skapar EU en beprövad, inkluderande och rättighetsbaserad hälsomodell som tillhandahåller allmän hälso- och sjukvård och en rättvis tillgång till hälso- och sjukvård, i kombination med världsledande forskning, innovation, regleringskapacitet och industriell styrka. Detta stöds av EU:s unika erfarenhet som ett regionalt integrationsprojekt, som stöder partnerskap inom och mellan regioner, och dess starka stöd för multilateralt engagemang.</w:t>
      </w:r>
    </w:p>
    <w:p w14:paraId="2E6D8D8D" w14:textId="77777777" w:rsidR="00D62472" w:rsidRDefault="00723CED">
      <w:pPr>
        <w:spacing w:after="120"/>
        <w:rPr>
          <w:bCs/>
          <w:noProof/>
          <w:szCs w:val="24"/>
        </w:rPr>
      </w:pPr>
      <w:r>
        <w:rPr>
          <w:noProof/>
        </w:rPr>
        <w:t xml:space="preserve">Kommissionen uppmanar övriga EU-institutioner och medlemsstaterna att förenas inom ramen för en förstärkt Team Europe-strategi för att främja vårt mål att stärka både den globala hälsoresiliensen – i partnerskap med länder, regioner och multilaterala institutioner – och vår egen resiliens, konkurrenskraft och ekonomiska säkerhet. Tillsammans måste vi överbrygga klyftan mellan humanitära insatser och långsiktig resiliens, stärka de lokala och regionala hälso- och sjukvårdssystemen och leverera mätbara effekter – eftersom vår kollektiva säkerhet är beroende av alla människors hälsa. </w:t>
      </w:r>
      <w:r>
        <w:rPr>
          <w:i/>
          <w:noProof/>
        </w:rPr>
        <w:t>Ingen är skyddad förrän alla är det.</w:t>
      </w:r>
    </w:p>
    <w:sectPr w:rsidR="00D62472">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8B502" w14:textId="77777777" w:rsidR="00D62472" w:rsidRDefault="00723CED">
      <w:pPr>
        <w:spacing w:after="0"/>
      </w:pPr>
      <w:r>
        <w:separator/>
      </w:r>
    </w:p>
  </w:endnote>
  <w:endnote w:type="continuationSeparator" w:id="0">
    <w:p w14:paraId="6DC864EE" w14:textId="77777777" w:rsidR="00D62472" w:rsidRDefault="00723C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B0D7F" w14:textId="363CCE58" w:rsidR="0089166D" w:rsidRPr="0089166D" w:rsidRDefault="0089166D" w:rsidP="0089166D">
    <w:pPr>
      <w:pStyle w:val="FooterCoverPage"/>
      <w:rPr>
        <w:rFonts w:ascii="Arial" w:hAnsi="Arial" w:cs="Arial"/>
        <w:b/>
        <w:sz w:val="48"/>
      </w:rPr>
    </w:pPr>
    <w:r w:rsidRPr="0089166D">
      <w:rPr>
        <w:rFonts w:ascii="Arial" w:hAnsi="Arial" w:cs="Arial"/>
        <w:b/>
        <w:sz w:val="48"/>
      </w:rPr>
      <w:t>SV</w:t>
    </w:r>
    <w:r w:rsidRPr="0089166D">
      <w:rPr>
        <w:rFonts w:ascii="Arial" w:hAnsi="Arial" w:cs="Arial"/>
        <w:b/>
        <w:sz w:val="48"/>
      </w:rPr>
      <w:tab/>
    </w:r>
    <w:r w:rsidRPr="0089166D">
      <w:rPr>
        <w:rFonts w:ascii="Arial" w:hAnsi="Arial" w:cs="Arial"/>
        <w:b/>
        <w:sz w:val="48"/>
      </w:rPr>
      <w:tab/>
    </w:r>
    <w:r w:rsidRPr="0089166D">
      <w:tab/>
    </w:r>
    <w:r w:rsidRPr="0089166D">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E28CA" w14:textId="17DE27AE" w:rsidR="0089166D" w:rsidRPr="0089166D" w:rsidRDefault="0089166D" w:rsidP="0089166D">
    <w:pPr>
      <w:pStyle w:val="FooterCoverPage"/>
      <w:rPr>
        <w:rFonts w:ascii="Arial" w:hAnsi="Arial" w:cs="Arial"/>
        <w:b/>
        <w:sz w:val="48"/>
      </w:rPr>
    </w:pPr>
    <w:r w:rsidRPr="0089166D">
      <w:rPr>
        <w:rFonts w:ascii="Arial" w:hAnsi="Arial" w:cs="Arial"/>
        <w:b/>
        <w:sz w:val="48"/>
      </w:rPr>
      <w:t>SV</w:t>
    </w:r>
    <w:r w:rsidRPr="0089166D">
      <w:rPr>
        <w:rFonts w:ascii="Arial" w:hAnsi="Arial" w:cs="Arial"/>
        <w:b/>
        <w:sz w:val="48"/>
      </w:rPr>
      <w:tab/>
    </w:r>
    <w:r w:rsidRPr="0089166D">
      <w:rPr>
        <w:rFonts w:ascii="Arial" w:hAnsi="Arial" w:cs="Arial"/>
        <w:b/>
        <w:sz w:val="48"/>
      </w:rPr>
      <w:tab/>
    </w:r>
    <w:r w:rsidRPr="0089166D">
      <w:tab/>
    </w:r>
    <w:r w:rsidRPr="0089166D">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8DFFD" w14:textId="77777777" w:rsidR="0089166D" w:rsidRPr="0089166D" w:rsidRDefault="0089166D" w:rsidP="008916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A0254" w14:textId="77777777" w:rsidR="00D62472" w:rsidRDefault="00723CED">
    <w:pPr>
      <w:pStyle w:val="FooterCoverPage"/>
      <w:rPr>
        <w:rFonts w:ascii="Arial" w:hAnsi="Arial" w:cs="Arial"/>
        <w:b/>
        <w:sz w:val="48"/>
      </w:rPr>
    </w:pPr>
    <w:r>
      <w:rPr>
        <w:rFonts w:ascii="Arial" w:hAnsi="Arial"/>
        <w:b/>
        <w:sz w:val="48"/>
      </w:rPr>
      <w:t>SV</w:t>
    </w:r>
    <w:r>
      <w:tab/>
    </w:r>
    <w:r>
      <w:tab/>
    </w:r>
    <w:r>
      <w:tab/>
    </w:r>
    <w:r>
      <w:rPr>
        <w:rFonts w:ascii="Arial" w:hAnsi="Arial"/>
        <w:b/>
        <w:sz w:val="48"/>
      </w:rPr>
      <w:t>SV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298838"/>
      <w:docPartObj>
        <w:docPartGallery w:val="Page Numbers (Bottom of Page)"/>
        <w:docPartUnique/>
      </w:docPartObj>
    </w:sdtPr>
    <w:sdtEndPr>
      <w:rPr>
        <w:noProof/>
      </w:rPr>
    </w:sdtEndPr>
    <w:sdtContent>
      <w:p w14:paraId="34B1FD16" w14:textId="0E8BC05F" w:rsidR="00D62472" w:rsidRDefault="00723CED">
        <w:pPr>
          <w:pStyle w:val="Footer"/>
          <w:jc w:val="center"/>
        </w:pPr>
        <w:r>
          <w:fldChar w:fldCharType="begin"/>
        </w:r>
        <w:r>
          <w:instrText xml:space="preserve"> PAGE   \* MERGEFORMAT </w:instrText>
        </w:r>
        <w:r>
          <w:fldChar w:fldCharType="separate"/>
        </w:r>
        <w:r w:rsidR="0089166D">
          <w:rPr>
            <w:noProof/>
          </w:rPr>
          <w:t>7</w:t>
        </w:r>
        <w:r>
          <w:fldChar w:fldCharType="end"/>
        </w:r>
      </w:p>
    </w:sdtContent>
  </w:sdt>
  <w:p w14:paraId="2B46F8CE" w14:textId="77777777" w:rsidR="00D62472" w:rsidRDefault="00D624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264600"/>
      <w:docPartObj>
        <w:docPartGallery w:val="Page Numbers (Bottom of Page)"/>
        <w:docPartUnique/>
      </w:docPartObj>
    </w:sdtPr>
    <w:sdtEndPr>
      <w:rPr>
        <w:noProof/>
      </w:rPr>
    </w:sdtEndPr>
    <w:sdtContent>
      <w:p w14:paraId="2CB7C71C" w14:textId="3926E298" w:rsidR="00D62472" w:rsidRDefault="00723CED">
        <w:pPr>
          <w:pStyle w:val="Footer"/>
          <w:jc w:val="center"/>
        </w:pPr>
        <w:r>
          <w:fldChar w:fldCharType="begin"/>
        </w:r>
        <w:r>
          <w:instrText xml:space="preserve"> PAGE   \* MERGEFORMAT </w:instrText>
        </w:r>
        <w:r>
          <w:fldChar w:fldCharType="separate"/>
        </w:r>
        <w:r w:rsidR="0089166D">
          <w:rPr>
            <w:noProof/>
          </w:rPr>
          <w:t>1</w:t>
        </w:r>
        <w:r>
          <w:fldChar w:fldCharType="end"/>
        </w:r>
      </w:p>
    </w:sdtContent>
  </w:sdt>
  <w:p w14:paraId="215E45B4" w14:textId="77777777" w:rsidR="00D62472" w:rsidRDefault="00D62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D130AA" w14:textId="77777777" w:rsidR="00D62472" w:rsidRDefault="00723CED">
      <w:pPr>
        <w:spacing w:after="0"/>
      </w:pPr>
      <w:r>
        <w:separator/>
      </w:r>
    </w:p>
  </w:footnote>
  <w:footnote w:type="continuationSeparator" w:id="0">
    <w:p w14:paraId="00077431" w14:textId="77777777" w:rsidR="00D62472" w:rsidRDefault="00723CED">
      <w:pPr>
        <w:spacing w:after="0"/>
      </w:pPr>
      <w:r>
        <w:continuationSeparator/>
      </w:r>
    </w:p>
  </w:footnote>
  <w:footnote w:id="1">
    <w:p w14:paraId="129BE7D3"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WHO, Unicef, UNFPA, Världsbanksgruppen och Undesa/befolkningsenheten (2025).</w:t>
      </w:r>
    </w:p>
  </w:footnote>
  <w:footnote w:id="2">
    <w:p w14:paraId="021936EA"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Till exempel </w:t>
      </w:r>
      <w:r>
        <w:rPr>
          <w:color w:val="323130"/>
          <w:sz w:val="16"/>
        </w:rPr>
        <w:t>de hälsorelaterade målen för hållbar utveckling.</w:t>
      </w:r>
    </w:p>
  </w:footnote>
  <w:footnote w:id="3">
    <w:p w14:paraId="1C5C5766" w14:textId="77777777" w:rsidR="00D62472" w:rsidRDefault="00723CED">
      <w:pPr>
        <w:pStyle w:val="FootnoteText"/>
        <w:spacing w:after="0"/>
        <w:rPr>
          <w:sz w:val="16"/>
          <w:szCs w:val="16"/>
        </w:rPr>
      </w:pPr>
      <w:r>
        <w:rPr>
          <w:color w:val="000000" w:themeColor="text1"/>
          <w:sz w:val="16"/>
        </w:rPr>
        <w:t>(</w:t>
      </w:r>
      <w:r>
        <w:rPr>
          <w:rStyle w:val="FootnoteReference"/>
          <w:sz w:val="16"/>
          <w:szCs w:val="16"/>
        </w:rPr>
        <w:footnoteRef/>
      </w:r>
      <w:r>
        <w:rPr>
          <w:color w:val="000000" w:themeColor="text1"/>
          <w:sz w:val="16"/>
        </w:rPr>
        <w:t>)</w:t>
      </w:r>
      <w:r>
        <w:tab/>
      </w:r>
      <w:r>
        <w:rPr>
          <w:color w:val="000000" w:themeColor="text1"/>
          <w:sz w:val="16"/>
        </w:rPr>
        <w:t>IHME (2025).</w:t>
      </w:r>
    </w:p>
  </w:footnote>
  <w:footnote w:id="4">
    <w:p w14:paraId="1D9193DD"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OECD (2026).</w:t>
      </w:r>
    </w:p>
  </w:footnote>
  <w:footnote w:id="5">
    <w:p w14:paraId="74E24B6A"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Med </w:t>
      </w:r>
      <w:r>
        <w:rPr>
          <w:i/>
          <w:iCs/>
          <w:sz w:val="16"/>
        </w:rPr>
        <w:t>hälso- och sjukvårdssystemens resiliens</w:t>
      </w:r>
      <w:r>
        <w:rPr>
          <w:sz w:val="16"/>
        </w:rPr>
        <w:t xml:space="preserve"> avses systemens, samhällenas och institutionernas förmåga att förebygga, förbereda sig för, stå emot och anpassa sig till många olika typer av chocker och stressfaktorer, och samtidigt säkerställa ett fortsatt tillhandahållande av grundläggande hälso- och sjukvårdstjänster av hög kvalitet (WHO, 2024).</w:t>
      </w:r>
    </w:p>
  </w:footnote>
  <w:footnote w:id="6">
    <w:p w14:paraId="28742250"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1" w:history="1">
        <w:r>
          <w:rPr>
            <w:rStyle w:val="Hyperlink"/>
            <w:sz w:val="16"/>
          </w:rPr>
          <w:t>COM(2025) 30 final</w:t>
        </w:r>
      </w:hyperlink>
      <w:r>
        <w:t>.</w:t>
      </w:r>
    </w:p>
  </w:footnote>
  <w:footnote w:id="7">
    <w:p w14:paraId="0A5513D5" w14:textId="77777777" w:rsidR="00D62472" w:rsidRDefault="00723CED">
      <w:pPr>
        <w:pStyle w:val="FootnoteText"/>
        <w:spacing w:after="0"/>
      </w:pPr>
      <w:r>
        <w:rPr>
          <w:sz w:val="16"/>
        </w:rPr>
        <w:t>(</w:t>
      </w:r>
      <w:r>
        <w:rPr>
          <w:rStyle w:val="FootnoteReference"/>
          <w:sz w:val="16"/>
          <w:szCs w:val="16"/>
        </w:rPr>
        <w:footnoteRef/>
      </w:r>
      <w:r>
        <w:rPr>
          <w:sz w:val="16"/>
        </w:rPr>
        <w:t>)</w:t>
      </w:r>
      <w:r>
        <w:tab/>
      </w:r>
      <w:hyperlink r:id="rId2" w:history="1">
        <w:r>
          <w:rPr>
            <w:rStyle w:val="Hyperlink"/>
            <w:sz w:val="16"/>
          </w:rPr>
          <w:t>JOIN(2025) 130 final</w:t>
        </w:r>
      </w:hyperlink>
      <w:r>
        <w:t>.</w:t>
      </w:r>
      <w:r>
        <w:rPr>
          <w:sz w:val="16"/>
        </w:rPr>
        <w:t xml:space="preserve"> </w:t>
      </w:r>
    </w:p>
  </w:footnote>
  <w:footnote w:id="8">
    <w:p w14:paraId="7CE691C4"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3" w:history="1">
        <w:r>
          <w:rPr>
            <w:rStyle w:val="Hyperlink"/>
            <w:i/>
            <w:iCs/>
            <w:sz w:val="16"/>
          </w:rPr>
          <w:t>EU:s strategi för global hälsa –</w:t>
        </w:r>
      </w:hyperlink>
      <w:hyperlink r:id="rId4" w:history="1">
        <w:r>
          <w:rPr>
            <w:rStyle w:val="Hyperlink"/>
            <w:sz w:val="16"/>
          </w:rPr>
          <w:t xml:space="preserve"> </w:t>
        </w:r>
        <w:r>
          <w:rPr>
            <w:rStyle w:val="Hyperlink"/>
            <w:i/>
            <w:iCs/>
            <w:sz w:val="16"/>
          </w:rPr>
          <w:t>Bättre hälsa för alla i en föränderlig värld</w:t>
        </w:r>
        <w:r>
          <w:rPr>
            <w:rStyle w:val="Hyperlink"/>
            <w:sz w:val="16"/>
          </w:rPr>
          <w:t xml:space="preserve"> – </w:t>
        </w:r>
        <w:r>
          <w:rPr>
            <w:rStyle w:val="Hyperlink"/>
            <w:i/>
            <w:iCs/>
            <w:sz w:val="16"/>
          </w:rPr>
          <w:t>Public Health</w:t>
        </w:r>
      </w:hyperlink>
      <w:r>
        <w:rPr>
          <w:sz w:val="16"/>
        </w:rPr>
        <w:t>. Den första genomföranderapporten för strategin offentliggjordes den 10 juli 2025:</w:t>
      </w:r>
      <w:r>
        <w:rPr>
          <w:sz w:val="24"/>
        </w:rPr>
        <w:t xml:space="preserve"> </w:t>
      </w:r>
      <w:hyperlink r:id="rId5" w:history="1">
        <w:r>
          <w:rPr>
            <w:rStyle w:val="Hyperlink"/>
            <w:sz w:val="16"/>
          </w:rPr>
          <w:t xml:space="preserve">Rapport om genomförandet av EU:s strategi för global hälsa – </w:t>
        </w:r>
        <w:r>
          <w:rPr>
            <w:rStyle w:val="Hyperlink"/>
            <w:i/>
            <w:iCs/>
            <w:sz w:val="16"/>
          </w:rPr>
          <w:t>Public Health</w:t>
        </w:r>
      </w:hyperlink>
      <w:r>
        <w:rPr>
          <w:sz w:val="16"/>
        </w:rPr>
        <w:t>.</w:t>
      </w:r>
    </w:p>
  </w:footnote>
  <w:footnote w:id="9">
    <w:p w14:paraId="3472FFAB"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Motsvarande arbetsprogram har ännu inte antagits.</w:t>
      </w:r>
    </w:p>
  </w:footnote>
  <w:footnote w:id="10">
    <w:p w14:paraId="3AC71984" w14:textId="77777777" w:rsidR="00D62472" w:rsidRDefault="00723CED">
      <w:pPr>
        <w:pStyle w:val="FootnoteText"/>
        <w:spacing w:after="0"/>
      </w:pPr>
      <w:r>
        <w:rPr>
          <w:sz w:val="16"/>
        </w:rPr>
        <w:t>(</w:t>
      </w:r>
      <w:r>
        <w:rPr>
          <w:rStyle w:val="FootnoteReference"/>
          <w:sz w:val="16"/>
          <w:szCs w:val="16"/>
        </w:rPr>
        <w:footnoteRef/>
      </w:r>
      <w:r>
        <w:rPr>
          <w:sz w:val="16"/>
        </w:rPr>
        <w:t>)</w:t>
      </w:r>
      <w:r>
        <w:tab/>
      </w:r>
      <w:r>
        <w:rPr>
          <w:sz w:val="16"/>
        </w:rPr>
        <w:t>Enligt överenskommelse vid det 158:e sammanträdet i WHO:s styrelse och som ett komplement till de nuvarande diskussionerna inom FN80-initiativet.</w:t>
      </w:r>
    </w:p>
  </w:footnote>
  <w:footnote w:id="11">
    <w:p w14:paraId="032AA0FE"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EU fortsätter att helhjärtat stödja främjandet, skyddet och förverkligandet av alla mänskliga rättigheter och ett fullständigt och effektivt genomförande av handlingsplanen från Peking och handlingsplanen från den internationella konferensen om befolkning och utveckling samt resultaten från konferenserna för översyn av dessa och står fast vid sitt engagemang för sexuell och reproduktiv hälsa och rättigheter i detta sammanhang.</w:t>
      </w:r>
    </w:p>
  </w:footnote>
  <w:footnote w:id="12">
    <w:p w14:paraId="156EE10E" w14:textId="77777777" w:rsidR="00D62472" w:rsidRPr="00723CED" w:rsidRDefault="00723CED">
      <w:pPr>
        <w:pStyle w:val="FootnoteText"/>
        <w:spacing w:after="0"/>
        <w:rPr>
          <w:sz w:val="16"/>
          <w:szCs w:val="16"/>
          <w:lang w:val="en-IE"/>
        </w:rPr>
      </w:pPr>
      <w:r w:rsidRPr="00723CED">
        <w:rPr>
          <w:sz w:val="16"/>
          <w:lang w:val="en-IE"/>
        </w:rPr>
        <w:t>(</w:t>
      </w:r>
      <w:r>
        <w:rPr>
          <w:rStyle w:val="FootnoteReference"/>
          <w:sz w:val="16"/>
          <w:szCs w:val="16"/>
        </w:rPr>
        <w:footnoteRef/>
      </w:r>
      <w:r w:rsidRPr="00723CED">
        <w:rPr>
          <w:sz w:val="16"/>
          <w:lang w:val="en-IE"/>
        </w:rPr>
        <w:t>)</w:t>
      </w:r>
      <w:r w:rsidRPr="00723CED">
        <w:rPr>
          <w:lang w:val="en-IE"/>
        </w:rPr>
        <w:tab/>
      </w:r>
      <w:hyperlink r:id="rId6" w:history="1">
        <w:r w:rsidRPr="00723CED">
          <w:rPr>
            <w:rStyle w:val="Hyperlink"/>
            <w:sz w:val="16"/>
            <w:lang w:val="en-IE"/>
          </w:rPr>
          <w:t>JOIN(2024) 25 final</w:t>
        </w:r>
      </w:hyperlink>
      <w:r w:rsidRPr="00723CED">
        <w:rPr>
          <w:lang w:val="en-IE"/>
        </w:rPr>
        <w:t>.</w:t>
      </w:r>
    </w:p>
  </w:footnote>
  <w:footnote w:id="13">
    <w:p w14:paraId="59BC9314" w14:textId="77777777" w:rsidR="00D62472" w:rsidRPr="00723CED" w:rsidRDefault="00723CED">
      <w:pPr>
        <w:pStyle w:val="FootnoteText"/>
        <w:spacing w:after="0"/>
        <w:rPr>
          <w:sz w:val="16"/>
          <w:szCs w:val="16"/>
          <w:lang w:val="en-IE"/>
        </w:rPr>
      </w:pPr>
      <w:r w:rsidRPr="00723CED">
        <w:rPr>
          <w:sz w:val="16"/>
          <w:lang w:val="en-IE"/>
        </w:rPr>
        <w:t>(</w:t>
      </w:r>
      <w:r>
        <w:rPr>
          <w:rStyle w:val="FootnoteReference"/>
          <w:sz w:val="16"/>
          <w:szCs w:val="16"/>
        </w:rPr>
        <w:footnoteRef/>
      </w:r>
      <w:r w:rsidRPr="00723CED">
        <w:rPr>
          <w:sz w:val="16"/>
          <w:lang w:val="en-IE"/>
        </w:rPr>
        <w:t>)</w:t>
      </w:r>
      <w:r w:rsidRPr="00723CED">
        <w:rPr>
          <w:lang w:val="en-IE"/>
        </w:rPr>
        <w:tab/>
      </w:r>
      <w:r w:rsidRPr="00723CED">
        <w:rPr>
          <w:color w:val="000000" w:themeColor="text1"/>
          <w:sz w:val="16"/>
          <w:lang w:val="en-IE"/>
        </w:rPr>
        <w:t>WHO, 2024.</w:t>
      </w:r>
    </w:p>
  </w:footnote>
  <w:footnote w:id="14">
    <w:p w14:paraId="32635190" w14:textId="77777777" w:rsidR="00D62472" w:rsidRPr="00723CED" w:rsidRDefault="00723CED">
      <w:pPr>
        <w:pStyle w:val="FootnoteText"/>
        <w:spacing w:after="0"/>
        <w:rPr>
          <w:sz w:val="16"/>
          <w:szCs w:val="16"/>
          <w:lang w:val="en-IE"/>
        </w:rPr>
      </w:pPr>
      <w:r w:rsidRPr="00723CED">
        <w:rPr>
          <w:sz w:val="16"/>
          <w:lang w:val="en-IE"/>
        </w:rPr>
        <w:t>(</w:t>
      </w:r>
      <w:r>
        <w:rPr>
          <w:rStyle w:val="FootnoteReference"/>
          <w:sz w:val="16"/>
          <w:szCs w:val="16"/>
        </w:rPr>
        <w:footnoteRef/>
      </w:r>
      <w:r w:rsidRPr="00723CED">
        <w:rPr>
          <w:sz w:val="16"/>
          <w:lang w:val="en-IE"/>
        </w:rPr>
        <w:t>)</w:t>
      </w:r>
      <w:r w:rsidRPr="00723CED">
        <w:rPr>
          <w:lang w:val="en-IE"/>
        </w:rPr>
        <w:tab/>
      </w:r>
      <w:r w:rsidRPr="00723CED">
        <w:rPr>
          <w:sz w:val="16"/>
          <w:lang w:val="en-IE"/>
        </w:rPr>
        <w:t xml:space="preserve">IHME, </w:t>
      </w:r>
      <w:r w:rsidRPr="00723CED">
        <w:rPr>
          <w:i/>
          <w:iCs/>
          <w:sz w:val="16"/>
          <w:lang w:val="en-IE"/>
        </w:rPr>
        <w:t>Our World in Data</w:t>
      </w:r>
      <w:r w:rsidRPr="00723CED">
        <w:rPr>
          <w:sz w:val="16"/>
          <w:lang w:val="en-IE"/>
        </w:rPr>
        <w:t>.</w:t>
      </w:r>
    </w:p>
  </w:footnote>
  <w:footnote w:id="15">
    <w:p w14:paraId="273CDF59"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Det handlar bland annat om förebyggande av icke-smittsamma sjukdomar (Healthier Together – EU:s initiativ för icke-smittsamma sjukdomar), bekämpning av cancer (Europas plan mot cancer), bekämpning av psykiska hälsoutmaningar (den övergripande strategin för psykisk hälsa), motverkande av hjärt–kärlsjukdomar (EU:s plan för hjärt–kärlhälsa), möjliggörande av gränsöverskridande nätverk (europeiska referensnätverk) eller hantering av hälsorelaterade problem kopplade till klimatförändringarna (EU-strategin för klimatanpassning).</w:t>
      </w:r>
    </w:p>
  </w:footnote>
  <w:footnote w:id="16">
    <w:p w14:paraId="65513198" w14:textId="77777777" w:rsidR="00D62472" w:rsidRPr="00723CED" w:rsidRDefault="00723CED">
      <w:pPr>
        <w:pStyle w:val="FootnoteText"/>
        <w:spacing w:after="0"/>
        <w:rPr>
          <w:lang w:val="en-IE"/>
        </w:rPr>
      </w:pPr>
      <w:r w:rsidRPr="00723CED">
        <w:rPr>
          <w:lang w:val="en-IE"/>
        </w:rPr>
        <w:t>(</w:t>
      </w:r>
      <w:r>
        <w:rPr>
          <w:rStyle w:val="FootnoteReference"/>
          <w:sz w:val="16"/>
          <w:szCs w:val="16"/>
        </w:rPr>
        <w:footnoteRef/>
      </w:r>
      <w:r w:rsidRPr="00723CED">
        <w:rPr>
          <w:lang w:val="en-IE"/>
        </w:rPr>
        <w:t>)</w:t>
      </w:r>
      <w:r w:rsidRPr="00723CED">
        <w:rPr>
          <w:lang w:val="en-IE"/>
        </w:rPr>
        <w:tab/>
      </w:r>
      <w:hyperlink r:id="rId7" w:history="1">
        <w:r w:rsidRPr="00723CED">
          <w:rPr>
            <w:rStyle w:val="Hyperlink"/>
            <w:sz w:val="16"/>
            <w:lang w:val="en-IE"/>
          </w:rPr>
          <w:t>COM(2020) 761 final</w:t>
        </w:r>
      </w:hyperlink>
      <w:r w:rsidRPr="00723CED">
        <w:rPr>
          <w:lang w:val="en-IE"/>
        </w:rPr>
        <w:t>.</w:t>
      </w:r>
    </w:p>
  </w:footnote>
  <w:footnote w:id="17">
    <w:p w14:paraId="76E8935E" w14:textId="77777777" w:rsidR="00D62472" w:rsidRPr="00723CED" w:rsidRDefault="00723CED">
      <w:pPr>
        <w:pStyle w:val="FootnoteText"/>
        <w:spacing w:after="0"/>
        <w:rPr>
          <w:lang w:val="en-IE"/>
        </w:rPr>
      </w:pPr>
      <w:r w:rsidRPr="00723CED">
        <w:rPr>
          <w:lang w:val="en-IE"/>
        </w:rPr>
        <w:t>(</w:t>
      </w:r>
      <w:r>
        <w:rPr>
          <w:rStyle w:val="FootnoteReference"/>
          <w:sz w:val="16"/>
          <w:szCs w:val="16"/>
        </w:rPr>
        <w:footnoteRef/>
      </w:r>
      <w:r w:rsidRPr="00723CED">
        <w:rPr>
          <w:lang w:val="en-IE"/>
        </w:rPr>
        <w:t>)</w:t>
      </w:r>
      <w:r w:rsidRPr="00723CED">
        <w:rPr>
          <w:lang w:val="en-IE"/>
        </w:rPr>
        <w:tab/>
      </w:r>
      <w:hyperlink r:id="rId8" w:history="1">
        <w:r w:rsidRPr="00723CED">
          <w:rPr>
            <w:rStyle w:val="Hyperlink"/>
            <w:sz w:val="16"/>
            <w:lang w:val="en-IE"/>
          </w:rPr>
          <w:t>COM(2025) 102 final</w:t>
        </w:r>
      </w:hyperlink>
      <w:r w:rsidRPr="00723CED">
        <w:rPr>
          <w:lang w:val="en-IE"/>
        </w:rPr>
        <w:t>.</w:t>
      </w:r>
    </w:p>
  </w:footnote>
  <w:footnote w:id="18">
    <w:p w14:paraId="536A86B7" w14:textId="77777777" w:rsidR="00D62472" w:rsidRPr="00723CED" w:rsidRDefault="00723CED">
      <w:pPr>
        <w:pStyle w:val="FootnoteText"/>
        <w:spacing w:after="0"/>
        <w:rPr>
          <w:lang w:val="en-IE"/>
        </w:rPr>
      </w:pPr>
      <w:r w:rsidRPr="00723CED">
        <w:rPr>
          <w:lang w:val="en-IE"/>
        </w:rPr>
        <w:t>(</w:t>
      </w:r>
      <w:r>
        <w:rPr>
          <w:rStyle w:val="FootnoteReference"/>
          <w:sz w:val="16"/>
          <w:szCs w:val="16"/>
        </w:rPr>
        <w:footnoteRef/>
      </w:r>
      <w:r w:rsidRPr="00723CED">
        <w:rPr>
          <w:lang w:val="en-IE"/>
        </w:rPr>
        <w:t>)</w:t>
      </w:r>
      <w:r w:rsidRPr="00723CED">
        <w:rPr>
          <w:lang w:val="en-IE"/>
        </w:rPr>
        <w:tab/>
      </w:r>
      <w:hyperlink r:id="rId9" w:history="1">
        <w:r w:rsidRPr="00723CED">
          <w:rPr>
            <w:rStyle w:val="Hyperlink"/>
            <w:sz w:val="16"/>
            <w:lang w:val="en-IE"/>
          </w:rPr>
          <w:t>ST/9581/2023 INIT</w:t>
        </w:r>
      </w:hyperlink>
      <w:r w:rsidRPr="00723CED">
        <w:rPr>
          <w:lang w:val="en-IE"/>
        </w:rPr>
        <w:t>.</w:t>
      </w:r>
    </w:p>
  </w:footnote>
  <w:footnote w:id="19">
    <w:p w14:paraId="38BF0734"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Tillhandahållande av tjänster, hälso- och sjukvårdspersonal, hälsoinformationssystem, tillgång till viktiga läkemedel, finansiering och ledarskap/styrning.</w:t>
      </w:r>
    </w:p>
  </w:footnote>
  <w:footnote w:id="20">
    <w:p w14:paraId="13841EE0"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Det direkta bidraget till WHO:s budget för 2024–2025 uppgick till över 1,7 miljarder US-dollar, vilket motsvarar 22 % av de totala bidragen och mer än dubbelt så mycket som de näst största bidragsgivarna.</w:t>
      </w:r>
    </w:p>
  </w:footnote>
  <w:footnote w:id="21">
    <w:p w14:paraId="4EA127B4"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Mellan 2021 och 2025 gav EU direktstöd för hälsorelaterade åtgärder till 49 länder i olika regioner: Afrika söder om Sahara (Benin, Burkina Faso, Burundi, Centralafrikanska republiken, Demokratiska republiken Kongo, Etiopien, Ghana, Guinea, Guinea-Bissau, Kenya, Madagaskar, Mauretanien, Moçambique, Niger, Nigeria, Rwanda, Senegal, Somalia, Sudan, Sydafrika, Sydsudan, Uganda, Zambia och Zimbabwe), Nordafrika (Egypten, Libyen, Marocko och Tunisien), Mellanöstern (Jordanien, Libanon, Syrien samt Västbanken och Gazaremsan), Östeuropa, grannskapet och västra Balkan (Armenien, Azerbajdzjan, Bosnien och Hercegovina, Moldavien, Nordmakedonien, Serbien, Turkiet och Ukraina), Central- och Sydasien (Afghanistan, Laos och Uzbekistan), Latinamerika (Costa Rica, El Salvador och Mexiko) och Karibien (Barbados, Guyana och Kuba).</w:t>
      </w:r>
    </w:p>
  </w:footnote>
  <w:footnote w:id="22">
    <w:p w14:paraId="177D044D" w14:textId="77777777" w:rsidR="00D62472" w:rsidRDefault="00723CED">
      <w:pPr>
        <w:pStyle w:val="FootnoteText"/>
        <w:spacing w:after="0"/>
        <w:rPr>
          <w:sz w:val="16"/>
          <w:szCs w:val="16"/>
        </w:rPr>
      </w:pPr>
      <w:r>
        <w:rPr>
          <w:sz w:val="16"/>
        </w:rPr>
        <w:t xml:space="preserve"> (</w:t>
      </w:r>
      <w:r>
        <w:rPr>
          <w:rStyle w:val="FootnoteReference"/>
          <w:sz w:val="16"/>
          <w:szCs w:val="16"/>
        </w:rPr>
        <w:footnoteRef/>
      </w:r>
      <w:r>
        <w:rPr>
          <w:sz w:val="16"/>
        </w:rPr>
        <w:t>)</w:t>
      </w:r>
      <w:r>
        <w:tab/>
      </w:r>
      <w:r>
        <w:rPr>
          <w:sz w:val="16"/>
        </w:rPr>
        <w:t>Principer som 7:1:7-modellen (7 dagar för att upptäcka ett misstänkt sjukdomsutbrott, 1 dag för att underrätta de berörda folkhälsomyndigheterna och 7 dagar för att genomföra tidiga insatser) används för att förmedla att läget är brådskande i krissituationer.</w:t>
      </w:r>
    </w:p>
  </w:footnote>
  <w:footnote w:id="23">
    <w:p w14:paraId="321AC4A2"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10" w:history="1">
        <w:r>
          <w:rPr>
            <w:rStyle w:val="Hyperlink"/>
            <w:sz w:val="16"/>
          </w:rPr>
          <w:t>Förordning (EU)</w:t>
        </w:r>
        <w:bookmarkStart w:id="3" w:name="_Hlt228360739"/>
        <w:bookmarkStart w:id="4" w:name="_Hlt228360740"/>
        <w:r>
          <w:rPr>
            <w:rStyle w:val="Hyperlink"/>
            <w:sz w:val="16"/>
          </w:rPr>
          <w:t xml:space="preserve"> </w:t>
        </w:r>
        <w:bookmarkStart w:id="5" w:name="_Hlt228360247"/>
        <w:bookmarkStart w:id="6" w:name="_Hlt228360248"/>
        <w:bookmarkEnd w:id="3"/>
        <w:bookmarkEnd w:id="4"/>
        <w:r>
          <w:rPr>
            <w:rStyle w:val="Hyperlink"/>
            <w:sz w:val="16"/>
          </w:rPr>
          <w:t>2</w:t>
        </w:r>
        <w:bookmarkEnd w:id="5"/>
        <w:bookmarkEnd w:id="6"/>
        <w:r>
          <w:rPr>
            <w:rStyle w:val="Hyperlink"/>
            <w:sz w:val="16"/>
          </w:rPr>
          <w:t>022/2371 om allvarliga gränsöverskridande hot mot människors hälsa</w:t>
        </w:r>
      </w:hyperlink>
      <w:r>
        <w:rPr>
          <w:rStyle w:val="Hyperlink"/>
          <w:sz w:val="16"/>
        </w:rPr>
        <w:t>.</w:t>
      </w:r>
    </w:p>
  </w:footnote>
  <w:footnote w:id="24">
    <w:p w14:paraId="47F63957"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11" w:history="1">
        <w:r>
          <w:rPr>
            <w:rStyle w:val="Hyperlink"/>
            <w:sz w:val="16"/>
          </w:rPr>
          <w:t>COM(2025) 745 final</w:t>
        </w:r>
      </w:hyperlink>
      <w:r>
        <w:t>.</w:t>
      </w:r>
      <w:r>
        <w:rPr>
          <w:sz w:val="16"/>
        </w:rPr>
        <w:t xml:space="preserve"> </w:t>
      </w:r>
    </w:p>
  </w:footnote>
  <w:footnote w:id="25">
    <w:p w14:paraId="4C02AB2D"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12" w:history="1">
        <w:r>
          <w:rPr>
            <w:rStyle w:val="Hyperlink"/>
            <w:sz w:val="16"/>
          </w:rPr>
          <w:t>Rådets förordning (EU) 2022/2372 om en ram för åtgärder som ska säkerställa försörjning av krisnödvändiga medicinska motåtgärder i händelse av ett hot mot folkhälsan på unionsnivå</w:t>
        </w:r>
      </w:hyperlink>
      <w:r>
        <w:rPr>
          <w:sz w:val="16"/>
        </w:rPr>
        <w:t>.</w:t>
      </w:r>
    </w:p>
  </w:footnote>
  <w:footnote w:id="26">
    <w:p w14:paraId="1D6DBEC2" w14:textId="77777777" w:rsidR="00D62472" w:rsidRDefault="00723CED">
      <w:pPr>
        <w:pStyle w:val="FootnoteText"/>
        <w:spacing w:after="0"/>
        <w:rPr>
          <w:rStyle w:val="Hyperlink"/>
          <w:sz w:val="16"/>
          <w:szCs w:val="16"/>
        </w:rPr>
      </w:pPr>
      <w:r>
        <w:t>(</w:t>
      </w:r>
      <w:r>
        <w:rPr>
          <w:rStyle w:val="FootnoteReference"/>
          <w:sz w:val="16"/>
          <w:szCs w:val="16"/>
        </w:rPr>
        <w:footnoteRef/>
      </w:r>
      <w:r>
        <w:t>)</w:t>
      </w:r>
      <w:r>
        <w:tab/>
      </w:r>
      <w:hyperlink r:id="rId13" w:history="1">
        <w:r>
          <w:rPr>
            <w:rStyle w:val="Hyperlink"/>
            <w:sz w:val="16"/>
          </w:rPr>
          <w:t>COM(2025) 529 final</w:t>
        </w:r>
      </w:hyperlink>
      <w:r>
        <w:t>.</w:t>
      </w:r>
    </w:p>
  </w:footnote>
  <w:footnote w:id="27">
    <w:p w14:paraId="163BD10D"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Till exempel initiativet Epidemics Intelligence from Open Sources, International Pathogen Surveillance Network, initiativet Pathogen Genomics och det globala konsortiet för avloppsvatten och miljöövervakning för folkhälsa (Glowacon).</w:t>
      </w:r>
    </w:p>
  </w:footnote>
  <w:footnote w:id="28">
    <w:p w14:paraId="0FCF9886"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En okänd patogen som ännu inte har uppstått men som skulle kunna utgöra ett betydande hot mot folkhälsan. </w:t>
      </w:r>
    </w:p>
  </w:footnote>
  <w:footnote w:id="29">
    <w:p w14:paraId="2A1AF405"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Afrika importerar till exempel 99 % av sina vacciner och 70–90 % av sina läkemedel (WHO, 2024), medan den lokala produktionen i Latinamerika uppskattades till omkring 15 % av försörjningen av covid-19-vacciner (PATH, 2024).</w:t>
      </w:r>
    </w:p>
  </w:footnote>
  <w:footnote w:id="30">
    <w:p w14:paraId="67102527"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T.ex. genom läkemedelsreformen, översynen av reglerna för medicintekniska produkter och förslaget till förordning om kritiska läkemedel.</w:t>
      </w:r>
    </w:p>
  </w:footnote>
  <w:footnote w:id="31">
    <w:p w14:paraId="716E31FD"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14" w:history="1">
        <w:r>
          <w:rPr>
            <w:rStyle w:val="Hyperlink"/>
            <w:sz w:val="16"/>
          </w:rPr>
          <w:t>https://www.global-health-edctp3.europa.eu/index_en</w:t>
        </w:r>
      </w:hyperlink>
      <w:r>
        <w:t>.</w:t>
      </w:r>
      <w:r>
        <w:rPr>
          <w:sz w:val="16"/>
        </w:rPr>
        <w:t xml:space="preserve"> </w:t>
      </w:r>
    </w:p>
  </w:footnote>
  <w:footnote w:id="32">
    <w:p w14:paraId="2B80BB89"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15" w:history="1">
        <w:r>
          <w:rPr>
            <w:rStyle w:val="Hyperlink"/>
            <w:sz w:val="16"/>
          </w:rPr>
          <w:t>https://international-partnerships.ec.europa.eu/policies/team-europe-initiatives/team-europe-initiative-manufacturing-and-access-vaccines-medicines-and-health-technologies-africa_sv</w:t>
        </w:r>
      </w:hyperlink>
      <w:r>
        <w:t>.</w:t>
      </w:r>
      <w:r>
        <w:rPr>
          <w:sz w:val="16"/>
        </w:rPr>
        <w:t xml:space="preserve"> </w:t>
      </w:r>
    </w:p>
  </w:footnote>
  <w:footnote w:id="33">
    <w:p w14:paraId="04A73DBB"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MAV+-ramen omfattar sex huvudsakliga arbetsområden, närmare bestämt i) industriell utveckling och leveranskedjor, inklusive deltagande av den privata sektorn, ii) marknadsutformning, efterfrågekonsolidering och förenklade handelsprocedurer, iii) förstärkning av lagstiftningen, iv) frivillig tekniköverföring på ömsesidigt överenskomna villkor och med respekt för immateriella rättigheter, v) tillgång till finansiering, och vi) forskning, högre utbildning och kompetensutveckling.</w:t>
      </w:r>
    </w:p>
  </w:footnote>
  <w:footnote w:id="34">
    <w:p w14:paraId="1EF7E2F0" w14:textId="77777777" w:rsidR="00D62472" w:rsidRPr="00723CED" w:rsidRDefault="00723CED">
      <w:pPr>
        <w:pStyle w:val="FootnoteText"/>
        <w:spacing w:after="0"/>
        <w:rPr>
          <w:sz w:val="16"/>
          <w:szCs w:val="16"/>
          <w:lang w:val="en-IE"/>
        </w:rPr>
      </w:pPr>
      <w:r w:rsidRPr="00723CED">
        <w:rPr>
          <w:sz w:val="16"/>
          <w:lang w:val="en-IE"/>
        </w:rPr>
        <w:t>(</w:t>
      </w:r>
      <w:r>
        <w:rPr>
          <w:rStyle w:val="FootnoteReference"/>
          <w:sz w:val="16"/>
          <w:szCs w:val="16"/>
        </w:rPr>
        <w:footnoteRef/>
      </w:r>
      <w:r w:rsidRPr="00723CED">
        <w:rPr>
          <w:sz w:val="16"/>
          <w:lang w:val="en-IE"/>
        </w:rPr>
        <w:t>)</w:t>
      </w:r>
      <w:r w:rsidRPr="00723CED">
        <w:rPr>
          <w:lang w:val="en-IE"/>
        </w:rPr>
        <w:tab/>
      </w:r>
      <w:hyperlink r:id="rId16" w:history="1">
        <w:r w:rsidRPr="00723CED">
          <w:rPr>
            <w:rStyle w:val="Hyperlink"/>
            <w:i/>
            <w:iCs/>
            <w:sz w:val="16"/>
            <w:lang w:val="en-IE"/>
          </w:rPr>
          <w:t>Accelerating Human Development</w:t>
        </w:r>
        <w:r w:rsidRPr="00723CED">
          <w:rPr>
            <w:rStyle w:val="Hyperlink"/>
            <w:sz w:val="16"/>
            <w:lang w:val="en-IE"/>
          </w:rPr>
          <w:t xml:space="preserve"> – </w:t>
        </w:r>
        <w:r w:rsidRPr="00723CED">
          <w:rPr>
            <w:rStyle w:val="Hyperlink"/>
            <w:i/>
            <w:iCs/>
            <w:sz w:val="16"/>
            <w:lang w:val="en-IE"/>
          </w:rPr>
          <w:t>International Partnerships</w:t>
        </w:r>
      </w:hyperlink>
      <w:r w:rsidRPr="00723CED">
        <w:rPr>
          <w:lang w:val="en-IE"/>
        </w:rPr>
        <w:t>.</w:t>
      </w:r>
    </w:p>
  </w:footnote>
  <w:footnote w:id="35">
    <w:p w14:paraId="26C9C6EA"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Avtalet om gemensam upphandling av medicinska motåtgärder har undertecknats av 39 länder, däribland alla utvidgningsländer, Norge, Island och Liechtenstein.</w:t>
      </w:r>
    </w:p>
  </w:footnote>
  <w:footnote w:id="36">
    <w:p w14:paraId="25E0BB8D"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17" w:history="1">
        <w:r>
          <w:rPr>
            <w:rStyle w:val="Hyperlink"/>
            <w:sz w:val="16"/>
          </w:rPr>
          <w:t>https://health.ec.europa.eu/latest-updates/new-pandemic-preparedness-facilities-inaugurated-under-heras-eufab-network-2025-02-03_sv</w:t>
        </w:r>
      </w:hyperlink>
      <w:r>
        <w:t>.</w:t>
      </w:r>
      <w:r>
        <w:rPr>
          <w:sz w:val="16"/>
        </w:rPr>
        <w:t xml:space="preserve"> </w:t>
      </w:r>
    </w:p>
  </w:footnote>
  <w:footnote w:id="37">
    <w:p w14:paraId="3987E112"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18" w:history="1">
        <w:r>
          <w:rPr>
            <w:rStyle w:val="Hyperlink"/>
            <w:sz w:val="16"/>
          </w:rPr>
          <w:t>https://www.edpb.europa.eu/news/news/2026/edpb-brings-clarity-data-processing-scientific-research-speeds-finalisation_sv</w:t>
        </w:r>
      </w:hyperlink>
      <w:r>
        <w:t>.</w:t>
      </w:r>
      <w:r>
        <w:rPr>
          <w:sz w:val="16"/>
        </w:rPr>
        <w:t xml:space="preserve"> </w:t>
      </w:r>
    </w:p>
  </w:footnote>
  <w:footnote w:id="38">
    <w:p w14:paraId="2CD24901"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Se definitionerna av </w:t>
      </w:r>
      <w:r>
        <w:rPr>
          <w:i/>
          <w:iCs/>
          <w:sz w:val="16"/>
        </w:rPr>
        <w:t>felaktig information</w:t>
      </w:r>
      <w:r>
        <w:rPr>
          <w:sz w:val="16"/>
        </w:rPr>
        <w:t xml:space="preserve"> och </w:t>
      </w:r>
      <w:r>
        <w:rPr>
          <w:i/>
          <w:iCs/>
          <w:sz w:val="16"/>
        </w:rPr>
        <w:t>desinformation</w:t>
      </w:r>
      <w:r>
        <w:rPr>
          <w:sz w:val="16"/>
        </w:rPr>
        <w:t xml:space="preserve"> i meddelandet om EU:s handlingsplan för demokrati: </w:t>
      </w:r>
      <w:hyperlink r:id="rId19" w:history="1">
        <w:r>
          <w:rPr>
            <w:rStyle w:val="Hyperlink"/>
            <w:sz w:val="16"/>
          </w:rPr>
          <w:t>COM(2020) 790 final</w:t>
        </w:r>
      </w:hyperlink>
      <w:r>
        <w:t>.</w:t>
      </w:r>
    </w:p>
  </w:footnote>
  <w:footnote w:id="39">
    <w:p w14:paraId="1A47808F"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20" w:history="1">
        <w:r>
          <w:rPr>
            <w:rStyle w:val="Hyperlink"/>
            <w:sz w:val="16"/>
          </w:rPr>
          <w:t>JOIN(2020) 8 final</w:t>
        </w:r>
      </w:hyperlink>
      <w:r>
        <w:t>.</w:t>
      </w:r>
    </w:p>
  </w:footnote>
  <w:footnote w:id="40">
    <w:p w14:paraId="441BB595"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hyperlink r:id="rId21" w:history="1">
        <w:r>
          <w:rPr>
            <w:rStyle w:val="Hyperlink"/>
            <w:sz w:val="16"/>
          </w:rPr>
          <w:t>https://www.who.int/news/item/25-09-2025-core-funders-of-medical-research-commit-to-strengthening-clinical-trials-worldwide</w:t>
        </w:r>
      </w:hyperlink>
      <w:r>
        <w:t>.</w:t>
      </w:r>
    </w:p>
  </w:footnote>
  <w:footnote w:id="41">
    <w:p w14:paraId="7611E17A" w14:textId="77777777" w:rsidR="00D62472" w:rsidRDefault="00723CED">
      <w:pPr>
        <w:pStyle w:val="FootnoteText"/>
        <w:spacing w:after="0"/>
        <w:rPr>
          <w:sz w:val="16"/>
          <w:szCs w:val="16"/>
        </w:rPr>
      </w:pPr>
      <w:r>
        <w:rPr>
          <w:sz w:val="16"/>
        </w:rPr>
        <w:t>(</w:t>
      </w:r>
      <w:r>
        <w:rPr>
          <w:rStyle w:val="FootnoteReference"/>
          <w:sz w:val="16"/>
          <w:szCs w:val="16"/>
        </w:rPr>
        <w:footnoteRef/>
      </w:r>
      <w:r>
        <w:rPr>
          <w:sz w:val="16"/>
        </w:rPr>
        <w:t>)</w:t>
      </w:r>
      <w:r>
        <w:tab/>
      </w:r>
      <w:r>
        <w:rPr>
          <w:sz w:val="16"/>
        </w:rPr>
        <w:t>Kommissionen avser framför allt att tillhandahålla tillräcklig finansiering för Gencode, UniProt och Europe PMC.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5721D" w14:textId="77777777" w:rsidR="0089166D" w:rsidRPr="0089166D" w:rsidRDefault="0089166D" w:rsidP="008916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A3265" w14:textId="77777777" w:rsidR="0089166D" w:rsidRPr="0089166D" w:rsidRDefault="0089166D" w:rsidP="008916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E69F7" w14:textId="77777777" w:rsidR="0089166D" w:rsidRPr="0089166D" w:rsidRDefault="0089166D" w:rsidP="008916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0FE3" w14:textId="77777777" w:rsidR="00D62472" w:rsidRDefault="00D624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19094" w14:textId="77777777" w:rsidR="00D62472" w:rsidRDefault="00D624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FD741" w14:textId="77777777" w:rsidR="00D62472" w:rsidRDefault="00D62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30A8C5E"/>
    <w:lvl w:ilvl="0">
      <w:start w:val="1"/>
      <w:numFmt w:val="decimal"/>
      <w:pStyle w:val="ListNumber"/>
      <w:lvlText w:val="%1."/>
      <w:lvlJc w:val="left"/>
      <w:pPr>
        <w:tabs>
          <w:tab w:val="num" w:pos="360"/>
        </w:tabs>
        <w:ind w:left="360" w:hanging="360"/>
      </w:pPr>
    </w:lvl>
  </w:abstractNum>
  <w:abstractNum w:abstractNumId="1" w15:restartNumberingAfterBreak="0">
    <w:nsid w:val="001E38F5"/>
    <w:multiLevelType w:val="hybridMultilevel"/>
    <w:tmpl w:val="0F687E92"/>
    <w:lvl w:ilvl="0" w:tplc="324877A4">
      <w:start w:val="1"/>
      <w:numFmt w:val="decimal"/>
      <w:pStyle w:val="Heading1"/>
      <w:lvlText w:val="%1."/>
      <w:lvlJc w:val="left"/>
      <w:pPr>
        <w:ind w:left="1069" w:hanging="360"/>
      </w:p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 w15:restartNumberingAfterBreak="0">
    <w:nsid w:val="0614572D"/>
    <w:multiLevelType w:val="hybridMultilevel"/>
    <w:tmpl w:val="E12A8836"/>
    <w:name w:val="CustomListNum"/>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900F7"/>
    <w:multiLevelType w:val="multilevel"/>
    <w:tmpl w:val="D0D0782C"/>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multilevel"/>
    <w:tmpl w:val="E332892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hybridMultilevel"/>
    <w:tmpl w:val="3A3C670A"/>
    <w:name w:val="ListNumberNumbering"/>
    <w:lvl w:ilvl="0" w:tplc="EB408FA0">
      <w:start w:val="1"/>
      <w:numFmt w:val="decimal"/>
      <w:lvlText w:val="(%1)"/>
      <w:lvlJc w:val="left"/>
      <w:pPr>
        <w:tabs>
          <w:tab w:val="num" w:pos="709"/>
        </w:tabs>
        <w:ind w:left="709" w:hanging="709"/>
      </w:pPr>
    </w:lvl>
    <w:lvl w:ilvl="1" w:tplc="1809000B">
      <w:start w:val="1"/>
      <w:numFmt w:val="bullet"/>
      <w:lvlText w:val=""/>
      <w:lvlJc w:val="left"/>
      <w:pPr>
        <w:ind w:left="720" w:hanging="360"/>
      </w:pPr>
      <w:rPr>
        <w:rFonts w:ascii="Wingdings" w:hAnsi="Wingdings" w:hint="default"/>
      </w:rPr>
    </w:lvl>
    <w:lvl w:ilvl="2" w:tplc="86749414">
      <w:numFmt w:val="bullet"/>
      <w:lvlText w:val="-"/>
      <w:lvlJc w:val="left"/>
      <w:pPr>
        <w:ind w:left="720" w:hanging="360"/>
      </w:pPr>
      <w:rPr>
        <w:rFonts w:ascii="Times New Roman" w:eastAsia="Times New Roman" w:hAnsi="Times New Roman" w:cs="Times New Roman" w:hint="default"/>
      </w:rPr>
    </w:lvl>
    <w:lvl w:ilvl="3" w:tplc="BAEC7CFE">
      <w:start w:val="1"/>
      <w:numFmt w:val="bullet"/>
      <w:pStyle w:val="ListNumberLevel4"/>
      <w:lvlText w:val=""/>
      <w:lvlJc w:val="left"/>
      <w:pPr>
        <w:tabs>
          <w:tab w:val="num" w:pos="2835"/>
        </w:tabs>
        <w:ind w:left="2835" w:hanging="709"/>
      </w:pPr>
      <w:rPr>
        <w:rFonts w:ascii="Symbol" w:hAnsi="Symbol" w:hint="default"/>
      </w:rPr>
    </w:lvl>
    <w:lvl w:ilvl="4" w:tplc="87484C00">
      <w:numFmt w:val="decimal"/>
      <w:lvlText w:val=""/>
      <w:lvlJc w:val="left"/>
    </w:lvl>
    <w:lvl w:ilvl="5" w:tplc="F5DA7104">
      <w:numFmt w:val="decimal"/>
      <w:lvlText w:val=""/>
      <w:lvlJc w:val="left"/>
    </w:lvl>
    <w:lvl w:ilvl="6" w:tplc="15EA3230">
      <w:numFmt w:val="decimal"/>
      <w:lvlText w:val=""/>
      <w:lvlJc w:val="left"/>
    </w:lvl>
    <w:lvl w:ilvl="7" w:tplc="C660E016">
      <w:numFmt w:val="decimal"/>
      <w:lvlText w:val=""/>
      <w:lvlJc w:val="left"/>
    </w:lvl>
    <w:lvl w:ilvl="8" w:tplc="517A273C">
      <w:numFmt w:val="decimal"/>
      <w:lvlText w:val=""/>
      <w:lvlJc w:val="left"/>
    </w:lvl>
  </w:abstractNum>
  <w:abstractNum w:abstractNumId="6" w15:restartNumberingAfterBreak="0">
    <w:nsid w:val="120B8345"/>
    <w:multiLevelType w:val="multilevel"/>
    <w:tmpl w:val="C07E511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2DA0B266"/>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1928791E"/>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0F488E8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A322D62"/>
    <w:multiLevelType w:val="hybridMultilevel"/>
    <w:tmpl w:val="E72E6436"/>
    <w:lvl w:ilvl="0" w:tplc="4BC8D0BA">
      <w:start w:val="1"/>
      <w:numFmt w:val="decimal"/>
      <w:lvlText w:val="(%1)"/>
      <w:lvlJc w:val="left"/>
      <w:pPr>
        <w:ind w:left="1074" w:hanging="360"/>
      </w:pPr>
      <w:rPr>
        <w:rFonts w:hint="default"/>
      </w:rPr>
    </w:lvl>
    <w:lvl w:ilvl="1" w:tplc="18090019" w:tentative="1">
      <w:start w:val="1"/>
      <w:numFmt w:val="lowerLetter"/>
      <w:lvlText w:val="%2."/>
      <w:lvlJc w:val="left"/>
      <w:pPr>
        <w:ind w:left="1794" w:hanging="360"/>
      </w:p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11" w15:restartNumberingAfterBreak="0">
    <w:nsid w:val="1C7B624F"/>
    <w:multiLevelType w:val="multilevel"/>
    <w:tmpl w:val="BBA8AFC6"/>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2375D40"/>
    <w:multiLevelType w:val="hybridMultilevel"/>
    <w:tmpl w:val="45B208F4"/>
    <w:lvl w:ilvl="0" w:tplc="EAEE37AE">
      <w:start w:val="1"/>
      <w:numFmt w:val="bullet"/>
      <w:lvlText w:val=""/>
      <w:lvlJc w:val="left"/>
      <w:pPr>
        <w:ind w:left="720" w:hanging="360"/>
      </w:pPr>
      <w:rPr>
        <w:rFonts w:ascii="Symbol" w:hAnsi="Symbol"/>
      </w:rPr>
    </w:lvl>
    <w:lvl w:ilvl="1" w:tplc="916C44EE">
      <w:start w:val="1"/>
      <w:numFmt w:val="bullet"/>
      <w:lvlText w:val=""/>
      <w:lvlJc w:val="left"/>
      <w:pPr>
        <w:ind w:left="720" w:hanging="360"/>
      </w:pPr>
      <w:rPr>
        <w:rFonts w:ascii="Symbol" w:hAnsi="Symbol"/>
      </w:rPr>
    </w:lvl>
    <w:lvl w:ilvl="2" w:tplc="D9AC28DA">
      <w:start w:val="1"/>
      <w:numFmt w:val="bullet"/>
      <w:lvlText w:val=""/>
      <w:lvlJc w:val="left"/>
      <w:pPr>
        <w:ind w:left="720" w:hanging="360"/>
      </w:pPr>
      <w:rPr>
        <w:rFonts w:ascii="Symbol" w:hAnsi="Symbol"/>
      </w:rPr>
    </w:lvl>
    <w:lvl w:ilvl="3" w:tplc="7C1A8362">
      <w:start w:val="1"/>
      <w:numFmt w:val="bullet"/>
      <w:lvlText w:val=""/>
      <w:lvlJc w:val="left"/>
      <w:pPr>
        <w:ind w:left="720" w:hanging="360"/>
      </w:pPr>
      <w:rPr>
        <w:rFonts w:ascii="Symbol" w:hAnsi="Symbol"/>
      </w:rPr>
    </w:lvl>
    <w:lvl w:ilvl="4" w:tplc="A8E835AA">
      <w:start w:val="1"/>
      <w:numFmt w:val="bullet"/>
      <w:lvlText w:val=""/>
      <w:lvlJc w:val="left"/>
      <w:pPr>
        <w:ind w:left="720" w:hanging="360"/>
      </w:pPr>
      <w:rPr>
        <w:rFonts w:ascii="Symbol" w:hAnsi="Symbol"/>
      </w:rPr>
    </w:lvl>
    <w:lvl w:ilvl="5" w:tplc="3FB4280C">
      <w:start w:val="1"/>
      <w:numFmt w:val="bullet"/>
      <w:lvlText w:val=""/>
      <w:lvlJc w:val="left"/>
      <w:pPr>
        <w:ind w:left="720" w:hanging="360"/>
      </w:pPr>
      <w:rPr>
        <w:rFonts w:ascii="Symbol" w:hAnsi="Symbol"/>
      </w:rPr>
    </w:lvl>
    <w:lvl w:ilvl="6" w:tplc="A7DA03A2">
      <w:start w:val="1"/>
      <w:numFmt w:val="bullet"/>
      <w:lvlText w:val=""/>
      <w:lvlJc w:val="left"/>
      <w:pPr>
        <w:ind w:left="720" w:hanging="360"/>
      </w:pPr>
      <w:rPr>
        <w:rFonts w:ascii="Symbol" w:hAnsi="Symbol"/>
      </w:rPr>
    </w:lvl>
    <w:lvl w:ilvl="7" w:tplc="B912966A">
      <w:start w:val="1"/>
      <w:numFmt w:val="bullet"/>
      <w:lvlText w:val=""/>
      <w:lvlJc w:val="left"/>
      <w:pPr>
        <w:ind w:left="720" w:hanging="360"/>
      </w:pPr>
      <w:rPr>
        <w:rFonts w:ascii="Symbol" w:hAnsi="Symbol"/>
      </w:rPr>
    </w:lvl>
    <w:lvl w:ilvl="8" w:tplc="F2100156">
      <w:start w:val="1"/>
      <w:numFmt w:val="bullet"/>
      <w:lvlText w:val=""/>
      <w:lvlJc w:val="left"/>
      <w:pPr>
        <w:ind w:left="720" w:hanging="360"/>
      </w:pPr>
      <w:rPr>
        <w:rFonts w:ascii="Symbol" w:hAnsi="Symbol"/>
      </w:rPr>
    </w:lvl>
  </w:abstractNum>
  <w:abstractNum w:abstractNumId="13" w15:restartNumberingAfterBreak="0">
    <w:nsid w:val="27DF4201"/>
    <w:multiLevelType w:val="hybridMultilevel"/>
    <w:tmpl w:val="A1A4BA5C"/>
    <w:lvl w:ilvl="0" w:tplc="1809000F">
      <w:start w:val="1"/>
      <w:numFmt w:val="decimal"/>
      <w:lvlText w:val="%1."/>
      <w:lvlJc w:val="lef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14" w15:restartNumberingAfterBreak="0">
    <w:nsid w:val="2C8DFDF8"/>
    <w:multiLevelType w:val="multilevel"/>
    <w:tmpl w:val="BB2AC04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76E2257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C10A23F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1507904"/>
    <w:multiLevelType w:val="hybridMultilevel"/>
    <w:tmpl w:val="DE1EB42A"/>
    <w:lvl w:ilvl="0" w:tplc="47EA5434">
      <w:start w:val="1"/>
      <w:numFmt w:val="decimal"/>
      <w:lvlText w:val="%1)"/>
      <w:lvlJc w:val="left"/>
      <w:pPr>
        <w:ind w:left="720" w:hanging="360"/>
      </w:pPr>
    </w:lvl>
    <w:lvl w:ilvl="1" w:tplc="A7225D22">
      <w:start w:val="1"/>
      <w:numFmt w:val="decimal"/>
      <w:lvlText w:val="%2)"/>
      <w:lvlJc w:val="left"/>
      <w:pPr>
        <w:ind w:left="720" w:hanging="360"/>
      </w:pPr>
    </w:lvl>
    <w:lvl w:ilvl="2" w:tplc="78F48A7C">
      <w:start w:val="1"/>
      <w:numFmt w:val="decimal"/>
      <w:lvlText w:val="%3)"/>
      <w:lvlJc w:val="left"/>
      <w:pPr>
        <w:ind w:left="720" w:hanging="360"/>
      </w:pPr>
    </w:lvl>
    <w:lvl w:ilvl="3" w:tplc="5CF0EF9C">
      <w:start w:val="1"/>
      <w:numFmt w:val="decimal"/>
      <w:lvlText w:val="%4)"/>
      <w:lvlJc w:val="left"/>
      <w:pPr>
        <w:ind w:left="720" w:hanging="360"/>
      </w:pPr>
    </w:lvl>
    <w:lvl w:ilvl="4" w:tplc="D57A4298">
      <w:start w:val="1"/>
      <w:numFmt w:val="decimal"/>
      <w:lvlText w:val="%5)"/>
      <w:lvlJc w:val="left"/>
      <w:pPr>
        <w:ind w:left="720" w:hanging="360"/>
      </w:pPr>
    </w:lvl>
    <w:lvl w:ilvl="5" w:tplc="2256C88A">
      <w:start w:val="1"/>
      <w:numFmt w:val="decimal"/>
      <w:lvlText w:val="%6)"/>
      <w:lvlJc w:val="left"/>
      <w:pPr>
        <w:ind w:left="720" w:hanging="360"/>
      </w:pPr>
    </w:lvl>
    <w:lvl w:ilvl="6" w:tplc="EB70D042">
      <w:start w:val="1"/>
      <w:numFmt w:val="decimal"/>
      <w:lvlText w:val="%7)"/>
      <w:lvlJc w:val="left"/>
      <w:pPr>
        <w:ind w:left="720" w:hanging="360"/>
      </w:pPr>
    </w:lvl>
    <w:lvl w:ilvl="7" w:tplc="2B42C668">
      <w:start w:val="1"/>
      <w:numFmt w:val="decimal"/>
      <w:lvlText w:val="%8)"/>
      <w:lvlJc w:val="left"/>
      <w:pPr>
        <w:ind w:left="720" w:hanging="360"/>
      </w:pPr>
    </w:lvl>
    <w:lvl w:ilvl="8" w:tplc="1846AA2A">
      <w:start w:val="1"/>
      <w:numFmt w:val="decimal"/>
      <w:lvlText w:val="%9)"/>
      <w:lvlJc w:val="left"/>
      <w:pPr>
        <w:ind w:left="720" w:hanging="360"/>
      </w:pPr>
    </w:lvl>
  </w:abstractNum>
  <w:abstractNum w:abstractNumId="18" w15:restartNumberingAfterBreak="0">
    <w:nsid w:val="35C8F9B5"/>
    <w:multiLevelType w:val="hybridMultilevel"/>
    <w:tmpl w:val="FFFFFFFF"/>
    <w:lvl w:ilvl="0" w:tplc="976E0248">
      <w:start w:val="1"/>
      <w:numFmt w:val="bullet"/>
      <w:lvlText w:val=""/>
      <w:lvlJc w:val="left"/>
      <w:pPr>
        <w:ind w:left="720" w:hanging="360"/>
      </w:pPr>
      <w:rPr>
        <w:rFonts w:ascii="Symbol" w:hAnsi="Symbol" w:hint="default"/>
      </w:rPr>
    </w:lvl>
    <w:lvl w:ilvl="1" w:tplc="C130EDE0">
      <w:start w:val="1"/>
      <w:numFmt w:val="bullet"/>
      <w:lvlText w:val="o"/>
      <w:lvlJc w:val="left"/>
      <w:pPr>
        <w:ind w:left="1440" w:hanging="360"/>
      </w:pPr>
      <w:rPr>
        <w:rFonts w:ascii="Courier New" w:hAnsi="Courier New" w:hint="default"/>
      </w:rPr>
    </w:lvl>
    <w:lvl w:ilvl="2" w:tplc="5FDA99CC">
      <w:start w:val="1"/>
      <w:numFmt w:val="bullet"/>
      <w:lvlText w:val=""/>
      <w:lvlJc w:val="left"/>
      <w:pPr>
        <w:ind w:left="2160" w:hanging="360"/>
      </w:pPr>
      <w:rPr>
        <w:rFonts w:ascii="Wingdings" w:hAnsi="Wingdings" w:hint="default"/>
      </w:rPr>
    </w:lvl>
    <w:lvl w:ilvl="3" w:tplc="9932A14A">
      <w:start w:val="1"/>
      <w:numFmt w:val="bullet"/>
      <w:lvlText w:val=""/>
      <w:lvlJc w:val="left"/>
      <w:pPr>
        <w:ind w:left="2880" w:hanging="360"/>
      </w:pPr>
      <w:rPr>
        <w:rFonts w:ascii="Symbol" w:hAnsi="Symbol" w:hint="default"/>
      </w:rPr>
    </w:lvl>
    <w:lvl w:ilvl="4" w:tplc="4218E554">
      <w:start w:val="1"/>
      <w:numFmt w:val="bullet"/>
      <w:lvlText w:val="o"/>
      <w:lvlJc w:val="left"/>
      <w:pPr>
        <w:ind w:left="3600" w:hanging="360"/>
      </w:pPr>
      <w:rPr>
        <w:rFonts w:ascii="Courier New" w:hAnsi="Courier New" w:hint="default"/>
      </w:rPr>
    </w:lvl>
    <w:lvl w:ilvl="5" w:tplc="689815D4">
      <w:start w:val="1"/>
      <w:numFmt w:val="bullet"/>
      <w:lvlText w:val=""/>
      <w:lvlJc w:val="left"/>
      <w:pPr>
        <w:ind w:left="4320" w:hanging="360"/>
      </w:pPr>
      <w:rPr>
        <w:rFonts w:ascii="Wingdings" w:hAnsi="Wingdings" w:hint="default"/>
      </w:rPr>
    </w:lvl>
    <w:lvl w:ilvl="6" w:tplc="B8C4C0A8">
      <w:start w:val="1"/>
      <w:numFmt w:val="bullet"/>
      <w:lvlText w:val=""/>
      <w:lvlJc w:val="left"/>
      <w:pPr>
        <w:ind w:left="5040" w:hanging="360"/>
      </w:pPr>
      <w:rPr>
        <w:rFonts w:ascii="Symbol" w:hAnsi="Symbol" w:hint="default"/>
      </w:rPr>
    </w:lvl>
    <w:lvl w:ilvl="7" w:tplc="A0C8B990">
      <w:start w:val="1"/>
      <w:numFmt w:val="bullet"/>
      <w:lvlText w:val="o"/>
      <w:lvlJc w:val="left"/>
      <w:pPr>
        <w:ind w:left="5760" w:hanging="360"/>
      </w:pPr>
      <w:rPr>
        <w:rFonts w:ascii="Courier New" w:hAnsi="Courier New" w:hint="default"/>
      </w:rPr>
    </w:lvl>
    <w:lvl w:ilvl="8" w:tplc="44A61514">
      <w:start w:val="1"/>
      <w:numFmt w:val="bullet"/>
      <w:lvlText w:val=""/>
      <w:lvlJc w:val="left"/>
      <w:pPr>
        <w:ind w:left="6480" w:hanging="360"/>
      </w:pPr>
      <w:rPr>
        <w:rFonts w:ascii="Wingdings" w:hAnsi="Wingdings" w:hint="default"/>
      </w:rPr>
    </w:lvl>
  </w:abstractNum>
  <w:abstractNum w:abstractNumId="19" w15:restartNumberingAfterBreak="0">
    <w:nsid w:val="36324F1E"/>
    <w:multiLevelType w:val="multilevel"/>
    <w:tmpl w:val="14F082FE"/>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6F51F75"/>
    <w:multiLevelType w:val="hybridMultilevel"/>
    <w:tmpl w:val="525CFF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7CB1E1C"/>
    <w:multiLevelType w:val="multilevel"/>
    <w:tmpl w:val="E4F8AA2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8513132"/>
    <w:multiLevelType w:val="hybridMultilevel"/>
    <w:tmpl w:val="F6663BF4"/>
    <w:lvl w:ilvl="0" w:tplc="7D5A60DE">
      <w:start w:val="1"/>
      <w:numFmt w:val="decimal"/>
      <w:lvlText w:val="%1)"/>
      <w:lvlJc w:val="left"/>
      <w:pPr>
        <w:ind w:left="720" w:hanging="360"/>
      </w:pPr>
    </w:lvl>
    <w:lvl w:ilvl="1" w:tplc="87B47058">
      <w:start w:val="1"/>
      <w:numFmt w:val="decimal"/>
      <w:lvlText w:val="%2)"/>
      <w:lvlJc w:val="left"/>
      <w:pPr>
        <w:ind w:left="720" w:hanging="360"/>
      </w:pPr>
    </w:lvl>
    <w:lvl w:ilvl="2" w:tplc="517A077A">
      <w:start w:val="1"/>
      <w:numFmt w:val="decimal"/>
      <w:lvlText w:val="%3)"/>
      <w:lvlJc w:val="left"/>
      <w:pPr>
        <w:ind w:left="720" w:hanging="360"/>
      </w:pPr>
    </w:lvl>
    <w:lvl w:ilvl="3" w:tplc="572817BE">
      <w:start w:val="1"/>
      <w:numFmt w:val="decimal"/>
      <w:lvlText w:val="%4)"/>
      <w:lvlJc w:val="left"/>
      <w:pPr>
        <w:ind w:left="720" w:hanging="360"/>
      </w:pPr>
    </w:lvl>
    <w:lvl w:ilvl="4" w:tplc="372E3F0C">
      <w:start w:val="1"/>
      <w:numFmt w:val="decimal"/>
      <w:lvlText w:val="%5)"/>
      <w:lvlJc w:val="left"/>
      <w:pPr>
        <w:ind w:left="720" w:hanging="360"/>
      </w:pPr>
    </w:lvl>
    <w:lvl w:ilvl="5" w:tplc="28386A00">
      <w:start w:val="1"/>
      <w:numFmt w:val="decimal"/>
      <w:lvlText w:val="%6)"/>
      <w:lvlJc w:val="left"/>
      <w:pPr>
        <w:ind w:left="720" w:hanging="360"/>
      </w:pPr>
    </w:lvl>
    <w:lvl w:ilvl="6" w:tplc="0E44AF50">
      <w:start w:val="1"/>
      <w:numFmt w:val="decimal"/>
      <w:lvlText w:val="%7)"/>
      <w:lvlJc w:val="left"/>
      <w:pPr>
        <w:ind w:left="720" w:hanging="360"/>
      </w:pPr>
    </w:lvl>
    <w:lvl w:ilvl="7" w:tplc="10E8F07C">
      <w:start w:val="1"/>
      <w:numFmt w:val="decimal"/>
      <w:lvlText w:val="%8)"/>
      <w:lvlJc w:val="left"/>
      <w:pPr>
        <w:ind w:left="720" w:hanging="360"/>
      </w:pPr>
    </w:lvl>
    <w:lvl w:ilvl="8" w:tplc="673288FC">
      <w:start w:val="1"/>
      <w:numFmt w:val="decimal"/>
      <w:lvlText w:val="%9)"/>
      <w:lvlJc w:val="left"/>
      <w:pPr>
        <w:ind w:left="720" w:hanging="360"/>
      </w:pPr>
    </w:lvl>
  </w:abstractNum>
  <w:abstractNum w:abstractNumId="23" w15:restartNumberingAfterBreak="0">
    <w:nsid w:val="3A7730C4"/>
    <w:multiLevelType w:val="multilevel"/>
    <w:tmpl w:val="E6D8A68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D6F0676"/>
    <w:multiLevelType w:val="multilevel"/>
    <w:tmpl w:val="3D5A0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E65E8A"/>
    <w:multiLevelType w:val="hybridMultilevel"/>
    <w:tmpl w:val="97E494DE"/>
    <w:lvl w:ilvl="0" w:tplc="1809000B">
      <w:start w:val="1"/>
      <w:numFmt w:val="bullet"/>
      <w:lvlText w:val=""/>
      <w:lvlJc w:val="left"/>
      <w:pPr>
        <w:ind w:left="720" w:hanging="360"/>
      </w:pPr>
      <w:rPr>
        <w:rFonts w:ascii="Wingdings" w:hAnsi="Wingdings" w:hint="default"/>
      </w:rPr>
    </w:lvl>
    <w:lvl w:ilvl="1" w:tplc="FFFFFFFF">
      <w:start w:val="1"/>
      <w:numFmt w:val="decimal"/>
      <w:lvlText w:val="(a)"/>
      <w:lvlJc w:val="left"/>
      <w:pPr>
        <w:ind w:left="1440" w:hanging="360"/>
      </w:p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9E662A"/>
    <w:multiLevelType w:val="multilevel"/>
    <w:tmpl w:val="6DB05DE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89F5080"/>
    <w:multiLevelType w:val="hybridMultilevel"/>
    <w:tmpl w:val="6A86FF58"/>
    <w:lvl w:ilvl="0" w:tplc="DBCE03D4">
      <w:start w:val="1"/>
      <w:numFmt w:val="lowerLetter"/>
      <w:pStyle w:val="Heading2"/>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4BA36DE2"/>
    <w:multiLevelType w:val="hybridMultilevel"/>
    <w:tmpl w:val="8A28871C"/>
    <w:lvl w:ilvl="0" w:tplc="B43E4C38">
      <w:start w:val="1"/>
      <w:numFmt w:val="decimal"/>
      <w:lvlText w:val="%1."/>
      <w:lvlJc w:val="left"/>
      <w:pPr>
        <w:ind w:left="1020" w:hanging="360"/>
      </w:pPr>
    </w:lvl>
    <w:lvl w:ilvl="1" w:tplc="5F220AF6">
      <w:start w:val="1"/>
      <w:numFmt w:val="decimal"/>
      <w:lvlText w:val="%2."/>
      <w:lvlJc w:val="left"/>
      <w:pPr>
        <w:ind w:left="1020" w:hanging="360"/>
      </w:pPr>
    </w:lvl>
    <w:lvl w:ilvl="2" w:tplc="EBF84BFC">
      <w:start w:val="1"/>
      <w:numFmt w:val="decimal"/>
      <w:lvlText w:val="%3."/>
      <w:lvlJc w:val="left"/>
      <w:pPr>
        <w:ind w:left="1020" w:hanging="360"/>
      </w:pPr>
    </w:lvl>
    <w:lvl w:ilvl="3" w:tplc="87763734">
      <w:start w:val="1"/>
      <w:numFmt w:val="decimal"/>
      <w:lvlText w:val="%4."/>
      <w:lvlJc w:val="left"/>
      <w:pPr>
        <w:ind w:left="1020" w:hanging="360"/>
      </w:pPr>
    </w:lvl>
    <w:lvl w:ilvl="4" w:tplc="428A19BA">
      <w:start w:val="1"/>
      <w:numFmt w:val="decimal"/>
      <w:lvlText w:val="%5."/>
      <w:lvlJc w:val="left"/>
      <w:pPr>
        <w:ind w:left="1020" w:hanging="360"/>
      </w:pPr>
    </w:lvl>
    <w:lvl w:ilvl="5" w:tplc="7A36C5A0">
      <w:start w:val="1"/>
      <w:numFmt w:val="decimal"/>
      <w:lvlText w:val="%6."/>
      <w:lvlJc w:val="left"/>
      <w:pPr>
        <w:ind w:left="1020" w:hanging="360"/>
      </w:pPr>
    </w:lvl>
    <w:lvl w:ilvl="6" w:tplc="3FF0654C">
      <w:start w:val="1"/>
      <w:numFmt w:val="decimal"/>
      <w:lvlText w:val="%7."/>
      <w:lvlJc w:val="left"/>
      <w:pPr>
        <w:ind w:left="1020" w:hanging="360"/>
      </w:pPr>
    </w:lvl>
    <w:lvl w:ilvl="7" w:tplc="86BC769E">
      <w:start w:val="1"/>
      <w:numFmt w:val="decimal"/>
      <w:lvlText w:val="%8."/>
      <w:lvlJc w:val="left"/>
      <w:pPr>
        <w:ind w:left="1020" w:hanging="360"/>
      </w:pPr>
    </w:lvl>
    <w:lvl w:ilvl="8" w:tplc="20BAFC78">
      <w:start w:val="1"/>
      <w:numFmt w:val="decimal"/>
      <w:lvlText w:val="%9."/>
      <w:lvlJc w:val="left"/>
      <w:pPr>
        <w:ind w:left="1020" w:hanging="360"/>
      </w:pPr>
    </w:lvl>
  </w:abstractNum>
  <w:abstractNum w:abstractNumId="29" w15:restartNumberingAfterBreak="0">
    <w:nsid w:val="4D130462"/>
    <w:multiLevelType w:val="hybridMultilevel"/>
    <w:tmpl w:val="971CA27A"/>
    <w:lvl w:ilvl="0" w:tplc="AED6D9EA">
      <w:start w:val="1"/>
      <w:numFmt w:val="bullet"/>
      <w:lvlText w:val="-"/>
      <w:lvlJc w:val="left"/>
      <w:pPr>
        <w:ind w:left="720" w:hanging="360"/>
      </w:pPr>
      <w:rPr>
        <w:rFonts w:ascii="Abadi" w:eastAsia="Aptos" w:hAnsi="Abad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EC3C6F0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1D6C350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072619B"/>
    <w:multiLevelType w:val="multilevel"/>
    <w:tmpl w:val="B33A6D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9B52"/>
    <w:multiLevelType w:val="multilevel"/>
    <w:tmpl w:val="937C744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3C4518A"/>
    <w:multiLevelType w:val="hybridMultilevel"/>
    <w:tmpl w:val="CB04010A"/>
    <w:lvl w:ilvl="0" w:tplc="C3760D76">
      <w:start w:val="1"/>
      <w:numFmt w:val="decimal"/>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5" w15:restartNumberingAfterBreak="0">
    <w:nsid w:val="5D08464B"/>
    <w:multiLevelType w:val="hybridMultilevel"/>
    <w:tmpl w:val="F1F277E8"/>
    <w:lvl w:ilvl="0" w:tplc="8A9E30B8">
      <w:start w:val="1"/>
      <w:numFmt w:val="decimal"/>
      <w:lvlText w:val="%1)"/>
      <w:lvlJc w:val="left"/>
      <w:pPr>
        <w:ind w:left="720" w:hanging="360"/>
      </w:pPr>
    </w:lvl>
    <w:lvl w:ilvl="1" w:tplc="88164A18">
      <w:start w:val="1"/>
      <w:numFmt w:val="decimal"/>
      <w:lvlText w:val="%2)"/>
      <w:lvlJc w:val="left"/>
      <w:pPr>
        <w:ind w:left="720" w:hanging="360"/>
      </w:pPr>
    </w:lvl>
    <w:lvl w:ilvl="2" w:tplc="F39C4D62">
      <w:start w:val="1"/>
      <w:numFmt w:val="decimal"/>
      <w:lvlText w:val="%3)"/>
      <w:lvlJc w:val="left"/>
      <w:pPr>
        <w:ind w:left="720" w:hanging="360"/>
      </w:pPr>
    </w:lvl>
    <w:lvl w:ilvl="3" w:tplc="30A69F68">
      <w:start w:val="1"/>
      <w:numFmt w:val="decimal"/>
      <w:lvlText w:val="%4)"/>
      <w:lvlJc w:val="left"/>
      <w:pPr>
        <w:ind w:left="720" w:hanging="360"/>
      </w:pPr>
    </w:lvl>
    <w:lvl w:ilvl="4" w:tplc="E228A91E">
      <w:start w:val="1"/>
      <w:numFmt w:val="decimal"/>
      <w:lvlText w:val="%5)"/>
      <w:lvlJc w:val="left"/>
      <w:pPr>
        <w:ind w:left="720" w:hanging="360"/>
      </w:pPr>
    </w:lvl>
    <w:lvl w:ilvl="5" w:tplc="625CDD34">
      <w:start w:val="1"/>
      <w:numFmt w:val="decimal"/>
      <w:lvlText w:val="%6)"/>
      <w:lvlJc w:val="left"/>
      <w:pPr>
        <w:ind w:left="720" w:hanging="360"/>
      </w:pPr>
    </w:lvl>
    <w:lvl w:ilvl="6" w:tplc="B70E15E8">
      <w:start w:val="1"/>
      <w:numFmt w:val="decimal"/>
      <w:lvlText w:val="%7)"/>
      <w:lvlJc w:val="left"/>
      <w:pPr>
        <w:ind w:left="720" w:hanging="360"/>
      </w:pPr>
    </w:lvl>
    <w:lvl w:ilvl="7" w:tplc="AFB8D384">
      <w:start w:val="1"/>
      <w:numFmt w:val="decimal"/>
      <w:lvlText w:val="%8)"/>
      <w:lvlJc w:val="left"/>
      <w:pPr>
        <w:ind w:left="720" w:hanging="360"/>
      </w:pPr>
    </w:lvl>
    <w:lvl w:ilvl="8" w:tplc="1A9AC480">
      <w:start w:val="1"/>
      <w:numFmt w:val="decimal"/>
      <w:lvlText w:val="%9)"/>
      <w:lvlJc w:val="left"/>
      <w:pPr>
        <w:ind w:left="720" w:hanging="360"/>
      </w:pPr>
    </w:lvl>
  </w:abstractNum>
  <w:abstractNum w:abstractNumId="36" w15:restartNumberingAfterBreak="0">
    <w:nsid w:val="5EB9230D"/>
    <w:multiLevelType w:val="hybridMultilevel"/>
    <w:tmpl w:val="A4668B30"/>
    <w:lvl w:ilvl="0" w:tplc="2CDEAD80">
      <w:start w:val="1"/>
      <w:numFmt w:val="bullet"/>
      <w:lvlText w:val=""/>
      <w:lvlJc w:val="left"/>
      <w:pPr>
        <w:ind w:left="720" w:hanging="360"/>
      </w:pPr>
      <w:rPr>
        <w:rFonts w:ascii="Symbol" w:hAnsi="Symbol"/>
      </w:rPr>
    </w:lvl>
    <w:lvl w:ilvl="1" w:tplc="881E5954">
      <w:start w:val="1"/>
      <w:numFmt w:val="bullet"/>
      <w:lvlText w:val=""/>
      <w:lvlJc w:val="left"/>
      <w:pPr>
        <w:ind w:left="720" w:hanging="360"/>
      </w:pPr>
      <w:rPr>
        <w:rFonts w:ascii="Symbol" w:hAnsi="Symbol"/>
      </w:rPr>
    </w:lvl>
    <w:lvl w:ilvl="2" w:tplc="4516E3F4">
      <w:start w:val="1"/>
      <w:numFmt w:val="bullet"/>
      <w:lvlText w:val=""/>
      <w:lvlJc w:val="left"/>
      <w:pPr>
        <w:ind w:left="720" w:hanging="360"/>
      </w:pPr>
      <w:rPr>
        <w:rFonts w:ascii="Symbol" w:hAnsi="Symbol"/>
      </w:rPr>
    </w:lvl>
    <w:lvl w:ilvl="3" w:tplc="9F8EB2AE">
      <w:start w:val="1"/>
      <w:numFmt w:val="bullet"/>
      <w:lvlText w:val=""/>
      <w:lvlJc w:val="left"/>
      <w:pPr>
        <w:ind w:left="720" w:hanging="360"/>
      </w:pPr>
      <w:rPr>
        <w:rFonts w:ascii="Symbol" w:hAnsi="Symbol"/>
      </w:rPr>
    </w:lvl>
    <w:lvl w:ilvl="4" w:tplc="338E4B44">
      <w:start w:val="1"/>
      <w:numFmt w:val="bullet"/>
      <w:lvlText w:val=""/>
      <w:lvlJc w:val="left"/>
      <w:pPr>
        <w:ind w:left="720" w:hanging="360"/>
      </w:pPr>
      <w:rPr>
        <w:rFonts w:ascii="Symbol" w:hAnsi="Symbol"/>
      </w:rPr>
    </w:lvl>
    <w:lvl w:ilvl="5" w:tplc="CF465C8A">
      <w:start w:val="1"/>
      <w:numFmt w:val="bullet"/>
      <w:lvlText w:val=""/>
      <w:lvlJc w:val="left"/>
      <w:pPr>
        <w:ind w:left="720" w:hanging="360"/>
      </w:pPr>
      <w:rPr>
        <w:rFonts w:ascii="Symbol" w:hAnsi="Symbol"/>
      </w:rPr>
    </w:lvl>
    <w:lvl w:ilvl="6" w:tplc="76981BD0">
      <w:start w:val="1"/>
      <w:numFmt w:val="bullet"/>
      <w:lvlText w:val=""/>
      <w:lvlJc w:val="left"/>
      <w:pPr>
        <w:ind w:left="720" w:hanging="360"/>
      </w:pPr>
      <w:rPr>
        <w:rFonts w:ascii="Symbol" w:hAnsi="Symbol"/>
      </w:rPr>
    </w:lvl>
    <w:lvl w:ilvl="7" w:tplc="4F5AA58E">
      <w:start w:val="1"/>
      <w:numFmt w:val="bullet"/>
      <w:lvlText w:val=""/>
      <w:lvlJc w:val="left"/>
      <w:pPr>
        <w:ind w:left="720" w:hanging="360"/>
      </w:pPr>
      <w:rPr>
        <w:rFonts w:ascii="Symbol" w:hAnsi="Symbol"/>
      </w:rPr>
    </w:lvl>
    <w:lvl w:ilvl="8" w:tplc="C29A40E4">
      <w:start w:val="1"/>
      <w:numFmt w:val="bullet"/>
      <w:lvlText w:val=""/>
      <w:lvlJc w:val="left"/>
      <w:pPr>
        <w:ind w:left="720" w:hanging="360"/>
      </w:pPr>
      <w:rPr>
        <w:rFonts w:ascii="Symbol" w:hAnsi="Symbol"/>
      </w:rPr>
    </w:lvl>
  </w:abstractNum>
  <w:abstractNum w:abstractNumId="37" w15:restartNumberingAfterBreak="0">
    <w:nsid w:val="5EE24EAE"/>
    <w:multiLevelType w:val="hybridMultilevel"/>
    <w:tmpl w:val="5798D3B2"/>
    <w:lvl w:ilvl="0" w:tplc="0E5EAA66">
      <w:start w:val="1"/>
      <w:numFmt w:val="bullet"/>
      <w:lvlText w:val=""/>
      <w:lvlJc w:val="left"/>
      <w:pPr>
        <w:ind w:left="720" w:hanging="360"/>
      </w:pPr>
      <w:rPr>
        <w:rFonts w:ascii="Symbol" w:hAnsi="Symbol"/>
      </w:rPr>
    </w:lvl>
    <w:lvl w:ilvl="1" w:tplc="74A8AE74">
      <w:start w:val="1"/>
      <w:numFmt w:val="bullet"/>
      <w:lvlText w:val=""/>
      <w:lvlJc w:val="left"/>
      <w:pPr>
        <w:ind w:left="720" w:hanging="360"/>
      </w:pPr>
      <w:rPr>
        <w:rFonts w:ascii="Symbol" w:hAnsi="Symbol"/>
      </w:rPr>
    </w:lvl>
    <w:lvl w:ilvl="2" w:tplc="054229AA">
      <w:start w:val="1"/>
      <w:numFmt w:val="bullet"/>
      <w:lvlText w:val=""/>
      <w:lvlJc w:val="left"/>
      <w:pPr>
        <w:ind w:left="720" w:hanging="360"/>
      </w:pPr>
      <w:rPr>
        <w:rFonts w:ascii="Symbol" w:hAnsi="Symbol"/>
      </w:rPr>
    </w:lvl>
    <w:lvl w:ilvl="3" w:tplc="A7B8DCAA">
      <w:start w:val="1"/>
      <w:numFmt w:val="bullet"/>
      <w:lvlText w:val=""/>
      <w:lvlJc w:val="left"/>
      <w:pPr>
        <w:ind w:left="720" w:hanging="360"/>
      </w:pPr>
      <w:rPr>
        <w:rFonts w:ascii="Symbol" w:hAnsi="Symbol"/>
      </w:rPr>
    </w:lvl>
    <w:lvl w:ilvl="4" w:tplc="EBF8113E">
      <w:start w:val="1"/>
      <w:numFmt w:val="bullet"/>
      <w:lvlText w:val=""/>
      <w:lvlJc w:val="left"/>
      <w:pPr>
        <w:ind w:left="720" w:hanging="360"/>
      </w:pPr>
      <w:rPr>
        <w:rFonts w:ascii="Symbol" w:hAnsi="Symbol"/>
      </w:rPr>
    </w:lvl>
    <w:lvl w:ilvl="5" w:tplc="D6CCE8B6">
      <w:start w:val="1"/>
      <w:numFmt w:val="bullet"/>
      <w:lvlText w:val=""/>
      <w:lvlJc w:val="left"/>
      <w:pPr>
        <w:ind w:left="720" w:hanging="360"/>
      </w:pPr>
      <w:rPr>
        <w:rFonts w:ascii="Symbol" w:hAnsi="Symbol"/>
      </w:rPr>
    </w:lvl>
    <w:lvl w:ilvl="6" w:tplc="561AAE86">
      <w:start w:val="1"/>
      <w:numFmt w:val="bullet"/>
      <w:lvlText w:val=""/>
      <w:lvlJc w:val="left"/>
      <w:pPr>
        <w:ind w:left="720" w:hanging="360"/>
      </w:pPr>
      <w:rPr>
        <w:rFonts w:ascii="Symbol" w:hAnsi="Symbol"/>
      </w:rPr>
    </w:lvl>
    <w:lvl w:ilvl="7" w:tplc="DC24F314">
      <w:start w:val="1"/>
      <w:numFmt w:val="bullet"/>
      <w:lvlText w:val=""/>
      <w:lvlJc w:val="left"/>
      <w:pPr>
        <w:ind w:left="720" w:hanging="360"/>
      </w:pPr>
      <w:rPr>
        <w:rFonts w:ascii="Symbol" w:hAnsi="Symbol"/>
      </w:rPr>
    </w:lvl>
    <w:lvl w:ilvl="8" w:tplc="F112E9F8">
      <w:start w:val="1"/>
      <w:numFmt w:val="bullet"/>
      <w:lvlText w:val=""/>
      <w:lvlJc w:val="left"/>
      <w:pPr>
        <w:ind w:left="720" w:hanging="360"/>
      </w:pPr>
      <w:rPr>
        <w:rFonts w:ascii="Symbol" w:hAnsi="Symbol"/>
      </w:rPr>
    </w:lvl>
  </w:abstractNum>
  <w:abstractNum w:abstractNumId="38" w15:restartNumberingAfterBreak="0">
    <w:nsid w:val="6977472E"/>
    <w:multiLevelType w:val="multilevel"/>
    <w:tmpl w:val="0DD86B72"/>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71483673"/>
    <w:multiLevelType w:val="hybridMultilevel"/>
    <w:tmpl w:val="399C92D6"/>
    <w:lvl w:ilvl="0" w:tplc="990CCFAA">
      <w:start w:val="1"/>
      <w:numFmt w:val="bullet"/>
      <w:lvlText w:val=""/>
      <w:lvlJc w:val="left"/>
      <w:pPr>
        <w:ind w:left="720" w:hanging="360"/>
      </w:pPr>
      <w:rPr>
        <w:rFonts w:ascii="Symbol" w:hAnsi="Symbol"/>
      </w:rPr>
    </w:lvl>
    <w:lvl w:ilvl="1" w:tplc="3954CCFA">
      <w:start w:val="1"/>
      <w:numFmt w:val="bullet"/>
      <w:lvlText w:val=""/>
      <w:lvlJc w:val="left"/>
      <w:pPr>
        <w:ind w:left="720" w:hanging="360"/>
      </w:pPr>
      <w:rPr>
        <w:rFonts w:ascii="Symbol" w:hAnsi="Symbol"/>
      </w:rPr>
    </w:lvl>
    <w:lvl w:ilvl="2" w:tplc="0A3E27D0">
      <w:start w:val="1"/>
      <w:numFmt w:val="bullet"/>
      <w:lvlText w:val=""/>
      <w:lvlJc w:val="left"/>
      <w:pPr>
        <w:ind w:left="720" w:hanging="360"/>
      </w:pPr>
      <w:rPr>
        <w:rFonts w:ascii="Symbol" w:hAnsi="Symbol"/>
      </w:rPr>
    </w:lvl>
    <w:lvl w:ilvl="3" w:tplc="AF200042">
      <w:start w:val="1"/>
      <w:numFmt w:val="bullet"/>
      <w:lvlText w:val=""/>
      <w:lvlJc w:val="left"/>
      <w:pPr>
        <w:ind w:left="720" w:hanging="360"/>
      </w:pPr>
      <w:rPr>
        <w:rFonts w:ascii="Symbol" w:hAnsi="Symbol"/>
      </w:rPr>
    </w:lvl>
    <w:lvl w:ilvl="4" w:tplc="467670E0">
      <w:start w:val="1"/>
      <w:numFmt w:val="bullet"/>
      <w:lvlText w:val=""/>
      <w:lvlJc w:val="left"/>
      <w:pPr>
        <w:ind w:left="720" w:hanging="360"/>
      </w:pPr>
      <w:rPr>
        <w:rFonts w:ascii="Symbol" w:hAnsi="Symbol"/>
      </w:rPr>
    </w:lvl>
    <w:lvl w:ilvl="5" w:tplc="C8D87E0C">
      <w:start w:val="1"/>
      <w:numFmt w:val="bullet"/>
      <w:lvlText w:val=""/>
      <w:lvlJc w:val="left"/>
      <w:pPr>
        <w:ind w:left="720" w:hanging="360"/>
      </w:pPr>
      <w:rPr>
        <w:rFonts w:ascii="Symbol" w:hAnsi="Symbol"/>
      </w:rPr>
    </w:lvl>
    <w:lvl w:ilvl="6" w:tplc="20944BE4">
      <w:start w:val="1"/>
      <w:numFmt w:val="bullet"/>
      <w:lvlText w:val=""/>
      <w:lvlJc w:val="left"/>
      <w:pPr>
        <w:ind w:left="720" w:hanging="360"/>
      </w:pPr>
      <w:rPr>
        <w:rFonts w:ascii="Symbol" w:hAnsi="Symbol"/>
      </w:rPr>
    </w:lvl>
    <w:lvl w:ilvl="7" w:tplc="C5A02F9E">
      <w:start w:val="1"/>
      <w:numFmt w:val="bullet"/>
      <w:lvlText w:val=""/>
      <w:lvlJc w:val="left"/>
      <w:pPr>
        <w:ind w:left="720" w:hanging="360"/>
      </w:pPr>
      <w:rPr>
        <w:rFonts w:ascii="Symbol" w:hAnsi="Symbol"/>
      </w:rPr>
    </w:lvl>
    <w:lvl w:ilvl="8" w:tplc="3F8A1652">
      <w:start w:val="1"/>
      <w:numFmt w:val="bullet"/>
      <w:lvlText w:val=""/>
      <w:lvlJc w:val="left"/>
      <w:pPr>
        <w:ind w:left="720" w:hanging="360"/>
      </w:pPr>
      <w:rPr>
        <w:rFonts w:ascii="Symbol" w:hAnsi="Symbol"/>
      </w:rPr>
    </w:lvl>
  </w:abstractNum>
  <w:abstractNum w:abstractNumId="40" w15:restartNumberingAfterBreak="0">
    <w:nsid w:val="7B9D7F55"/>
    <w:multiLevelType w:val="multilevel"/>
    <w:tmpl w:val="66F07B62"/>
    <w:lvl w:ilvl="0">
      <w:start w:val="1"/>
      <w:numFmt w:val="decimal"/>
      <w:lvlText w:val="%1."/>
      <w:lvlJc w:val="left"/>
      <w:pPr>
        <w:ind w:left="786"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0"/>
  </w:num>
  <w:num w:numId="3">
    <w:abstractNumId w:val="5"/>
  </w:num>
  <w:num w:numId="4">
    <w:abstractNumId w:val="1"/>
  </w:num>
  <w:num w:numId="5">
    <w:abstractNumId w:val="3"/>
  </w:num>
  <w:num w:numId="6">
    <w:abstractNumId w:val="19"/>
  </w:num>
  <w:num w:numId="7">
    <w:abstractNumId w:val="11"/>
  </w:num>
  <w:num w:numId="8">
    <w:abstractNumId w:val="21"/>
  </w:num>
  <w:num w:numId="9">
    <w:abstractNumId w:val="32"/>
  </w:num>
  <w:num w:numId="10">
    <w:abstractNumId w:val="38"/>
  </w:num>
  <w:num w:numId="11">
    <w:abstractNumId w:val="4"/>
  </w:num>
  <w:num w:numId="12">
    <w:abstractNumId w:val="9"/>
  </w:num>
  <w:num w:numId="13">
    <w:abstractNumId w:val="26"/>
  </w:num>
  <w:num w:numId="14">
    <w:abstractNumId w:val="7"/>
  </w:num>
  <w:num w:numId="15">
    <w:abstractNumId w:val="8"/>
  </w:num>
  <w:num w:numId="16">
    <w:abstractNumId w:val="14"/>
  </w:num>
  <w:num w:numId="17">
    <w:abstractNumId w:val="23"/>
  </w:num>
  <w:num w:numId="18">
    <w:abstractNumId w:val="31"/>
  </w:num>
  <w:num w:numId="19">
    <w:abstractNumId w:val="15"/>
  </w:num>
  <w:num w:numId="20">
    <w:abstractNumId w:val="16"/>
  </w:num>
  <w:num w:numId="21">
    <w:abstractNumId w:val="41"/>
  </w:num>
  <w:num w:numId="22">
    <w:abstractNumId w:val="30"/>
  </w:num>
  <w:num w:numId="23">
    <w:abstractNumId w:val="33"/>
  </w:num>
  <w:num w:numId="24">
    <w:abstractNumId w:val="6"/>
  </w:num>
  <w:num w:numId="25">
    <w:abstractNumId w:val="27"/>
  </w:num>
  <w:num w:numId="26">
    <w:abstractNumId w:val="36"/>
  </w:num>
  <w:num w:numId="27">
    <w:abstractNumId w:val="39"/>
  </w:num>
  <w:num w:numId="28">
    <w:abstractNumId w:val="12"/>
  </w:num>
  <w:num w:numId="29">
    <w:abstractNumId w:val="5"/>
  </w:num>
  <w:num w:numId="30">
    <w:abstractNumId w:val="18"/>
  </w:num>
  <w:num w:numId="31">
    <w:abstractNumId w:val="2"/>
  </w:num>
  <w:num w:numId="32">
    <w:abstractNumId w:val="20"/>
  </w:num>
  <w:num w:numId="33">
    <w:abstractNumId w:val="37"/>
  </w:num>
  <w:num w:numId="34">
    <w:abstractNumId w:val="5"/>
  </w:num>
  <w:num w:numId="35">
    <w:abstractNumId w:val="10"/>
  </w:num>
  <w:num w:numId="36">
    <w:abstractNumId w:val="5"/>
  </w:num>
  <w:num w:numId="37">
    <w:abstractNumId w:val="13"/>
  </w:num>
  <w:num w:numId="38">
    <w:abstractNumId w:val="34"/>
  </w:num>
  <w:num w:numId="39">
    <w:abstractNumId w:val="29"/>
  </w:num>
  <w:num w:numId="40">
    <w:abstractNumId w:val="24"/>
  </w:num>
  <w:num w:numId="41">
    <w:abstractNumId w:val="29"/>
  </w:num>
  <w:num w:numId="42">
    <w:abstractNumId w:val="22"/>
  </w:num>
  <w:num w:numId="43">
    <w:abstractNumId w:val="28"/>
  </w:num>
  <w:num w:numId="44">
    <w:abstractNumId w:val="35"/>
  </w:num>
  <w:num w:numId="45">
    <w:abstractNumId w:val="17"/>
  </w:num>
  <w:num w:numId="46">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87B0B4C-3627-4A74-A8E0-7D2977FE530A"/>
    <w:docVar w:name="LW_COVERPAGE_TYPE" w:val="1"/>
    <w:docVar w:name="LW_CROSSREFERENCE" w:val="&lt;UNUSED&gt;"/>
    <w:docVar w:name="LW_DocType" w:val="EUROLOOK"/>
    <w:docVar w:name="LW_EMISSION" w:val="13.5.2026"/>
    <w:docVar w:name="LW_EMISSION_ISODATE" w:val="2026-05-13"/>
    <w:docVar w:name="LW_EMISSION_LOCATION" w:val="BRX"/>
    <w:docVar w:name="LW_EMISSION_PREFIX" w:val="Bryssel den "/>
    <w:docVar w:name="LW_EMISSION_SUFFIX" w:val=" "/>
    <w:docVar w:name="LW_ID_DOCTYPE_NONLW" w:val="CP-012"/>
    <w:docVar w:name="LW_LANGUE" w:val="SV"/>
    <w:docVar w:name="LW_LEVEL_OF_SENSITIVITY" w:val="Standard treatmen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26) 1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ärka den globala hälsoresiliensen i en tid av geopolitiska förändringar&lt;/FMT&gt;_x000b_"/>
    <w:docVar w:name="LW_TYPE.DOC.CP" w:val="MEDDELANDE FRÅN KOMMISSIONEN TILL EUROPAPARLAMENTET OCH RÅDET"/>
    <w:docVar w:name="LW_TYPE.DOC.CP.USERTEXT" w:val="&lt;EMPTY&gt;"/>
    <w:docVar w:name="LwApiVersions" w:val="LW4CoDe 1.24.5.0; LW 9.2, Build 20251112"/>
  </w:docVars>
  <w:rsids>
    <w:rsidRoot w:val="00D62472"/>
    <w:rsid w:val="00374FD1"/>
    <w:rsid w:val="00420296"/>
    <w:rsid w:val="005024E6"/>
    <w:rsid w:val="00723CED"/>
    <w:rsid w:val="0089166D"/>
    <w:rsid w:val="008D788E"/>
    <w:rsid w:val="00B322D0"/>
    <w:rsid w:val="00D624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BFE01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line="240" w:lineRule="auto"/>
      <w:jc w:val="both"/>
    </w:pPr>
    <w:rPr>
      <w:rFonts w:ascii="Times New Roman" w:eastAsia="Times New Roman" w:hAnsi="Times New Roman" w:cs="Times New Roman"/>
      <w:kern w:val="0"/>
      <w:sz w:val="24"/>
      <w:szCs w:val="20"/>
      <w:lang w:eastAsia="fr-BE"/>
      <w14:ligatures w14:val="none"/>
    </w:rPr>
  </w:style>
  <w:style w:type="paragraph" w:styleId="Heading1">
    <w:name w:val="heading 1"/>
    <w:basedOn w:val="Normal"/>
    <w:next w:val="Normal"/>
    <w:link w:val="Heading1Char"/>
    <w:uiPriority w:val="10"/>
    <w:qFormat/>
    <w:pPr>
      <w:numPr>
        <w:numId w:val="4"/>
      </w:numPr>
      <w:spacing w:before="240"/>
      <w:outlineLvl w:val="0"/>
    </w:pPr>
    <w:rPr>
      <w:rFonts w:ascii="Calibri" w:hAnsi="Calibri" w:cs="Calibri"/>
      <w:b/>
      <w:bCs/>
      <w:color w:val="000000" w:themeColor="text1"/>
      <w:sz w:val="28"/>
      <w:szCs w:val="28"/>
    </w:rPr>
  </w:style>
  <w:style w:type="paragraph" w:styleId="Heading2">
    <w:name w:val="heading 2"/>
    <w:basedOn w:val="Normal"/>
    <w:next w:val="Normal"/>
    <w:link w:val="Heading2Char"/>
    <w:uiPriority w:val="10"/>
    <w:unhideWhenUsed/>
    <w:qFormat/>
    <w:pPr>
      <w:numPr>
        <w:numId w:val="25"/>
      </w:numPr>
      <w:spacing w:before="240"/>
      <w:ind w:left="714" w:hanging="357"/>
      <w:outlineLvl w:val="1"/>
    </w:pPr>
    <w:rPr>
      <w:rFonts w:ascii="Calibri" w:hAnsi="Calibri" w:cs="Calibri"/>
      <w:b/>
      <w:bCs/>
      <w:color w:val="000000" w:themeColor="text1"/>
      <w:sz w:val="22"/>
      <w:szCs w:val="22"/>
    </w:rPr>
  </w:style>
  <w:style w:type="paragraph" w:styleId="Heading3">
    <w:name w:val="heading 3"/>
    <w:basedOn w:val="Normal"/>
    <w:next w:val="Normal"/>
    <w:link w:val="Heading3Char"/>
    <w:uiPriority w:val="10"/>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Pr>
      <w:rFonts w:ascii="Calibri" w:eastAsia="Times New Roman" w:hAnsi="Calibri" w:cs="Calibri"/>
      <w:b/>
      <w:bCs/>
      <w:color w:val="000000" w:themeColor="text1"/>
      <w:kern w:val="0"/>
      <w:sz w:val="28"/>
      <w:szCs w:val="28"/>
      <w:lang w:val="sv-SE" w:eastAsia="fr-BE"/>
      <w14:ligatures w14:val="none"/>
    </w:rPr>
  </w:style>
  <w:style w:type="character" w:customStyle="1" w:styleId="Heading2Char">
    <w:name w:val="Heading 2 Char"/>
    <w:basedOn w:val="DefaultParagraphFont"/>
    <w:link w:val="Heading2"/>
    <w:uiPriority w:val="10"/>
    <w:rPr>
      <w:rFonts w:ascii="Calibri" w:eastAsia="Times New Roman" w:hAnsi="Calibri" w:cs="Calibri"/>
      <w:b/>
      <w:bCs/>
      <w:color w:val="000000" w:themeColor="text1"/>
      <w:kern w:val="0"/>
      <w:lang w:val="sv-SE" w:eastAsia="fr-BE"/>
      <w14:ligatures w14:val="none"/>
    </w:rPr>
  </w:style>
  <w:style w:type="character" w:customStyle="1" w:styleId="Heading3Char">
    <w:name w:val="Heading 3 Char"/>
    <w:basedOn w:val="DefaultParagraphFont"/>
    <w:link w:val="Heading3"/>
    <w:uiPriority w:val="10"/>
    <w:rPr>
      <w:rFonts w:ascii="Times New Roman" w:eastAsiaTheme="majorEastAsia" w:hAnsi="Times New Roman" w:cstheme="majorBidi"/>
      <w:color w:val="0F4761" w:themeColor="accent1" w:themeShade="BF"/>
      <w:kern w:val="0"/>
      <w:sz w:val="28"/>
      <w:szCs w:val="28"/>
      <w:lang w:val="sv-SE" w:eastAsia="fr-BE"/>
      <w14:ligatures w14:val="none"/>
    </w:rPr>
  </w:style>
  <w:style w:type="character" w:customStyle="1" w:styleId="Heading4Char">
    <w:name w:val="Heading 4 Char"/>
    <w:basedOn w:val="DefaultParagraphFont"/>
    <w:link w:val="Heading4"/>
    <w:uiPriority w:val="10"/>
    <w:rPr>
      <w:rFonts w:ascii="Times New Roman" w:eastAsiaTheme="majorEastAsia" w:hAnsi="Times New Roman" w:cstheme="majorBidi"/>
      <w:i/>
      <w:iCs/>
      <w:color w:val="0F4761" w:themeColor="accent1" w:themeShade="BF"/>
      <w:kern w:val="0"/>
      <w:sz w:val="24"/>
      <w:szCs w:val="20"/>
      <w:lang w:val="sv-SE" w:eastAsia="fr-BE"/>
      <w14:ligatures w14:val="none"/>
    </w:rPr>
  </w:style>
  <w:style w:type="character" w:customStyle="1" w:styleId="Heading5Char">
    <w:name w:val="Heading 5 Char"/>
    <w:basedOn w:val="DefaultParagraphFont"/>
    <w:link w:val="Heading5"/>
    <w:semiHidden/>
    <w:rPr>
      <w:rFonts w:ascii="Times New Roman" w:eastAsiaTheme="majorEastAsia" w:hAnsi="Times New Roman" w:cstheme="majorBidi"/>
      <w:color w:val="0F4761" w:themeColor="accent1" w:themeShade="BF"/>
      <w:kern w:val="0"/>
      <w:sz w:val="24"/>
      <w:szCs w:val="20"/>
      <w:lang w:val="sv-SE" w:eastAsia="fr-BE"/>
      <w14:ligatures w14:val="none"/>
    </w:rPr>
  </w:style>
  <w:style w:type="character" w:customStyle="1" w:styleId="Heading6Char">
    <w:name w:val="Heading 6 Char"/>
    <w:basedOn w:val="DefaultParagraphFont"/>
    <w:link w:val="Heading6"/>
    <w:semiHidden/>
    <w:rPr>
      <w:rFonts w:ascii="Times New Roman" w:eastAsiaTheme="majorEastAsia" w:hAnsi="Times New Roman" w:cstheme="majorBidi"/>
      <w:i/>
      <w:iCs/>
      <w:color w:val="595959" w:themeColor="text1" w:themeTint="A6"/>
      <w:kern w:val="0"/>
      <w:sz w:val="24"/>
      <w:szCs w:val="20"/>
      <w:lang w:val="sv-SE" w:eastAsia="fr-BE"/>
      <w14:ligatures w14:val="none"/>
    </w:rPr>
  </w:style>
  <w:style w:type="character" w:customStyle="1" w:styleId="Heading7Char">
    <w:name w:val="Heading 7 Char"/>
    <w:basedOn w:val="DefaultParagraphFont"/>
    <w:link w:val="Heading7"/>
    <w:semiHidden/>
    <w:rPr>
      <w:rFonts w:ascii="Times New Roman" w:eastAsiaTheme="majorEastAsia" w:hAnsi="Times New Roman" w:cstheme="majorBidi"/>
      <w:color w:val="595959" w:themeColor="text1" w:themeTint="A6"/>
      <w:kern w:val="0"/>
      <w:sz w:val="24"/>
      <w:szCs w:val="20"/>
      <w:lang w:val="sv-SE" w:eastAsia="fr-BE"/>
      <w14:ligatures w14:val="none"/>
    </w:rPr>
  </w:style>
  <w:style w:type="character" w:customStyle="1" w:styleId="Heading8Char">
    <w:name w:val="Heading 8 Char"/>
    <w:basedOn w:val="DefaultParagraphFont"/>
    <w:link w:val="Heading8"/>
    <w:semiHidden/>
    <w:rPr>
      <w:rFonts w:ascii="Times New Roman" w:eastAsiaTheme="majorEastAsia" w:hAnsi="Times New Roman" w:cstheme="majorBidi"/>
      <w:i/>
      <w:iCs/>
      <w:color w:val="272727" w:themeColor="text1" w:themeTint="D8"/>
      <w:kern w:val="0"/>
      <w:sz w:val="24"/>
      <w:szCs w:val="20"/>
      <w:lang w:val="sv-SE" w:eastAsia="fr-BE"/>
      <w14:ligatures w14:val="none"/>
    </w:rPr>
  </w:style>
  <w:style w:type="character" w:customStyle="1" w:styleId="Heading9Char">
    <w:name w:val="Heading 9 Char"/>
    <w:basedOn w:val="DefaultParagraphFont"/>
    <w:link w:val="Heading9"/>
    <w:semiHidden/>
    <w:rPr>
      <w:rFonts w:ascii="Times New Roman" w:eastAsiaTheme="majorEastAsia" w:hAnsi="Times New Roman" w:cstheme="majorBidi"/>
      <w:color w:val="272727" w:themeColor="text1" w:themeTint="D8"/>
      <w:kern w:val="0"/>
      <w:sz w:val="24"/>
      <w:szCs w:val="20"/>
      <w:lang w:val="sv-SE" w:eastAsia="fr-BE"/>
      <w14:ligatures w14:val="none"/>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uiPriority w:val="99"/>
    <w:unhideWhenUsed/>
    <w:rPr>
      <w:color w:val="0000FF"/>
      <w:u w:val="single"/>
    </w:rPr>
  </w:style>
  <w:style w:type="paragraph" w:styleId="ListNumber">
    <w:name w:val="List Number"/>
    <w:basedOn w:val="Normal"/>
    <w:uiPriority w:val="30"/>
    <w:pPr>
      <w:numPr>
        <w:numId w:val="2"/>
      </w:numPr>
    </w:pPr>
  </w:style>
  <w:style w:type="paragraph" w:customStyle="1" w:styleId="ListNumberLevel2">
    <w:name w:val="List Number (Level 2)"/>
    <w:basedOn w:val="Normal"/>
    <w:uiPriority w:val="30"/>
  </w:style>
  <w:style w:type="paragraph" w:customStyle="1" w:styleId="ListNumberLevel3">
    <w:name w:val="List Number (Level 3)"/>
    <w:basedOn w:val="Normal"/>
    <w:uiPriority w:val="30"/>
  </w:style>
  <w:style w:type="paragraph" w:customStyle="1" w:styleId="ListNumberLevel4">
    <w:name w:val="List Number (Level 4)"/>
    <w:basedOn w:val="Normal"/>
    <w:uiPriority w:val="30"/>
    <w:pPr>
      <w:numPr>
        <w:ilvl w:val="3"/>
        <w:numId w:val="3"/>
      </w:numPr>
      <w:tabs>
        <w:tab w:val="clear" w:pos="2835"/>
      </w:tabs>
    </w:pPr>
  </w:style>
  <w:style w:type="paragraph" w:styleId="Revision">
    <w:name w:val="Revision"/>
    <w:hidden/>
    <w:uiPriority w:val="99"/>
    <w:semiHidden/>
    <w:pPr>
      <w:spacing w:after="0" w:line="240" w:lineRule="auto"/>
    </w:pPr>
    <w:rPr>
      <w:rFonts w:ascii="Times New Roman" w:eastAsia="Times New Roman" w:hAnsi="Times New Roman" w:cs="Times New Roman"/>
      <w:kern w:val="0"/>
      <w:sz w:val="24"/>
      <w:szCs w:val="20"/>
      <w:lang w:eastAsia="fr-BE"/>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sv-SE" w:eastAsia="fr-BE"/>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0"/>
      <w:sz w:val="20"/>
      <w:szCs w:val="20"/>
      <w:lang w:val="sv-SE" w:eastAsia="fr-BE"/>
      <w14:ligatures w14:val="non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BVI fnr, BVI fnr,Footnote symbol"/>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pPr>
      <w:spacing w:after="0" w:line="240" w:lineRule="auto"/>
    </w:pPr>
    <w:rPr>
      <w:rFonts w:ascii="Times New Roman" w:eastAsia="Times New Roman" w:hAnsi="Times New Roman" w:cs="Times New Roman"/>
      <w:kern w:val="0"/>
      <w:sz w:val="4"/>
      <w:szCs w:val="20"/>
      <w:lang w:eastAsia="fr-BE"/>
      <w14:ligatures w14:val="none"/>
    </w:rPr>
  </w:style>
  <w:style w:type="paragraph" w:customStyle="1" w:styleId="AnnexTitle">
    <w:name w:val="AnnexTitle"/>
    <w:basedOn w:val="Normal"/>
    <w:next w:val="Normal"/>
    <w:uiPriority w:val="45"/>
    <w:qFormat/>
    <w:pPr>
      <w:pageBreakBefore/>
      <w:numPr>
        <w:numId w:val="21"/>
      </w:numPr>
      <w:tabs>
        <w:tab w:val="clear" w:pos="2268"/>
      </w:tabs>
      <w:spacing w:after="480"/>
      <w:ind w:left="1069" w:hanging="36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link w:val="ClosingChar"/>
    <w:semiHidden/>
    <w:pPr>
      <w:tabs>
        <w:tab w:val="left" w:pos="5102"/>
      </w:tabs>
      <w:spacing w:before="240"/>
      <w:ind w:left="5102"/>
      <w:jc w:val="left"/>
    </w:pPr>
  </w:style>
  <w:style w:type="character" w:customStyle="1" w:styleId="ClosingChar">
    <w:name w:val="Closing Char"/>
    <w:basedOn w:val="DefaultParagraphFont"/>
    <w:link w:val="Closing"/>
    <w:semiHidden/>
    <w:rPr>
      <w:rFonts w:ascii="Times New Roman" w:eastAsia="Times New Roman" w:hAnsi="Times New Roman" w:cs="Times New Roman"/>
      <w:kern w:val="0"/>
      <w:sz w:val="24"/>
      <w:szCs w:val="20"/>
      <w:lang w:val="sv-SE" w:eastAsia="fr-BE"/>
      <w14:ligatures w14:val="none"/>
    </w:r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character" w:customStyle="1" w:styleId="DateChar">
    <w:name w:val="Date Char"/>
    <w:basedOn w:val="DefaultParagraphFont"/>
    <w:link w:val="Date"/>
    <w:semiHidden/>
    <w:rPr>
      <w:rFonts w:ascii="Times New Roman" w:eastAsia="Times New Roman" w:hAnsi="Times New Roman" w:cs="Times New Roman"/>
      <w:kern w:val="0"/>
      <w:sz w:val="24"/>
      <w:szCs w:val="20"/>
      <w:lang w:val="sv-SE" w:eastAsia="fr-BE"/>
      <w14:ligatures w14:val="none"/>
    </w:r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link w:val="EndnoteTextChar"/>
    <w:semiHidden/>
    <w:pPr>
      <w:spacing w:after="120"/>
      <w:ind w:left="357" w:hanging="357"/>
    </w:pPr>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kern w:val="0"/>
      <w:sz w:val="20"/>
      <w:szCs w:val="20"/>
      <w:lang w:val="sv-SE" w:eastAsia="fr-BE"/>
      <w14:ligatures w14:val="none"/>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kern w:val="0"/>
      <w:sz w:val="16"/>
      <w:szCs w:val="20"/>
      <w:lang w:val="sv-SE" w:eastAsia="fr-BE"/>
      <w14:ligatures w14:val="none"/>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semiHidden/>
    <w:pPr>
      <w:spacing w:after="120"/>
      <w:ind w:left="357" w:hanging="357"/>
    </w:pPr>
    <w:rPr>
      <w:sz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kern w:val="0"/>
      <w:sz w:val="20"/>
      <w:szCs w:val="20"/>
      <w:lang w:val="sv-SE" w:eastAsia="fr-BE"/>
      <w14:ligatures w14:val="none"/>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35"/>
    <w:pPr>
      <w:numPr>
        <w:numId w:val="18"/>
      </w:numPr>
    </w:pPr>
  </w:style>
  <w:style w:type="paragraph" w:customStyle="1" w:styleId="ListBulletLevel2">
    <w:name w:val="List Bullet (Level 2)"/>
    <w:basedOn w:val="Normal"/>
    <w:uiPriority w:val="35"/>
    <w:semiHidden/>
    <w:unhideWhenUsed/>
    <w:pPr>
      <w:numPr>
        <w:ilvl w:val="1"/>
        <w:numId w:val="18"/>
      </w:numPr>
    </w:pPr>
  </w:style>
  <w:style w:type="paragraph" w:customStyle="1" w:styleId="ListBulletLevel3">
    <w:name w:val="List Bullet (Level 3)"/>
    <w:basedOn w:val="Normal"/>
    <w:uiPriority w:val="35"/>
    <w:semiHidden/>
    <w:unhideWhenUsed/>
    <w:pPr>
      <w:numPr>
        <w:ilvl w:val="2"/>
        <w:numId w:val="18"/>
      </w:numPr>
    </w:pPr>
  </w:style>
  <w:style w:type="paragraph" w:customStyle="1" w:styleId="ListBulletLevel4">
    <w:name w:val="List Bullet (Level 4)"/>
    <w:basedOn w:val="Normal"/>
    <w:uiPriority w:val="35"/>
    <w:semiHidden/>
    <w:unhideWhenUsed/>
    <w:pPr>
      <w:numPr>
        <w:ilvl w:val="3"/>
        <w:numId w:val="18"/>
      </w:numPr>
    </w:pPr>
  </w:style>
  <w:style w:type="paragraph" w:customStyle="1" w:styleId="ListBullet1">
    <w:name w:val="List Bullet 1"/>
    <w:basedOn w:val="Text1"/>
    <w:uiPriority w:val="35"/>
    <w:pPr>
      <w:numPr>
        <w:numId w:val="17"/>
      </w:numPr>
      <w:tabs>
        <w:tab w:val="clear" w:pos="765"/>
      </w:tabs>
      <w:ind w:left="1788" w:hanging="360"/>
    </w:pPr>
  </w:style>
  <w:style w:type="paragraph" w:customStyle="1" w:styleId="ListBullet1Level2">
    <w:name w:val="List Bullet 1 (Level 2)"/>
    <w:basedOn w:val="Text1"/>
    <w:uiPriority w:val="35"/>
    <w:semiHidden/>
    <w:unhideWhenUsed/>
    <w:pPr>
      <w:numPr>
        <w:ilvl w:val="1"/>
        <w:numId w:val="17"/>
      </w:numPr>
    </w:pPr>
  </w:style>
  <w:style w:type="paragraph" w:customStyle="1" w:styleId="ListBullet1Level3">
    <w:name w:val="List Bullet 1 (Level 3)"/>
    <w:basedOn w:val="Text1"/>
    <w:uiPriority w:val="35"/>
    <w:semiHidden/>
    <w:unhideWhenUsed/>
    <w:pPr>
      <w:numPr>
        <w:ilvl w:val="2"/>
        <w:numId w:val="17"/>
      </w:numPr>
    </w:pPr>
  </w:style>
  <w:style w:type="paragraph" w:customStyle="1" w:styleId="ListBullet1Level4">
    <w:name w:val="List Bullet 1 (Level 4)"/>
    <w:basedOn w:val="Text1"/>
    <w:uiPriority w:val="35"/>
    <w:semiHidden/>
    <w:unhideWhenUsed/>
    <w:pPr>
      <w:numPr>
        <w:ilvl w:val="3"/>
        <w:numId w:val="17"/>
      </w:numPr>
    </w:pPr>
  </w:style>
  <w:style w:type="paragraph" w:styleId="ListBullet2">
    <w:name w:val="List Bullet 2"/>
    <w:basedOn w:val="Text2"/>
    <w:uiPriority w:val="35"/>
    <w:pPr>
      <w:numPr>
        <w:numId w:val="16"/>
      </w:numPr>
    </w:pPr>
  </w:style>
  <w:style w:type="paragraph" w:customStyle="1" w:styleId="ListBullet2Level2">
    <w:name w:val="List Bullet 2 (Level 2)"/>
    <w:basedOn w:val="Text2"/>
    <w:uiPriority w:val="35"/>
    <w:semiHidden/>
    <w:unhideWhenUsed/>
    <w:pPr>
      <w:numPr>
        <w:ilvl w:val="1"/>
        <w:numId w:val="16"/>
      </w:numPr>
    </w:pPr>
  </w:style>
  <w:style w:type="paragraph" w:customStyle="1" w:styleId="ListBullet2Level3">
    <w:name w:val="List Bullet 2 (Level 3)"/>
    <w:basedOn w:val="Text2"/>
    <w:uiPriority w:val="35"/>
    <w:semiHidden/>
    <w:unhideWhenUsed/>
    <w:pPr>
      <w:numPr>
        <w:ilvl w:val="2"/>
        <w:numId w:val="16"/>
      </w:numPr>
    </w:pPr>
  </w:style>
  <w:style w:type="paragraph" w:customStyle="1" w:styleId="ListBullet2Level4">
    <w:name w:val="List Bullet 2 (Level 4)"/>
    <w:basedOn w:val="Text2"/>
    <w:uiPriority w:val="35"/>
    <w:semiHidden/>
    <w:unhideWhenUsed/>
    <w:pPr>
      <w:numPr>
        <w:ilvl w:val="3"/>
        <w:numId w:val="16"/>
      </w:numPr>
    </w:pPr>
  </w:style>
  <w:style w:type="paragraph" w:styleId="ListBullet3">
    <w:name w:val="List Bullet 3"/>
    <w:basedOn w:val="Text3"/>
    <w:uiPriority w:val="35"/>
    <w:pPr>
      <w:numPr>
        <w:numId w:val="15"/>
      </w:numPr>
    </w:pPr>
  </w:style>
  <w:style w:type="paragraph" w:customStyle="1" w:styleId="ListBullet3Level2">
    <w:name w:val="List Bullet 3 (Level 2)"/>
    <w:basedOn w:val="Text3"/>
    <w:uiPriority w:val="35"/>
    <w:semiHidden/>
    <w:unhideWhenUsed/>
    <w:pPr>
      <w:numPr>
        <w:ilvl w:val="1"/>
        <w:numId w:val="15"/>
      </w:numPr>
    </w:pPr>
  </w:style>
  <w:style w:type="paragraph" w:customStyle="1" w:styleId="ListBullet3Level3">
    <w:name w:val="List Bullet 3 (Level 3)"/>
    <w:basedOn w:val="Text3"/>
    <w:uiPriority w:val="35"/>
    <w:semiHidden/>
    <w:unhideWhenUsed/>
    <w:pPr>
      <w:numPr>
        <w:ilvl w:val="2"/>
        <w:numId w:val="15"/>
      </w:numPr>
    </w:pPr>
  </w:style>
  <w:style w:type="paragraph" w:customStyle="1" w:styleId="ListBullet3Level4">
    <w:name w:val="List Bullet 3 (Level 4)"/>
    <w:basedOn w:val="Text3"/>
    <w:uiPriority w:val="35"/>
    <w:semiHidden/>
    <w:unhideWhenUsed/>
    <w:pPr>
      <w:numPr>
        <w:ilvl w:val="3"/>
        <w:numId w:val="15"/>
      </w:numPr>
    </w:pPr>
  </w:style>
  <w:style w:type="paragraph" w:styleId="ListBullet4">
    <w:name w:val="List Bullet 4"/>
    <w:basedOn w:val="Text4"/>
    <w:uiPriority w:val="35"/>
    <w:pPr>
      <w:numPr>
        <w:numId w:val="14"/>
      </w:numPr>
    </w:pPr>
  </w:style>
  <w:style w:type="paragraph" w:customStyle="1" w:styleId="ListBullet4Level2">
    <w:name w:val="List Bullet 4 (Level 2)"/>
    <w:basedOn w:val="Text4"/>
    <w:uiPriority w:val="35"/>
    <w:semiHidden/>
    <w:unhideWhenUsed/>
    <w:pPr>
      <w:numPr>
        <w:ilvl w:val="1"/>
        <w:numId w:val="14"/>
      </w:numPr>
    </w:pPr>
  </w:style>
  <w:style w:type="paragraph" w:customStyle="1" w:styleId="ListBullet4Level3">
    <w:name w:val="List Bullet 4 (Level 3)"/>
    <w:basedOn w:val="Text4"/>
    <w:uiPriority w:val="35"/>
    <w:semiHidden/>
    <w:unhideWhenUsed/>
    <w:pPr>
      <w:numPr>
        <w:ilvl w:val="2"/>
        <w:numId w:val="14"/>
      </w:numPr>
    </w:pPr>
  </w:style>
  <w:style w:type="paragraph" w:customStyle="1" w:styleId="ListBullet4Level4">
    <w:name w:val="List Bullet 4 (Level 4)"/>
    <w:basedOn w:val="Text4"/>
    <w:uiPriority w:val="35"/>
    <w:semiHidden/>
    <w:unhideWhenUsed/>
    <w:pPr>
      <w:numPr>
        <w:ilvl w:val="3"/>
        <w:numId w:val="14"/>
      </w:numPr>
    </w:pPr>
  </w:style>
  <w:style w:type="paragraph" w:customStyle="1" w:styleId="ListDash">
    <w:name w:val="List Dash"/>
    <w:basedOn w:val="Normal"/>
    <w:uiPriority w:val="35"/>
    <w:pPr>
      <w:numPr>
        <w:numId w:val="9"/>
      </w:numPr>
    </w:pPr>
  </w:style>
  <w:style w:type="paragraph" w:customStyle="1" w:styleId="ListDashLevel2">
    <w:name w:val="List Dash (Level 2)"/>
    <w:basedOn w:val="Normal"/>
    <w:semiHidden/>
    <w:unhideWhenUsed/>
    <w:pPr>
      <w:numPr>
        <w:ilvl w:val="1"/>
        <w:numId w:val="9"/>
      </w:numPr>
    </w:pPr>
  </w:style>
  <w:style w:type="paragraph" w:customStyle="1" w:styleId="ListDashLevel3">
    <w:name w:val="List Dash (Level 3)"/>
    <w:basedOn w:val="Normal"/>
    <w:semiHidden/>
    <w:unhideWhenUsed/>
    <w:pPr>
      <w:numPr>
        <w:ilvl w:val="2"/>
        <w:numId w:val="9"/>
      </w:numPr>
    </w:pPr>
  </w:style>
  <w:style w:type="paragraph" w:customStyle="1" w:styleId="ListDashLevel4">
    <w:name w:val="List Dash (Level 4)"/>
    <w:basedOn w:val="Normal"/>
    <w:semiHidden/>
    <w:unhideWhenUsed/>
    <w:pPr>
      <w:numPr>
        <w:ilvl w:val="3"/>
        <w:numId w:val="9"/>
      </w:numPr>
    </w:pPr>
  </w:style>
  <w:style w:type="paragraph" w:customStyle="1" w:styleId="ListDash1">
    <w:name w:val="List Dash 1"/>
    <w:basedOn w:val="Text1"/>
    <w:uiPriority w:val="35"/>
    <w:pPr>
      <w:numPr>
        <w:numId w:val="8"/>
      </w:numPr>
    </w:pPr>
  </w:style>
  <w:style w:type="paragraph" w:customStyle="1" w:styleId="ListDash1Level2">
    <w:name w:val="List Dash 1 (Level 2)"/>
    <w:basedOn w:val="Text1"/>
    <w:uiPriority w:val="35"/>
    <w:semiHidden/>
    <w:unhideWhenUsed/>
    <w:pPr>
      <w:numPr>
        <w:ilvl w:val="1"/>
        <w:numId w:val="8"/>
      </w:numPr>
    </w:pPr>
  </w:style>
  <w:style w:type="paragraph" w:customStyle="1" w:styleId="ListDash1Level3">
    <w:name w:val="List Dash 1 (Level 3)"/>
    <w:basedOn w:val="Text1"/>
    <w:uiPriority w:val="35"/>
    <w:semiHidden/>
    <w:unhideWhenUsed/>
    <w:pPr>
      <w:numPr>
        <w:ilvl w:val="2"/>
        <w:numId w:val="8"/>
      </w:numPr>
    </w:pPr>
  </w:style>
  <w:style w:type="paragraph" w:customStyle="1" w:styleId="ListDash1Level4">
    <w:name w:val="List Dash 1 (Level 4)"/>
    <w:basedOn w:val="Text1"/>
    <w:uiPriority w:val="35"/>
    <w:semiHidden/>
    <w:unhideWhenUsed/>
    <w:pPr>
      <w:numPr>
        <w:ilvl w:val="3"/>
        <w:numId w:val="8"/>
      </w:numPr>
    </w:pPr>
  </w:style>
  <w:style w:type="paragraph" w:customStyle="1" w:styleId="ListDash2">
    <w:name w:val="List Dash 2"/>
    <w:basedOn w:val="Text2"/>
    <w:uiPriority w:val="35"/>
    <w:pPr>
      <w:numPr>
        <w:numId w:val="7"/>
      </w:numPr>
    </w:pPr>
  </w:style>
  <w:style w:type="paragraph" w:customStyle="1" w:styleId="ListDash2Level2">
    <w:name w:val="List Dash 2 (Level 2)"/>
    <w:basedOn w:val="Text2"/>
    <w:uiPriority w:val="35"/>
    <w:semiHidden/>
    <w:unhideWhenUsed/>
    <w:pPr>
      <w:numPr>
        <w:ilvl w:val="1"/>
        <w:numId w:val="7"/>
      </w:numPr>
    </w:pPr>
  </w:style>
  <w:style w:type="paragraph" w:customStyle="1" w:styleId="ListDash2Level3">
    <w:name w:val="List Dash 2 (Level 3)"/>
    <w:basedOn w:val="Text2"/>
    <w:uiPriority w:val="35"/>
    <w:unhideWhenUsed/>
    <w:pPr>
      <w:numPr>
        <w:ilvl w:val="2"/>
        <w:numId w:val="7"/>
      </w:numPr>
    </w:pPr>
  </w:style>
  <w:style w:type="paragraph" w:customStyle="1" w:styleId="ListDash2Level4">
    <w:name w:val="List Dash 2 (Level 4)"/>
    <w:basedOn w:val="Text2"/>
    <w:uiPriority w:val="35"/>
    <w:semiHidden/>
    <w:unhideWhenUsed/>
    <w:pPr>
      <w:numPr>
        <w:ilvl w:val="3"/>
        <w:numId w:val="7"/>
      </w:numPr>
    </w:pPr>
  </w:style>
  <w:style w:type="paragraph" w:customStyle="1" w:styleId="ListDash3">
    <w:name w:val="List Dash 3"/>
    <w:basedOn w:val="Text3"/>
    <w:uiPriority w:val="35"/>
    <w:pPr>
      <w:numPr>
        <w:numId w:val="6"/>
      </w:numPr>
    </w:pPr>
  </w:style>
  <w:style w:type="paragraph" w:customStyle="1" w:styleId="ListDash3Level2">
    <w:name w:val="List Dash 3 (Level 2)"/>
    <w:basedOn w:val="Text3"/>
    <w:uiPriority w:val="35"/>
    <w:semiHidden/>
    <w:unhideWhenUsed/>
    <w:pPr>
      <w:numPr>
        <w:ilvl w:val="1"/>
        <w:numId w:val="6"/>
      </w:numPr>
    </w:pPr>
  </w:style>
  <w:style w:type="paragraph" w:customStyle="1" w:styleId="ListDash3Level3">
    <w:name w:val="List Dash 3 (Level 3)"/>
    <w:basedOn w:val="Text3"/>
    <w:uiPriority w:val="35"/>
    <w:semiHidden/>
    <w:unhideWhenUsed/>
    <w:pPr>
      <w:numPr>
        <w:ilvl w:val="2"/>
        <w:numId w:val="6"/>
      </w:numPr>
    </w:pPr>
  </w:style>
  <w:style w:type="paragraph" w:customStyle="1" w:styleId="ListDash3Level4">
    <w:name w:val="List Dash 3 (Level 4)"/>
    <w:basedOn w:val="Text3"/>
    <w:uiPriority w:val="35"/>
    <w:semiHidden/>
    <w:unhideWhenUsed/>
    <w:pPr>
      <w:numPr>
        <w:ilvl w:val="3"/>
        <w:numId w:val="6"/>
      </w:numPr>
    </w:pPr>
  </w:style>
  <w:style w:type="paragraph" w:customStyle="1" w:styleId="ListDash4">
    <w:name w:val="List Dash 4"/>
    <w:basedOn w:val="Text4"/>
    <w:uiPriority w:val="35"/>
    <w:pPr>
      <w:numPr>
        <w:numId w:val="5"/>
      </w:numPr>
    </w:pPr>
  </w:style>
  <w:style w:type="paragraph" w:customStyle="1" w:styleId="ListDash4Level2">
    <w:name w:val="List Dash 4 (Level 2)"/>
    <w:basedOn w:val="Text4"/>
    <w:uiPriority w:val="35"/>
    <w:semiHidden/>
    <w:unhideWhenUsed/>
    <w:pPr>
      <w:numPr>
        <w:ilvl w:val="1"/>
        <w:numId w:val="5"/>
      </w:numPr>
    </w:pPr>
  </w:style>
  <w:style w:type="paragraph" w:customStyle="1" w:styleId="ListDash4Level3">
    <w:name w:val="List Dash 4 (Level 3)"/>
    <w:basedOn w:val="Text4"/>
    <w:uiPriority w:val="35"/>
    <w:semiHidden/>
    <w:unhideWhenUsed/>
    <w:pPr>
      <w:numPr>
        <w:ilvl w:val="2"/>
        <w:numId w:val="5"/>
      </w:numPr>
    </w:pPr>
  </w:style>
  <w:style w:type="paragraph" w:customStyle="1" w:styleId="ListDash4Level4">
    <w:name w:val="List Dash 4 (Level 4)"/>
    <w:basedOn w:val="Text4"/>
    <w:uiPriority w:val="35"/>
    <w:semiHidden/>
    <w:unhideWhenUsed/>
    <w:pPr>
      <w:numPr>
        <w:ilvl w:val="3"/>
        <w:numId w:val="5"/>
      </w:numPr>
    </w:pPr>
  </w:style>
  <w:style w:type="paragraph" w:customStyle="1" w:styleId="ListNumber1">
    <w:name w:val="List Number 1"/>
    <w:basedOn w:val="Text1"/>
    <w:uiPriority w:val="30"/>
    <w:pPr>
      <w:numPr>
        <w:numId w:val="13"/>
      </w:numPr>
    </w:pPr>
  </w:style>
  <w:style w:type="paragraph" w:customStyle="1" w:styleId="ListNumber1Level2">
    <w:name w:val="List Number 1 (Level 2)"/>
    <w:basedOn w:val="Text1"/>
    <w:uiPriority w:val="30"/>
    <w:semiHidden/>
    <w:unhideWhenUsed/>
    <w:pPr>
      <w:numPr>
        <w:ilvl w:val="1"/>
        <w:numId w:val="13"/>
      </w:numPr>
    </w:pPr>
  </w:style>
  <w:style w:type="paragraph" w:customStyle="1" w:styleId="ListNumber1Level3">
    <w:name w:val="List Number 1 (Level 3)"/>
    <w:basedOn w:val="Text1"/>
    <w:uiPriority w:val="30"/>
    <w:semiHidden/>
    <w:unhideWhenUsed/>
    <w:pPr>
      <w:numPr>
        <w:ilvl w:val="2"/>
        <w:numId w:val="13"/>
      </w:numPr>
    </w:pPr>
  </w:style>
  <w:style w:type="paragraph" w:customStyle="1" w:styleId="ListNumber1Level4">
    <w:name w:val="List Number 1 (Level 4)"/>
    <w:basedOn w:val="Text1"/>
    <w:uiPriority w:val="30"/>
    <w:semiHidden/>
    <w:unhideWhenUsed/>
    <w:pPr>
      <w:numPr>
        <w:ilvl w:val="3"/>
        <w:numId w:val="13"/>
      </w:numPr>
    </w:pPr>
  </w:style>
  <w:style w:type="paragraph" w:styleId="ListNumber2">
    <w:name w:val="List Number 2"/>
    <w:basedOn w:val="Text2"/>
    <w:uiPriority w:val="30"/>
    <w:pPr>
      <w:numPr>
        <w:numId w:val="12"/>
      </w:numPr>
      <w:tabs>
        <w:tab w:val="clear" w:pos="1786"/>
        <w:tab w:val="num" w:pos="709"/>
      </w:tabs>
      <w:ind w:left="709"/>
    </w:pPr>
  </w:style>
  <w:style w:type="paragraph" w:customStyle="1" w:styleId="ListNumber2Level2">
    <w:name w:val="List Number 2 (Level 2)"/>
    <w:basedOn w:val="Text2"/>
    <w:uiPriority w:val="30"/>
    <w:semiHidden/>
    <w:unhideWhenUsed/>
    <w:pPr>
      <w:numPr>
        <w:ilvl w:val="1"/>
        <w:numId w:val="12"/>
      </w:numPr>
    </w:pPr>
  </w:style>
  <w:style w:type="paragraph" w:customStyle="1" w:styleId="ListNumber2Level3">
    <w:name w:val="List Number 2 (Level 3)"/>
    <w:basedOn w:val="Text2"/>
    <w:uiPriority w:val="30"/>
    <w:semiHidden/>
    <w:unhideWhenUsed/>
    <w:pPr>
      <w:numPr>
        <w:ilvl w:val="2"/>
        <w:numId w:val="12"/>
      </w:numPr>
    </w:pPr>
  </w:style>
  <w:style w:type="paragraph" w:customStyle="1" w:styleId="ListNumber2Level4">
    <w:name w:val="List Number 2 (Level 4)"/>
    <w:basedOn w:val="Text2"/>
    <w:uiPriority w:val="30"/>
    <w:semiHidden/>
    <w:unhideWhenUsed/>
    <w:pPr>
      <w:numPr>
        <w:ilvl w:val="3"/>
        <w:numId w:val="12"/>
      </w:numPr>
    </w:pPr>
  </w:style>
  <w:style w:type="paragraph" w:styleId="ListNumber3">
    <w:name w:val="List Number 3"/>
    <w:basedOn w:val="Text3"/>
    <w:uiPriority w:val="30"/>
    <w:pPr>
      <w:numPr>
        <w:numId w:val="11"/>
      </w:numPr>
    </w:pPr>
  </w:style>
  <w:style w:type="paragraph" w:customStyle="1" w:styleId="ListNumber3Level2">
    <w:name w:val="List Number 3 (Level 2)"/>
    <w:basedOn w:val="Text3"/>
    <w:uiPriority w:val="30"/>
    <w:semiHidden/>
    <w:unhideWhenUsed/>
    <w:pPr>
      <w:numPr>
        <w:ilvl w:val="1"/>
        <w:numId w:val="11"/>
      </w:numPr>
    </w:pPr>
  </w:style>
  <w:style w:type="paragraph" w:customStyle="1" w:styleId="ListNumber3Level3">
    <w:name w:val="List Number 3 (Level 3)"/>
    <w:basedOn w:val="Text3"/>
    <w:uiPriority w:val="30"/>
    <w:semiHidden/>
    <w:unhideWhenUsed/>
    <w:pPr>
      <w:numPr>
        <w:ilvl w:val="2"/>
        <w:numId w:val="11"/>
      </w:numPr>
    </w:pPr>
  </w:style>
  <w:style w:type="paragraph" w:customStyle="1" w:styleId="ListNumber3Level4">
    <w:name w:val="List Number 3 (Level 4)"/>
    <w:basedOn w:val="Text3"/>
    <w:uiPriority w:val="30"/>
    <w:semiHidden/>
    <w:unhideWhenUsed/>
    <w:pPr>
      <w:numPr>
        <w:ilvl w:val="3"/>
        <w:numId w:val="11"/>
      </w:numPr>
    </w:pPr>
  </w:style>
  <w:style w:type="paragraph" w:styleId="ListNumber4">
    <w:name w:val="List Number 4"/>
    <w:basedOn w:val="Text4"/>
    <w:uiPriority w:val="30"/>
    <w:pPr>
      <w:numPr>
        <w:numId w:val="10"/>
      </w:numPr>
    </w:pPr>
  </w:style>
  <w:style w:type="paragraph" w:customStyle="1" w:styleId="ListNumber4Level2">
    <w:name w:val="List Number 4 (Level 2)"/>
    <w:basedOn w:val="Text4"/>
    <w:uiPriority w:val="30"/>
    <w:semiHidden/>
    <w:unhideWhenUsed/>
    <w:pPr>
      <w:numPr>
        <w:ilvl w:val="1"/>
        <w:numId w:val="10"/>
      </w:numPr>
    </w:pPr>
  </w:style>
  <w:style w:type="paragraph" w:customStyle="1" w:styleId="ListNumber4Level3">
    <w:name w:val="List Number 4 (Level 3)"/>
    <w:basedOn w:val="Text4"/>
    <w:uiPriority w:val="30"/>
    <w:semiHidden/>
    <w:unhideWhenUsed/>
    <w:pPr>
      <w:numPr>
        <w:ilvl w:val="2"/>
        <w:numId w:val="10"/>
      </w:numPr>
    </w:pPr>
  </w:style>
  <w:style w:type="paragraph" w:customStyle="1" w:styleId="ListNumber4Level4">
    <w:name w:val="List Number 4 (Level 4)"/>
    <w:basedOn w:val="Text4"/>
    <w:uiPriority w:val="30"/>
    <w:semiHidden/>
    <w:unhideWhenUsed/>
    <w:pPr>
      <w:numPr>
        <w:ilvl w:val="3"/>
        <w:numId w:val="10"/>
      </w:numPr>
    </w:p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spacing w:before="0"/>
      <w:ind w:left="0" w:firstLine="0"/>
      <w:outlineLvl w:val="9"/>
    </w:pPr>
    <w:rPr>
      <w:b w:val="0"/>
      <w:bCs w:val="0"/>
      <w:color w:val="auto"/>
      <w:sz w:val="24"/>
      <w:szCs w:val="20"/>
    </w:rPr>
  </w:style>
  <w:style w:type="paragraph" w:customStyle="1" w:styleId="NumPar2">
    <w:name w:val="NumPar 2"/>
    <w:basedOn w:val="Heading2"/>
    <w:uiPriority w:val="20"/>
    <w:qFormat/>
    <w:pPr>
      <w:outlineLvl w:val="9"/>
    </w:pPr>
    <w:rPr>
      <w:color w:val="auto"/>
      <w:sz w:val="24"/>
      <w:szCs w:val="20"/>
    </w:rPr>
  </w:style>
  <w:style w:type="paragraph" w:customStyle="1" w:styleId="NumPar3">
    <w:name w:val="NumPar 3"/>
    <w:basedOn w:val="Heading3"/>
    <w:uiPriority w:val="20"/>
    <w:qFormat/>
    <w:pPr>
      <w:keepNext w:val="0"/>
      <w:keepLines w:val="0"/>
      <w:spacing w:before="0" w:after="240"/>
      <w:outlineLvl w:val="9"/>
    </w:pPr>
    <w:rPr>
      <w:rFonts w:eastAsia="Times New Roman" w:cs="Times New Roman"/>
      <w:color w:val="auto"/>
      <w:sz w:val="24"/>
      <w:szCs w:val="20"/>
    </w:rPr>
  </w:style>
  <w:style w:type="paragraph" w:customStyle="1" w:styleId="NumPar4">
    <w:name w:val="NumPar 4"/>
    <w:basedOn w:val="Heading4"/>
    <w:uiPriority w:val="20"/>
    <w:qFormat/>
    <w:pPr>
      <w:keepNext w:val="0"/>
      <w:keepLines w:val="0"/>
      <w:spacing w:before="0" w:after="240"/>
      <w:outlineLvl w:val="9"/>
    </w:pPr>
    <w:rPr>
      <w:rFonts w:eastAsia="Times New Roman" w:cs="Times New Roman"/>
      <w:i w:val="0"/>
      <w:iCs w:val="0"/>
      <w:color w:val="auto"/>
    </w:r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link w:val="SignatureChar"/>
    <w:semiHidden/>
    <w:pPr>
      <w:spacing w:before="1200" w:after="0"/>
      <w:ind w:left="5102"/>
      <w:jc w:val="center"/>
    </w:pPr>
  </w:style>
  <w:style w:type="character" w:customStyle="1" w:styleId="SignatureChar">
    <w:name w:val="Signature Char"/>
    <w:basedOn w:val="DefaultParagraphFont"/>
    <w:link w:val="Signature"/>
    <w:semiHidden/>
    <w:rPr>
      <w:rFonts w:ascii="Times New Roman" w:eastAsia="Times New Roman" w:hAnsi="Times New Roman" w:cs="Times New Roman"/>
      <w:kern w:val="0"/>
      <w:sz w:val="24"/>
      <w:szCs w:val="20"/>
      <w:lang w:val="sv-SE" w:eastAsia="fr-BE"/>
      <w14:ligatures w14:val="none"/>
    </w:r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rFonts w:ascii="Times New Roman" w:eastAsia="Times New Roman" w:hAnsi="Times New Roman" w:cs="Times New Roman"/>
      <w:kern w:val="0"/>
      <w:sz w:val="24"/>
      <w:szCs w:val="20"/>
      <w:lang w:val="sv-SE" w:eastAsia="fr-BE"/>
      <w14:ligatures w14:val="none"/>
    </w:rPr>
  </w:style>
  <w:style w:type="table" w:customStyle="1" w:styleId="EurolookClassicBlue">
    <w:name w:val="Eurolook Classic Blu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pPr>
      <w:spacing w:after="0" w:line="240" w:lineRule="auto"/>
    </w:pPr>
    <w:rPr>
      <w:rFonts w:ascii="Times New Roman" w:eastAsia="Times New Roman" w:hAnsi="Times New Roman" w:cs="Times New Roman"/>
      <w:kern w:val="0"/>
      <w:sz w:val="24"/>
      <w:szCs w:val="20"/>
      <w:lang w:val="en-IE" w:eastAsia="fr-B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pPr>
      <w:spacing w:after="0" w:line="240" w:lineRule="auto"/>
    </w:pPr>
    <w:rPr>
      <w:rFonts w:ascii="Times New Roman" w:eastAsia="Times New Roman" w:hAnsi="Times New Roman" w:cs="Times New Roman"/>
      <w:kern w:val="0"/>
      <w:sz w:val="24"/>
      <w:szCs w:val="20"/>
      <w:lang w:eastAsia="fr-BE"/>
      <w14:ligatures w14:val="none"/>
    </w:rPr>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pPr>
      <w:spacing w:after="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kern w:val="0"/>
      <w:sz w:val="24"/>
      <w:szCs w:val="20"/>
      <w:lang w:eastAsia="fr-BE"/>
      <w14:ligatures w14:val="none"/>
    </w:rPr>
    <w:tblPr>
      <w:tblCellMar>
        <w:left w:w="0" w:type="dxa"/>
        <w:bottom w:w="340" w:type="dxa"/>
        <w:right w:w="0" w:type="dxa"/>
      </w:tblCellMar>
    </w:tblPr>
  </w:style>
  <w:style w:type="paragraph" w:customStyle="1" w:styleId="pf0">
    <w:name w:val="pf0"/>
    <w:basedOn w:val="Normal"/>
    <w:pPr>
      <w:spacing w:before="100" w:beforeAutospacing="1" w:after="100" w:afterAutospacing="1"/>
      <w:jc w:val="left"/>
    </w:pPr>
    <w:rPr>
      <w:szCs w:val="24"/>
      <w:lang w:eastAsia="en-IE"/>
    </w:rPr>
  </w:style>
  <w:style w:type="character" w:customStyle="1" w:styleId="cf01">
    <w:name w:val="cf01"/>
    <w:basedOn w:val="DefaultParagraphFont"/>
    <w:rPr>
      <w:rFonts w:ascii="Segoe UI" w:hAnsi="Segoe UI" w:cs="Segoe UI" w:hint="default"/>
      <w:sz w:val="18"/>
      <w:szCs w:val="18"/>
    </w:rPr>
  </w:style>
  <w:style w:type="paragraph" w:customStyle="1" w:styleId="paragraph">
    <w:name w:val="paragraph"/>
    <w:basedOn w:val="Normal"/>
    <w:pPr>
      <w:spacing w:before="100" w:beforeAutospacing="1" w:after="100" w:afterAutospacing="1"/>
      <w:jc w:val="left"/>
    </w:pPr>
    <w:rPr>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Mention1">
    <w:name w:val="Mention1"/>
    <w:basedOn w:val="DefaultParagraphFont"/>
    <w:uiPriority w:val="99"/>
    <w:unhideWhenUsed/>
    <w:rPr>
      <w:color w:val="2B579A"/>
      <w:shd w:val="clear" w:color="auto" w:fill="E1DFDD"/>
    </w:rPr>
  </w:style>
  <w:style w:type="paragraph" w:styleId="NormalWeb">
    <w:name w:val="Normal (Web)"/>
    <w:basedOn w:val="Normal"/>
    <w:uiPriority w:val="99"/>
    <w:semiHidden/>
    <w:unhideWhenUsed/>
    <w:rPr>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ascii="Times New Roman" w:hAnsi="Times New Roman" w:cs="Times New Roman"/>
      <w:kern w:val="0"/>
      <w:sz w:val="24"/>
      <w:lang w:val="sv-SE"/>
      <w14:ligatures w14:val="none"/>
    </w:rPr>
  </w:style>
  <w:style w:type="character" w:customStyle="1" w:styleId="FooterCoverPageChar">
    <w:name w:val="Footer Cover Page Char"/>
    <w:basedOn w:val="PagedecouvertureChar"/>
    <w:link w:val="FooterCoverPage"/>
    <w:rPr>
      <w:rFonts w:ascii="Times New Roman" w:eastAsia="Times New Roman" w:hAnsi="Times New Roman" w:cs="Times New Roman"/>
      <w:kern w:val="0"/>
      <w:sz w:val="24"/>
      <w:szCs w:val="20"/>
      <w:lang w:val="sv-SE" w:eastAsia="fr-BE"/>
      <w14:ligatures w14:val="no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ascii="Times New Roman" w:eastAsia="Times New Roman" w:hAnsi="Times New Roman" w:cs="Times New Roman"/>
      <w:b/>
      <w:kern w:val="0"/>
      <w:sz w:val="32"/>
      <w:szCs w:val="20"/>
      <w:lang w:val="sv-SE" w:eastAsia="fr-BE"/>
      <w14:ligatures w14:val="none"/>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ascii="Times New Roman" w:eastAsia="Times New Roman" w:hAnsi="Times New Roman" w:cs="Times New Roman"/>
      <w:kern w:val="0"/>
      <w:sz w:val="24"/>
      <w:szCs w:val="20"/>
      <w:lang w:val="sv-SE" w:eastAsia="fr-BE"/>
      <w14:ligatures w14:val="no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ascii="Times New Roman" w:eastAsia="Times New Roman" w:hAnsi="Times New Roman" w:cs="Times New Roman"/>
      <w:b/>
      <w:kern w:val="0"/>
      <w:sz w:val="32"/>
      <w:szCs w:val="20"/>
      <w:lang w:val="sv-SE" w:eastAsia="fr-BE"/>
      <w14:ligatures w14:val="none"/>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ascii="Times New Roman" w:eastAsia="Times New Roman" w:hAnsi="Times New Roman" w:cs="Times New Roman"/>
      <w:kern w:val="0"/>
      <w:sz w:val="28"/>
      <w:szCs w:val="20"/>
      <w:lang w:val="sv-SE" w:eastAsia="fr-BE"/>
      <w14:ligatures w14:val="non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42975">
      <w:bodyDiv w:val="1"/>
      <w:marLeft w:val="0"/>
      <w:marRight w:val="0"/>
      <w:marTop w:val="0"/>
      <w:marBottom w:val="0"/>
      <w:divBdr>
        <w:top w:val="none" w:sz="0" w:space="0" w:color="auto"/>
        <w:left w:val="none" w:sz="0" w:space="0" w:color="auto"/>
        <w:bottom w:val="none" w:sz="0" w:space="0" w:color="auto"/>
        <w:right w:val="none" w:sz="0" w:space="0" w:color="auto"/>
      </w:divBdr>
      <w:divsChild>
        <w:div w:id="1367212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54563">
      <w:bodyDiv w:val="1"/>
      <w:marLeft w:val="0"/>
      <w:marRight w:val="0"/>
      <w:marTop w:val="0"/>
      <w:marBottom w:val="0"/>
      <w:divBdr>
        <w:top w:val="none" w:sz="0" w:space="0" w:color="auto"/>
        <w:left w:val="none" w:sz="0" w:space="0" w:color="auto"/>
        <w:bottom w:val="none" w:sz="0" w:space="0" w:color="auto"/>
        <w:right w:val="none" w:sz="0" w:space="0" w:color="auto"/>
      </w:divBdr>
    </w:div>
    <w:div w:id="119736693">
      <w:bodyDiv w:val="1"/>
      <w:marLeft w:val="0"/>
      <w:marRight w:val="0"/>
      <w:marTop w:val="0"/>
      <w:marBottom w:val="0"/>
      <w:divBdr>
        <w:top w:val="none" w:sz="0" w:space="0" w:color="auto"/>
        <w:left w:val="none" w:sz="0" w:space="0" w:color="auto"/>
        <w:bottom w:val="none" w:sz="0" w:space="0" w:color="auto"/>
        <w:right w:val="none" w:sz="0" w:space="0" w:color="auto"/>
      </w:divBdr>
    </w:div>
    <w:div w:id="120271651">
      <w:bodyDiv w:val="1"/>
      <w:marLeft w:val="0"/>
      <w:marRight w:val="0"/>
      <w:marTop w:val="0"/>
      <w:marBottom w:val="0"/>
      <w:divBdr>
        <w:top w:val="none" w:sz="0" w:space="0" w:color="auto"/>
        <w:left w:val="none" w:sz="0" w:space="0" w:color="auto"/>
        <w:bottom w:val="none" w:sz="0" w:space="0" w:color="auto"/>
        <w:right w:val="none" w:sz="0" w:space="0" w:color="auto"/>
      </w:divBdr>
    </w:div>
    <w:div w:id="150340522">
      <w:bodyDiv w:val="1"/>
      <w:marLeft w:val="0"/>
      <w:marRight w:val="0"/>
      <w:marTop w:val="0"/>
      <w:marBottom w:val="0"/>
      <w:divBdr>
        <w:top w:val="none" w:sz="0" w:space="0" w:color="auto"/>
        <w:left w:val="none" w:sz="0" w:space="0" w:color="auto"/>
        <w:bottom w:val="none" w:sz="0" w:space="0" w:color="auto"/>
        <w:right w:val="none" w:sz="0" w:space="0" w:color="auto"/>
      </w:divBdr>
    </w:div>
    <w:div w:id="331567092">
      <w:bodyDiv w:val="1"/>
      <w:marLeft w:val="0"/>
      <w:marRight w:val="0"/>
      <w:marTop w:val="0"/>
      <w:marBottom w:val="0"/>
      <w:divBdr>
        <w:top w:val="none" w:sz="0" w:space="0" w:color="auto"/>
        <w:left w:val="none" w:sz="0" w:space="0" w:color="auto"/>
        <w:bottom w:val="none" w:sz="0" w:space="0" w:color="auto"/>
        <w:right w:val="none" w:sz="0" w:space="0" w:color="auto"/>
      </w:divBdr>
    </w:div>
    <w:div w:id="332729425">
      <w:bodyDiv w:val="1"/>
      <w:marLeft w:val="0"/>
      <w:marRight w:val="0"/>
      <w:marTop w:val="0"/>
      <w:marBottom w:val="0"/>
      <w:divBdr>
        <w:top w:val="none" w:sz="0" w:space="0" w:color="auto"/>
        <w:left w:val="none" w:sz="0" w:space="0" w:color="auto"/>
        <w:bottom w:val="none" w:sz="0" w:space="0" w:color="auto"/>
        <w:right w:val="none" w:sz="0" w:space="0" w:color="auto"/>
      </w:divBdr>
    </w:div>
    <w:div w:id="343750572">
      <w:bodyDiv w:val="1"/>
      <w:marLeft w:val="0"/>
      <w:marRight w:val="0"/>
      <w:marTop w:val="0"/>
      <w:marBottom w:val="0"/>
      <w:divBdr>
        <w:top w:val="none" w:sz="0" w:space="0" w:color="auto"/>
        <w:left w:val="none" w:sz="0" w:space="0" w:color="auto"/>
        <w:bottom w:val="none" w:sz="0" w:space="0" w:color="auto"/>
        <w:right w:val="none" w:sz="0" w:space="0" w:color="auto"/>
      </w:divBdr>
    </w:div>
    <w:div w:id="398097663">
      <w:bodyDiv w:val="1"/>
      <w:marLeft w:val="0"/>
      <w:marRight w:val="0"/>
      <w:marTop w:val="0"/>
      <w:marBottom w:val="0"/>
      <w:divBdr>
        <w:top w:val="none" w:sz="0" w:space="0" w:color="auto"/>
        <w:left w:val="none" w:sz="0" w:space="0" w:color="auto"/>
        <w:bottom w:val="none" w:sz="0" w:space="0" w:color="auto"/>
        <w:right w:val="none" w:sz="0" w:space="0" w:color="auto"/>
      </w:divBdr>
    </w:div>
    <w:div w:id="441189030">
      <w:bodyDiv w:val="1"/>
      <w:marLeft w:val="0"/>
      <w:marRight w:val="0"/>
      <w:marTop w:val="0"/>
      <w:marBottom w:val="0"/>
      <w:divBdr>
        <w:top w:val="none" w:sz="0" w:space="0" w:color="auto"/>
        <w:left w:val="none" w:sz="0" w:space="0" w:color="auto"/>
        <w:bottom w:val="none" w:sz="0" w:space="0" w:color="auto"/>
        <w:right w:val="none" w:sz="0" w:space="0" w:color="auto"/>
      </w:divBdr>
    </w:div>
    <w:div w:id="446198246">
      <w:bodyDiv w:val="1"/>
      <w:marLeft w:val="0"/>
      <w:marRight w:val="0"/>
      <w:marTop w:val="0"/>
      <w:marBottom w:val="0"/>
      <w:divBdr>
        <w:top w:val="none" w:sz="0" w:space="0" w:color="auto"/>
        <w:left w:val="none" w:sz="0" w:space="0" w:color="auto"/>
        <w:bottom w:val="none" w:sz="0" w:space="0" w:color="auto"/>
        <w:right w:val="none" w:sz="0" w:space="0" w:color="auto"/>
      </w:divBdr>
    </w:div>
    <w:div w:id="460540053">
      <w:bodyDiv w:val="1"/>
      <w:marLeft w:val="0"/>
      <w:marRight w:val="0"/>
      <w:marTop w:val="0"/>
      <w:marBottom w:val="0"/>
      <w:divBdr>
        <w:top w:val="none" w:sz="0" w:space="0" w:color="auto"/>
        <w:left w:val="none" w:sz="0" w:space="0" w:color="auto"/>
        <w:bottom w:val="none" w:sz="0" w:space="0" w:color="auto"/>
        <w:right w:val="none" w:sz="0" w:space="0" w:color="auto"/>
      </w:divBdr>
    </w:div>
    <w:div w:id="532229210">
      <w:bodyDiv w:val="1"/>
      <w:marLeft w:val="0"/>
      <w:marRight w:val="0"/>
      <w:marTop w:val="0"/>
      <w:marBottom w:val="0"/>
      <w:divBdr>
        <w:top w:val="none" w:sz="0" w:space="0" w:color="auto"/>
        <w:left w:val="none" w:sz="0" w:space="0" w:color="auto"/>
        <w:bottom w:val="none" w:sz="0" w:space="0" w:color="auto"/>
        <w:right w:val="none" w:sz="0" w:space="0" w:color="auto"/>
      </w:divBdr>
    </w:div>
    <w:div w:id="643004457">
      <w:bodyDiv w:val="1"/>
      <w:marLeft w:val="0"/>
      <w:marRight w:val="0"/>
      <w:marTop w:val="0"/>
      <w:marBottom w:val="0"/>
      <w:divBdr>
        <w:top w:val="none" w:sz="0" w:space="0" w:color="auto"/>
        <w:left w:val="none" w:sz="0" w:space="0" w:color="auto"/>
        <w:bottom w:val="none" w:sz="0" w:space="0" w:color="auto"/>
        <w:right w:val="none" w:sz="0" w:space="0" w:color="auto"/>
      </w:divBdr>
    </w:div>
    <w:div w:id="690765384">
      <w:bodyDiv w:val="1"/>
      <w:marLeft w:val="0"/>
      <w:marRight w:val="0"/>
      <w:marTop w:val="0"/>
      <w:marBottom w:val="0"/>
      <w:divBdr>
        <w:top w:val="none" w:sz="0" w:space="0" w:color="auto"/>
        <w:left w:val="none" w:sz="0" w:space="0" w:color="auto"/>
        <w:bottom w:val="none" w:sz="0" w:space="0" w:color="auto"/>
        <w:right w:val="none" w:sz="0" w:space="0" w:color="auto"/>
      </w:divBdr>
    </w:div>
    <w:div w:id="702830322">
      <w:bodyDiv w:val="1"/>
      <w:marLeft w:val="0"/>
      <w:marRight w:val="0"/>
      <w:marTop w:val="0"/>
      <w:marBottom w:val="0"/>
      <w:divBdr>
        <w:top w:val="none" w:sz="0" w:space="0" w:color="auto"/>
        <w:left w:val="none" w:sz="0" w:space="0" w:color="auto"/>
        <w:bottom w:val="none" w:sz="0" w:space="0" w:color="auto"/>
        <w:right w:val="none" w:sz="0" w:space="0" w:color="auto"/>
      </w:divBdr>
    </w:div>
    <w:div w:id="731777832">
      <w:bodyDiv w:val="1"/>
      <w:marLeft w:val="0"/>
      <w:marRight w:val="0"/>
      <w:marTop w:val="0"/>
      <w:marBottom w:val="0"/>
      <w:divBdr>
        <w:top w:val="none" w:sz="0" w:space="0" w:color="auto"/>
        <w:left w:val="none" w:sz="0" w:space="0" w:color="auto"/>
        <w:bottom w:val="none" w:sz="0" w:space="0" w:color="auto"/>
        <w:right w:val="none" w:sz="0" w:space="0" w:color="auto"/>
      </w:divBdr>
    </w:div>
    <w:div w:id="803429392">
      <w:bodyDiv w:val="1"/>
      <w:marLeft w:val="0"/>
      <w:marRight w:val="0"/>
      <w:marTop w:val="0"/>
      <w:marBottom w:val="0"/>
      <w:divBdr>
        <w:top w:val="none" w:sz="0" w:space="0" w:color="auto"/>
        <w:left w:val="none" w:sz="0" w:space="0" w:color="auto"/>
        <w:bottom w:val="none" w:sz="0" w:space="0" w:color="auto"/>
        <w:right w:val="none" w:sz="0" w:space="0" w:color="auto"/>
      </w:divBdr>
    </w:div>
    <w:div w:id="816191711">
      <w:bodyDiv w:val="1"/>
      <w:marLeft w:val="0"/>
      <w:marRight w:val="0"/>
      <w:marTop w:val="0"/>
      <w:marBottom w:val="0"/>
      <w:divBdr>
        <w:top w:val="none" w:sz="0" w:space="0" w:color="auto"/>
        <w:left w:val="none" w:sz="0" w:space="0" w:color="auto"/>
        <w:bottom w:val="none" w:sz="0" w:space="0" w:color="auto"/>
        <w:right w:val="none" w:sz="0" w:space="0" w:color="auto"/>
      </w:divBdr>
    </w:div>
    <w:div w:id="852887312">
      <w:bodyDiv w:val="1"/>
      <w:marLeft w:val="0"/>
      <w:marRight w:val="0"/>
      <w:marTop w:val="0"/>
      <w:marBottom w:val="0"/>
      <w:divBdr>
        <w:top w:val="none" w:sz="0" w:space="0" w:color="auto"/>
        <w:left w:val="none" w:sz="0" w:space="0" w:color="auto"/>
        <w:bottom w:val="none" w:sz="0" w:space="0" w:color="auto"/>
        <w:right w:val="none" w:sz="0" w:space="0" w:color="auto"/>
      </w:divBdr>
      <w:divsChild>
        <w:div w:id="112405692">
          <w:marLeft w:val="0"/>
          <w:marRight w:val="0"/>
          <w:marTop w:val="0"/>
          <w:marBottom w:val="0"/>
          <w:divBdr>
            <w:top w:val="none" w:sz="0" w:space="0" w:color="auto"/>
            <w:left w:val="none" w:sz="0" w:space="0" w:color="auto"/>
            <w:bottom w:val="none" w:sz="0" w:space="0" w:color="auto"/>
            <w:right w:val="none" w:sz="0" w:space="0" w:color="auto"/>
          </w:divBdr>
          <w:divsChild>
            <w:div w:id="396906058">
              <w:marLeft w:val="0"/>
              <w:marRight w:val="0"/>
              <w:marTop w:val="0"/>
              <w:marBottom w:val="0"/>
              <w:divBdr>
                <w:top w:val="none" w:sz="0" w:space="0" w:color="auto"/>
                <w:left w:val="none" w:sz="0" w:space="0" w:color="auto"/>
                <w:bottom w:val="none" w:sz="0" w:space="0" w:color="auto"/>
                <w:right w:val="none" w:sz="0" w:space="0" w:color="auto"/>
              </w:divBdr>
            </w:div>
            <w:div w:id="447703228">
              <w:marLeft w:val="0"/>
              <w:marRight w:val="0"/>
              <w:marTop w:val="0"/>
              <w:marBottom w:val="0"/>
              <w:divBdr>
                <w:top w:val="none" w:sz="0" w:space="0" w:color="auto"/>
                <w:left w:val="none" w:sz="0" w:space="0" w:color="auto"/>
                <w:bottom w:val="none" w:sz="0" w:space="0" w:color="auto"/>
                <w:right w:val="none" w:sz="0" w:space="0" w:color="auto"/>
              </w:divBdr>
            </w:div>
            <w:div w:id="460267436">
              <w:marLeft w:val="0"/>
              <w:marRight w:val="0"/>
              <w:marTop w:val="0"/>
              <w:marBottom w:val="0"/>
              <w:divBdr>
                <w:top w:val="none" w:sz="0" w:space="0" w:color="auto"/>
                <w:left w:val="none" w:sz="0" w:space="0" w:color="auto"/>
                <w:bottom w:val="none" w:sz="0" w:space="0" w:color="auto"/>
                <w:right w:val="none" w:sz="0" w:space="0" w:color="auto"/>
              </w:divBdr>
            </w:div>
            <w:div w:id="800730149">
              <w:marLeft w:val="0"/>
              <w:marRight w:val="0"/>
              <w:marTop w:val="0"/>
              <w:marBottom w:val="0"/>
              <w:divBdr>
                <w:top w:val="none" w:sz="0" w:space="0" w:color="auto"/>
                <w:left w:val="none" w:sz="0" w:space="0" w:color="auto"/>
                <w:bottom w:val="none" w:sz="0" w:space="0" w:color="auto"/>
                <w:right w:val="none" w:sz="0" w:space="0" w:color="auto"/>
              </w:divBdr>
            </w:div>
          </w:divsChild>
        </w:div>
        <w:div w:id="414329713">
          <w:marLeft w:val="0"/>
          <w:marRight w:val="0"/>
          <w:marTop w:val="0"/>
          <w:marBottom w:val="0"/>
          <w:divBdr>
            <w:top w:val="none" w:sz="0" w:space="0" w:color="auto"/>
            <w:left w:val="none" w:sz="0" w:space="0" w:color="auto"/>
            <w:bottom w:val="none" w:sz="0" w:space="0" w:color="auto"/>
            <w:right w:val="none" w:sz="0" w:space="0" w:color="auto"/>
          </w:divBdr>
          <w:divsChild>
            <w:div w:id="730419144">
              <w:marLeft w:val="0"/>
              <w:marRight w:val="0"/>
              <w:marTop w:val="0"/>
              <w:marBottom w:val="0"/>
              <w:divBdr>
                <w:top w:val="none" w:sz="0" w:space="0" w:color="auto"/>
                <w:left w:val="none" w:sz="0" w:space="0" w:color="auto"/>
                <w:bottom w:val="none" w:sz="0" w:space="0" w:color="auto"/>
                <w:right w:val="none" w:sz="0" w:space="0" w:color="auto"/>
              </w:divBdr>
            </w:div>
            <w:div w:id="958989857">
              <w:marLeft w:val="0"/>
              <w:marRight w:val="0"/>
              <w:marTop w:val="0"/>
              <w:marBottom w:val="0"/>
              <w:divBdr>
                <w:top w:val="none" w:sz="0" w:space="0" w:color="auto"/>
                <w:left w:val="none" w:sz="0" w:space="0" w:color="auto"/>
                <w:bottom w:val="none" w:sz="0" w:space="0" w:color="auto"/>
                <w:right w:val="none" w:sz="0" w:space="0" w:color="auto"/>
              </w:divBdr>
            </w:div>
            <w:div w:id="1041325045">
              <w:marLeft w:val="0"/>
              <w:marRight w:val="0"/>
              <w:marTop w:val="0"/>
              <w:marBottom w:val="0"/>
              <w:divBdr>
                <w:top w:val="none" w:sz="0" w:space="0" w:color="auto"/>
                <w:left w:val="none" w:sz="0" w:space="0" w:color="auto"/>
                <w:bottom w:val="none" w:sz="0" w:space="0" w:color="auto"/>
                <w:right w:val="none" w:sz="0" w:space="0" w:color="auto"/>
              </w:divBdr>
            </w:div>
            <w:div w:id="1103722544">
              <w:marLeft w:val="0"/>
              <w:marRight w:val="0"/>
              <w:marTop w:val="0"/>
              <w:marBottom w:val="0"/>
              <w:divBdr>
                <w:top w:val="none" w:sz="0" w:space="0" w:color="auto"/>
                <w:left w:val="none" w:sz="0" w:space="0" w:color="auto"/>
                <w:bottom w:val="none" w:sz="0" w:space="0" w:color="auto"/>
                <w:right w:val="none" w:sz="0" w:space="0" w:color="auto"/>
              </w:divBdr>
            </w:div>
            <w:div w:id="18011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776498">
      <w:bodyDiv w:val="1"/>
      <w:marLeft w:val="0"/>
      <w:marRight w:val="0"/>
      <w:marTop w:val="0"/>
      <w:marBottom w:val="0"/>
      <w:divBdr>
        <w:top w:val="none" w:sz="0" w:space="0" w:color="auto"/>
        <w:left w:val="none" w:sz="0" w:space="0" w:color="auto"/>
        <w:bottom w:val="none" w:sz="0" w:space="0" w:color="auto"/>
        <w:right w:val="none" w:sz="0" w:space="0" w:color="auto"/>
      </w:divBdr>
    </w:div>
    <w:div w:id="868420741">
      <w:bodyDiv w:val="1"/>
      <w:marLeft w:val="0"/>
      <w:marRight w:val="0"/>
      <w:marTop w:val="0"/>
      <w:marBottom w:val="0"/>
      <w:divBdr>
        <w:top w:val="none" w:sz="0" w:space="0" w:color="auto"/>
        <w:left w:val="none" w:sz="0" w:space="0" w:color="auto"/>
        <w:bottom w:val="none" w:sz="0" w:space="0" w:color="auto"/>
        <w:right w:val="none" w:sz="0" w:space="0" w:color="auto"/>
      </w:divBdr>
    </w:div>
    <w:div w:id="872115806">
      <w:bodyDiv w:val="1"/>
      <w:marLeft w:val="0"/>
      <w:marRight w:val="0"/>
      <w:marTop w:val="0"/>
      <w:marBottom w:val="0"/>
      <w:divBdr>
        <w:top w:val="none" w:sz="0" w:space="0" w:color="auto"/>
        <w:left w:val="none" w:sz="0" w:space="0" w:color="auto"/>
        <w:bottom w:val="none" w:sz="0" w:space="0" w:color="auto"/>
        <w:right w:val="none" w:sz="0" w:space="0" w:color="auto"/>
      </w:divBdr>
    </w:div>
    <w:div w:id="951591186">
      <w:bodyDiv w:val="1"/>
      <w:marLeft w:val="0"/>
      <w:marRight w:val="0"/>
      <w:marTop w:val="0"/>
      <w:marBottom w:val="0"/>
      <w:divBdr>
        <w:top w:val="none" w:sz="0" w:space="0" w:color="auto"/>
        <w:left w:val="none" w:sz="0" w:space="0" w:color="auto"/>
        <w:bottom w:val="none" w:sz="0" w:space="0" w:color="auto"/>
        <w:right w:val="none" w:sz="0" w:space="0" w:color="auto"/>
      </w:divBdr>
    </w:div>
    <w:div w:id="973289597">
      <w:bodyDiv w:val="1"/>
      <w:marLeft w:val="0"/>
      <w:marRight w:val="0"/>
      <w:marTop w:val="0"/>
      <w:marBottom w:val="0"/>
      <w:divBdr>
        <w:top w:val="none" w:sz="0" w:space="0" w:color="auto"/>
        <w:left w:val="none" w:sz="0" w:space="0" w:color="auto"/>
        <w:bottom w:val="none" w:sz="0" w:space="0" w:color="auto"/>
        <w:right w:val="none" w:sz="0" w:space="0" w:color="auto"/>
      </w:divBdr>
    </w:div>
    <w:div w:id="1062366607">
      <w:bodyDiv w:val="1"/>
      <w:marLeft w:val="0"/>
      <w:marRight w:val="0"/>
      <w:marTop w:val="0"/>
      <w:marBottom w:val="0"/>
      <w:divBdr>
        <w:top w:val="none" w:sz="0" w:space="0" w:color="auto"/>
        <w:left w:val="none" w:sz="0" w:space="0" w:color="auto"/>
        <w:bottom w:val="none" w:sz="0" w:space="0" w:color="auto"/>
        <w:right w:val="none" w:sz="0" w:space="0" w:color="auto"/>
      </w:divBdr>
    </w:div>
    <w:div w:id="1136950366">
      <w:bodyDiv w:val="1"/>
      <w:marLeft w:val="0"/>
      <w:marRight w:val="0"/>
      <w:marTop w:val="0"/>
      <w:marBottom w:val="0"/>
      <w:divBdr>
        <w:top w:val="none" w:sz="0" w:space="0" w:color="auto"/>
        <w:left w:val="none" w:sz="0" w:space="0" w:color="auto"/>
        <w:bottom w:val="none" w:sz="0" w:space="0" w:color="auto"/>
        <w:right w:val="none" w:sz="0" w:space="0" w:color="auto"/>
      </w:divBdr>
    </w:div>
    <w:div w:id="1170019830">
      <w:bodyDiv w:val="1"/>
      <w:marLeft w:val="0"/>
      <w:marRight w:val="0"/>
      <w:marTop w:val="0"/>
      <w:marBottom w:val="0"/>
      <w:divBdr>
        <w:top w:val="none" w:sz="0" w:space="0" w:color="auto"/>
        <w:left w:val="none" w:sz="0" w:space="0" w:color="auto"/>
        <w:bottom w:val="none" w:sz="0" w:space="0" w:color="auto"/>
        <w:right w:val="none" w:sz="0" w:space="0" w:color="auto"/>
      </w:divBdr>
    </w:div>
    <w:div w:id="1178076158">
      <w:bodyDiv w:val="1"/>
      <w:marLeft w:val="0"/>
      <w:marRight w:val="0"/>
      <w:marTop w:val="0"/>
      <w:marBottom w:val="0"/>
      <w:divBdr>
        <w:top w:val="none" w:sz="0" w:space="0" w:color="auto"/>
        <w:left w:val="none" w:sz="0" w:space="0" w:color="auto"/>
        <w:bottom w:val="none" w:sz="0" w:space="0" w:color="auto"/>
        <w:right w:val="none" w:sz="0" w:space="0" w:color="auto"/>
      </w:divBdr>
    </w:div>
    <w:div w:id="1212501044">
      <w:bodyDiv w:val="1"/>
      <w:marLeft w:val="0"/>
      <w:marRight w:val="0"/>
      <w:marTop w:val="0"/>
      <w:marBottom w:val="0"/>
      <w:divBdr>
        <w:top w:val="none" w:sz="0" w:space="0" w:color="auto"/>
        <w:left w:val="none" w:sz="0" w:space="0" w:color="auto"/>
        <w:bottom w:val="none" w:sz="0" w:space="0" w:color="auto"/>
        <w:right w:val="none" w:sz="0" w:space="0" w:color="auto"/>
      </w:divBdr>
    </w:div>
    <w:div w:id="1238124976">
      <w:bodyDiv w:val="1"/>
      <w:marLeft w:val="0"/>
      <w:marRight w:val="0"/>
      <w:marTop w:val="0"/>
      <w:marBottom w:val="0"/>
      <w:divBdr>
        <w:top w:val="none" w:sz="0" w:space="0" w:color="auto"/>
        <w:left w:val="none" w:sz="0" w:space="0" w:color="auto"/>
        <w:bottom w:val="none" w:sz="0" w:space="0" w:color="auto"/>
        <w:right w:val="none" w:sz="0" w:space="0" w:color="auto"/>
      </w:divBdr>
    </w:div>
    <w:div w:id="1269848029">
      <w:bodyDiv w:val="1"/>
      <w:marLeft w:val="0"/>
      <w:marRight w:val="0"/>
      <w:marTop w:val="0"/>
      <w:marBottom w:val="0"/>
      <w:divBdr>
        <w:top w:val="none" w:sz="0" w:space="0" w:color="auto"/>
        <w:left w:val="none" w:sz="0" w:space="0" w:color="auto"/>
        <w:bottom w:val="none" w:sz="0" w:space="0" w:color="auto"/>
        <w:right w:val="none" w:sz="0" w:space="0" w:color="auto"/>
      </w:divBdr>
    </w:div>
    <w:div w:id="1384673684">
      <w:bodyDiv w:val="1"/>
      <w:marLeft w:val="0"/>
      <w:marRight w:val="0"/>
      <w:marTop w:val="0"/>
      <w:marBottom w:val="0"/>
      <w:divBdr>
        <w:top w:val="none" w:sz="0" w:space="0" w:color="auto"/>
        <w:left w:val="none" w:sz="0" w:space="0" w:color="auto"/>
        <w:bottom w:val="none" w:sz="0" w:space="0" w:color="auto"/>
        <w:right w:val="none" w:sz="0" w:space="0" w:color="auto"/>
      </w:divBdr>
    </w:div>
    <w:div w:id="1422875557">
      <w:bodyDiv w:val="1"/>
      <w:marLeft w:val="0"/>
      <w:marRight w:val="0"/>
      <w:marTop w:val="0"/>
      <w:marBottom w:val="0"/>
      <w:divBdr>
        <w:top w:val="none" w:sz="0" w:space="0" w:color="auto"/>
        <w:left w:val="none" w:sz="0" w:space="0" w:color="auto"/>
        <w:bottom w:val="none" w:sz="0" w:space="0" w:color="auto"/>
        <w:right w:val="none" w:sz="0" w:space="0" w:color="auto"/>
      </w:divBdr>
    </w:div>
    <w:div w:id="1471442898">
      <w:bodyDiv w:val="1"/>
      <w:marLeft w:val="0"/>
      <w:marRight w:val="0"/>
      <w:marTop w:val="0"/>
      <w:marBottom w:val="0"/>
      <w:divBdr>
        <w:top w:val="none" w:sz="0" w:space="0" w:color="auto"/>
        <w:left w:val="none" w:sz="0" w:space="0" w:color="auto"/>
        <w:bottom w:val="none" w:sz="0" w:space="0" w:color="auto"/>
        <w:right w:val="none" w:sz="0" w:space="0" w:color="auto"/>
      </w:divBdr>
    </w:div>
    <w:div w:id="1480927308">
      <w:bodyDiv w:val="1"/>
      <w:marLeft w:val="0"/>
      <w:marRight w:val="0"/>
      <w:marTop w:val="0"/>
      <w:marBottom w:val="0"/>
      <w:divBdr>
        <w:top w:val="none" w:sz="0" w:space="0" w:color="auto"/>
        <w:left w:val="none" w:sz="0" w:space="0" w:color="auto"/>
        <w:bottom w:val="none" w:sz="0" w:space="0" w:color="auto"/>
        <w:right w:val="none" w:sz="0" w:space="0" w:color="auto"/>
      </w:divBdr>
    </w:div>
    <w:div w:id="1607536403">
      <w:bodyDiv w:val="1"/>
      <w:marLeft w:val="0"/>
      <w:marRight w:val="0"/>
      <w:marTop w:val="0"/>
      <w:marBottom w:val="0"/>
      <w:divBdr>
        <w:top w:val="none" w:sz="0" w:space="0" w:color="auto"/>
        <w:left w:val="none" w:sz="0" w:space="0" w:color="auto"/>
        <w:bottom w:val="none" w:sz="0" w:space="0" w:color="auto"/>
        <w:right w:val="none" w:sz="0" w:space="0" w:color="auto"/>
      </w:divBdr>
    </w:div>
    <w:div w:id="1662081033">
      <w:bodyDiv w:val="1"/>
      <w:marLeft w:val="0"/>
      <w:marRight w:val="0"/>
      <w:marTop w:val="0"/>
      <w:marBottom w:val="0"/>
      <w:divBdr>
        <w:top w:val="none" w:sz="0" w:space="0" w:color="auto"/>
        <w:left w:val="none" w:sz="0" w:space="0" w:color="auto"/>
        <w:bottom w:val="none" w:sz="0" w:space="0" w:color="auto"/>
        <w:right w:val="none" w:sz="0" w:space="0" w:color="auto"/>
      </w:divBdr>
    </w:div>
    <w:div w:id="1663969340">
      <w:bodyDiv w:val="1"/>
      <w:marLeft w:val="0"/>
      <w:marRight w:val="0"/>
      <w:marTop w:val="0"/>
      <w:marBottom w:val="0"/>
      <w:divBdr>
        <w:top w:val="none" w:sz="0" w:space="0" w:color="auto"/>
        <w:left w:val="none" w:sz="0" w:space="0" w:color="auto"/>
        <w:bottom w:val="none" w:sz="0" w:space="0" w:color="auto"/>
        <w:right w:val="none" w:sz="0" w:space="0" w:color="auto"/>
      </w:divBdr>
    </w:div>
    <w:div w:id="1780753501">
      <w:bodyDiv w:val="1"/>
      <w:marLeft w:val="0"/>
      <w:marRight w:val="0"/>
      <w:marTop w:val="0"/>
      <w:marBottom w:val="0"/>
      <w:divBdr>
        <w:top w:val="none" w:sz="0" w:space="0" w:color="auto"/>
        <w:left w:val="none" w:sz="0" w:space="0" w:color="auto"/>
        <w:bottom w:val="none" w:sz="0" w:space="0" w:color="auto"/>
        <w:right w:val="none" w:sz="0" w:space="0" w:color="auto"/>
      </w:divBdr>
    </w:div>
    <w:div w:id="1812677469">
      <w:bodyDiv w:val="1"/>
      <w:marLeft w:val="0"/>
      <w:marRight w:val="0"/>
      <w:marTop w:val="0"/>
      <w:marBottom w:val="0"/>
      <w:divBdr>
        <w:top w:val="none" w:sz="0" w:space="0" w:color="auto"/>
        <w:left w:val="none" w:sz="0" w:space="0" w:color="auto"/>
        <w:bottom w:val="none" w:sz="0" w:space="0" w:color="auto"/>
        <w:right w:val="none" w:sz="0" w:space="0" w:color="auto"/>
      </w:divBdr>
    </w:div>
    <w:div w:id="1815946241">
      <w:bodyDiv w:val="1"/>
      <w:marLeft w:val="0"/>
      <w:marRight w:val="0"/>
      <w:marTop w:val="0"/>
      <w:marBottom w:val="0"/>
      <w:divBdr>
        <w:top w:val="none" w:sz="0" w:space="0" w:color="auto"/>
        <w:left w:val="none" w:sz="0" w:space="0" w:color="auto"/>
        <w:bottom w:val="none" w:sz="0" w:space="0" w:color="auto"/>
        <w:right w:val="none" w:sz="0" w:space="0" w:color="auto"/>
      </w:divBdr>
      <w:divsChild>
        <w:div w:id="119569790">
          <w:marLeft w:val="0"/>
          <w:marRight w:val="0"/>
          <w:marTop w:val="0"/>
          <w:marBottom w:val="0"/>
          <w:divBdr>
            <w:top w:val="none" w:sz="0" w:space="0" w:color="auto"/>
            <w:left w:val="none" w:sz="0" w:space="0" w:color="auto"/>
            <w:bottom w:val="none" w:sz="0" w:space="0" w:color="auto"/>
            <w:right w:val="none" w:sz="0" w:space="0" w:color="auto"/>
          </w:divBdr>
        </w:div>
        <w:div w:id="738594603">
          <w:marLeft w:val="0"/>
          <w:marRight w:val="0"/>
          <w:marTop w:val="0"/>
          <w:marBottom w:val="0"/>
          <w:divBdr>
            <w:top w:val="none" w:sz="0" w:space="0" w:color="auto"/>
            <w:left w:val="none" w:sz="0" w:space="0" w:color="auto"/>
            <w:bottom w:val="none" w:sz="0" w:space="0" w:color="auto"/>
            <w:right w:val="none" w:sz="0" w:space="0" w:color="auto"/>
          </w:divBdr>
        </w:div>
        <w:div w:id="1155532777">
          <w:marLeft w:val="0"/>
          <w:marRight w:val="0"/>
          <w:marTop w:val="0"/>
          <w:marBottom w:val="0"/>
          <w:divBdr>
            <w:top w:val="none" w:sz="0" w:space="0" w:color="auto"/>
            <w:left w:val="none" w:sz="0" w:space="0" w:color="auto"/>
            <w:bottom w:val="none" w:sz="0" w:space="0" w:color="auto"/>
            <w:right w:val="none" w:sz="0" w:space="0" w:color="auto"/>
          </w:divBdr>
        </w:div>
        <w:div w:id="1735544220">
          <w:marLeft w:val="0"/>
          <w:marRight w:val="0"/>
          <w:marTop w:val="0"/>
          <w:marBottom w:val="0"/>
          <w:divBdr>
            <w:top w:val="none" w:sz="0" w:space="0" w:color="auto"/>
            <w:left w:val="none" w:sz="0" w:space="0" w:color="auto"/>
            <w:bottom w:val="none" w:sz="0" w:space="0" w:color="auto"/>
            <w:right w:val="none" w:sz="0" w:space="0" w:color="auto"/>
          </w:divBdr>
        </w:div>
        <w:div w:id="1879390657">
          <w:marLeft w:val="0"/>
          <w:marRight w:val="0"/>
          <w:marTop w:val="0"/>
          <w:marBottom w:val="0"/>
          <w:divBdr>
            <w:top w:val="none" w:sz="0" w:space="0" w:color="auto"/>
            <w:left w:val="none" w:sz="0" w:space="0" w:color="auto"/>
            <w:bottom w:val="none" w:sz="0" w:space="0" w:color="auto"/>
            <w:right w:val="none" w:sz="0" w:space="0" w:color="auto"/>
          </w:divBdr>
        </w:div>
      </w:divsChild>
    </w:div>
    <w:div w:id="1821264608">
      <w:bodyDiv w:val="1"/>
      <w:marLeft w:val="0"/>
      <w:marRight w:val="0"/>
      <w:marTop w:val="0"/>
      <w:marBottom w:val="0"/>
      <w:divBdr>
        <w:top w:val="none" w:sz="0" w:space="0" w:color="auto"/>
        <w:left w:val="none" w:sz="0" w:space="0" w:color="auto"/>
        <w:bottom w:val="none" w:sz="0" w:space="0" w:color="auto"/>
        <w:right w:val="none" w:sz="0" w:space="0" w:color="auto"/>
      </w:divBdr>
    </w:div>
    <w:div w:id="1831410853">
      <w:bodyDiv w:val="1"/>
      <w:marLeft w:val="0"/>
      <w:marRight w:val="0"/>
      <w:marTop w:val="0"/>
      <w:marBottom w:val="0"/>
      <w:divBdr>
        <w:top w:val="none" w:sz="0" w:space="0" w:color="auto"/>
        <w:left w:val="none" w:sz="0" w:space="0" w:color="auto"/>
        <w:bottom w:val="none" w:sz="0" w:space="0" w:color="auto"/>
        <w:right w:val="none" w:sz="0" w:space="0" w:color="auto"/>
      </w:divBdr>
    </w:div>
    <w:div w:id="1838694198">
      <w:bodyDiv w:val="1"/>
      <w:marLeft w:val="0"/>
      <w:marRight w:val="0"/>
      <w:marTop w:val="0"/>
      <w:marBottom w:val="0"/>
      <w:divBdr>
        <w:top w:val="none" w:sz="0" w:space="0" w:color="auto"/>
        <w:left w:val="none" w:sz="0" w:space="0" w:color="auto"/>
        <w:bottom w:val="none" w:sz="0" w:space="0" w:color="auto"/>
        <w:right w:val="none" w:sz="0" w:space="0" w:color="auto"/>
      </w:divBdr>
    </w:div>
    <w:div w:id="1872037532">
      <w:bodyDiv w:val="1"/>
      <w:marLeft w:val="0"/>
      <w:marRight w:val="0"/>
      <w:marTop w:val="0"/>
      <w:marBottom w:val="0"/>
      <w:divBdr>
        <w:top w:val="none" w:sz="0" w:space="0" w:color="auto"/>
        <w:left w:val="none" w:sz="0" w:space="0" w:color="auto"/>
        <w:bottom w:val="none" w:sz="0" w:space="0" w:color="auto"/>
        <w:right w:val="none" w:sz="0" w:space="0" w:color="auto"/>
      </w:divBdr>
    </w:div>
    <w:div w:id="1945650385">
      <w:bodyDiv w:val="1"/>
      <w:marLeft w:val="0"/>
      <w:marRight w:val="0"/>
      <w:marTop w:val="0"/>
      <w:marBottom w:val="0"/>
      <w:divBdr>
        <w:top w:val="none" w:sz="0" w:space="0" w:color="auto"/>
        <w:left w:val="none" w:sz="0" w:space="0" w:color="auto"/>
        <w:bottom w:val="none" w:sz="0" w:space="0" w:color="auto"/>
        <w:right w:val="none" w:sz="0" w:space="0" w:color="auto"/>
      </w:divBdr>
    </w:div>
    <w:div w:id="1958367132">
      <w:bodyDiv w:val="1"/>
      <w:marLeft w:val="0"/>
      <w:marRight w:val="0"/>
      <w:marTop w:val="0"/>
      <w:marBottom w:val="0"/>
      <w:divBdr>
        <w:top w:val="none" w:sz="0" w:space="0" w:color="auto"/>
        <w:left w:val="none" w:sz="0" w:space="0" w:color="auto"/>
        <w:bottom w:val="none" w:sz="0" w:space="0" w:color="auto"/>
        <w:right w:val="none" w:sz="0" w:space="0" w:color="auto"/>
      </w:divBdr>
    </w:div>
    <w:div w:id="1968049536">
      <w:bodyDiv w:val="1"/>
      <w:marLeft w:val="0"/>
      <w:marRight w:val="0"/>
      <w:marTop w:val="0"/>
      <w:marBottom w:val="0"/>
      <w:divBdr>
        <w:top w:val="none" w:sz="0" w:space="0" w:color="auto"/>
        <w:left w:val="none" w:sz="0" w:space="0" w:color="auto"/>
        <w:bottom w:val="none" w:sz="0" w:space="0" w:color="auto"/>
        <w:right w:val="none" w:sz="0" w:space="0" w:color="auto"/>
      </w:divBdr>
    </w:div>
    <w:div w:id="1976639096">
      <w:bodyDiv w:val="1"/>
      <w:marLeft w:val="0"/>
      <w:marRight w:val="0"/>
      <w:marTop w:val="0"/>
      <w:marBottom w:val="0"/>
      <w:divBdr>
        <w:top w:val="none" w:sz="0" w:space="0" w:color="auto"/>
        <w:left w:val="none" w:sz="0" w:space="0" w:color="auto"/>
        <w:bottom w:val="none" w:sz="0" w:space="0" w:color="auto"/>
        <w:right w:val="none" w:sz="0" w:space="0" w:color="auto"/>
      </w:divBdr>
      <w:divsChild>
        <w:div w:id="1161966228">
          <w:marLeft w:val="0"/>
          <w:marRight w:val="0"/>
          <w:marTop w:val="0"/>
          <w:marBottom w:val="0"/>
          <w:divBdr>
            <w:top w:val="none" w:sz="0" w:space="0" w:color="auto"/>
            <w:left w:val="none" w:sz="0" w:space="0" w:color="auto"/>
            <w:bottom w:val="none" w:sz="0" w:space="0" w:color="auto"/>
            <w:right w:val="none" w:sz="0" w:space="0" w:color="auto"/>
          </w:divBdr>
          <w:divsChild>
            <w:div w:id="414864298">
              <w:marLeft w:val="0"/>
              <w:marRight w:val="0"/>
              <w:marTop w:val="0"/>
              <w:marBottom w:val="0"/>
              <w:divBdr>
                <w:top w:val="none" w:sz="0" w:space="0" w:color="auto"/>
                <w:left w:val="none" w:sz="0" w:space="0" w:color="auto"/>
                <w:bottom w:val="none" w:sz="0" w:space="0" w:color="auto"/>
                <w:right w:val="none" w:sz="0" w:space="0" w:color="auto"/>
              </w:divBdr>
            </w:div>
            <w:div w:id="500239936">
              <w:marLeft w:val="0"/>
              <w:marRight w:val="0"/>
              <w:marTop w:val="0"/>
              <w:marBottom w:val="0"/>
              <w:divBdr>
                <w:top w:val="none" w:sz="0" w:space="0" w:color="auto"/>
                <w:left w:val="none" w:sz="0" w:space="0" w:color="auto"/>
                <w:bottom w:val="none" w:sz="0" w:space="0" w:color="auto"/>
                <w:right w:val="none" w:sz="0" w:space="0" w:color="auto"/>
              </w:divBdr>
            </w:div>
            <w:div w:id="1022322540">
              <w:marLeft w:val="0"/>
              <w:marRight w:val="0"/>
              <w:marTop w:val="0"/>
              <w:marBottom w:val="0"/>
              <w:divBdr>
                <w:top w:val="none" w:sz="0" w:space="0" w:color="auto"/>
                <w:left w:val="none" w:sz="0" w:space="0" w:color="auto"/>
                <w:bottom w:val="none" w:sz="0" w:space="0" w:color="auto"/>
                <w:right w:val="none" w:sz="0" w:space="0" w:color="auto"/>
              </w:divBdr>
            </w:div>
            <w:div w:id="1082949175">
              <w:marLeft w:val="0"/>
              <w:marRight w:val="0"/>
              <w:marTop w:val="0"/>
              <w:marBottom w:val="0"/>
              <w:divBdr>
                <w:top w:val="none" w:sz="0" w:space="0" w:color="auto"/>
                <w:left w:val="none" w:sz="0" w:space="0" w:color="auto"/>
                <w:bottom w:val="none" w:sz="0" w:space="0" w:color="auto"/>
                <w:right w:val="none" w:sz="0" w:space="0" w:color="auto"/>
              </w:divBdr>
            </w:div>
            <w:div w:id="1321075310">
              <w:marLeft w:val="0"/>
              <w:marRight w:val="0"/>
              <w:marTop w:val="0"/>
              <w:marBottom w:val="0"/>
              <w:divBdr>
                <w:top w:val="none" w:sz="0" w:space="0" w:color="auto"/>
                <w:left w:val="none" w:sz="0" w:space="0" w:color="auto"/>
                <w:bottom w:val="none" w:sz="0" w:space="0" w:color="auto"/>
                <w:right w:val="none" w:sz="0" w:space="0" w:color="auto"/>
              </w:divBdr>
            </w:div>
          </w:divsChild>
        </w:div>
        <w:div w:id="1721437579">
          <w:marLeft w:val="0"/>
          <w:marRight w:val="0"/>
          <w:marTop w:val="0"/>
          <w:marBottom w:val="0"/>
          <w:divBdr>
            <w:top w:val="none" w:sz="0" w:space="0" w:color="auto"/>
            <w:left w:val="none" w:sz="0" w:space="0" w:color="auto"/>
            <w:bottom w:val="none" w:sz="0" w:space="0" w:color="auto"/>
            <w:right w:val="none" w:sz="0" w:space="0" w:color="auto"/>
          </w:divBdr>
          <w:divsChild>
            <w:div w:id="321395650">
              <w:marLeft w:val="0"/>
              <w:marRight w:val="0"/>
              <w:marTop w:val="0"/>
              <w:marBottom w:val="0"/>
              <w:divBdr>
                <w:top w:val="none" w:sz="0" w:space="0" w:color="auto"/>
                <w:left w:val="none" w:sz="0" w:space="0" w:color="auto"/>
                <w:bottom w:val="none" w:sz="0" w:space="0" w:color="auto"/>
                <w:right w:val="none" w:sz="0" w:space="0" w:color="auto"/>
              </w:divBdr>
            </w:div>
            <w:div w:id="559757014">
              <w:marLeft w:val="0"/>
              <w:marRight w:val="0"/>
              <w:marTop w:val="0"/>
              <w:marBottom w:val="0"/>
              <w:divBdr>
                <w:top w:val="none" w:sz="0" w:space="0" w:color="auto"/>
                <w:left w:val="none" w:sz="0" w:space="0" w:color="auto"/>
                <w:bottom w:val="none" w:sz="0" w:space="0" w:color="auto"/>
                <w:right w:val="none" w:sz="0" w:space="0" w:color="auto"/>
              </w:divBdr>
            </w:div>
            <w:div w:id="595137779">
              <w:marLeft w:val="0"/>
              <w:marRight w:val="0"/>
              <w:marTop w:val="0"/>
              <w:marBottom w:val="0"/>
              <w:divBdr>
                <w:top w:val="none" w:sz="0" w:space="0" w:color="auto"/>
                <w:left w:val="none" w:sz="0" w:space="0" w:color="auto"/>
                <w:bottom w:val="none" w:sz="0" w:space="0" w:color="auto"/>
                <w:right w:val="none" w:sz="0" w:space="0" w:color="auto"/>
              </w:divBdr>
            </w:div>
            <w:div w:id="115927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64597">
      <w:bodyDiv w:val="1"/>
      <w:marLeft w:val="0"/>
      <w:marRight w:val="0"/>
      <w:marTop w:val="0"/>
      <w:marBottom w:val="0"/>
      <w:divBdr>
        <w:top w:val="none" w:sz="0" w:space="0" w:color="auto"/>
        <w:left w:val="none" w:sz="0" w:space="0" w:color="auto"/>
        <w:bottom w:val="none" w:sz="0" w:space="0" w:color="auto"/>
        <w:right w:val="none" w:sz="0" w:space="0" w:color="auto"/>
      </w:divBdr>
      <w:divsChild>
        <w:div w:id="417292987">
          <w:marLeft w:val="0"/>
          <w:marRight w:val="0"/>
          <w:marTop w:val="0"/>
          <w:marBottom w:val="0"/>
          <w:divBdr>
            <w:top w:val="none" w:sz="0" w:space="0" w:color="auto"/>
            <w:left w:val="none" w:sz="0" w:space="0" w:color="auto"/>
            <w:bottom w:val="none" w:sz="0" w:space="0" w:color="auto"/>
            <w:right w:val="none" w:sz="0" w:space="0" w:color="auto"/>
          </w:divBdr>
        </w:div>
        <w:div w:id="946238257">
          <w:marLeft w:val="0"/>
          <w:marRight w:val="0"/>
          <w:marTop w:val="0"/>
          <w:marBottom w:val="0"/>
          <w:divBdr>
            <w:top w:val="none" w:sz="0" w:space="0" w:color="auto"/>
            <w:left w:val="none" w:sz="0" w:space="0" w:color="auto"/>
            <w:bottom w:val="none" w:sz="0" w:space="0" w:color="auto"/>
            <w:right w:val="none" w:sz="0" w:space="0" w:color="auto"/>
          </w:divBdr>
        </w:div>
        <w:div w:id="1288048414">
          <w:marLeft w:val="0"/>
          <w:marRight w:val="0"/>
          <w:marTop w:val="0"/>
          <w:marBottom w:val="0"/>
          <w:divBdr>
            <w:top w:val="none" w:sz="0" w:space="0" w:color="auto"/>
            <w:left w:val="none" w:sz="0" w:space="0" w:color="auto"/>
            <w:bottom w:val="none" w:sz="0" w:space="0" w:color="auto"/>
            <w:right w:val="none" w:sz="0" w:space="0" w:color="auto"/>
          </w:divBdr>
        </w:div>
        <w:div w:id="1342589552">
          <w:marLeft w:val="0"/>
          <w:marRight w:val="0"/>
          <w:marTop w:val="0"/>
          <w:marBottom w:val="0"/>
          <w:divBdr>
            <w:top w:val="none" w:sz="0" w:space="0" w:color="auto"/>
            <w:left w:val="none" w:sz="0" w:space="0" w:color="auto"/>
            <w:bottom w:val="none" w:sz="0" w:space="0" w:color="auto"/>
            <w:right w:val="none" w:sz="0" w:space="0" w:color="auto"/>
          </w:divBdr>
        </w:div>
        <w:div w:id="1405371387">
          <w:marLeft w:val="0"/>
          <w:marRight w:val="0"/>
          <w:marTop w:val="0"/>
          <w:marBottom w:val="0"/>
          <w:divBdr>
            <w:top w:val="none" w:sz="0" w:space="0" w:color="auto"/>
            <w:left w:val="none" w:sz="0" w:space="0" w:color="auto"/>
            <w:bottom w:val="none" w:sz="0" w:space="0" w:color="auto"/>
            <w:right w:val="none" w:sz="0" w:space="0" w:color="auto"/>
          </w:divBdr>
        </w:div>
      </w:divsChild>
    </w:div>
    <w:div w:id="1992588340">
      <w:bodyDiv w:val="1"/>
      <w:marLeft w:val="0"/>
      <w:marRight w:val="0"/>
      <w:marTop w:val="0"/>
      <w:marBottom w:val="0"/>
      <w:divBdr>
        <w:top w:val="none" w:sz="0" w:space="0" w:color="auto"/>
        <w:left w:val="none" w:sz="0" w:space="0" w:color="auto"/>
        <w:bottom w:val="none" w:sz="0" w:space="0" w:color="auto"/>
        <w:right w:val="none" w:sz="0" w:space="0" w:color="auto"/>
      </w:divBdr>
    </w:div>
    <w:div w:id="2000309912">
      <w:bodyDiv w:val="1"/>
      <w:marLeft w:val="0"/>
      <w:marRight w:val="0"/>
      <w:marTop w:val="0"/>
      <w:marBottom w:val="0"/>
      <w:divBdr>
        <w:top w:val="none" w:sz="0" w:space="0" w:color="auto"/>
        <w:left w:val="none" w:sz="0" w:space="0" w:color="auto"/>
        <w:bottom w:val="none" w:sz="0" w:space="0" w:color="auto"/>
        <w:right w:val="none" w:sz="0" w:space="0" w:color="auto"/>
      </w:divBdr>
    </w:div>
    <w:div w:id="2018536905">
      <w:bodyDiv w:val="1"/>
      <w:marLeft w:val="0"/>
      <w:marRight w:val="0"/>
      <w:marTop w:val="0"/>
      <w:marBottom w:val="0"/>
      <w:divBdr>
        <w:top w:val="none" w:sz="0" w:space="0" w:color="auto"/>
        <w:left w:val="none" w:sz="0" w:space="0" w:color="auto"/>
        <w:bottom w:val="none" w:sz="0" w:space="0" w:color="auto"/>
        <w:right w:val="none" w:sz="0" w:space="0" w:color="auto"/>
      </w:divBdr>
    </w:div>
    <w:div w:id="2065054539">
      <w:bodyDiv w:val="1"/>
      <w:marLeft w:val="0"/>
      <w:marRight w:val="0"/>
      <w:marTop w:val="0"/>
      <w:marBottom w:val="0"/>
      <w:divBdr>
        <w:top w:val="none" w:sz="0" w:space="0" w:color="auto"/>
        <w:left w:val="none" w:sz="0" w:space="0" w:color="auto"/>
        <w:bottom w:val="none" w:sz="0" w:space="0" w:color="auto"/>
        <w:right w:val="none" w:sz="0" w:space="0" w:color="auto"/>
      </w:divBdr>
    </w:div>
    <w:div w:id="2083016272">
      <w:bodyDiv w:val="1"/>
      <w:marLeft w:val="0"/>
      <w:marRight w:val="0"/>
      <w:marTop w:val="0"/>
      <w:marBottom w:val="0"/>
      <w:divBdr>
        <w:top w:val="none" w:sz="0" w:space="0" w:color="auto"/>
        <w:left w:val="none" w:sz="0" w:space="0" w:color="auto"/>
        <w:bottom w:val="none" w:sz="0" w:space="0" w:color="auto"/>
        <w:right w:val="none" w:sz="0" w:space="0" w:color="auto"/>
      </w:divBdr>
      <w:divsChild>
        <w:div w:id="1322394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029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V/TXT/?uri=comnat:COM_2025_0102_FIN" TargetMode="External"/><Relationship Id="rId13" Type="http://schemas.openxmlformats.org/officeDocument/2006/relationships/hyperlink" Target="https://eur-lex.europa.eu/legal-content/SV/TXT/?uri=celex:52025DC0529" TargetMode="External"/><Relationship Id="rId18" Type="http://schemas.openxmlformats.org/officeDocument/2006/relationships/hyperlink" Target="https://www.edpb.europa.eu/news/news/2026/edpb-brings-clarity-data-processing-scientific-research-speeds-finalisation_sv" TargetMode="External"/><Relationship Id="rId3" Type="http://schemas.openxmlformats.org/officeDocument/2006/relationships/hyperlink" Target="https://health.ec.europa.eu/publications/eu-global-health-strategy-better-health-all-changing-world_sv" TargetMode="External"/><Relationship Id="rId21" Type="http://schemas.openxmlformats.org/officeDocument/2006/relationships/hyperlink" Target="https://www.who.int/news/item/25-09-2025-core-funders-of-medical-research-commit-to-strengthening-clinical-trials-worldwide" TargetMode="External"/><Relationship Id="rId7" Type="http://schemas.openxmlformats.org/officeDocument/2006/relationships/hyperlink" Target="https://eur-lex.europa.eu/legal-content/SV/TXT/?uri=celex:52020DC0761" TargetMode="External"/><Relationship Id="rId12" Type="http://schemas.openxmlformats.org/officeDocument/2006/relationships/hyperlink" Target="https://eur-lex.europa.eu/legal-content/SV/TXT/?uri=CELEX:32022R2372" TargetMode="External"/><Relationship Id="rId17" Type="http://schemas.openxmlformats.org/officeDocument/2006/relationships/hyperlink" Target="https://health.ec.europa.eu/latest-updates/new-pandemic-preparedness-facilities-inaugurated-under-heras-eufab-network-2025-02-03_sv" TargetMode="External"/><Relationship Id="rId2" Type="http://schemas.openxmlformats.org/officeDocument/2006/relationships/hyperlink" Target="https://eur-lex.europa.eu/legal-content/SV/TXT/?uri=celex:52025JC0130" TargetMode="External"/><Relationship Id="rId16" Type="http://schemas.openxmlformats.org/officeDocument/2006/relationships/hyperlink" Target="https://international-partnerships.ec.europa.eu/funding-and-technical-assistance/funding-instruments/european-fund-sustainable-development-plus/accelerating-human-development_sv" TargetMode="External"/><Relationship Id="rId20" Type="http://schemas.openxmlformats.org/officeDocument/2006/relationships/hyperlink" Target="https://eur-lex.europa.eu/legal-content/SV/TXT/?uri=celex:52020JC0008" TargetMode="External"/><Relationship Id="rId1" Type="http://schemas.openxmlformats.org/officeDocument/2006/relationships/hyperlink" Target="https://eur-lex.europa.eu/legal-content/SV/TXT/?uri=CELEX%3A52025DC0030" TargetMode="External"/><Relationship Id="rId6" Type="http://schemas.openxmlformats.org/officeDocument/2006/relationships/hyperlink" Target="https://eur-lex.europa.eu/legal-content/SV/TXT/?uri=celex:52024JC0025" TargetMode="External"/><Relationship Id="rId11" Type="http://schemas.openxmlformats.org/officeDocument/2006/relationships/hyperlink" Target="https://eur-lex.europa.eu/legal-content/SV/TXT/?uri=celex:52025DC0745" TargetMode="External"/><Relationship Id="rId5" Type="http://schemas.openxmlformats.org/officeDocument/2006/relationships/hyperlink" Target="https://health.ec.europa.eu/latest-updates/report-implementation-eu-global-health-strategy-2025-07-10_sv" TargetMode="External"/><Relationship Id="rId15" Type="http://schemas.openxmlformats.org/officeDocument/2006/relationships/hyperlink" Target="https://international-partnerships.ec.europa.eu/policies/team-europe-initiatives/team-europe-initiative-manufacturing-and-access-vaccines-medicines-and-health-technologies-africa_sv" TargetMode="External"/><Relationship Id="rId10" Type="http://schemas.openxmlformats.org/officeDocument/2006/relationships/hyperlink" Target="http://data.europa.eu/eli/reg/2022/2371/oj/swe" TargetMode="External"/><Relationship Id="rId19" Type="http://schemas.openxmlformats.org/officeDocument/2006/relationships/hyperlink" Target="https://eur-lex.europa.eu/legal-content/SV/TXT/?uri=COM%3A2020%3A790%3AFIN&amp;qid=1607079662423" TargetMode="External"/><Relationship Id="rId4" Type="http://schemas.openxmlformats.org/officeDocument/2006/relationships/hyperlink" Target="https://health.ec.europa.eu/publications/eu-global-health-strategy-better-health-all-changing-world_sv" TargetMode="External"/><Relationship Id="rId9" Type="http://schemas.openxmlformats.org/officeDocument/2006/relationships/hyperlink" Target="https://eur-lex.europa.eu/legal-content/SV/TXT/?uri=consil:ST_9581_2023_INIT" TargetMode="External"/><Relationship Id="rId14" Type="http://schemas.openxmlformats.org/officeDocument/2006/relationships/hyperlink" Target="https://www.global-health-edctp3.europa.eu/index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Signatory" AuthorRoleDisplayName="Signatory" AuthorRoleId="dd422d74-d41f-4095-8cb8-8304a90a6b0c">
  <Id>226c2047-f89a-42f5-926b-a8a5f454067c</Id>
  <Names>
    <Latin>
      <FirstName>Zakaria</FirstName>
      <LastName>SBITRI</LastName>
    </Latin>
    <Greek>
      <FirstName/>
      <LastName/>
    </Greek>
    <Cyrillic>
      <FirstName/>
      <LastName/>
    </Cyrillic>
    <DocumentScript>
      <FirstName>Zakaria</FirstName>
      <LastName>SBITRI</LastName>
      <FullName>Zakaria SBITRI</FullName>
    </DocumentScript>
  </Names>
  <Initials>ZS</Initials>
  <Gender>m</Gender>
  <Email>Zakaria.SBITRI@ec.europa.eu</Email>
  <Service>INTPA.G.4</Service>
  <Function ADCode="40" ShowInSignature="true" ShowInHeader="false" HeaderText="">Deputy Head of Unit</Function>
  <WebAddress/>
  <FunctionalMailbox/>
  <InheritedWebAddress>http://europa.eu</InheritedWebAddress>
  <OrgaEntity1>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1>
  <OrgaEntity2>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2>
  <OrgaEntity3>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3>
  <Hierarchy>
    <OrgaEntity>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
    <OrgaEntity>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
    <OrgaEntity>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+32 229-90783</Phone>
    <Office>L-41 02/037</Office>
  </MainWorkplace>
  <Workplaces>
    <Workplace IsMain="true">
      <AddressId>f03b5801-04c9-4931-aa17-c6d6c70bc579</AddressId>
      <Fax/>
      <Phone>+32 229-90783</Phone>
      <Office>L-41 02/037</Office>
    </Workplace>
  </Workplaces>
</Author>
</file>

<file path=customXml/item3.xml><?xml version="1.0" encoding="utf-8"?>
<EurolookProperties>
  <ProductCustomizationId>EC</ProductCustomizationId>
  <Created>
    <Version>10.0.47847.0</Version>
    <Date>2025-11-25T16:59:24</Date>
    <Language>EN</Language>
    <Note>Created using 'Convert To Eurolook'</Note>
  </Created>
  <Edited>
    <Version/>
    <Date/>
  </Edited>
  <DocumentModel>
    <Id>0b054141-88b1-4efb-8c91-2905cb0bed6c</Id>
    <Name>Note</Name>
  </DocumentModel>
  <CustomTemplate>
    <Id/>
    <Name/>
  </CustomTemplate>
  <DocumentDate>2025-11-25T16:59:24</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Author AuthorRoleName="Writer" AuthorRoleDisplayName="Writer" AuthorRoleId="a4fbaff4-b07c-48b4-a21e-e7b9eedf3796">
  <Id>226c2047-f89a-42f5-926b-a8a5f454067c</Id>
  <Names>
    <Latin>
      <FirstName>Zakaria</FirstName>
      <LastName>SBITRI</LastName>
    </Latin>
    <Greek>
      <FirstName/>
      <LastName/>
    </Greek>
    <Cyrillic>
      <FirstName/>
      <LastName/>
    </Cyrillic>
    <DocumentScript>
      <FirstName>Zakaria</FirstName>
      <LastName>SBITRI</LastName>
      <FullName>Zakaria SBITRI</FullName>
    </DocumentScript>
  </Names>
  <Initials>ZS</Initials>
  <Gender>m</Gender>
  <Email>Zakaria.SBITRI@ec.europa.eu</Email>
  <Service>INTPA.G.4</Service>
  <Function ADCode="40" ShowInSignature="true" ShowInHeader="false" HeaderText="">Deputy Head of Unit</Function>
  <WebAddress/>
  <FunctionalMailbox/>
  <InheritedWebAddress>http://europa.eu</InheritedWebAddress>
  <OrgaEntity1>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1>
  <OrgaEntity2>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2>
  <OrgaEntity3>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3>
  <Hierarchy>
    <OrgaEntity>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
    <OrgaEntity>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
    <OrgaEntity>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+32 229-90783</Phone>
    <Office>L-41 02/037</Office>
  </MainWorkplace>
  <Workplaces>
    <Workplace IsMain="true">
      <AddressId>f03b5801-04c9-4931-aa17-c6d6c70bc579</AddressId>
      <Fax/>
      <Phone>+32 229-90783</Phone>
      <Office>L-41 02/037</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BCA32D4B-69CF-483C-95BC-87BE2AC1FAC9}">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1739221B-6893-418F-81F5-B5E0D6643DDE}">
  <ds:schemaRefs/>
</ds:datastoreItem>
</file>

<file path=customXml/itemProps5.xml><?xml version="1.0" encoding="utf-8"?>
<ds:datastoreItem xmlns:ds="http://schemas.openxmlformats.org/officeDocument/2006/customXml" ds:itemID="{3CB2DC20-5F5B-48AD-A5F5-E969789E1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7501</Words>
  <Characters>42761</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50162</CharactersWithSpaces>
  <SharedDoc>false</SharedDoc>
  <HLinks>
    <vt:vector size="120" baseType="variant">
      <vt:variant>
        <vt:i4>3539071</vt:i4>
      </vt:variant>
      <vt:variant>
        <vt:i4>60</vt:i4>
      </vt:variant>
      <vt:variant>
        <vt:i4>0</vt:i4>
      </vt:variant>
      <vt:variant>
        <vt:i4>5</vt:i4>
      </vt:variant>
      <vt:variant>
        <vt:lpwstr>https://www.who.int/news/item/25-09-2025-core-funders-of-medical-research-commit-to-strengthening-clinical-trials-worldwide</vt:lpwstr>
      </vt:variant>
      <vt:variant>
        <vt:lpwstr/>
      </vt:variant>
      <vt:variant>
        <vt:i4>917524</vt:i4>
      </vt:variant>
      <vt:variant>
        <vt:i4>57</vt:i4>
      </vt:variant>
      <vt:variant>
        <vt:i4>0</vt:i4>
      </vt:variant>
      <vt:variant>
        <vt:i4>5</vt:i4>
      </vt:variant>
      <vt:variant>
        <vt:lpwstr>https://eur-lex.europa.eu/legal-content/EN/TXT/?uri=celex:52020JC0008</vt:lpwstr>
      </vt:variant>
      <vt:variant>
        <vt:lpwstr/>
      </vt:variant>
      <vt:variant>
        <vt:i4>5636122</vt:i4>
      </vt:variant>
      <vt:variant>
        <vt:i4>54</vt:i4>
      </vt:variant>
      <vt:variant>
        <vt:i4>0</vt:i4>
      </vt:variant>
      <vt:variant>
        <vt:i4>5</vt:i4>
      </vt:variant>
      <vt:variant>
        <vt:lpwstr>https://eur-lex.europa.eu/legal-content/EN/TXT/?uri=COM%3A2020%3A790%3AFIN&amp;qid=1607079662423</vt:lpwstr>
      </vt:variant>
      <vt:variant>
        <vt:lpwstr/>
      </vt:variant>
      <vt:variant>
        <vt:i4>3473414</vt:i4>
      </vt:variant>
      <vt:variant>
        <vt:i4>51</vt:i4>
      </vt:variant>
      <vt:variant>
        <vt:i4>0</vt:i4>
      </vt:variant>
      <vt:variant>
        <vt:i4>5</vt:i4>
      </vt:variant>
      <vt:variant>
        <vt:lpwstr>https://www.edpb.europa.eu/news/news/2026/edpb-brings-clarity-data-processing-scientific-research-speeds-finalisation_en</vt:lpwstr>
      </vt:variant>
      <vt:variant>
        <vt:lpwstr/>
      </vt:variant>
      <vt:variant>
        <vt:i4>7274560</vt:i4>
      </vt:variant>
      <vt:variant>
        <vt:i4>48</vt:i4>
      </vt:variant>
      <vt:variant>
        <vt:i4>0</vt:i4>
      </vt:variant>
      <vt:variant>
        <vt:i4>5</vt:i4>
      </vt:variant>
      <vt:variant>
        <vt:lpwstr>https://health.ec.europa.eu/latest-updates/new-pandemic-preparedness-facilities-inaugurated-under-heras-eufab-network-2025-02-03_en</vt:lpwstr>
      </vt:variant>
      <vt:variant>
        <vt:lpwstr/>
      </vt:variant>
      <vt:variant>
        <vt:i4>1572971</vt:i4>
      </vt:variant>
      <vt:variant>
        <vt:i4>45</vt:i4>
      </vt:variant>
      <vt:variant>
        <vt:i4>0</vt:i4>
      </vt:variant>
      <vt:variant>
        <vt:i4>5</vt:i4>
      </vt:variant>
      <vt:variant>
        <vt:lpwstr>https://international-partnerships.ec.europa.eu/funding-and-technical-assistance/funding-instruments/european-fund-sustainable-development-plus/accelerating-human-development_en</vt:lpwstr>
      </vt:variant>
      <vt:variant>
        <vt:lpwstr/>
      </vt:variant>
      <vt:variant>
        <vt:i4>917609</vt:i4>
      </vt:variant>
      <vt:variant>
        <vt:i4>42</vt:i4>
      </vt:variant>
      <vt:variant>
        <vt:i4>0</vt:i4>
      </vt:variant>
      <vt:variant>
        <vt:i4>5</vt:i4>
      </vt:variant>
      <vt:variant>
        <vt:lpwstr>https://international-partnerships.ec.europa.eu/policies/team-europe-initiatives/team-europe-initiative-manufacturing-and-access-vaccines-medicines-and-health-technologies-africa_en</vt:lpwstr>
      </vt:variant>
      <vt:variant>
        <vt:lpwstr/>
      </vt:variant>
      <vt:variant>
        <vt:i4>7667800</vt:i4>
      </vt:variant>
      <vt:variant>
        <vt:i4>39</vt:i4>
      </vt:variant>
      <vt:variant>
        <vt:i4>0</vt:i4>
      </vt:variant>
      <vt:variant>
        <vt:i4>5</vt:i4>
      </vt:variant>
      <vt:variant>
        <vt:lpwstr>https://www.global-health-edctp3.europa.eu/index_en</vt:lpwstr>
      </vt:variant>
      <vt:variant>
        <vt:lpwstr/>
      </vt:variant>
      <vt:variant>
        <vt:i4>131092</vt:i4>
      </vt:variant>
      <vt:variant>
        <vt:i4>36</vt:i4>
      </vt:variant>
      <vt:variant>
        <vt:i4>0</vt:i4>
      </vt:variant>
      <vt:variant>
        <vt:i4>5</vt:i4>
      </vt:variant>
      <vt:variant>
        <vt:lpwstr>https://eur-lex.europa.eu/legal-content/EN/TXT/?uri=celex:52025DC0529</vt:lpwstr>
      </vt:variant>
      <vt:variant>
        <vt:lpwstr/>
      </vt:variant>
      <vt:variant>
        <vt:i4>1507398</vt:i4>
      </vt:variant>
      <vt:variant>
        <vt:i4>33</vt:i4>
      </vt:variant>
      <vt:variant>
        <vt:i4>0</vt:i4>
      </vt:variant>
      <vt:variant>
        <vt:i4>5</vt:i4>
      </vt:variant>
      <vt:variant>
        <vt:lpwstr>https://eur-lex.europa.eu/legal-content/EN/TXT/?uri=CELEX:32022R2372</vt:lpwstr>
      </vt:variant>
      <vt:variant>
        <vt:lpwstr/>
      </vt:variant>
      <vt:variant>
        <vt:i4>262166</vt:i4>
      </vt:variant>
      <vt:variant>
        <vt:i4>30</vt:i4>
      </vt:variant>
      <vt:variant>
        <vt:i4>0</vt:i4>
      </vt:variant>
      <vt:variant>
        <vt:i4>5</vt:i4>
      </vt:variant>
      <vt:variant>
        <vt:lpwstr>https://eur-lex.europa.eu/legal-content/EN/TXT/?uri=celex:52025DC0745</vt:lpwstr>
      </vt:variant>
      <vt:variant>
        <vt:lpwstr/>
      </vt:variant>
      <vt:variant>
        <vt:i4>7143471</vt:i4>
      </vt:variant>
      <vt:variant>
        <vt:i4>27</vt:i4>
      </vt:variant>
      <vt:variant>
        <vt:i4>0</vt:i4>
      </vt:variant>
      <vt:variant>
        <vt:i4>5</vt:i4>
      </vt:variant>
      <vt:variant>
        <vt:lpwstr>http://data.europa.eu/eli/reg/2022/2371/oj/eng</vt:lpwstr>
      </vt:variant>
      <vt:variant>
        <vt:lpwstr/>
      </vt:variant>
      <vt:variant>
        <vt:i4>4391026</vt:i4>
      </vt:variant>
      <vt:variant>
        <vt:i4>24</vt:i4>
      </vt:variant>
      <vt:variant>
        <vt:i4>0</vt:i4>
      </vt:variant>
      <vt:variant>
        <vt:i4>5</vt:i4>
      </vt:variant>
      <vt:variant>
        <vt:lpwstr>https://eur-lex.europa.eu/legal-content/EN/TXT/?uri=consil:ST_9581_2023_INIT</vt:lpwstr>
      </vt:variant>
      <vt:variant>
        <vt:lpwstr/>
      </vt:variant>
      <vt:variant>
        <vt:i4>7405651</vt:i4>
      </vt:variant>
      <vt:variant>
        <vt:i4>21</vt:i4>
      </vt:variant>
      <vt:variant>
        <vt:i4>0</vt:i4>
      </vt:variant>
      <vt:variant>
        <vt:i4>5</vt:i4>
      </vt:variant>
      <vt:variant>
        <vt:lpwstr>https://eur-lex.europa.eu/legal-content/EN/TXT/?uri=comnat:COM_2025_0102_FIN</vt:lpwstr>
      </vt:variant>
      <vt:variant>
        <vt:lpwstr/>
      </vt:variant>
      <vt:variant>
        <vt:i4>393235</vt:i4>
      </vt:variant>
      <vt:variant>
        <vt:i4>18</vt:i4>
      </vt:variant>
      <vt:variant>
        <vt:i4>0</vt:i4>
      </vt:variant>
      <vt:variant>
        <vt:i4>5</vt:i4>
      </vt:variant>
      <vt:variant>
        <vt:lpwstr>https://eur-lex.europa.eu/legal-content/EN/TXT/?uri=celex:52020DC0761</vt:lpwstr>
      </vt:variant>
      <vt:variant>
        <vt:lpwstr/>
      </vt:variant>
      <vt:variant>
        <vt:i4>786448</vt:i4>
      </vt:variant>
      <vt:variant>
        <vt:i4>15</vt:i4>
      </vt:variant>
      <vt:variant>
        <vt:i4>0</vt:i4>
      </vt:variant>
      <vt:variant>
        <vt:i4>5</vt:i4>
      </vt:variant>
      <vt:variant>
        <vt:lpwstr>https://eur-lex.europa.eu/legal-content/EN/TXT/?uri=celex:52024JC0025</vt:lpwstr>
      </vt:variant>
      <vt:variant>
        <vt:lpwstr/>
      </vt:variant>
      <vt:variant>
        <vt:i4>3932246</vt:i4>
      </vt:variant>
      <vt:variant>
        <vt:i4>9</vt:i4>
      </vt:variant>
      <vt:variant>
        <vt:i4>0</vt:i4>
      </vt:variant>
      <vt:variant>
        <vt:i4>5</vt:i4>
      </vt:variant>
      <vt:variant>
        <vt:lpwstr>https://health.ec.europa.eu/latest-updates/report-implementation-eu-global-health-strategy-2025-07-10_en</vt:lpwstr>
      </vt:variant>
      <vt:variant>
        <vt:lpwstr/>
      </vt:variant>
      <vt:variant>
        <vt:i4>5046383</vt:i4>
      </vt:variant>
      <vt:variant>
        <vt:i4>6</vt:i4>
      </vt:variant>
      <vt:variant>
        <vt:i4>0</vt:i4>
      </vt:variant>
      <vt:variant>
        <vt:i4>5</vt:i4>
      </vt:variant>
      <vt:variant>
        <vt:lpwstr>https://health.ec.europa.eu/publications/eu-global-health-strategy-better-health-all-changing-world_en</vt:lpwstr>
      </vt:variant>
      <vt:variant>
        <vt:lpwstr/>
      </vt:variant>
      <vt:variant>
        <vt:i4>851984</vt:i4>
      </vt:variant>
      <vt:variant>
        <vt:i4>3</vt:i4>
      </vt:variant>
      <vt:variant>
        <vt:i4>0</vt:i4>
      </vt:variant>
      <vt:variant>
        <vt:i4>5</vt:i4>
      </vt:variant>
      <vt:variant>
        <vt:lpwstr>https://eur-lex.europa.eu/legal-content/EN/TXT/?uri=celex:52025JC0130</vt:lpwstr>
      </vt:variant>
      <vt:variant>
        <vt:lpwstr/>
      </vt:variant>
      <vt:variant>
        <vt:i4>8192034</vt:i4>
      </vt:variant>
      <vt:variant>
        <vt:i4>0</vt:i4>
      </vt:variant>
      <vt:variant>
        <vt:i4>0</vt:i4>
      </vt:variant>
      <vt:variant>
        <vt:i4>5</vt:i4>
      </vt:variant>
      <vt:variant>
        <vt:lpwstr>https://eur-lex.europa.eu/legal-content/EN/TXT/?uri=CELEX%3A52025DC0030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2026-05-12T09:40:00Z</dcterms:created>
  <dcterms:modified xsi:type="dcterms:W3CDTF">2026-05-29T07:15:00Z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2026-05-07T16:21:52Z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aed1e33a-d046-40e0-a52f-0ab2cc5e69b0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