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2B5A4" w14:textId="4670461D" w:rsidR="000830E3" w:rsidRDefault="00BC6DE0" w:rsidP="00BC6DE0">
      <w:pPr>
        <w:pStyle w:val="Pagedecouverture"/>
        <w:rPr>
          <w:noProof/>
        </w:rPr>
      </w:pPr>
      <w:bookmarkStart w:id="0" w:name="LW_BM_COVERPAGE"/>
      <w:r>
        <w:rPr>
          <w:noProof/>
        </w:rPr>
        <w:pict w14:anchorId="38C85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25A505E-3D30-4632-854E-932953BEB047" style="width:455.25pt;height:627.75pt">
            <v:imagedata r:id="rId15" o:title=""/>
          </v:shape>
        </w:pict>
      </w:r>
    </w:p>
    <w:bookmarkEnd w:id="0"/>
    <w:p w14:paraId="1926CC75" w14:textId="77777777" w:rsidR="003A37A4" w:rsidRDefault="003A37A4" w:rsidP="003A37A4">
      <w:pPr>
        <w:rPr>
          <w:noProof/>
        </w:rPr>
        <w:sectPr w:rsidR="003A37A4" w:rsidSect="00BC6DE0">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14:paraId="3AA0EE14" w14:textId="6B5E7E1A" w:rsidR="00A40F04" w:rsidRPr="00A40F04" w:rsidRDefault="00A40F04" w:rsidP="00493753">
      <w:pPr>
        <w:pBdr>
          <w:top w:val="single" w:sz="4" w:space="1" w:color="auto"/>
          <w:left w:val="single" w:sz="4" w:space="4" w:color="auto"/>
          <w:bottom w:val="single" w:sz="4" w:space="17" w:color="auto"/>
          <w:right w:val="single" w:sz="4" w:space="4" w:color="auto"/>
        </w:pBdr>
        <w:rPr>
          <w:b/>
          <w:smallCaps/>
          <w:noProof/>
          <w:szCs w:val="24"/>
          <w:u w:val="single"/>
        </w:rPr>
      </w:pPr>
      <w:bookmarkStart w:id="1" w:name="_GoBack"/>
      <w:bookmarkEnd w:id="1"/>
      <w:r>
        <w:rPr>
          <w:b/>
          <w:smallCaps/>
          <w:noProof/>
          <w:u w:val="single"/>
        </w:rPr>
        <w:lastRenderedPageBreak/>
        <w:t>Sammanfattning</w:t>
      </w:r>
    </w:p>
    <w:p w14:paraId="4ADA448A" w14:textId="083753B9" w:rsidR="00A40F04" w:rsidRPr="00A40F04" w:rsidRDefault="00A40F04" w:rsidP="4521868C">
      <w:pPr>
        <w:pBdr>
          <w:top w:val="single" w:sz="4" w:space="1" w:color="auto"/>
          <w:left w:val="single" w:sz="4" w:space="4" w:color="auto"/>
          <w:bottom w:val="single" w:sz="4" w:space="17" w:color="auto"/>
          <w:right w:val="single" w:sz="4" w:space="4" w:color="auto"/>
        </w:pBdr>
        <w:rPr>
          <w:noProof/>
        </w:rPr>
      </w:pPr>
      <w:r>
        <w:rPr>
          <w:noProof/>
        </w:rPr>
        <w:t>Det finska rättsväsendet uppfattas fortsättningsvis ha ett mycket stort oberoende. Den arbetsgrupp som har till uppgift att stärka rättsväsendets oberoende fortsatte sitt arbete, och begränsade åtgärder vidtogs i fråga om utnämningen av nämndemän.</w:t>
      </w:r>
      <w:r>
        <w:rPr>
          <w:noProof/>
          <w:color w:val="000000" w:themeColor="text1"/>
        </w:rPr>
        <w:t xml:space="preserve"> </w:t>
      </w:r>
      <w:r>
        <w:rPr>
          <w:noProof/>
        </w:rPr>
        <w:t>Berörda parter är oroade över att man förlitar sig på ett system där man utnämner domare till icke-permanenta tjänster. Regeringen vidtog åtgärder för att stärka skyddet för brottsoffren i samband med medling i brottmål.</w:t>
      </w:r>
      <w:r>
        <w:rPr>
          <w:noProof/>
          <w:color w:val="000000" w:themeColor="text1"/>
        </w:rPr>
        <w:t xml:space="preserve"> Projektet med digitalisering av ärendehanteringen för allmänna domstolar slutfördes 2024, och en vidareutveckling av systemet pågår. Rättshjälpsavgifterna för privata rättsbiträden höjdes. Domstolsväsendet fungerar överlag effektivt, men de senaste siffrorna visar på en liten ökning av handläggningstiden på vissa områden.</w:t>
      </w:r>
    </w:p>
    <w:p w14:paraId="328442B7" w14:textId="0A72B4E5" w:rsidR="00A40F04" w:rsidRPr="00A40F04" w:rsidRDefault="21EDF6D3" w:rsidP="482C4F3A">
      <w:pPr>
        <w:pBdr>
          <w:top w:val="single" w:sz="4" w:space="1" w:color="auto"/>
          <w:left w:val="single" w:sz="4" w:space="4" w:color="auto"/>
          <w:bottom w:val="single" w:sz="4" w:space="17" w:color="auto"/>
          <w:right w:val="single" w:sz="4" w:space="4" w:color="auto"/>
        </w:pBdr>
        <w:rPr>
          <w:noProof/>
          <w:color w:val="000000" w:themeColor="text1"/>
        </w:rPr>
      </w:pPr>
      <w:r>
        <w:rPr>
          <w:noProof/>
        </w:rPr>
        <w:t>Experter, allmänheten och företagsledare uppfattar Finland som ett av de minst korrumperade länderna i världen. Det nya åtgärdsprogrammet mot korruption för 2024–2027 antogs 2025. Samarbetet mellan polis och åklagarväsendet fortsätter att fungera bra, med tillräckliga resurser så att de kan utföra sitt arbete på ett effektivt sätt. Regeringen planerar att föreslå lagstiftning för att kriminalisera handel med inflytande och se över brottet mutbrott utomlands när det föreslagna EU-direktivet om bekämpande av korruption har godkänts. Fler initiativ skapas för att eventuellt ytterligare stärka ministrarnas integritetsskydd genom en uppförandekod. Lagen om öppenhetsregistret rapporteras fungera väl.</w:t>
      </w:r>
      <w:r>
        <w:rPr>
          <w:b/>
          <w:noProof/>
        </w:rPr>
        <w:t xml:space="preserve"> </w:t>
      </w:r>
      <w:r>
        <w:rPr>
          <w:noProof/>
        </w:rPr>
        <w:t xml:space="preserve">En </w:t>
      </w:r>
      <w:r>
        <w:rPr>
          <w:noProof/>
          <w:color w:val="000000" w:themeColor="text1"/>
        </w:rPr>
        <w:t>lagstiftningsförslag om att begränsa ”svängdörrar” för ministrar har lagts fram för riksdagen och lagändringar om ökad öppenhet i lagstiftningen om finansiering av politiska partier har trätt i kraft. Nya initiativ syftar till att ta itu med riskerna för korruption på området för offentlig upphandling, som fortfarande är ett högriskområde för korruption, precis som stads- och markanvändningsplanering.</w:t>
      </w:r>
    </w:p>
    <w:p w14:paraId="1700457E" w14:textId="77777777" w:rsidR="00A40F04" w:rsidRPr="00A40F04" w:rsidRDefault="00A40F04" w:rsidP="00493753">
      <w:pPr>
        <w:pBdr>
          <w:top w:val="single" w:sz="4" w:space="1" w:color="auto"/>
          <w:left w:val="single" w:sz="4" w:space="4" w:color="auto"/>
          <w:bottom w:val="single" w:sz="4" w:space="17" w:color="auto"/>
          <w:right w:val="single" w:sz="4" w:space="4" w:color="auto"/>
        </w:pBdr>
        <w:rPr>
          <w:noProof/>
          <w:szCs w:val="22"/>
        </w:rPr>
      </w:pPr>
      <w:r>
        <w:rPr>
          <w:noProof/>
        </w:rPr>
        <w:t>De nationella tillsynsmyndigheterna för medier genomgår strukturella förändringar medan deras oberoende förblir stabilt. De uppdaterade pressetiska reglerna har börjat gälla och Finlands självreglerande opinionsnämnd för massmedier fortsätter att hantera ett stort antal klagomål som rör journalistetik. Regeringen har föreslagit ny lagstiftning för att ytterligare stärka public service-mediernas oberoende och samtidigt minska deras finansiering. Vissa åtgärder har vidtagits för att stärka rätten till tillgång till information. Det rättsliga skyddet för journalister har varit fortsatt stabilt.</w:t>
      </w:r>
    </w:p>
    <w:p w14:paraId="0076B28B" w14:textId="77777777" w:rsidR="00A40F04" w:rsidRPr="00A40F04" w:rsidRDefault="00A40F04" w:rsidP="00493753">
      <w:pPr>
        <w:pBdr>
          <w:top w:val="single" w:sz="4" w:space="1" w:color="auto"/>
          <w:left w:val="single" w:sz="4" w:space="4" w:color="auto"/>
          <w:bottom w:val="single" w:sz="4" w:space="17" w:color="auto"/>
          <w:right w:val="single" w:sz="4" w:space="4" w:color="auto"/>
        </w:pBdr>
        <w:rPr>
          <w:noProof/>
          <w:szCs w:val="22"/>
        </w:rPr>
      </w:pPr>
      <w:r>
        <w:rPr>
          <w:noProof/>
        </w:rPr>
        <w:t xml:space="preserve">Lagstiftningsprocessen är i stort sett inkluderande, även om berörda parter pekar på förbättringsområden, exempelvis behovet av att i praktiken säkerställa att minimilängden för samrådsperioden efterlevs. Ramen för det civila samhället är fortfarande öppen, men vissa berörda parter fortsätter att rapportera om ett förändrat narrativ om den roll som det civila samhällets aktörer spelar. </w:t>
      </w:r>
    </w:p>
    <w:p w14:paraId="64AC21B6" w14:textId="77777777" w:rsidR="00A40F04" w:rsidRDefault="00A40F04" w:rsidP="00493753">
      <w:pPr>
        <w:rPr>
          <w:noProof/>
        </w:rPr>
      </w:pPr>
      <w:r>
        <w:rPr>
          <w:noProof/>
        </w:rPr>
        <w:br w:type="page"/>
      </w:r>
    </w:p>
    <w:p w14:paraId="197D6050" w14:textId="77777777" w:rsidR="00F3296C" w:rsidRPr="00855ABF" w:rsidRDefault="00F3296C" w:rsidP="00F3296C">
      <w:pPr>
        <w:pageBreakBefore/>
        <w:pBdr>
          <w:top w:val="single" w:sz="4" w:space="1" w:color="auto"/>
          <w:left w:val="single" w:sz="4" w:space="4" w:color="auto"/>
          <w:bottom w:val="single" w:sz="4" w:space="17" w:color="auto"/>
          <w:right w:val="single" w:sz="4" w:space="4" w:color="auto"/>
        </w:pBdr>
        <w:rPr>
          <w:b/>
          <w:smallCaps/>
          <w:noProof/>
          <w:szCs w:val="24"/>
          <w:u w:val="single"/>
        </w:rPr>
      </w:pPr>
      <w:bookmarkStart w:id="2" w:name="_Hlk202256986"/>
      <w:r>
        <w:rPr>
          <w:b/>
          <w:smallCaps/>
          <w:noProof/>
          <w:u w:val="single"/>
        </w:rPr>
        <w:t>Rekommendationer</w:t>
      </w:r>
    </w:p>
    <w:p w14:paraId="7189FE2C" w14:textId="77777777" w:rsidR="00706989" w:rsidRPr="003A2A64" w:rsidRDefault="00706989" w:rsidP="00706989">
      <w:pPr>
        <w:pBdr>
          <w:top w:val="single" w:sz="4" w:space="1" w:color="auto"/>
          <w:left w:val="single" w:sz="4" w:space="4" w:color="auto"/>
          <w:bottom w:val="single" w:sz="4" w:space="17" w:color="auto"/>
          <w:right w:val="single" w:sz="4" w:space="4" w:color="auto"/>
        </w:pBdr>
        <w:spacing w:line="257" w:lineRule="auto"/>
        <w:rPr>
          <w:noProof/>
        </w:rPr>
      </w:pPr>
      <w:r>
        <w:rPr>
          <w:noProof/>
        </w:rPr>
        <w:t>Sammantaget har Finland med avseende på rekommendationerna i 2024 års rapport om rättsstatsprincipen uppnått följande:</w:t>
      </w:r>
    </w:p>
    <w:p w14:paraId="55E8C143" w14:textId="649EE076" w:rsidR="00706989" w:rsidRPr="003A2A64" w:rsidRDefault="00706989" w:rsidP="00706989">
      <w:pPr>
        <w:numPr>
          <w:ilvl w:val="0"/>
          <w:numId w:val="25"/>
        </w:numPr>
        <w:pBdr>
          <w:top w:val="single" w:sz="4" w:space="1" w:color="auto"/>
          <w:left w:val="single" w:sz="4" w:space="4" w:color="auto"/>
          <w:bottom w:val="single" w:sz="4" w:space="17" w:color="auto"/>
          <w:right w:val="single" w:sz="4" w:space="4" w:color="auto"/>
        </w:pBdr>
        <w:spacing w:after="0" w:line="256" w:lineRule="auto"/>
        <w:contextualSpacing/>
        <w:rPr>
          <w:rFonts w:eastAsia="Aptos" w:cs="Arial"/>
          <w:noProof/>
        </w:rPr>
      </w:pPr>
      <w:r>
        <w:rPr>
          <w:noProof/>
        </w:rPr>
        <w:t xml:space="preserve">Till fullo genomfört rekommendationen om att fortsätta arbetet i arbetsgruppen ”Rättsstatens garantier och utvecklandet av rättsväsendet” i syfte att stärka rättsväsendets oberoende och höja kvaliteten på det rättsliga skyddet.  </w:t>
      </w:r>
    </w:p>
    <w:p w14:paraId="5D4B1B1A" w14:textId="77777777" w:rsidR="00706989" w:rsidRPr="003A2A64" w:rsidRDefault="00706989" w:rsidP="00706989">
      <w:pPr>
        <w:numPr>
          <w:ilvl w:val="0"/>
          <w:numId w:val="25"/>
        </w:numPr>
        <w:pBdr>
          <w:top w:val="single" w:sz="4" w:space="1" w:color="auto"/>
          <w:left w:val="single" w:sz="4" w:space="4" w:color="auto"/>
          <w:bottom w:val="single" w:sz="4" w:space="17" w:color="auto"/>
          <w:right w:val="single" w:sz="4" w:space="4" w:color="auto"/>
        </w:pBdr>
        <w:spacing w:after="0" w:line="256" w:lineRule="auto"/>
        <w:contextualSpacing/>
        <w:rPr>
          <w:noProof/>
        </w:rPr>
      </w:pPr>
      <w:r>
        <w:rPr>
          <w:noProof/>
        </w:rPr>
        <w:t>Begränsade framsteg med avseende på reformen av systemet för utnämningen av nämndemän, med beaktande av europeiska normer för rättsväsendets oberoende.</w:t>
      </w:r>
    </w:p>
    <w:p w14:paraId="255BA6A3" w14:textId="77777777" w:rsidR="00706989" w:rsidRPr="003A2A64" w:rsidRDefault="00706989" w:rsidP="00706989">
      <w:pPr>
        <w:numPr>
          <w:ilvl w:val="0"/>
          <w:numId w:val="25"/>
        </w:numPr>
        <w:pBdr>
          <w:top w:val="single" w:sz="4" w:space="1" w:color="auto"/>
          <w:left w:val="single" w:sz="4" w:space="4" w:color="auto"/>
          <w:bottom w:val="single" w:sz="4" w:space="17" w:color="auto"/>
          <w:right w:val="single" w:sz="4" w:space="4" w:color="auto"/>
        </w:pBdr>
        <w:spacing w:after="0" w:line="256" w:lineRule="auto"/>
        <w:contextualSpacing/>
        <w:rPr>
          <w:noProof/>
          <w:szCs w:val="24"/>
        </w:rPr>
      </w:pPr>
      <w:r>
        <w:rPr>
          <w:noProof/>
        </w:rPr>
        <w:t>Begränsade framsteg med att anta lagstiftning om handel med inflytande och för att föreslå en översyn av mutbrott utomlands.</w:t>
      </w:r>
    </w:p>
    <w:p w14:paraId="48148E29" w14:textId="77777777" w:rsidR="00706989" w:rsidRPr="003A2A64" w:rsidRDefault="00706989" w:rsidP="00706989">
      <w:pPr>
        <w:numPr>
          <w:ilvl w:val="0"/>
          <w:numId w:val="25"/>
        </w:numPr>
        <w:pBdr>
          <w:top w:val="single" w:sz="4" w:space="1" w:color="auto"/>
          <w:left w:val="single" w:sz="4" w:space="4" w:color="auto"/>
          <w:bottom w:val="single" w:sz="4" w:space="17" w:color="auto"/>
          <w:right w:val="single" w:sz="4" w:space="4" w:color="auto"/>
        </w:pBdr>
        <w:spacing w:after="0" w:line="256" w:lineRule="auto"/>
        <w:contextualSpacing/>
        <w:rPr>
          <w:noProof/>
        </w:rPr>
      </w:pPr>
      <w:r>
        <w:rPr>
          <w:noProof/>
        </w:rPr>
        <w:t>Begränsade framsteg med att stärka den ram för integritet och ansvarsskyldighet som gäller för ministrar och de högsta tjänstemännen genom att anta anvisningar om tjänstemannaetik.</w:t>
      </w:r>
    </w:p>
    <w:p w14:paraId="579E97A8" w14:textId="77777777" w:rsidR="00706989" w:rsidRPr="003A2A64" w:rsidRDefault="00706989" w:rsidP="00706989">
      <w:pPr>
        <w:numPr>
          <w:ilvl w:val="0"/>
          <w:numId w:val="25"/>
        </w:numPr>
        <w:pBdr>
          <w:top w:val="single" w:sz="4" w:space="1" w:color="auto"/>
          <w:left w:val="single" w:sz="4" w:space="4" w:color="auto"/>
          <w:bottom w:val="single" w:sz="4" w:space="17" w:color="auto"/>
          <w:right w:val="single" w:sz="4" w:space="4" w:color="auto"/>
        </w:pBdr>
        <w:spacing w:after="0" w:line="256" w:lineRule="auto"/>
        <w:contextualSpacing/>
        <w:rPr>
          <w:noProof/>
        </w:rPr>
      </w:pPr>
      <w:r>
        <w:rPr>
          <w:noProof/>
        </w:rPr>
        <w:t>Vissa ytterligare framsteg när det gäller att gå vidare med reformen av lagen om offentlighet i myndigheternas verksamhet i syfte att säkerställa en faktisk och mer omfattande tillgång till handlingar, mot bakgrund av de europeiska normerna för tillgång till offentliga handlingar.</w:t>
      </w:r>
    </w:p>
    <w:p w14:paraId="7A2CDCEC" w14:textId="77777777" w:rsidR="00706989" w:rsidRPr="00033A01" w:rsidRDefault="00706989" w:rsidP="00706989">
      <w:pPr>
        <w:pBdr>
          <w:top w:val="single" w:sz="4" w:space="1" w:color="auto"/>
          <w:left w:val="single" w:sz="4" w:space="4" w:color="auto"/>
          <w:bottom w:val="single" w:sz="4" w:space="17" w:color="auto"/>
          <w:right w:val="single" w:sz="4" w:space="4" w:color="auto"/>
        </w:pBdr>
        <w:spacing w:after="0" w:line="256" w:lineRule="auto"/>
        <w:contextualSpacing/>
        <w:rPr>
          <w:b/>
          <w:bCs/>
          <w:noProof/>
          <w:lang w:eastAsia="en-GB"/>
        </w:rPr>
      </w:pPr>
    </w:p>
    <w:p w14:paraId="26244239" w14:textId="77777777" w:rsidR="00706989" w:rsidRPr="003A2A64" w:rsidRDefault="00706989" w:rsidP="00706989">
      <w:pPr>
        <w:pBdr>
          <w:top w:val="single" w:sz="4" w:space="1" w:color="auto"/>
          <w:left w:val="single" w:sz="4" w:space="4" w:color="auto"/>
          <w:bottom w:val="single" w:sz="4" w:space="17" w:color="auto"/>
          <w:right w:val="single" w:sz="4" w:space="4" w:color="auto"/>
        </w:pBdr>
        <w:spacing w:line="256" w:lineRule="auto"/>
        <w:rPr>
          <w:noProof/>
        </w:rPr>
      </w:pPr>
      <w:r>
        <w:rPr>
          <w:noProof/>
        </w:rPr>
        <w:t>På grundval av detta och med beaktande av annan utveckling som ägde rum under referensperioden rekommenderas Finland att:</w:t>
      </w:r>
    </w:p>
    <w:p w14:paraId="580D3B2E" w14:textId="77777777" w:rsidR="00706989" w:rsidRPr="003A2A64" w:rsidRDefault="00706989" w:rsidP="00706989">
      <w:pPr>
        <w:numPr>
          <w:ilvl w:val="0"/>
          <w:numId w:val="25"/>
        </w:numPr>
        <w:pBdr>
          <w:top w:val="single" w:sz="4" w:space="1" w:color="auto"/>
          <w:left w:val="single" w:sz="4" w:space="4" w:color="auto"/>
          <w:bottom w:val="single" w:sz="4" w:space="17" w:color="auto"/>
          <w:right w:val="single" w:sz="4" w:space="4" w:color="auto"/>
        </w:pBdr>
        <w:spacing w:after="0"/>
        <w:contextualSpacing/>
        <w:rPr>
          <w:noProof/>
        </w:rPr>
      </w:pPr>
      <w:r>
        <w:rPr>
          <w:noProof/>
        </w:rPr>
        <w:t xml:space="preserve">Gå vidare med reformen av systemet för utnämningen av nämndemän, med beaktande av europeiska normer för rättsväsendets oberoende. </w:t>
      </w:r>
    </w:p>
    <w:p w14:paraId="0EA42F94" w14:textId="77777777" w:rsidR="00706989" w:rsidRPr="003A2A64" w:rsidRDefault="00706989" w:rsidP="00706989">
      <w:pPr>
        <w:numPr>
          <w:ilvl w:val="0"/>
          <w:numId w:val="25"/>
        </w:numPr>
        <w:pBdr>
          <w:top w:val="single" w:sz="4" w:space="1" w:color="auto"/>
          <w:left w:val="single" w:sz="4" w:space="4" w:color="auto"/>
          <w:bottom w:val="single" w:sz="4" w:space="17" w:color="auto"/>
          <w:right w:val="single" w:sz="4" w:space="4" w:color="auto"/>
        </w:pBdr>
        <w:spacing w:after="0"/>
        <w:contextualSpacing/>
        <w:rPr>
          <w:noProof/>
        </w:rPr>
      </w:pPr>
      <w:r>
        <w:rPr>
          <w:noProof/>
        </w:rPr>
        <w:t xml:space="preserve">Göra framsteg med översynen av brottet mutbrott utomlands.    </w:t>
      </w:r>
    </w:p>
    <w:p w14:paraId="4BC1E867" w14:textId="77777777" w:rsidR="00706989" w:rsidRPr="003A2A64" w:rsidRDefault="00706989" w:rsidP="00706989">
      <w:pPr>
        <w:numPr>
          <w:ilvl w:val="0"/>
          <w:numId w:val="25"/>
        </w:numPr>
        <w:pBdr>
          <w:top w:val="single" w:sz="4" w:space="1" w:color="auto"/>
          <w:left w:val="single" w:sz="4" w:space="4" w:color="auto"/>
          <w:bottom w:val="single" w:sz="4" w:space="17" w:color="auto"/>
          <w:right w:val="single" w:sz="4" w:space="4" w:color="auto"/>
        </w:pBdr>
        <w:spacing w:after="200"/>
        <w:contextualSpacing/>
        <w:rPr>
          <w:noProof/>
        </w:rPr>
      </w:pPr>
      <w:r>
        <w:rPr>
          <w:noProof/>
        </w:rPr>
        <w:t xml:space="preserve">Fortsätta insatserna för att stärka den ram för integritet och ansvarsskyldighet som gäller för ministrar och de högsta tjänstemännen genom att anta anvisningar om tjänstemannaetik.  </w:t>
      </w:r>
    </w:p>
    <w:p w14:paraId="68FD94A0" w14:textId="77777777" w:rsidR="00706989" w:rsidRPr="003A2A64" w:rsidRDefault="00706989" w:rsidP="00706989">
      <w:pPr>
        <w:numPr>
          <w:ilvl w:val="0"/>
          <w:numId w:val="25"/>
        </w:numPr>
        <w:pBdr>
          <w:top w:val="single" w:sz="4" w:space="1" w:color="auto"/>
          <w:left w:val="single" w:sz="4" w:space="4" w:color="auto"/>
          <w:bottom w:val="single" w:sz="4" w:space="17" w:color="auto"/>
          <w:right w:val="single" w:sz="4" w:space="4" w:color="auto"/>
        </w:pBdr>
        <w:spacing w:after="200"/>
        <w:contextualSpacing/>
        <w:rPr>
          <w:noProof/>
        </w:rPr>
      </w:pPr>
      <w:r>
        <w:rPr>
          <w:noProof/>
        </w:rPr>
        <w:t xml:space="preserve">Driva på reformen av lagen om offentlighet i myndigheternas verksamhet i syfte att säkerställa en faktisk tillgång till handlingar, mot bakgrund av de europeiska normerna för tillgång till offentliga handlingar.  </w:t>
      </w:r>
    </w:p>
    <w:bookmarkEnd w:id="2"/>
    <w:p w14:paraId="305073F6" w14:textId="6169442E" w:rsidR="00F3296C" w:rsidRPr="00F3296C" w:rsidRDefault="00F3296C" w:rsidP="00F3296C">
      <w:pPr>
        <w:spacing w:after="0"/>
        <w:jc w:val="left"/>
        <w:rPr>
          <w:b/>
          <w:smallCaps/>
          <w:noProof/>
          <w:szCs w:val="24"/>
          <w:u w:val="single"/>
        </w:rPr>
      </w:pPr>
      <w:r>
        <w:rPr>
          <w:noProof/>
        </w:rPr>
        <w:br w:type="page"/>
      </w:r>
    </w:p>
    <w:p w14:paraId="3A962B32" w14:textId="39983924" w:rsidR="00A40F04" w:rsidRPr="00493753" w:rsidRDefault="00A40F04" w:rsidP="00493753">
      <w:pPr>
        <w:pStyle w:val="ListParagraph"/>
        <w:keepNext/>
        <w:pageBreakBefore/>
        <w:numPr>
          <w:ilvl w:val="0"/>
          <w:numId w:val="23"/>
        </w:numPr>
        <w:ind w:left="720"/>
        <w:outlineLvl w:val="0"/>
        <w:rPr>
          <w:b/>
          <w:smallCaps/>
          <w:noProof/>
          <w:szCs w:val="24"/>
          <w:u w:val="single"/>
        </w:rPr>
      </w:pPr>
      <w:r>
        <w:rPr>
          <w:b/>
          <w:smallCaps/>
          <w:noProof/>
          <w:u w:val="single"/>
        </w:rPr>
        <w:t>Domstolsväsendet</w:t>
      </w:r>
      <w:r>
        <w:rPr>
          <w:noProof/>
          <w:vertAlign w:val="superscript"/>
          <w:lang w:val="en-IE" w:eastAsia="fr-FR"/>
        </w:rPr>
        <w:footnoteReference w:id="2"/>
      </w:r>
    </w:p>
    <w:p w14:paraId="2E03E792" w14:textId="77777777" w:rsidR="00A40F04" w:rsidRPr="00A40F04" w:rsidRDefault="00A40F04" w:rsidP="00493753">
      <w:pPr>
        <w:keepNext/>
        <w:outlineLvl w:val="1"/>
        <w:rPr>
          <w:b/>
          <w:noProof/>
          <w:szCs w:val="24"/>
        </w:rPr>
      </w:pPr>
      <w:r>
        <w:rPr>
          <w:b/>
          <w:noProof/>
        </w:rPr>
        <w:t xml:space="preserve">Oberoende </w:t>
      </w:r>
    </w:p>
    <w:p w14:paraId="66D78DAD" w14:textId="77777777" w:rsidR="00A40F04" w:rsidRPr="00A40F04" w:rsidRDefault="00A40F04" w:rsidP="00493753">
      <w:pPr>
        <w:rPr>
          <w:rFonts w:eastAsia="Calibri"/>
          <w:noProof/>
          <w:szCs w:val="24"/>
        </w:rPr>
      </w:pPr>
      <w:r>
        <w:rPr>
          <w:b/>
          <w:noProof/>
        </w:rPr>
        <w:t>Såväl av allmänheten som av företag uppfattas domstolarnas grad av oberoende som mycket hög i Finland</w:t>
      </w:r>
      <w:r>
        <w:rPr>
          <w:noProof/>
        </w:rPr>
        <w:t>. Totalt sett uppfattade 89 % av befolkningen i allmänhet och 90 % av företagen domstolarnas och domarnas oberoende som ”ganska eller mycket bra” 2025</w:t>
      </w:r>
      <w:r>
        <w:rPr>
          <w:rFonts w:eastAsia="Calibri"/>
          <w:noProof/>
          <w:szCs w:val="24"/>
          <w:vertAlign w:val="superscript"/>
          <w:lang w:val="en-US" w:eastAsia="en-US"/>
        </w:rPr>
        <w:footnoteReference w:id="3"/>
      </w:r>
      <w:r>
        <w:rPr>
          <w:noProof/>
        </w:rPr>
        <w:t>. Bland allmänheten har andelen som uppfattar domstolarna som oberoende ökat jämfört med 2024 (83 %), och jämfört med 2021 (83 %). Uppfattningen om rättsväsendets oberoende har minskat något bland företagen jämfört med 2024 (91 %) och ökat jämfört med 2021 (86 %). </w:t>
      </w:r>
    </w:p>
    <w:p w14:paraId="7663042E" w14:textId="639014B4" w:rsidR="00A40F04" w:rsidRPr="00A40F04" w:rsidRDefault="00A40F04" w:rsidP="00493753">
      <w:pPr>
        <w:rPr>
          <w:noProof/>
          <w:color w:val="000000"/>
          <w:szCs w:val="24"/>
        </w:rPr>
      </w:pPr>
      <w:r>
        <w:rPr>
          <w:b/>
          <w:noProof/>
          <w:color w:val="000000"/>
        </w:rPr>
        <w:t>Rekommendationen att fortsätta arbetet i den arbetsgrupp som syftar till att stärka rättssystemets oberoende genomfördes fullt ut</w:t>
      </w:r>
      <w:r>
        <w:rPr>
          <w:b/>
          <w:bCs/>
          <w:noProof/>
          <w:color w:val="000000"/>
          <w:szCs w:val="24"/>
          <w:vertAlign w:val="superscript"/>
          <w:lang w:val="en-US" w:eastAsia="en-US"/>
        </w:rPr>
        <w:footnoteReference w:id="4"/>
      </w:r>
      <w:r>
        <w:rPr>
          <w:b/>
          <w:noProof/>
          <w:color w:val="000000"/>
        </w:rPr>
        <w:t xml:space="preserve">. </w:t>
      </w:r>
      <w:r>
        <w:rPr>
          <w:noProof/>
          <w:color w:val="000000"/>
        </w:rPr>
        <w:t>Arbetsgruppen för rättsstatens garantier och utvecklandet av rättsväsendet</w:t>
      </w:r>
      <w:r>
        <w:rPr>
          <w:noProof/>
          <w:color w:val="000000"/>
          <w:szCs w:val="24"/>
          <w:vertAlign w:val="superscript"/>
          <w:lang w:val="en-US" w:eastAsia="en-US"/>
        </w:rPr>
        <w:footnoteReference w:id="5"/>
      </w:r>
      <w:r>
        <w:rPr>
          <w:noProof/>
          <w:color w:val="000000"/>
        </w:rPr>
        <w:t xml:space="preserve"> fortsätter med sitt projekt för att stärka rättsväsendets oberoende och främja ett användarorienterat rättsligt skydd av hög kvalitet</w:t>
      </w:r>
      <w:r>
        <w:rPr>
          <w:noProof/>
          <w:color w:val="000000"/>
          <w:szCs w:val="24"/>
          <w:vertAlign w:val="superscript"/>
          <w:lang w:val="en-US" w:eastAsia="en-US"/>
        </w:rPr>
        <w:footnoteReference w:id="6"/>
      </w:r>
      <w:r>
        <w:rPr>
          <w:noProof/>
          <w:color w:val="000000"/>
        </w:rPr>
        <w:t>. De synpunkter som mottagits på de preliminära förslagen, som lades fram av arbetsgruppen 2024, kommer att granskas ytterligare 2025 och 2026</w:t>
      </w:r>
      <w:r>
        <w:rPr>
          <w:noProof/>
          <w:color w:val="000000"/>
          <w:szCs w:val="24"/>
          <w:vertAlign w:val="superscript"/>
          <w:lang w:val="en-US" w:eastAsia="en-US"/>
        </w:rPr>
        <w:footnoteReference w:id="7"/>
      </w:r>
      <w:r>
        <w:rPr>
          <w:noProof/>
          <w:color w:val="000000"/>
        </w:rPr>
        <w:t>. För att korrekt kunna bedöma de nödvändiga grundlagsändringar och andra lagändringar som krävs för att stärka domstolars och domares oberoende har en särskild arbetsgrupp för oberoende</w:t>
      </w:r>
      <w:r>
        <w:rPr>
          <w:noProof/>
          <w:color w:val="000000"/>
          <w:szCs w:val="24"/>
          <w:vertAlign w:val="superscript"/>
          <w:lang w:val="en-US" w:eastAsia="en-US"/>
        </w:rPr>
        <w:footnoteReference w:id="8"/>
      </w:r>
      <w:r>
        <w:rPr>
          <w:noProof/>
          <w:color w:val="000000"/>
        </w:rPr>
        <w:t xml:space="preserve"> inrättats. Arbetsgruppen är inriktad på att identifiera möjliga ändringar i grundlagen och/eller andra lagar, särskilt när det gäller antalet domare i de högsta domstolarna, förfarandet för utnämning av domare, rätten att kvarstå i tjänsten och försummelse i domstol. Berörda parter välkomnar arbetsgruppens mål och betonar särskilt vikten av att ta itu med antalet domare i de högsta domstolarna och förfarandet för utnämning av ordinarie och tillfälliga domare samt för utnämning av nämndemän. De noterar också att arbetsgruppen, i stället för att utarbeta ett lagförslag som ursprungligen planerades, kommer att utfärda en promemoria som kan försena antagandet av förslagen</w:t>
      </w:r>
      <w:r>
        <w:rPr>
          <w:noProof/>
          <w:color w:val="000000"/>
          <w:szCs w:val="24"/>
          <w:vertAlign w:val="superscript"/>
          <w:lang w:val="en-US" w:eastAsia="en-US"/>
        </w:rPr>
        <w:footnoteReference w:id="9"/>
      </w:r>
      <w:r>
        <w:rPr>
          <w:noProof/>
          <w:color w:val="000000"/>
        </w:rPr>
        <w:t xml:space="preserve">. Eftersom arbetsgruppen fortsätter med sitt projekt och planerar att utfärda en promemoria med förslag till lagstiftningsändringar för att stärka rättssystemets oberoende har denna rekommendation genomförts fullt ut. </w:t>
      </w:r>
    </w:p>
    <w:p w14:paraId="4FA44CD9" w14:textId="77777777" w:rsidR="00A40F04" w:rsidRPr="00033A01" w:rsidRDefault="00A40F04" w:rsidP="00493753">
      <w:pPr>
        <w:rPr>
          <w:noProof/>
          <w:color w:val="000000" w:themeColor="text1"/>
          <w:szCs w:val="24"/>
          <w:lang w:eastAsia="en-US"/>
        </w:rPr>
      </w:pPr>
    </w:p>
    <w:p w14:paraId="6D250FA6" w14:textId="2E7D8588" w:rsidR="00A40F04" w:rsidRPr="00A40F04" w:rsidRDefault="21EDF6D3" w:rsidP="482C4F3A">
      <w:pPr>
        <w:rPr>
          <w:noProof/>
          <w:color w:val="000000"/>
        </w:rPr>
      </w:pPr>
      <w:r>
        <w:rPr>
          <w:b/>
          <w:noProof/>
          <w:color w:val="000000" w:themeColor="text1"/>
        </w:rPr>
        <w:t>Begränsade framsteg har uppnåtts för att reformera utnämningen av nämndemän</w:t>
      </w:r>
      <w:r>
        <w:rPr>
          <w:b/>
          <w:bCs/>
          <w:noProof/>
          <w:color w:val="000000"/>
          <w:vertAlign w:val="superscript"/>
          <w:lang w:val="en-US" w:eastAsia="en-US"/>
        </w:rPr>
        <w:footnoteReference w:id="10"/>
      </w:r>
      <w:r>
        <w:rPr>
          <w:b/>
          <w:noProof/>
          <w:color w:val="000000" w:themeColor="text1"/>
        </w:rPr>
        <w:t>.</w:t>
      </w:r>
      <w:r>
        <w:rPr>
          <w:noProof/>
          <w:color w:val="000000"/>
        </w:rPr>
        <w:t xml:space="preserve"> Nämndemän, som deltar i vissa icke-straffrättsliga mål och i allvarliga brottmål där maximistraffet överstiger två års fängelse, utses för närvarande av politiska partier, och antalet utnämningar tilldelas enligt resultaten av lokala val. Justitieministeriet utfärdade en bedömningspromemoria</w:t>
      </w:r>
      <w:r>
        <w:rPr>
          <w:noProof/>
          <w:color w:val="000000" w:themeColor="text1"/>
        </w:rPr>
        <w:t xml:space="preserve"> i april 2025</w:t>
      </w:r>
      <w:r>
        <w:rPr>
          <w:noProof/>
          <w:color w:val="000000"/>
        </w:rPr>
        <w:t>, synpunkter inkom på bedömningspromemorian och en sammanfattning av yttrandena kommer att utarbetas senare under 2025</w:t>
      </w:r>
      <w:r>
        <w:rPr>
          <w:noProof/>
          <w:color w:val="000000"/>
          <w:vertAlign w:val="superscript"/>
          <w:lang w:val="en-US" w:eastAsia="en-US"/>
        </w:rPr>
        <w:footnoteReference w:id="11"/>
      </w:r>
      <w:r>
        <w:rPr>
          <w:noProof/>
          <w:color w:val="000000"/>
        </w:rPr>
        <w:t>. Frågan är också under behandling i arbetsgruppen om ”Rättsstatens garantier och utvecklandet av rättsväsendet”. Även om det råder bred enighet bland berörda parter om behovet av att se över förfarandet för utnämning av nämndemän</w:t>
      </w:r>
      <w:r>
        <w:rPr>
          <w:noProof/>
          <w:color w:val="000000"/>
          <w:vertAlign w:val="superscript"/>
          <w:lang w:val="en-IE" w:eastAsia="en-US"/>
        </w:rPr>
        <w:footnoteReference w:id="12"/>
      </w:r>
      <w:r>
        <w:rPr>
          <w:noProof/>
          <w:color w:val="000000"/>
        </w:rPr>
        <w:t xml:space="preserve"> eftersom inblandningen av politiska partier väcker farhågor om oberoende och opartiskhet, har vissa krävt att systemet med nämndemän ska avskaffas helt och hållet</w:t>
      </w:r>
      <w:r>
        <w:rPr>
          <w:noProof/>
          <w:color w:val="000000"/>
          <w:vertAlign w:val="superscript"/>
          <w:lang w:val="en-IE" w:eastAsia="en-US"/>
        </w:rPr>
        <w:footnoteReference w:id="13"/>
      </w:r>
      <w:r>
        <w:rPr>
          <w:noProof/>
          <w:color w:val="000000"/>
        </w:rPr>
        <w:t xml:space="preserve">. </w:t>
      </w:r>
      <w:r>
        <w:rPr>
          <w:noProof/>
          <w:color w:val="000000" w:themeColor="text1"/>
        </w:rPr>
        <w:t>Mot bakgrund av den nuvarande situationen har begränsade framsteg gjorts när det gäller rekommendationen.</w:t>
      </w:r>
      <w:r>
        <w:rPr>
          <w:noProof/>
          <w:color w:val="000000"/>
        </w:rPr>
        <w:t xml:space="preserve"> </w:t>
      </w:r>
    </w:p>
    <w:p w14:paraId="41D645F2" w14:textId="77777777" w:rsidR="00A40F04" w:rsidRPr="00A40F04" w:rsidRDefault="00A40F04" w:rsidP="00493753">
      <w:pPr>
        <w:rPr>
          <w:rFonts w:eastAsia="Calibri" w:cs="Arial"/>
          <w:noProof/>
          <w:szCs w:val="22"/>
        </w:rPr>
      </w:pPr>
      <w:r>
        <w:rPr>
          <w:b/>
          <w:noProof/>
        </w:rPr>
        <w:t xml:space="preserve">Beroendet av utnämningen av tillfälliga domare är ett problem för berörda parter på grund av upplevda utmaningar för rättsväsendets oberoende. </w:t>
      </w:r>
      <w:r>
        <w:rPr>
          <w:noProof/>
        </w:rPr>
        <w:t>Det nuvarande systemet för urval av domare möjliggör utnämning av domare för en fast tjänstgöringstid, vilket möjliggör ett snabbare urvals- och utnämningsförfarande jämfört med ordinarie domare</w:t>
      </w:r>
      <w:r>
        <w:rPr>
          <w:noProof/>
          <w:szCs w:val="22"/>
          <w:vertAlign w:val="superscript"/>
          <w:lang w:val="en-IE" w:eastAsia="fr-FR"/>
        </w:rPr>
        <w:footnoteReference w:id="14"/>
      </w:r>
      <w:r>
        <w:rPr>
          <w:noProof/>
        </w:rPr>
        <w:t>. Den eventuella förlängningen av tjänstgöringstiden för en tillfällig domare beror på den bedömning av hans eller hennes prestationer, effektivitet och sociala färdigheter som utförs av den överordnade avdelningschefen eller domstolens ordförande</w:t>
      </w:r>
      <w:r>
        <w:rPr>
          <w:noProof/>
          <w:szCs w:val="22"/>
          <w:vertAlign w:val="superscript"/>
          <w:lang w:val="en-IE" w:eastAsia="fr-FR"/>
        </w:rPr>
        <w:footnoteReference w:id="15"/>
      </w:r>
      <w:r>
        <w:rPr>
          <w:noProof/>
        </w:rPr>
        <w:t>.</w:t>
      </w:r>
      <w:r>
        <w:rPr>
          <w:b/>
          <w:noProof/>
        </w:rPr>
        <w:t xml:space="preserve"> </w:t>
      </w:r>
      <w:r>
        <w:rPr>
          <w:noProof/>
        </w:rPr>
        <w:t>År 2024 innehade 16 % av det totala antalet domare i Finland en tillfällig tjänst, medan de i tingsrätten i Helsingfors utgör ungefär en tredjedel av det totala antalet domare</w:t>
      </w:r>
      <w:r>
        <w:rPr>
          <w:noProof/>
          <w:szCs w:val="22"/>
          <w:vertAlign w:val="superscript"/>
          <w:lang w:val="en-IE" w:eastAsia="fr-FR"/>
        </w:rPr>
        <w:footnoteReference w:id="16"/>
      </w:r>
      <w:r>
        <w:rPr>
          <w:noProof/>
        </w:rPr>
        <w:t>. Tillfälliga domare kan också utnämnas till högsta domstolar. Berörda parter upplever potentiella utmaningar för rättsväsendets oberoende i detta avseende, bland annat eftersom utnämningarna är kopplade till domstolens budget</w:t>
      </w:r>
      <w:r>
        <w:rPr>
          <w:noProof/>
          <w:szCs w:val="22"/>
          <w:vertAlign w:val="superscript"/>
          <w:lang w:val="en-IE" w:eastAsia="fr-FR"/>
        </w:rPr>
        <w:footnoteReference w:id="17"/>
      </w:r>
      <w:r>
        <w:rPr>
          <w:noProof/>
        </w:rPr>
        <w:t>. De noterade att en mer omfattande reform av förfarandet för utnämning av domare skulle vara avgörande för att uppnå en bättre balans mellan fasta och tillfälliga tjänster</w:t>
      </w:r>
      <w:r>
        <w:rPr>
          <w:noProof/>
          <w:szCs w:val="22"/>
          <w:vertAlign w:val="superscript"/>
          <w:lang w:val="en-IE" w:eastAsia="fr-FR"/>
        </w:rPr>
        <w:footnoteReference w:id="18"/>
      </w:r>
      <w:r>
        <w:rPr>
          <w:noProof/>
        </w:rPr>
        <w:t xml:space="preserve">. </w:t>
      </w:r>
    </w:p>
    <w:p w14:paraId="54462B75" w14:textId="77777777" w:rsidR="00A40F04" w:rsidRPr="00A40F04" w:rsidRDefault="00A40F04" w:rsidP="00493753">
      <w:pPr>
        <w:keepNext/>
        <w:outlineLvl w:val="1"/>
        <w:rPr>
          <w:b/>
          <w:noProof/>
          <w:szCs w:val="24"/>
        </w:rPr>
      </w:pPr>
      <w:r>
        <w:rPr>
          <w:b/>
          <w:noProof/>
        </w:rPr>
        <w:t xml:space="preserve">Kvalitet </w:t>
      </w:r>
    </w:p>
    <w:p w14:paraId="22FDF97A" w14:textId="77777777" w:rsidR="00A40F04" w:rsidRPr="00A40F04" w:rsidRDefault="00A40F04" w:rsidP="00493753">
      <w:pPr>
        <w:rPr>
          <w:b/>
          <w:bCs/>
          <w:noProof/>
          <w:color w:val="000000" w:themeColor="text1"/>
          <w:szCs w:val="24"/>
        </w:rPr>
      </w:pPr>
      <w:r>
        <w:rPr>
          <w:b/>
          <w:noProof/>
          <w:color w:val="000000"/>
        </w:rPr>
        <w:t xml:space="preserve">Regeringen vidtog åtgärder för att stärka skyddet för brottsoffren i samband med medling i brottmål. </w:t>
      </w:r>
      <w:r>
        <w:rPr>
          <w:noProof/>
          <w:color w:val="000000"/>
        </w:rPr>
        <w:t>Medling mellan den misstänkte och brottsoffret kan ske på vissa villkor</w:t>
      </w:r>
      <w:r>
        <w:rPr>
          <w:noProof/>
          <w:color w:val="000000"/>
          <w:szCs w:val="24"/>
          <w:vertAlign w:val="superscript"/>
          <w:lang w:val="en-US" w:eastAsia="en-US"/>
        </w:rPr>
        <w:footnoteReference w:id="19"/>
      </w:r>
      <w:r>
        <w:rPr>
          <w:noProof/>
          <w:color w:val="000000"/>
        </w:rPr>
        <w:t>, med målet att förena parterna samtidigt som domstolarnas och brottsbekämpande myndigheters arbetsbörda minskas. Medlingen är frivillig och avgiftsfri, utförs av lokala medlingsbyråer och sker under förutsättning att båda parter samtycker</w:t>
      </w:r>
      <w:r>
        <w:rPr>
          <w:noProof/>
          <w:color w:val="000000"/>
          <w:szCs w:val="24"/>
          <w:vertAlign w:val="superscript"/>
          <w:lang w:val="en-US" w:eastAsia="en-US"/>
        </w:rPr>
        <w:footnoteReference w:id="20"/>
      </w:r>
      <w:r>
        <w:rPr>
          <w:noProof/>
          <w:color w:val="000000"/>
        </w:rPr>
        <w:t>. Medling är tillgänglig för alla typer av brott, inklusive allvarliga brott och, i vissa fall, brott mot minderåriga. Trots att det finns rättsliga skyddsåtgärder på plats uttryckte berörda parter oro över att medling kan främjas för att undvika fullständiga brottsutredningar och att medling inte är lämpligt vid övergrepp eller allvarliga brott mot liv och hälsa</w:t>
      </w:r>
      <w:r>
        <w:rPr>
          <w:noProof/>
          <w:color w:val="000000"/>
          <w:szCs w:val="24"/>
          <w:vertAlign w:val="superscript"/>
          <w:lang w:val="en-US" w:eastAsia="en-US"/>
        </w:rPr>
        <w:footnoteReference w:id="21"/>
      </w:r>
      <w:r>
        <w:rPr>
          <w:noProof/>
          <w:color w:val="000000"/>
        </w:rPr>
        <w:t>. Som svar på detta trädde i januari 2025 en ändring i kraft om att undanta fall av våld i nära relation från medling, vilket välkomnades av de berörda parterna</w:t>
      </w:r>
      <w:r>
        <w:rPr>
          <w:noProof/>
          <w:color w:val="000000"/>
          <w:szCs w:val="24"/>
          <w:vertAlign w:val="superscript"/>
          <w:lang w:val="en-US" w:eastAsia="en-US"/>
        </w:rPr>
        <w:footnoteReference w:id="22"/>
      </w:r>
      <w:r>
        <w:rPr>
          <w:noProof/>
          <w:color w:val="000000"/>
        </w:rPr>
        <w:t xml:space="preserve">. </w:t>
      </w:r>
    </w:p>
    <w:p w14:paraId="04588C39" w14:textId="5AE0B6AB" w:rsidR="00A40F04" w:rsidRPr="00A40F04" w:rsidRDefault="00A40F04" w:rsidP="00493753">
      <w:pPr>
        <w:rPr>
          <w:b/>
          <w:bCs/>
          <w:noProof/>
          <w:color w:val="000000"/>
          <w:szCs w:val="24"/>
        </w:rPr>
      </w:pPr>
      <w:r>
        <w:rPr>
          <w:b/>
          <w:noProof/>
          <w:color w:val="000000"/>
        </w:rPr>
        <w:t xml:space="preserve">Projektet med digitalisering av ärendehanteringen för allmänna domstolar slutfördes 2024, och en vidareutveckling av systemet pågår. </w:t>
      </w:r>
      <w:r>
        <w:rPr>
          <w:noProof/>
          <w:color w:val="000000"/>
        </w:rPr>
        <w:t>Projektet som syftar till att digitalisera ärendehanteringen för allmänna domstolar och åklagarmyndigheter slutfördes 2024 och markerade slutet på en intensiv projektfas. I slutskedet av genomförandet infördes systemet även för brottmål vid tingsrätter och för appellationsdomstolar</w:t>
      </w:r>
      <w:r>
        <w:rPr>
          <w:noProof/>
          <w:color w:val="000000"/>
          <w:vertAlign w:val="superscript"/>
          <w:lang w:val="en-US" w:eastAsia="en-US"/>
        </w:rPr>
        <w:footnoteReference w:id="23"/>
      </w:r>
      <w:r>
        <w:rPr>
          <w:noProof/>
          <w:color w:val="000000"/>
        </w:rPr>
        <w:t>. En övergångsperiod kvarstår för åklagare, som för närvarande arbetar med två parallella system, vilka förväntas vara fullt integrerade i slutet av 2025</w:t>
      </w:r>
      <w:r>
        <w:rPr>
          <w:noProof/>
          <w:color w:val="000000"/>
          <w:vertAlign w:val="superscript"/>
          <w:lang w:val="en-US" w:eastAsia="en-US"/>
        </w:rPr>
        <w:footnoteReference w:id="24"/>
      </w:r>
      <w:r>
        <w:rPr>
          <w:noProof/>
          <w:color w:val="000000"/>
        </w:rPr>
        <w:t>. Även om berörda parter välkomnar de framsteg som gjorts noterar de också att det finns utrymme för ytterligare förbättringar</w:t>
      </w:r>
      <w:r>
        <w:rPr>
          <w:noProof/>
          <w:color w:val="000000"/>
          <w:vertAlign w:val="superscript"/>
          <w:lang w:val="en-US" w:eastAsia="en-US"/>
        </w:rPr>
        <w:footnoteReference w:id="25"/>
      </w:r>
      <w:r>
        <w:rPr>
          <w:noProof/>
          <w:color w:val="000000"/>
        </w:rPr>
        <w:t>. Inga framsteg har gjorts när det gäller utveckling av den planerade elektroniska portalen för advokater och andra juridiska ombud, som anses vara ett viktigt verktyg för att öka insynen, jämlikheten i medel och den övergripande effektiviteten i domstolsförfaranden</w:t>
      </w:r>
      <w:r>
        <w:rPr>
          <w:noProof/>
          <w:color w:val="000000"/>
          <w:vertAlign w:val="superscript"/>
          <w:lang w:val="en-US" w:eastAsia="en-US"/>
        </w:rPr>
        <w:footnoteReference w:id="26"/>
      </w:r>
      <w:r>
        <w:rPr>
          <w:noProof/>
          <w:color w:val="000000"/>
        </w:rPr>
        <w:t>.</w:t>
      </w:r>
    </w:p>
    <w:p w14:paraId="33DD57B0" w14:textId="74808BF8" w:rsidR="00897710" w:rsidRPr="00863C8E" w:rsidRDefault="1EF1BBD7" w:rsidP="00493753">
      <w:pPr>
        <w:rPr>
          <w:rFonts w:eastAsia="Calibri" w:cs="Arial"/>
          <w:noProof/>
        </w:rPr>
      </w:pPr>
      <w:r>
        <w:rPr>
          <w:b/>
          <w:noProof/>
          <w:sz w:val="22"/>
        </w:rPr>
        <w:t>Rättshjälpsavgifterna för privata rättsbiträden höjdes.</w:t>
      </w:r>
      <w:r>
        <w:rPr>
          <w:b/>
          <w:noProof/>
        </w:rPr>
        <w:t xml:space="preserve"> </w:t>
      </w:r>
      <w:r>
        <w:rPr>
          <w:noProof/>
        </w:rPr>
        <w:t>I januari 2025 höjde justitieministeriet rättshjälpsavgifterna för privata rättsbiträden, vilka hade varit oförändrade sedan 2014</w:t>
      </w:r>
      <w:r>
        <w:rPr>
          <w:noProof/>
          <w:vertAlign w:val="superscript"/>
          <w:lang w:val="en-US" w:eastAsia="en-GB"/>
        </w:rPr>
        <w:footnoteReference w:id="27"/>
      </w:r>
      <w:r>
        <w:rPr>
          <w:noProof/>
        </w:rPr>
        <w:t>. Efter justitieministeriets omorganisation av distrikten för rättshjälp och allmän intressebevakning inledde det nya Rättstjänstverket sin verksamhet den 1 januari 2025</w:t>
      </w:r>
      <w:r>
        <w:rPr>
          <w:noProof/>
          <w:vertAlign w:val="superscript"/>
          <w:lang w:val="en-IE" w:eastAsia="en-GB"/>
        </w:rPr>
        <w:footnoteReference w:id="28"/>
      </w:r>
      <w:r>
        <w:rPr>
          <w:noProof/>
        </w:rPr>
        <w:t>. Berörda parter välkomnar i allmänhet denna utveckling.</w:t>
      </w:r>
      <w:r>
        <w:rPr>
          <w:b/>
          <w:noProof/>
        </w:rPr>
        <w:t xml:space="preserve"> </w:t>
      </w:r>
      <w:r>
        <w:rPr>
          <w:noProof/>
        </w:rPr>
        <w:t>När det gäller nivån på domstolsavgifterna påpekade vissa berörda parter att avgifterna för immaterialrättsliga frågor vid Marknadsdomstolen</w:t>
      </w:r>
      <w:r>
        <w:rPr>
          <w:rFonts w:eastAsia="Calibri" w:cs="Arial"/>
          <w:noProof/>
          <w:vertAlign w:val="superscript"/>
          <w:lang w:val="en-IE" w:eastAsia="en-US"/>
        </w:rPr>
        <w:footnoteReference w:id="29"/>
      </w:r>
      <w:r>
        <w:rPr>
          <w:noProof/>
        </w:rPr>
        <w:t xml:space="preserve"> uppgår till 2 440 euro, vilket skulle kunna påverka tillgången till rättslig prövning</w:t>
      </w:r>
      <w:r>
        <w:rPr>
          <w:noProof/>
          <w:vertAlign w:val="superscript"/>
          <w:lang w:val="en-IE" w:eastAsia="en-GB"/>
        </w:rPr>
        <w:footnoteReference w:id="30"/>
      </w:r>
      <w:r>
        <w:rPr>
          <w:noProof/>
        </w:rPr>
        <w:t>.</w:t>
      </w:r>
    </w:p>
    <w:p w14:paraId="576B1D07" w14:textId="612DC4A2" w:rsidR="00A40F04" w:rsidRPr="00A40F04" w:rsidRDefault="00A40F04" w:rsidP="00493753">
      <w:pPr>
        <w:rPr>
          <w:rFonts w:eastAsia="Calibri" w:cs="Arial"/>
          <w:noProof/>
          <w:szCs w:val="22"/>
        </w:rPr>
      </w:pPr>
      <w:r>
        <w:rPr>
          <w:b/>
          <w:noProof/>
        </w:rPr>
        <w:t>Effektivitet</w:t>
      </w:r>
    </w:p>
    <w:p w14:paraId="434579CC" w14:textId="78F2D9DA" w:rsidR="00A40F04" w:rsidRPr="00A40F04" w:rsidRDefault="00A40F04" w:rsidP="00493753">
      <w:pPr>
        <w:rPr>
          <w:b/>
          <w:bCs/>
          <w:noProof/>
          <w:szCs w:val="24"/>
        </w:rPr>
      </w:pPr>
      <w:r>
        <w:rPr>
          <w:b/>
          <w:noProof/>
          <w:color w:val="000000"/>
        </w:rPr>
        <w:t>Domstolsväsendet fungerar överlag effektivt, men de senaste siffrorna visar på en liten ökning av handläggningstiden på vissa områden.</w:t>
      </w:r>
      <w:r>
        <w:rPr>
          <w:noProof/>
          <w:color w:val="000000"/>
        </w:rPr>
        <w:t xml:space="preserve"> Handläggningstiden i civilrättsliga och handelsrättsliga mål i första instans ökade från 327 dagar 2022 till 349 dagar 2023. För administrativa mål i första instans var handläggningstiden kortare och minskade från 281 dagar 2022 till 263 dagar 2023.</w:t>
      </w:r>
      <w:r>
        <w:rPr>
          <w:noProof/>
        </w:rPr>
        <w:t xml:space="preserve"> </w:t>
      </w:r>
      <w:r>
        <w:rPr>
          <w:noProof/>
          <w:color w:val="000000"/>
        </w:rPr>
        <w:t>Vissa berörda parter ser fortfarande utrymme för förbättringar när det gäller handläggningstiden</w:t>
      </w:r>
      <w:r>
        <w:rPr>
          <w:noProof/>
          <w:color w:val="000000"/>
          <w:szCs w:val="24"/>
          <w:vertAlign w:val="superscript"/>
          <w:lang w:eastAsia="en-US"/>
        </w:rPr>
        <w:footnoteReference w:id="31"/>
      </w:r>
      <w:r>
        <w:rPr>
          <w:noProof/>
          <w:color w:val="000000"/>
        </w:rPr>
        <w:t>, däribland berörda parter inom näringslivet när det gäller ärenden som rör handel</w:t>
      </w:r>
      <w:r>
        <w:rPr>
          <w:noProof/>
          <w:color w:val="000000"/>
          <w:szCs w:val="24"/>
          <w:vertAlign w:val="superscript"/>
          <w:lang w:eastAsia="en-US"/>
        </w:rPr>
        <w:footnoteReference w:id="32"/>
      </w:r>
      <w:r>
        <w:rPr>
          <w:noProof/>
          <w:color w:val="000000"/>
        </w:rPr>
        <w:t>. Sedan april 2025 har Högsta domstolen möjlighet att på begäran av lägre instanser meddela prejudikatavgöranden i pågående mål, i syfte att effektivare styra tillämpningen av rättsregler av principiell betydelse</w:t>
      </w:r>
      <w:r>
        <w:rPr>
          <w:noProof/>
          <w:color w:val="000000"/>
          <w:szCs w:val="24"/>
          <w:vertAlign w:val="superscript"/>
          <w:lang w:eastAsia="en-US"/>
        </w:rPr>
        <w:footnoteReference w:id="33"/>
      </w:r>
      <w:r>
        <w:rPr>
          <w:noProof/>
          <w:color w:val="000000"/>
        </w:rPr>
        <w:t>. Detta steg välkomnas i allmänhet av berörda parter som ser detta som ett sätt att göra rättspraxis enhetlig i hela landet. De noterar också att även om detta begränsar parternas rätt att överklaga krävs parternas samtycke för ett sådant hänskjutande</w:t>
      </w:r>
      <w:r>
        <w:rPr>
          <w:noProof/>
          <w:color w:val="000000"/>
          <w:szCs w:val="24"/>
          <w:vertAlign w:val="superscript"/>
          <w:lang w:eastAsia="en-US"/>
        </w:rPr>
        <w:footnoteReference w:id="34"/>
      </w:r>
      <w:r>
        <w:rPr>
          <w:noProof/>
          <w:color w:val="000000"/>
        </w:rPr>
        <w:t xml:space="preserve">. </w:t>
      </w:r>
      <w:r>
        <w:rPr>
          <w:noProof/>
        </w:rPr>
        <w:t>År 2024 stängde justitieministeriet tre sammanträdesplatser för tingsrätten, och stängningen av ytterligare tre fristående domstolslokaler övervägs. Avsikten är att öka rättsväsendets effektivitet</w:t>
      </w:r>
      <w:r>
        <w:rPr>
          <w:noProof/>
          <w:szCs w:val="24"/>
          <w:vertAlign w:val="superscript"/>
          <w:lang w:val="en-IE" w:eastAsia="en-GB"/>
        </w:rPr>
        <w:footnoteReference w:id="35"/>
      </w:r>
      <w:r>
        <w:rPr>
          <w:noProof/>
        </w:rPr>
        <w:t>. Berörda parter anser att dessa förändringar är allmänt godtagbara, men noterar behovet av att upprätthålla en tillräcklig nivå av tillgång till rättslig prövning</w:t>
      </w:r>
      <w:r>
        <w:rPr>
          <w:noProof/>
          <w:szCs w:val="24"/>
          <w:vertAlign w:val="superscript"/>
          <w:lang w:val="en-IE" w:eastAsia="en-GB"/>
        </w:rPr>
        <w:footnoteReference w:id="36"/>
      </w:r>
      <w:r>
        <w:rPr>
          <w:noProof/>
        </w:rPr>
        <w:t>.</w:t>
      </w:r>
    </w:p>
    <w:p w14:paraId="5B5E624C" w14:textId="3CBDCD20" w:rsidR="00A40F04" w:rsidRPr="00897710" w:rsidRDefault="00A40F04" w:rsidP="007C3709">
      <w:pPr>
        <w:pStyle w:val="ListParagraph"/>
        <w:keepNext/>
        <w:numPr>
          <w:ilvl w:val="0"/>
          <w:numId w:val="22"/>
        </w:numPr>
        <w:ind w:left="720"/>
        <w:outlineLvl w:val="0"/>
        <w:rPr>
          <w:b/>
          <w:smallCaps/>
          <w:noProof/>
          <w:szCs w:val="24"/>
          <w:u w:val="single"/>
        </w:rPr>
      </w:pPr>
      <w:r>
        <w:rPr>
          <w:b/>
          <w:smallCaps/>
          <w:noProof/>
          <w:u w:val="single"/>
        </w:rPr>
        <w:t xml:space="preserve">Regelverk för korruptionsbekämpning </w:t>
      </w:r>
    </w:p>
    <w:p w14:paraId="4EEDD99F" w14:textId="77777777" w:rsidR="00A40F04" w:rsidRPr="00A40F04" w:rsidRDefault="00A40F04" w:rsidP="00493753">
      <w:pPr>
        <w:rPr>
          <w:rFonts w:eastAsia="Calibri"/>
          <w:noProof/>
          <w:color w:val="7030A0"/>
          <w:szCs w:val="22"/>
        </w:rPr>
      </w:pPr>
      <w:r>
        <w:rPr>
          <w:b/>
          <w:noProof/>
        </w:rPr>
        <w:t>Experter, allmänheten och företagsledare uppfattar Finland som ett av de minst korrumperade länderna i världen.</w:t>
      </w:r>
      <w:r>
        <w:rPr>
          <w:noProof/>
        </w:rPr>
        <w:t xml:space="preserve"> I 2024 års korruptionsindex från Transparency International fick Finland 88 poäng av 100 och kom på andra plats i Europeiska unionen och i världen</w:t>
      </w:r>
      <w:r>
        <w:rPr>
          <w:rFonts w:eastAsia="Calibri"/>
          <w:noProof/>
          <w:szCs w:val="22"/>
          <w:vertAlign w:val="superscript"/>
          <w:lang w:val="en-IE" w:eastAsia="en-US"/>
        </w:rPr>
        <w:footnoteReference w:id="37"/>
      </w:r>
      <w:r>
        <w:rPr>
          <w:noProof/>
        </w:rPr>
        <w:t>. Uppfattningen om korruption i Finland har varit relativt stabil de senaste fem åren</w:t>
      </w:r>
      <w:r>
        <w:rPr>
          <w:rFonts w:eastAsia="Calibri"/>
          <w:noProof/>
          <w:szCs w:val="22"/>
          <w:vertAlign w:val="superscript"/>
          <w:lang w:val="en-IE" w:eastAsia="en-US"/>
        </w:rPr>
        <w:footnoteReference w:id="38"/>
      </w:r>
      <w:r>
        <w:rPr>
          <w:noProof/>
        </w:rPr>
        <w:t>. Enligt 2025 års särskilda Eurobarometer om korruption anser 21 % av de tillfrågade att korruptionen är utbredd i deras land (EU-genomsnittet ligger på 69 %) och 9 % upplever att de påverkas personligen av korruption i sin vardag (EU-genomsnittet är 30 %). När det gäller företagen anser 28 % att det finns utbredd korruption (EU-genomsnittet är 63 %), medan 18 % anser att korruption är ett problem som påverkar deras verksamhet (EU-genomsnittet är 35 %). Vidare anser 49 % av de tillfrågade att antalet framgångsrika åtal är tillräckligt för att enskilda ska avskräckas från att ägna sig åt korruption (EU-genomsnitt 36 %), medan 62 % av företagen anser att enskilda och företag som ertappas med att ha mutat en högre tjänsteman får ett lämpligt straff (EU-genomsnitt 33 %)</w:t>
      </w:r>
      <w:r>
        <w:rPr>
          <w:rFonts w:eastAsia="Calibri"/>
          <w:noProof/>
          <w:szCs w:val="22"/>
          <w:vertAlign w:val="superscript"/>
          <w:lang w:val="en-IE" w:eastAsia="en-GB"/>
        </w:rPr>
        <w:footnoteReference w:id="39"/>
      </w:r>
      <w:r>
        <w:rPr>
          <w:noProof/>
        </w:rPr>
        <w:t>.</w:t>
      </w:r>
    </w:p>
    <w:p w14:paraId="15C284B4" w14:textId="03AF13A3" w:rsidR="00A40F04" w:rsidRPr="00A40F04" w:rsidRDefault="21EDF6D3" w:rsidP="00493753">
      <w:pPr>
        <w:rPr>
          <w:rFonts w:eastAsia="Calibri"/>
          <w:noProof/>
        </w:rPr>
      </w:pPr>
      <w:r>
        <w:rPr>
          <w:b/>
          <w:noProof/>
        </w:rPr>
        <w:t>Det nya åtgärdsprogrammet mot korruption för 2024–2027 antogs 2025.</w:t>
      </w:r>
      <w:r>
        <w:rPr>
          <w:noProof/>
        </w:rPr>
        <w:t xml:space="preserve"> Slutrapporten om genomförandet av den nationella strategin mot korruption och åtgärdsprogrammet för 2021–2023, som förväntades vara färdig i juli 2024, sköts upp till 2025. Det nya åtgärdsprogrammet mot korruption 2024–2027 antogs i juni 2025. Det bygger på den redan upprättade strategin mot korruption, med fokus på regional och lokal nivå, samt på rekommendationer från internationella organ och riskområden (dvs. offentlig upphandling)</w:t>
      </w:r>
      <w:r>
        <w:rPr>
          <w:rFonts w:eastAsia="Calibri"/>
          <w:noProof/>
          <w:vertAlign w:val="superscript"/>
          <w:lang w:val="en-IE" w:eastAsia="fr-FR"/>
        </w:rPr>
        <w:footnoteReference w:id="40"/>
      </w:r>
      <w:r>
        <w:rPr>
          <w:noProof/>
        </w:rPr>
        <w:t>. Det civila samhället har deltagit i utformningen av detta nya åtgärdsprogram</w:t>
      </w:r>
      <w:r>
        <w:rPr>
          <w:rFonts w:eastAsia="Calibri"/>
          <w:noProof/>
          <w:vertAlign w:val="superscript"/>
          <w:lang w:val="en-IE" w:eastAsia="fr-FR"/>
        </w:rPr>
        <w:footnoteReference w:id="41"/>
      </w:r>
      <w:r>
        <w:rPr>
          <w:noProof/>
        </w:rPr>
        <w:t>. Polisens antikorruptionspolicy 2024, som rekommenderats av Greco</w:t>
      </w:r>
      <w:r>
        <w:rPr>
          <w:rFonts w:eastAsia="Calibri"/>
          <w:noProof/>
          <w:vertAlign w:val="superscript"/>
          <w:lang w:val="en-IE" w:eastAsia="fr-FR"/>
        </w:rPr>
        <w:footnoteReference w:id="42"/>
      </w:r>
      <w:r>
        <w:rPr>
          <w:noProof/>
        </w:rPr>
        <w:t>, kompletterades med en genomförandeplan under sommaren 2024 och rapporteras ha genomförts väl. Den omfattar utbildning i alla polisenheter och en etisk kod som har gällt sedan 2018</w:t>
      </w:r>
      <w:r>
        <w:rPr>
          <w:rFonts w:eastAsia="Calibri"/>
          <w:noProof/>
          <w:vertAlign w:val="superscript"/>
          <w:lang w:val="en-IE" w:eastAsia="fr-FR"/>
        </w:rPr>
        <w:footnoteReference w:id="43"/>
      </w:r>
      <w:r>
        <w:rPr>
          <w:noProof/>
        </w:rPr>
        <w:t xml:space="preserve">. </w:t>
      </w:r>
    </w:p>
    <w:p w14:paraId="62699BFF" w14:textId="767A7180" w:rsidR="00A40F04" w:rsidRPr="00A40F04" w:rsidRDefault="00A40F04" w:rsidP="00493753">
      <w:pPr>
        <w:rPr>
          <w:rFonts w:eastAsia="Calibri"/>
          <w:b/>
          <w:bCs/>
          <w:noProof/>
          <w:szCs w:val="22"/>
        </w:rPr>
      </w:pPr>
      <w:r>
        <w:rPr>
          <w:b/>
          <w:noProof/>
        </w:rPr>
        <w:t xml:space="preserve">Samarbetet mellan polis och åklagarväsendet fortsätter att fungera bra, med tillräckliga resurser så att de kan utföra sitt arbete på ett effektivt sätt. </w:t>
      </w:r>
      <w:r>
        <w:rPr>
          <w:noProof/>
        </w:rPr>
        <w:t>Polisen anser fortfarande att dess nuvarande nivå av resurser och sakkunskap för att hantera korruptionsfall är tillräcklig.</w:t>
      </w:r>
      <w:r>
        <w:rPr>
          <w:noProof/>
          <w:color w:val="7030A0"/>
        </w:rPr>
        <w:t xml:space="preserve"> </w:t>
      </w:r>
      <w:r>
        <w:rPr>
          <w:noProof/>
        </w:rPr>
        <w:t>I korruptionsutredningar kan polisen vid behov anlita utredare som har till uppgift att undersöka allvarlig ekonomisk brottslighet. Polisen kan delta i särskild utbildning för Centralkriminalpolisen, lokala polisstationer och Centralen för utredning av penningtvätt</w:t>
      </w:r>
      <w:r>
        <w:rPr>
          <w:rFonts w:eastAsia="Calibri"/>
          <w:noProof/>
          <w:szCs w:val="22"/>
          <w:vertAlign w:val="superscript"/>
          <w:lang w:val="en-IE" w:eastAsia="en-US"/>
        </w:rPr>
        <w:footnoteReference w:id="44"/>
      </w:r>
      <w:r>
        <w:rPr>
          <w:noProof/>
        </w:rPr>
        <w:t>. Samarbetsnätverket mot korruption, med ministerier, åklagarmyndigheter och polismyndigheter, rapporteras möjliggöra givande utbyten om kampen mot korruption</w:t>
      </w:r>
      <w:r>
        <w:rPr>
          <w:noProof/>
          <w:szCs w:val="22"/>
          <w:vertAlign w:val="superscript"/>
          <w:lang w:val="en-US" w:eastAsia="en-US"/>
        </w:rPr>
        <w:footnoteReference w:id="45"/>
      </w:r>
      <w:r>
        <w:rPr>
          <w:noProof/>
        </w:rPr>
        <w:t>. Samarbetet med Europeiska åklagarmyndigheten (Eppo) rapporteras vara effektivt</w:t>
      </w:r>
      <w:r>
        <w:rPr>
          <w:rFonts w:eastAsia="Calibri"/>
          <w:noProof/>
          <w:szCs w:val="22"/>
          <w:vertAlign w:val="superscript"/>
          <w:lang w:val="en-IE" w:eastAsia="en-US"/>
        </w:rPr>
        <w:footnoteReference w:id="46"/>
      </w:r>
      <w:r>
        <w:rPr>
          <w:noProof/>
        </w:rPr>
        <w:t>.</w:t>
      </w:r>
    </w:p>
    <w:p w14:paraId="08925EBB" w14:textId="012D81AA" w:rsidR="00A40F04" w:rsidRPr="00A40F04" w:rsidRDefault="00A40F04" w:rsidP="00493753">
      <w:pPr>
        <w:rPr>
          <w:rFonts w:eastAsia="Calibri"/>
          <w:noProof/>
          <w:color w:val="7030A0"/>
          <w:szCs w:val="22"/>
        </w:rPr>
      </w:pPr>
      <w:r>
        <w:rPr>
          <w:b/>
          <w:noProof/>
        </w:rPr>
        <w:t>Det har gjorts begränsade framsteg när det gäller rekommendationen att anta lagstiftning om handel med inflytande och föreslå en översyn av brottet mutbrott utomlands</w:t>
      </w:r>
      <w:r>
        <w:rPr>
          <w:rFonts w:eastAsia="Calibri"/>
          <w:noProof/>
          <w:szCs w:val="22"/>
          <w:vertAlign w:val="superscript"/>
          <w:lang w:val="en-IE" w:eastAsia="en-US"/>
        </w:rPr>
        <w:footnoteReference w:id="47"/>
      </w:r>
      <w:r>
        <w:rPr>
          <w:b/>
          <w:noProof/>
        </w:rPr>
        <w:t xml:space="preserve">. </w:t>
      </w:r>
      <w:r>
        <w:rPr>
          <w:noProof/>
        </w:rPr>
        <w:t>Den finska regeringen planerar att inleda lagstiftningsprocessen när det kommande EU-direktivet om bekämpande av korruption antagits och träder i kraft. Som redan rapporterats under tidigare år utarbetade justitieministeriet ett utkast till förslag om kriminalisering av handel med inflytande 2022, vilket nu skulle betraktas som en del av den reform som förväntas i och med det framtida EU-direktivet</w:t>
      </w:r>
      <w:r>
        <w:rPr>
          <w:rFonts w:eastAsia="Calibri"/>
          <w:noProof/>
          <w:szCs w:val="22"/>
          <w:vertAlign w:val="superscript"/>
          <w:lang w:val="en-IE" w:eastAsia="en-US"/>
        </w:rPr>
        <w:footnoteReference w:id="48"/>
      </w:r>
      <w:r>
        <w:rPr>
          <w:noProof/>
        </w:rPr>
        <w:t>. Detta skulle också omfatta reformer av lagar om mutor</w:t>
      </w:r>
      <w:r>
        <w:rPr>
          <w:rFonts w:eastAsia="Calibri"/>
          <w:noProof/>
          <w:szCs w:val="22"/>
          <w:vertAlign w:val="superscript"/>
          <w:lang w:val="en-IE" w:eastAsia="en-US"/>
        </w:rPr>
        <w:footnoteReference w:id="49"/>
      </w:r>
      <w:r>
        <w:rPr>
          <w:noProof/>
        </w:rPr>
        <w:t>. I utredningen ”Behovet av att utveckla bestämmelserna om mutbrott”, som offentliggjordes av justitieministeriet i maj 2024, föreslås alternativa modeller för att förenkla de väsentliga delarna, kriminalisera handel med inflytande, förbättra möjligheterna att kräva förverkande av mutor mot en utländsk part och förtydliga definitionen av en utländsk tjänsteman</w:t>
      </w:r>
      <w:r>
        <w:rPr>
          <w:rFonts w:eastAsia="Calibri"/>
          <w:noProof/>
          <w:szCs w:val="22"/>
          <w:vertAlign w:val="superscript"/>
          <w:lang w:val="en-IE" w:eastAsia="en-US"/>
        </w:rPr>
        <w:footnoteReference w:id="50"/>
      </w:r>
      <w:r>
        <w:rPr>
          <w:noProof/>
        </w:rPr>
        <w:t>. En översyn av brottet mutbrott utomlands har också rekommenderats i tidigare rapporter och av OECD. År 2022 offentliggjorde regeringen en oberoende studie om mutbrott utomlands</w:t>
      </w:r>
      <w:r>
        <w:rPr>
          <w:rFonts w:eastAsia="Calibri"/>
          <w:noProof/>
          <w:szCs w:val="22"/>
          <w:vertAlign w:val="superscript"/>
          <w:lang w:val="en-IE" w:eastAsia="en-US"/>
        </w:rPr>
        <w:footnoteReference w:id="51"/>
      </w:r>
      <w:r>
        <w:rPr>
          <w:noProof/>
        </w:rPr>
        <w:t>, och i den nya oberoende studie som offentliggjordes 2024 analyserades möjliga behov av ändringar</w:t>
      </w:r>
      <w:r>
        <w:rPr>
          <w:rFonts w:eastAsia="Calibri"/>
          <w:noProof/>
          <w:szCs w:val="22"/>
          <w:vertAlign w:val="superscript"/>
          <w:lang w:val="en-IE" w:eastAsia="en-US"/>
        </w:rPr>
        <w:footnoteReference w:id="52"/>
      </w:r>
      <w:r>
        <w:rPr>
          <w:noProof/>
        </w:rPr>
        <w:t>. Polisen rapporterar att beviskraven enligt strafflagen ibland utgör ett hinder för att driva vissa ärenden vidare, särskilt i fall som rör mutbrott med internationella inslag eller handel med inflytande</w:t>
      </w:r>
      <w:r>
        <w:rPr>
          <w:noProof/>
          <w:szCs w:val="22"/>
          <w:vertAlign w:val="superscript"/>
          <w:lang w:val="en-US" w:eastAsia="en-US"/>
        </w:rPr>
        <w:footnoteReference w:id="53"/>
      </w:r>
      <w:r>
        <w:rPr>
          <w:noProof/>
        </w:rPr>
        <w:t>. Regeringen planerar att vidta åtgärder för att kriminalisera handel med inflytande och föreslå en översyn av bestämmelserna om mutbrott utomlands när ny EU-lagstiftning väl har trätt i kraft, men begränsade framsteg har gjorts när det gäller denna rekommendation i 2024 års rapport om rättsstatsprincipen.</w:t>
      </w:r>
    </w:p>
    <w:p w14:paraId="7248DE48" w14:textId="4D15A217" w:rsidR="00A40F04" w:rsidRPr="00A40F04" w:rsidRDefault="00A40F04" w:rsidP="00493753">
      <w:pPr>
        <w:rPr>
          <w:rFonts w:eastAsia="Calibri"/>
          <w:b/>
          <w:bCs/>
          <w:noProof/>
          <w:szCs w:val="22"/>
        </w:rPr>
      </w:pPr>
      <w:r>
        <w:rPr>
          <w:b/>
          <w:noProof/>
        </w:rPr>
        <w:t>Det har gjorts begränsade framsteg när det gäller rekommendationen om ramen för integritet för ministrar och de högsta tjänstemännen, och ministrarna omfattas fortfarande inte av anvisningarna om tjänstemannaetik</w:t>
      </w:r>
      <w:r>
        <w:rPr>
          <w:rFonts w:eastAsia="Calibri"/>
          <w:noProof/>
          <w:szCs w:val="22"/>
          <w:vertAlign w:val="superscript"/>
          <w:lang w:val="en-IE" w:eastAsia="en-US"/>
        </w:rPr>
        <w:footnoteReference w:id="54"/>
      </w:r>
      <w:r>
        <w:rPr>
          <w:noProof/>
        </w:rPr>
        <w:t>. Anvisningar om tjänstemannaetik för statstjänstemän och personer med högsta verkställande funktioner har funnits sedan 2021 men de gäller inte ministrar</w:t>
      </w:r>
      <w:r>
        <w:rPr>
          <w:rFonts w:eastAsia="Calibri"/>
          <w:noProof/>
          <w:szCs w:val="22"/>
          <w:vertAlign w:val="superscript"/>
          <w:lang w:val="en-IE" w:eastAsia="en-US"/>
        </w:rPr>
        <w:footnoteReference w:id="55"/>
      </w:r>
      <w:r>
        <w:rPr>
          <w:noProof/>
        </w:rPr>
        <w:t>. Ministerns handbok, som uppdaterades 2023, innehåller principer för god förvaltning</w:t>
      </w:r>
      <w:r>
        <w:rPr>
          <w:rFonts w:eastAsia="MS Mincho"/>
          <w:noProof/>
          <w:szCs w:val="22"/>
          <w:vertAlign w:val="superscript"/>
          <w:lang w:eastAsia="en-US"/>
        </w:rPr>
        <w:footnoteReference w:id="56"/>
      </w:r>
      <w:r>
        <w:rPr>
          <w:noProof/>
        </w:rPr>
        <w:t>. Särskilda anvisningar om tjänstemannaetik för ministrar skulle ta upp andra känsliga integritetsrelaterade områden, vilket också rekommenderas av Greco</w:t>
      </w:r>
      <w:r>
        <w:rPr>
          <w:rFonts w:eastAsia="Calibri"/>
          <w:noProof/>
          <w:szCs w:val="22"/>
          <w:vertAlign w:val="superscript"/>
          <w:lang w:val="en-IE" w:eastAsia="en-US"/>
        </w:rPr>
        <w:footnoteReference w:id="57"/>
      </w:r>
      <w:r>
        <w:rPr>
          <w:noProof/>
        </w:rPr>
        <w:t>. Den nya handlingsplanen för den nationella strategin mot korruption 2024–2027, som antogs av regeringen, innehåller en åtgärd genom vilken ett dokument som beskriver de viktigaste riktlinjerna för ministrarna när det gäller förebyggande av korruption och främjande av integritet sammanställs i ett enda dokument</w:t>
      </w:r>
      <w:r>
        <w:rPr>
          <w:rFonts w:eastAsia="Calibri"/>
          <w:noProof/>
          <w:szCs w:val="22"/>
          <w:vertAlign w:val="superscript"/>
          <w:lang w:val="en-IE" w:eastAsia="en-US"/>
        </w:rPr>
        <w:footnoteReference w:id="58"/>
      </w:r>
      <w:r>
        <w:rPr>
          <w:noProof/>
        </w:rPr>
        <w:t>. Eftersom övervägandena fortfarande pågår har på det hela taget begränsade framsteg gjorts när det gäller denna rekommendation i 2024 års rapport om rättsstatsprincipen</w:t>
      </w:r>
      <w:r>
        <w:rPr>
          <w:rFonts w:eastAsia="Calibri" w:cs="Arial"/>
          <w:noProof/>
          <w:szCs w:val="22"/>
          <w:vertAlign w:val="superscript"/>
          <w:lang w:val="en-US" w:eastAsia="en-US"/>
        </w:rPr>
        <w:footnoteReference w:id="59"/>
      </w:r>
      <w:r>
        <w:rPr>
          <w:noProof/>
        </w:rPr>
        <w:t>.</w:t>
      </w:r>
    </w:p>
    <w:p w14:paraId="708472C1" w14:textId="51F8321B" w:rsidR="00A40F04" w:rsidRPr="00A40F04" w:rsidRDefault="00A40F04" w:rsidP="00493753">
      <w:pPr>
        <w:rPr>
          <w:rFonts w:ascii="Calibri" w:eastAsia="Calibri" w:hAnsi="Calibri" w:cs="Calibri"/>
          <w:noProof/>
          <w:color w:val="000000"/>
          <w:szCs w:val="22"/>
        </w:rPr>
      </w:pPr>
      <w:r>
        <w:rPr>
          <w:b/>
          <w:noProof/>
        </w:rPr>
        <w:t>Lagen om öppenhetsregistret, genom vilken ett elektroniskt öppenhetsregister inrättas och ramen för lobbyverksamhet uppgraderas, rapporteras fungera väl</w:t>
      </w:r>
      <w:r>
        <w:rPr>
          <w:noProof/>
        </w:rPr>
        <w:t>. Ramen för lobbyverksamhet består av flera rättsakter och administrativa riktlinjer. I 2024 års lag om öppenhetsregistret fastställs skyldigheten för juridiska personer och enskilda näringsidkare att registrera påverkanskommunikation och till sådan påverkan anknytande rådgivning som bedrivs som näringsverksamhet</w:t>
      </w:r>
      <w:r>
        <w:rPr>
          <w:rFonts w:eastAsia="Calibri"/>
          <w:noProof/>
          <w:szCs w:val="22"/>
          <w:vertAlign w:val="superscript"/>
          <w:lang w:val="en-IE" w:eastAsia="en-US"/>
        </w:rPr>
        <w:footnoteReference w:id="60"/>
      </w:r>
      <w:r>
        <w:rPr>
          <w:noProof/>
        </w:rPr>
        <w:t>. Lobbyverksamhet som riktar sig till riksdagen och ministerierna ska rapporteras till öppenhetsregistret, som drivs av Statens revisionsverk.</w:t>
      </w:r>
      <w:r>
        <w:rPr>
          <w:noProof/>
          <w:color w:val="000000"/>
        </w:rPr>
        <w:t xml:space="preserve"> </w:t>
      </w:r>
      <w:r>
        <w:rPr>
          <w:noProof/>
        </w:rPr>
        <w:t>Under 2024 organiserade justitieministeriet riktade informations- och utbildningskampanjer</w:t>
      </w:r>
      <w:r>
        <w:rPr>
          <w:rFonts w:eastAsia="Calibri"/>
          <w:noProof/>
          <w:color w:val="000000"/>
          <w:szCs w:val="22"/>
          <w:vertAlign w:val="superscript"/>
          <w:lang w:val="en-US" w:eastAsia="en-US"/>
        </w:rPr>
        <w:footnoteReference w:id="61"/>
      </w:r>
      <w:r>
        <w:rPr>
          <w:noProof/>
        </w:rPr>
        <w:t>, och rekommendationer om god praxis för lobbyverksamhet i samband med registret håller på att genomföras. I december 2024 fattade Statens revisionsverk ett beslut om att utvidga rapporteringskravet till att omfatta finansiella aspekter av lobbyverksamhet, med verkan från och med årets början</w:t>
      </w:r>
      <w:r>
        <w:rPr>
          <w:rFonts w:eastAsia="Calibri"/>
          <w:noProof/>
          <w:szCs w:val="22"/>
          <w:vertAlign w:val="superscript"/>
          <w:lang w:val="en-IE" w:eastAsia="en-US"/>
        </w:rPr>
        <w:footnoteReference w:id="62"/>
      </w:r>
      <w:r>
        <w:rPr>
          <w:noProof/>
        </w:rPr>
        <w:t>. Regeringen kommer att utvärdera öppenhetsregistret mot slutet av mandatperioden (2026–2027), men har hittills inte upptäckt några särskilda problem när det gäller dess genomförande</w:t>
      </w:r>
      <w:r>
        <w:rPr>
          <w:rFonts w:eastAsia="Calibri"/>
          <w:noProof/>
          <w:color w:val="000000"/>
          <w:szCs w:val="22"/>
          <w:vertAlign w:val="superscript"/>
          <w:lang w:val="en-US" w:eastAsia="en-US"/>
        </w:rPr>
        <w:footnoteReference w:id="63"/>
      </w:r>
      <w:r>
        <w:rPr>
          <w:noProof/>
        </w:rPr>
        <w:t>.</w:t>
      </w:r>
      <w:r>
        <w:rPr>
          <w:noProof/>
          <w:color w:val="000000"/>
        </w:rPr>
        <w:t xml:space="preserve"> </w:t>
      </w:r>
      <w:r>
        <w:rPr>
          <w:noProof/>
        </w:rPr>
        <w:t>Det civila samhället anser å sin sida att registret är ett viktigt verktyg för att öka insynen i förvaltningen, samtidigt som man förespråkar en utvidgning av registret till lokala nivåer och mer avskräckande sanktioner</w:t>
      </w:r>
      <w:r>
        <w:rPr>
          <w:rFonts w:eastAsia="Calibri"/>
          <w:noProof/>
          <w:szCs w:val="22"/>
          <w:vertAlign w:val="superscript"/>
          <w:lang w:val="en-IE" w:eastAsia="en-US"/>
        </w:rPr>
        <w:footnoteReference w:id="64"/>
      </w:r>
      <w:r>
        <w:rPr>
          <w:noProof/>
        </w:rPr>
        <w:t xml:space="preserve">. </w:t>
      </w:r>
    </w:p>
    <w:p w14:paraId="24334708" w14:textId="77777777" w:rsidR="00A40F04" w:rsidRPr="00A40F04" w:rsidRDefault="00A40F04" w:rsidP="00493753">
      <w:pPr>
        <w:rPr>
          <w:rFonts w:eastAsia="Calibri"/>
          <w:noProof/>
          <w:szCs w:val="22"/>
        </w:rPr>
      </w:pPr>
      <w:r>
        <w:rPr>
          <w:b/>
          <w:noProof/>
        </w:rPr>
        <w:t>En regeringsproposition med förslag till lag om att begränsa ”svängdörrar” för ministrar lades fram för riksdagen i september 2024.</w:t>
      </w:r>
      <w:r>
        <w:rPr>
          <w:noProof/>
        </w:rPr>
        <w:t xml:space="preserve"> Ett nytt lagstiftningsinitiativ har tagits med i regeringens lagstiftningsplan för 2024, och initiativet överlämnades till riksdagen i september 2024</w:t>
      </w:r>
      <w:r>
        <w:rPr>
          <w:rFonts w:eastAsia="Calibri"/>
          <w:noProof/>
          <w:szCs w:val="22"/>
          <w:vertAlign w:val="superscript"/>
          <w:lang w:val="en-IE" w:eastAsia="en-US"/>
        </w:rPr>
        <w:footnoteReference w:id="65"/>
      </w:r>
      <w:r>
        <w:rPr>
          <w:noProof/>
        </w:rPr>
        <w:t>. Inom ramen för detta nya initiativ skulle både statsministerns och övriga ministrars rätt att övergå till en ny uppgift efter utgången av mandatperioden kunna begränsas under en period på upp till tolv månader. Dessa åtgärder syftar till att förebygga intressekonflikter och skulle även gälla tidigare ministrar under tolv månader efter deras avgång. En person som omfattas av lagförslaget skulle vara skyldig att anmäla sin avsikt att övergå till en ny uppgift till en karensnämnd, och denna nämnd skulle kunna förelägga en karenstid. Propositionen innehåller bestämmelser om karensnämndens ställning samt dess skyldigheter och befogenheter. Behandlingen av förslaget pågår i riksdagen</w:t>
      </w:r>
      <w:r>
        <w:rPr>
          <w:rFonts w:eastAsia="Calibri"/>
          <w:noProof/>
          <w:szCs w:val="22"/>
          <w:vertAlign w:val="superscript"/>
          <w:lang w:val="en-IE" w:eastAsia="en-US"/>
        </w:rPr>
        <w:footnoteReference w:id="66"/>
      </w:r>
      <w:r>
        <w:rPr>
          <w:noProof/>
        </w:rPr>
        <w:t>.</w:t>
      </w:r>
    </w:p>
    <w:p w14:paraId="44329DA6" w14:textId="4B7E10D4" w:rsidR="00A40F04" w:rsidRPr="00A40F04" w:rsidRDefault="00AD38DC" w:rsidP="00493753">
      <w:pPr>
        <w:textAlignment w:val="baseline"/>
        <w:rPr>
          <w:rFonts w:eastAsia="Calibri"/>
          <w:noProof/>
          <w:szCs w:val="22"/>
        </w:rPr>
      </w:pPr>
      <w:r>
        <w:rPr>
          <w:b/>
          <w:noProof/>
        </w:rPr>
        <w:t>Lagstiftningen om val- och partifinansiering ändrades.</w:t>
      </w:r>
      <w:r>
        <w:rPr>
          <w:b/>
          <w:noProof/>
          <w:color w:val="000000"/>
        </w:rPr>
        <w:t xml:space="preserve"> </w:t>
      </w:r>
      <w:r>
        <w:rPr>
          <w:noProof/>
        </w:rPr>
        <w:t>Ett lagstiftningsförslag, som ingick i regeringens lagstiftningsplan för 2024, lades fram för riksdagen i november 2024, och riksdagen antog förslaget i juni 2025.</w:t>
      </w:r>
      <w:r>
        <w:rPr>
          <w:i/>
          <w:noProof/>
        </w:rPr>
        <w:t xml:space="preserve"> </w:t>
      </w:r>
      <w:r>
        <w:rPr>
          <w:noProof/>
        </w:rPr>
        <w:t>Lagändringarna trädde i kraft den 1 juli 2025.</w:t>
      </w:r>
      <w:r>
        <w:rPr>
          <w:rFonts w:ascii="Aptos" w:hAnsi="Aptos"/>
          <w:noProof/>
        </w:rPr>
        <w:t xml:space="preserve"> </w:t>
      </w:r>
      <w:r>
        <w:rPr>
          <w:noProof/>
        </w:rPr>
        <w:t>Ändringarna syftar till att förbättra bestämmelserna och praxisen när det gäller offentliggörande av val- och partifinansiering. Den ändrade lagstiftningen omfattar ett krav på offentliggörande av enskilda bidrag över 2 000 euro (1 100 euro vid kommunalval) för att skapa samma grad av öppenhet när det gäller donationer och lån, eftersom det senare enligt det nya förslaget skulle redovisas till Statens revisionsverk</w:t>
      </w:r>
      <w:r>
        <w:rPr>
          <w:rFonts w:eastAsia="Calibri"/>
          <w:noProof/>
          <w:vertAlign w:val="superscript"/>
          <w:lang w:val="en-IE" w:eastAsia="en-US"/>
        </w:rPr>
        <w:footnoteReference w:id="67"/>
      </w:r>
      <w:r>
        <w:rPr>
          <w:noProof/>
        </w:rPr>
        <w:t>. Vissa berörda parter har betonat bristen på trovärdiga sanktioner i lagstiftningen, och har ifrågasatt allmänhetens och icke-statliga organisationers förmåga att granska de inlämnade uppgifterna</w:t>
      </w:r>
      <w:r>
        <w:rPr>
          <w:rFonts w:eastAsia="Calibri"/>
          <w:noProof/>
          <w:vertAlign w:val="superscript"/>
          <w:lang w:val="en-IE" w:eastAsia="en-US"/>
        </w:rPr>
        <w:footnoteReference w:id="68"/>
      </w:r>
      <w:r>
        <w:rPr>
          <w:noProof/>
        </w:rPr>
        <w:t>.</w:t>
      </w:r>
    </w:p>
    <w:p w14:paraId="64D6B3B5" w14:textId="2D43D66E" w:rsidR="00A40F04" w:rsidRPr="00A40F04" w:rsidRDefault="00A40F04" w:rsidP="00493753">
      <w:pPr>
        <w:rPr>
          <w:rFonts w:eastAsia="Calibri"/>
          <w:noProof/>
          <w:color w:val="7030A0"/>
          <w:szCs w:val="22"/>
        </w:rPr>
      </w:pPr>
      <w:r>
        <w:rPr>
          <w:b/>
          <w:noProof/>
          <w:color w:val="000000"/>
        </w:rPr>
        <w:t>Medvetandehöjande åtgärder bidrar till att uppmärksamma visselblåsarlagen.</w:t>
      </w:r>
      <w:r>
        <w:rPr>
          <w:noProof/>
          <w:color w:val="000000"/>
        </w:rPr>
        <w:t xml:space="preserve"> Den nationella lag som syftar till att genomföra direktivet om skydd för visselblåsare trädde i kraft 2023. </w:t>
      </w:r>
      <w:r>
        <w:rPr>
          <w:noProof/>
        </w:rPr>
        <w:t>Justitieministeriet fortsatte med ett utbildningsprojekt för att öka kunskapen om visselblåsarlagen, som pågick till slutet av april 2025. Projektet erbjöd utbildning för experter som ansvarar för hanteringen av visselblåsningsrapporterna, eftersom allmänheten kan rapportera missförhållanden genom olika kanaler till myndigheterna eller elektroniskt till polisen</w:t>
      </w:r>
      <w:r>
        <w:rPr>
          <w:rFonts w:eastAsia="Calibri"/>
          <w:noProof/>
          <w:szCs w:val="22"/>
          <w:vertAlign w:val="superscript"/>
          <w:lang w:val="en-IE" w:eastAsia="en-US"/>
        </w:rPr>
        <w:footnoteReference w:id="69"/>
      </w:r>
      <w:r>
        <w:rPr>
          <w:noProof/>
        </w:rPr>
        <w:t>. Transparency International erkänner kanalernas effektivitet, samtidigt som man betonar den nuvarande lagstiftningens begränsade räckvidd, som inte omfattar klagomål på arbetsplatsen</w:t>
      </w:r>
      <w:r>
        <w:rPr>
          <w:rFonts w:eastAsia="Calibri"/>
          <w:noProof/>
          <w:szCs w:val="22"/>
          <w:vertAlign w:val="superscript"/>
          <w:lang w:val="en-IE" w:eastAsia="en-US"/>
        </w:rPr>
        <w:footnoteReference w:id="70"/>
      </w:r>
      <w:r>
        <w:rPr>
          <w:noProof/>
        </w:rPr>
        <w:t>.</w:t>
      </w:r>
    </w:p>
    <w:p w14:paraId="1BB90EC2" w14:textId="77777777" w:rsidR="00A40F04" w:rsidRPr="00A40F04" w:rsidRDefault="00A40F04" w:rsidP="00493753">
      <w:pPr>
        <w:rPr>
          <w:rFonts w:eastAsia="Calibri"/>
          <w:noProof/>
          <w:color w:val="000000" w:themeColor="text1"/>
          <w:szCs w:val="22"/>
        </w:rPr>
      </w:pPr>
      <w:r>
        <w:rPr>
          <w:b/>
          <w:noProof/>
          <w:color w:val="000000" w:themeColor="text1"/>
        </w:rPr>
        <w:t>Nya initiativ och ny lagstiftning tar itu med offentlig upphandling och planering av stads- och markanvändning som högrisksektorer för korruption.</w:t>
      </w:r>
      <w:r>
        <w:rPr>
          <w:noProof/>
          <w:color w:val="000000"/>
        </w:rPr>
        <w:t xml:space="preserve"> </w:t>
      </w:r>
      <w:r>
        <w:rPr>
          <w:noProof/>
        </w:rPr>
        <w:t>Företagens inställning till korruption i EU visar att 21 % av företagen i Finland (EU-genomsnittet är 25 %) anser att korruption har hindrat dem från att vinna en offentlig upphandling eller ingå ett offentligt upphandlingskontrakt i praktiken under de senaste tre åren</w:t>
      </w:r>
      <w:r>
        <w:rPr>
          <w:rFonts w:eastAsia="Calibri"/>
          <w:noProof/>
          <w:szCs w:val="22"/>
          <w:vertAlign w:val="superscript"/>
          <w:lang w:val="en-IE" w:eastAsia="en-US"/>
        </w:rPr>
        <w:footnoteReference w:id="71"/>
      </w:r>
      <w:r>
        <w:rPr>
          <w:noProof/>
        </w:rPr>
        <w:t>. Av företagen anser 85 % att tillsynsmyndigheten för offentlig upphandling (Marknadsdomstolen) är mycket eller ganska oberoende när den prövar ärenden som rör offentlig upphandling</w:t>
      </w:r>
      <w:r>
        <w:rPr>
          <w:noProof/>
          <w:szCs w:val="22"/>
          <w:vertAlign w:val="superscript"/>
          <w:lang w:val="en-IE" w:eastAsia="en-US"/>
        </w:rPr>
        <w:footnoteReference w:id="72"/>
      </w:r>
      <w:r>
        <w:rPr>
          <w:noProof/>
        </w:rPr>
        <w:t>. Offentlig upphandling (inklusive uppgjorda anbud) är fortfarande den främsta högrisksektorn för korruption</w:t>
      </w:r>
      <w:r>
        <w:rPr>
          <w:rFonts w:eastAsia="Calibri"/>
          <w:noProof/>
          <w:color w:val="000000"/>
          <w:szCs w:val="22"/>
          <w:vertAlign w:val="superscript"/>
          <w:lang w:val="en-IE" w:eastAsia="en-US"/>
        </w:rPr>
        <w:footnoteReference w:id="73"/>
      </w:r>
      <w:r>
        <w:rPr>
          <w:noProof/>
        </w:rPr>
        <w:t>.</w:t>
      </w:r>
      <w:r>
        <w:rPr>
          <w:noProof/>
          <w:color w:val="000000"/>
        </w:rPr>
        <w:t xml:space="preserve"> </w:t>
      </w:r>
      <w:r>
        <w:rPr>
          <w:noProof/>
        </w:rPr>
        <w:t xml:space="preserve">I resultattavlan för den inre marknaden och konkurrenskraften avseende tillgång till offentlig upphandling i Finland rapporteras 15 % enskilda anbud för 2023 (EU-genomsnittet är 29 %). </w:t>
      </w:r>
      <w:r>
        <w:rPr>
          <w:noProof/>
          <w:color w:val="000000"/>
        </w:rPr>
        <w:t>Ändringarna av upphandlingslagen trädde i kraft i juli 2024 och stärkte det finska Konkurrens- och konsumentverkets befogenheter när det gäller olagliga direkta upphandlingar.</w:t>
      </w:r>
      <w:r>
        <w:rPr>
          <w:noProof/>
          <w:color w:val="000000" w:themeColor="text1"/>
        </w:rPr>
        <w:t xml:space="preserve"> En till ändring håller på att utarbetas för att utvidga Konkurrens- och konsumentverkets befogenheter till att omfatta nationella byggentreprenadkontrakt.</w:t>
      </w:r>
      <w:r>
        <w:rPr>
          <w:noProof/>
          <w:color w:val="000000"/>
        </w:rPr>
        <w:t xml:space="preserve"> </w:t>
      </w:r>
      <w:r>
        <w:rPr>
          <w:noProof/>
          <w:color w:val="000000" w:themeColor="text1"/>
        </w:rPr>
        <w:t>Affärsintressenter belyser däremot bristen på snabbt och beslutsamt verkställande av Konkurrens- och konsumentverkets avgöranden, vilket undergräver institutionens trovärdighet och ökar risken för korruption.</w:t>
      </w:r>
      <w:r>
        <w:rPr>
          <w:noProof/>
          <w:sz w:val="22"/>
        </w:rPr>
        <w:t xml:space="preserve"> </w:t>
      </w:r>
      <w:r>
        <w:rPr>
          <w:noProof/>
          <w:color w:val="000000"/>
        </w:rPr>
        <w:t xml:space="preserve">I januari 2025 inledde finansministeriet ett projekt för att upprätta ett register över upphandlingsärenden, för att öka insynen i den offentliga sektorns inköpsfakturor. </w:t>
      </w:r>
      <w:r>
        <w:rPr>
          <w:noProof/>
        </w:rPr>
        <w:t>Andra risksektorer är planering av stads- och markanvändning, specialiserad upphandling (t.ex. hälso- och sjukvård) samt kritiska funktioner och utbyte av konfidentiell information</w:t>
      </w:r>
      <w:r>
        <w:rPr>
          <w:rFonts w:eastAsia="Calibri"/>
          <w:noProof/>
          <w:color w:val="000000"/>
          <w:szCs w:val="22"/>
          <w:vertAlign w:val="superscript"/>
          <w:lang w:val="en-IE" w:eastAsia="en-US"/>
        </w:rPr>
        <w:footnoteReference w:id="74"/>
      </w:r>
      <w:r>
        <w:rPr>
          <w:noProof/>
        </w:rPr>
        <w:t xml:space="preserve">. </w:t>
      </w:r>
      <w:r>
        <w:rPr>
          <w:noProof/>
          <w:color w:val="000000" w:themeColor="text1"/>
        </w:rPr>
        <w:t>Genom projektet ”Ökad effektivitet i kampen mot korruption”, som inleddes i april 2024, håller justitieministeriet på att ta fram en regelbunden lägesbild som verktyg för att följa korruptionen och som grund för planeringen av åtgärder</w:t>
      </w:r>
      <w:r>
        <w:rPr>
          <w:rFonts w:eastAsia="Calibri"/>
          <w:noProof/>
          <w:color w:val="000000"/>
          <w:szCs w:val="22"/>
          <w:vertAlign w:val="superscript"/>
          <w:lang w:val="en-IE" w:eastAsia="en-US"/>
        </w:rPr>
        <w:footnoteReference w:id="75"/>
      </w:r>
      <w:r>
        <w:rPr>
          <w:noProof/>
          <w:color w:val="000000" w:themeColor="text1"/>
        </w:rPr>
        <w:t>.</w:t>
      </w:r>
    </w:p>
    <w:p w14:paraId="2577E073" w14:textId="2387AC4B" w:rsidR="00A40F04" w:rsidRPr="00E26158" w:rsidRDefault="00A40F04" w:rsidP="007C3709">
      <w:pPr>
        <w:pStyle w:val="ListParagraph"/>
        <w:keepNext/>
        <w:numPr>
          <w:ilvl w:val="0"/>
          <w:numId w:val="22"/>
        </w:numPr>
        <w:ind w:left="720"/>
        <w:outlineLvl w:val="0"/>
        <w:rPr>
          <w:b/>
          <w:smallCaps/>
          <w:noProof/>
          <w:szCs w:val="24"/>
          <w:u w:val="single"/>
        </w:rPr>
      </w:pPr>
      <w:r>
        <w:rPr>
          <w:b/>
          <w:smallCaps/>
          <w:noProof/>
          <w:u w:val="single"/>
        </w:rPr>
        <w:t>Mediernas mångfald och oberoende</w:t>
      </w:r>
    </w:p>
    <w:p w14:paraId="02EA698F" w14:textId="77777777" w:rsidR="00A40F04" w:rsidRPr="00A40F04" w:rsidRDefault="00A40F04" w:rsidP="00493753">
      <w:pPr>
        <w:rPr>
          <w:bCs/>
          <w:noProof/>
        </w:rPr>
      </w:pPr>
      <w:bookmarkStart w:id="5" w:name="_Hlk195022646"/>
      <w:r>
        <w:rPr>
          <w:b/>
          <w:bCs/>
          <w:noProof/>
        </w:rPr>
        <w:t>De nationella tillsynsmyndigheterna genomgår strukturella förändringar</w:t>
      </w:r>
      <w:bookmarkEnd w:id="5"/>
      <w:r>
        <w:rPr>
          <w:b/>
          <w:bCs/>
          <w:noProof/>
        </w:rPr>
        <w:t xml:space="preserve"> medan deras oberoende förblir stabilt.</w:t>
      </w:r>
      <w:r>
        <w:rPr>
          <w:b/>
          <w:noProof/>
        </w:rPr>
        <w:t xml:space="preserve"> </w:t>
      </w:r>
      <w:r>
        <w:rPr>
          <w:noProof/>
        </w:rPr>
        <w:t>Sedan 2024 års rapport om rättsstatsprincipen offentliggjordes har den nationella tillsynsmyndigheten Traficom genomgått en intern omstrukturering. Syftet är att skapa största möjliga tydlighet både vad gäller ämnesområden och ledningsstruktur, för att säkerställa ett effektivt genomförande av uppgifterna</w:t>
      </w:r>
      <w:r>
        <w:rPr>
          <w:noProof/>
          <w:szCs w:val="22"/>
          <w:vertAlign w:val="superscript"/>
          <w:lang w:val="en-IE" w:eastAsia="fr-FR"/>
        </w:rPr>
        <w:footnoteReference w:id="76"/>
      </w:r>
      <w:r>
        <w:rPr>
          <w:noProof/>
        </w:rPr>
        <w:t>. Traficom tog i januari 2025 över hela ansvaret för tillsynen av medietillgången från Regionförvaltningsverket i Södra Finland och förväntas få nya uppgifter kopplade till genomförandet av den europeiska mediefrihetsförordningen. Dess resurser har varit stabila mitt i regeringens allmänna åtstramningsåtgärder, men med tanke på de nya uppgifterna ökar arbetsbördan</w:t>
      </w:r>
      <w:r>
        <w:rPr>
          <w:noProof/>
          <w:szCs w:val="22"/>
          <w:vertAlign w:val="superscript"/>
          <w:lang w:val="en-IE" w:eastAsia="fr-FR"/>
        </w:rPr>
        <w:footnoteReference w:id="77"/>
      </w:r>
      <w:r>
        <w:rPr>
          <w:noProof/>
        </w:rPr>
        <w:t>. Den andra nationella tillsynsmyndigheten, Nationella audiovisuella institutet, kommer att slås samman med ett annat institut, Centret för konstfrämjande, i januari 2026. Reformen syftar till att förbättra kvaliteten på de två institutens tjänster, verksamhet och styrning utan att påverka deras uppgifter</w:t>
      </w:r>
      <w:r>
        <w:rPr>
          <w:noProof/>
          <w:szCs w:val="22"/>
          <w:vertAlign w:val="superscript"/>
          <w:lang w:val="en-IE" w:eastAsia="fr-FR"/>
        </w:rPr>
        <w:footnoteReference w:id="78"/>
      </w:r>
      <w:r>
        <w:rPr>
          <w:noProof/>
        </w:rPr>
        <w:t>. En arbetsgrupp har diskuterat möjliga ändringar när det gäller åldersgränser för tillgång till audiovisuella medietjänster som skulle falla inom Nationella audiovisuella institutets ansvarsområde</w:t>
      </w:r>
      <w:r>
        <w:rPr>
          <w:noProof/>
          <w:szCs w:val="22"/>
          <w:vertAlign w:val="superscript"/>
          <w:lang w:val="en-IE" w:eastAsia="fr-FR"/>
        </w:rPr>
        <w:footnoteReference w:id="79"/>
      </w:r>
      <w:r>
        <w:rPr>
          <w:noProof/>
        </w:rPr>
        <w:t>. Institutet har varit tvunget att skära ned vissa uppgifter i samband med tillsynen av audiovisuella medietjänster på grund av sina begränsade resurser</w:t>
      </w:r>
      <w:r>
        <w:rPr>
          <w:noProof/>
          <w:szCs w:val="22"/>
          <w:vertAlign w:val="superscript"/>
          <w:lang w:val="en-IE" w:eastAsia="fr-FR"/>
        </w:rPr>
        <w:footnoteReference w:id="80"/>
      </w:r>
      <w:r>
        <w:rPr>
          <w:noProof/>
        </w:rPr>
        <w:t>. Det har inte noterats någon förändring i myndigheternas oberoende och övervakningsverktyget för mediepluralism 2025 anser att risken för detta är mycket låg</w:t>
      </w:r>
      <w:r>
        <w:rPr>
          <w:noProof/>
          <w:szCs w:val="22"/>
          <w:vertAlign w:val="superscript"/>
          <w:lang w:val="en-IE" w:eastAsia="fr-FR"/>
        </w:rPr>
        <w:footnoteReference w:id="81"/>
      </w:r>
      <w:r>
        <w:rPr>
          <w:noProof/>
        </w:rPr>
        <w:t>.</w:t>
      </w:r>
    </w:p>
    <w:p w14:paraId="75E034E4" w14:textId="77777777" w:rsidR="00A40F04" w:rsidRPr="00A40F04" w:rsidRDefault="00A40F04" w:rsidP="00493753">
      <w:pPr>
        <w:rPr>
          <w:noProof/>
        </w:rPr>
      </w:pPr>
      <w:r>
        <w:rPr>
          <w:b/>
          <w:noProof/>
        </w:rPr>
        <w:t xml:space="preserve">De uppdaterade pressetiska reglerna har börjat gälla och Finlands självreglerande opinionsnämnd för massmedier fortsätter att hantera ett stort antal klagomål som rör journalistetik. </w:t>
      </w:r>
      <w:r>
        <w:rPr>
          <w:noProof/>
        </w:rPr>
        <w:t>De pressetiska reglerna har genomgått en översyn och började gälla i oktober 2024</w:t>
      </w:r>
      <w:r>
        <w:rPr>
          <w:noProof/>
          <w:szCs w:val="22"/>
          <w:vertAlign w:val="superscript"/>
          <w:lang w:val="en-IE" w:eastAsia="fr-FR"/>
        </w:rPr>
        <w:footnoteReference w:id="82"/>
      </w:r>
      <w:r>
        <w:rPr>
          <w:noProof/>
        </w:rPr>
        <w:t>. Syftet är bland annat att ta hänsyn till de förändringar som den digitala miljön inneburit och att göra reglerna enklare att använda</w:t>
      </w:r>
      <w:r>
        <w:rPr>
          <w:noProof/>
          <w:szCs w:val="22"/>
          <w:vertAlign w:val="superscript"/>
          <w:lang w:val="en-IE" w:eastAsia="fr-FR"/>
        </w:rPr>
        <w:footnoteReference w:id="83"/>
      </w:r>
      <w:r>
        <w:rPr>
          <w:noProof/>
        </w:rPr>
        <w:t>. De etiska reglerna innehåller nya avsnitt om exempelvis extern finansiering och borttagning av redaktionellt innehåll online</w:t>
      </w:r>
      <w:r>
        <w:rPr>
          <w:noProof/>
          <w:szCs w:val="22"/>
          <w:vertAlign w:val="superscript"/>
          <w:lang w:val="en-IE" w:eastAsia="fr-FR"/>
        </w:rPr>
        <w:footnoteReference w:id="84"/>
      </w:r>
      <w:r>
        <w:rPr>
          <w:noProof/>
        </w:rPr>
        <w:t>. Opinionsnämnden för massmedier har publicerat en handbok</w:t>
      </w:r>
      <w:r>
        <w:rPr>
          <w:noProof/>
          <w:szCs w:val="22"/>
          <w:vertAlign w:val="superscript"/>
          <w:lang w:val="en-IE" w:eastAsia="fr-FR"/>
        </w:rPr>
        <w:footnoteReference w:id="85"/>
      </w:r>
      <w:r>
        <w:rPr>
          <w:noProof/>
        </w:rPr>
        <w:t xml:space="preserve"> om tillämpningen av de nya reglerna och utbildning har organiserats för att journalister ska bekanta sig med reglerna. Den självreglerande nämnden fortsätter att rapportera ett stort antal klagomål om att de pressetiska reglerna för journalistiskt innehåll har kränkts. Finansieringen från justitieministeriet har minskats något</w:t>
      </w:r>
      <w:r>
        <w:rPr>
          <w:noProof/>
          <w:szCs w:val="22"/>
          <w:vertAlign w:val="superscript"/>
          <w:lang w:val="en-IE" w:eastAsia="fr-FR"/>
        </w:rPr>
        <w:footnoteReference w:id="86"/>
      </w:r>
      <w:r>
        <w:rPr>
          <w:noProof/>
        </w:rPr>
        <w:t>. För att ta itu med de längre handläggningstiderna har nämnden anställt tillfällig personal och arbetar med ett AI-projekt</w:t>
      </w:r>
      <w:r>
        <w:rPr>
          <w:noProof/>
          <w:szCs w:val="22"/>
          <w:vertAlign w:val="superscript"/>
          <w:lang w:val="en-IE" w:eastAsia="fr-FR"/>
        </w:rPr>
        <w:footnoteReference w:id="87"/>
      </w:r>
      <w:r>
        <w:rPr>
          <w:noProof/>
        </w:rPr>
        <w:t>. Övervakningsverktyget för mediepluralism 2025 bedömer att mediemarknadens mångfald fortsatt är ett verkligt högriskområde eftersom de största medieägarna tillsammans har en betydande marknadsandel</w:t>
      </w:r>
      <w:r>
        <w:rPr>
          <w:noProof/>
          <w:szCs w:val="22"/>
          <w:vertAlign w:val="superscript"/>
          <w:lang w:val="en-IE" w:eastAsia="fr-FR"/>
        </w:rPr>
        <w:footnoteReference w:id="88"/>
      </w:r>
      <w:r>
        <w:rPr>
          <w:noProof/>
        </w:rPr>
        <w:t>.</w:t>
      </w:r>
    </w:p>
    <w:p w14:paraId="3559F389" w14:textId="11DBB82D" w:rsidR="00A40F04" w:rsidRPr="00A40F04" w:rsidRDefault="00A40F04" w:rsidP="00493753">
      <w:pPr>
        <w:rPr>
          <w:noProof/>
          <w:szCs w:val="22"/>
        </w:rPr>
      </w:pPr>
      <w:r>
        <w:rPr>
          <w:b/>
          <w:noProof/>
        </w:rPr>
        <w:t xml:space="preserve">Regeringen har föreslagit ny lagstiftning för att ytterligare stärka public service-mediernas oberoende, även om den står inför finansieringsbegränsningar. </w:t>
      </w:r>
      <w:r>
        <w:rPr>
          <w:noProof/>
        </w:rPr>
        <w:t>Den parlamentariska arbetsgruppen, som undersökte behovet av att ändra den befintliga lagstiftningen om det finska radio- och tv-bolagets (Yle) oberoende och redaktionella neutralitet, offentliggjorde sin rapport i september 2024.</w:t>
      </w:r>
      <w:r>
        <w:rPr>
          <w:b/>
          <w:noProof/>
        </w:rPr>
        <w:t xml:space="preserve"> </w:t>
      </w:r>
      <w:r>
        <w:rPr>
          <w:noProof/>
        </w:rPr>
        <w:t>På grundval av rekommendationerna i rapporten</w:t>
      </w:r>
      <w:r>
        <w:rPr>
          <w:noProof/>
          <w:szCs w:val="22"/>
          <w:vertAlign w:val="superscript"/>
          <w:lang w:val="en-IE" w:eastAsia="fr-FR"/>
        </w:rPr>
        <w:footnoteReference w:id="89"/>
      </w:r>
      <w:r>
        <w:rPr>
          <w:noProof/>
        </w:rPr>
        <w:t xml:space="preserve"> har regeringen föreslagit ny lagstiftning om kriterierna för valet och entledigandet av ledande personer som påverkar public service-mediernas beslutsfattande och redaktionella policy. De föreslagna reglerna syftar till att ta hänsyn till skyldigheterna i den europeiska mediefrihetsförordningen. Arbetsgruppen enades också om att lägga till en bestämmelse om att public service-medierna ska främja transparens i sina finanser och sin verksamhet. Det aktuella förslaget lades fram för riksdagen i april 2025</w:t>
      </w:r>
      <w:r>
        <w:rPr>
          <w:noProof/>
          <w:szCs w:val="22"/>
          <w:vertAlign w:val="superscript"/>
          <w:lang w:val="en-IE" w:eastAsia="fr-FR"/>
        </w:rPr>
        <w:footnoteReference w:id="90"/>
      </w:r>
      <w:r>
        <w:rPr>
          <w:noProof/>
        </w:rPr>
        <w:t>. Public service-mediernas oberoende anses i allmänhet vara högt</w:t>
      </w:r>
      <w:r>
        <w:rPr>
          <w:noProof/>
          <w:szCs w:val="22"/>
          <w:vertAlign w:val="superscript"/>
          <w:lang w:val="en-IE" w:eastAsia="fr-FR"/>
        </w:rPr>
        <w:footnoteReference w:id="91"/>
      </w:r>
      <w:r>
        <w:rPr>
          <w:noProof/>
        </w:rPr>
        <w:t>. I övervakningsverktyget för mediepluralism 2025 rapporterades om en fortsatt låg risk angående public service-mediernas oberoende</w:t>
      </w:r>
      <w:r>
        <w:rPr>
          <w:noProof/>
          <w:szCs w:val="22"/>
          <w:vertAlign w:val="superscript"/>
          <w:lang w:val="en-IE" w:eastAsia="fr-FR"/>
        </w:rPr>
        <w:footnoteReference w:id="92"/>
      </w:r>
      <w:r>
        <w:rPr>
          <w:noProof/>
        </w:rPr>
        <w:t>. För att förbättra effektiviteten i verksamheten har finansieringen av public service-medierna samtidigt begränsats genom att den årliga indexjusteringen för perioden 2025–2027 har frysts. Dessutom kommer den mervärdesskatt som betalas av public service-medier att öka permanent från 10 % till 14 % från och med 2026</w:t>
      </w:r>
      <w:r>
        <w:rPr>
          <w:noProof/>
          <w:szCs w:val="22"/>
          <w:vertAlign w:val="superscript"/>
          <w:lang w:val="en-IE" w:eastAsia="fr-FR"/>
        </w:rPr>
        <w:footnoteReference w:id="93"/>
      </w:r>
      <w:r>
        <w:rPr>
          <w:noProof/>
        </w:rPr>
        <w:t>. Förändringarna har lett till beslut om att minska mer än 300 anställda genom uppsägningar och pensionering av personal</w:t>
      </w:r>
      <w:r>
        <w:rPr>
          <w:noProof/>
          <w:szCs w:val="22"/>
          <w:vertAlign w:val="superscript"/>
          <w:lang w:val="en-IE" w:eastAsia="fr-FR"/>
        </w:rPr>
        <w:footnoteReference w:id="94"/>
      </w:r>
      <w:r>
        <w:rPr>
          <w:noProof/>
        </w:rPr>
        <w:t>. Journalister och public service-medier har kritiserat ändringen, eftersom den inte bara påverkar sysselsättningen utan även produktionen av och tillgången till särskilt lokalt och regionalt medieinnehåll i Finland</w:t>
      </w:r>
      <w:r>
        <w:rPr>
          <w:noProof/>
          <w:szCs w:val="22"/>
          <w:vertAlign w:val="superscript"/>
          <w:lang w:val="en-IE" w:eastAsia="fr-FR"/>
        </w:rPr>
        <w:footnoteReference w:id="95"/>
      </w:r>
      <w:r>
        <w:rPr>
          <w:noProof/>
        </w:rPr>
        <w:t>. Privata medier anser tvärtom att ändringarna står i proportion till regeringens allmänna åtstramningsåtgärder och tar hänsyn till de ekonomiska begränsningar som privata medier står inför</w:t>
      </w:r>
      <w:r>
        <w:rPr>
          <w:rStyle w:val="FootnoteReference"/>
          <w:noProof/>
          <w:szCs w:val="22"/>
          <w:lang w:val="en-IE" w:eastAsia="fr-FR"/>
        </w:rPr>
        <w:footnoteReference w:id="96"/>
      </w:r>
      <w:r>
        <w:rPr>
          <w:noProof/>
        </w:rPr>
        <w:t xml:space="preserve">. </w:t>
      </w:r>
    </w:p>
    <w:p w14:paraId="56E09E1E" w14:textId="66A201C5" w:rsidR="00A40F04" w:rsidRPr="00A40F04" w:rsidRDefault="00A40F04" w:rsidP="00493753">
      <w:pPr>
        <w:rPr>
          <w:noProof/>
          <w:szCs w:val="22"/>
        </w:rPr>
      </w:pPr>
      <w:r>
        <w:rPr>
          <w:b/>
          <w:noProof/>
        </w:rPr>
        <w:t>Vissa ytterligare framsteg har gjorts när det gäller rekommendationen om att stärka rätten till tillgång till information</w:t>
      </w:r>
      <w:r>
        <w:rPr>
          <w:rStyle w:val="FootnoteReference"/>
          <w:b/>
          <w:bCs/>
          <w:noProof/>
          <w:szCs w:val="22"/>
          <w:lang w:val="en-IE" w:eastAsia="fr-FR"/>
        </w:rPr>
        <w:footnoteReference w:id="97"/>
      </w:r>
      <w:r>
        <w:rPr>
          <w:b/>
          <w:noProof/>
        </w:rPr>
        <w:t xml:space="preserve">. </w:t>
      </w:r>
      <w:r>
        <w:rPr>
          <w:noProof/>
        </w:rPr>
        <w:t>På grund av förändringar i den nationella säkerhetsmiljön har den finska regeringen beslutat att bedöma behovet av att ändra sekretessbestämmelserna i lagen om offentlighet i myndigheternas verksamhet. Bedömningen omfattar samråd med berörda parter, eventuellt genom externa studier, och inrättande av en ny arbetsgrupp. På grundval av resultaten från den föregående arbetsgruppen</w:t>
      </w:r>
      <w:r>
        <w:rPr>
          <w:noProof/>
          <w:szCs w:val="22"/>
          <w:vertAlign w:val="superscript"/>
          <w:lang w:val="en-IE" w:eastAsia="fr-FR"/>
        </w:rPr>
        <w:footnoteReference w:id="98"/>
      </w:r>
      <w:r>
        <w:rPr>
          <w:noProof/>
        </w:rPr>
        <w:t xml:space="preserve"> och det nya förberedande arbetet är syftet att slutföra ett nytt förslag under nästa regeringsperiod</w:t>
      </w:r>
      <w:r>
        <w:rPr>
          <w:noProof/>
          <w:szCs w:val="22"/>
          <w:vertAlign w:val="superscript"/>
          <w:lang w:val="en-IE" w:eastAsia="fr-FR"/>
        </w:rPr>
        <w:footnoteReference w:id="99"/>
      </w:r>
      <w:r>
        <w:rPr>
          <w:noProof/>
        </w:rPr>
        <w:t xml:space="preserve">. </w:t>
      </w:r>
      <w:bookmarkStart w:id="6" w:name="_Hlk194581365"/>
      <w:r>
        <w:rPr>
          <w:noProof/>
        </w:rPr>
        <w:t>En särskild arbetsgrupp lämnade redan i december 2023 rekommendationer om att öka effektiviteten i lagen om offentlighet i myndigheternas verksamhet</w:t>
      </w:r>
      <w:r>
        <w:rPr>
          <w:noProof/>
          <w:szCs w:val="22"/>
          <w:vertAlign w:val="superscript"/>
          <w:lang w:val="en-IE" w:eastAsia="fr-FR"/>
        </w:rPr>
        <w:footnoteReference w:id="100"/>
      </w:r>
      <w:r>
        <w:rPr>
          <w:noProof/>
        </w:rPr>
        <w:t>. Finland har ratificerat Europarådets konvention om tillgång till officiella handlingar</w:t>
      </w:r>
      <w:r>
        <w:rPr>
          <w:noProof/>
          <w:szCs w:val="22"/>
          <w:vertAlign w:val="superscript"/>
          <w:lang w:val="en-IE" w:eastAsia="fr-FR"/>
        </w:rPr>
        <w:footnoteReference w:id="101"/>
      </w:r>
      <w:r>
        <w:rPr>
          <w:noProof/>
        </w:rPr>
        <w:t>.</w:t>
      </w:r>
      <w:bookmarkEnd w:id="6"/>
      <w:r>
        <w:rPr>
          <w:noProof/>
        </w:rPr>
        <w:t xml:space="preserve"> Medieintressenter har välkomnat det elektroniska öppenhetsregister som inrättats genom lagen om öppenhetsregistret, eftersom det förbättrar tillgången till information om lobbyverksamhet och kan underlätta journalistiskt arbete</w:t>
      </w:r>
      <w:r>
        <w:rPr>
          <w:noProof/>
          <w:szCs w:val="22"/>
          <w:vertAlign w:val="superscript"/>
          <w:lang w:val="en-IE" w:eastAsia="fr-FR"/>
        </w:rPr>
        <w:footnoteReference w:id="102"/>
      </w:r>
      <w:r>
        <w:rPr>
          <w:noProof/>
        </w:rPr>
        <w:t>. Med tanke på att ytterligare bedömning kommer att göras och att öppenhetsregistret förbättrar tillgången till viss information under tiden har det gjorts vissa ytterligare framsteg med förra årets rekommendation.</w:t>
      </w:r>
    </w:p>
    <w:p w14:paraId="021ECC74" w14:textId="77777777" w:rsidR="00A40F04" w:rsidRPr="00A40F04" w:rsidRDefault="00A40F04" w:rsidP="00493753">
      <w:pPr>
        <w:rPr>
          <w:noProof/>
        </w:rPr>
      </w:pPr>
      <w:r>
        <w:rPr>
          <w:b/>
          <w:noProof/>
        </w:rPr>
        <w:t>Det rättsliga skyddet för journalister har varit fortsatt stabilt.</w:t>
      </w:r>
      <w:r>
        <w:rPr>
          <w:noProof/>
        </w:rPr>
        <w:t xml:space="preserve"> Sedan offentliggörandet av 2024 års rapport om rättsstatsprincipen har inga nya varningar till Finland offentliggjorts på Europarådets plattform för att främja skydd för journalistik och journalisters säkerhet</w:t>
      </w:r>
      <w:r>
        <w:rPr>
          <w:noProof/>
          <w:szCs w:val="22"/>
          <w:vertAlign w:val="superscript"/>
          <w:lang w:val="en-IE" w:eastAsia="fr-FR"/>
        </w:rPr>
        <w:footnoteReference w:id="103"/>
      </w:r>
      <w:r>
        <w:rPr>
          <w:noProof/>
        </w:rPr>
        <w:t>. Tio incidenter har rapporterats på plattformen Media Freedom Rapid Response. De flesta av dem rör politiker som misskrediterar medier, däribland public service-medierna</w:t>
      </w:r>
      <w:r>
        <w:rPr>
          <w:noProof/>
          <w:szCs w:val="22"/>
          <w:vertAlign w:val="superscript"/>
          <w:lang w:val="en-IE" w:eastAsia="fr-FR"/>
        </w:rPr>
        <w:footnoteReference w:id="104"/>
      </w:r>
      <w:r>
        <w:rPr>
          <w:noProof/>
        </w:rPr>
        <w:t>. En nyligen genomförd undersökning visar att 72 % av journalisterna i Finland har utsatts för verbala trakasserier</w:t>
      </w:r>
      <w:r>
        <w:rPr>
          <w:noProof/>
          <w:szCs w:val="22"/>
          <w:vertAlign w:val="superscript"/>
          <w:lang w:val="en-IE" w:eastAsia="fr-FR"/>
        </w:rPr>
        <w:footnoteReference w:id="105"/>
      </w:r>
      <w:r>
        <w:rPr>
          <w:noProof/>
        </w:rPr>
        <w:t>. Arbetet med att införliva EU:s direktiv om skydd för personer som deltar i den offentliga debatten mot uppenbart ogrundade anspråk och rättegångsmissbruk</w:t>
      </w:r>
      <w:r>
        <w:rPr>
          <w:noProof/>
          <w:szCs w:val="22"/>
          <w:vertAlign w:val="superscript"/>
          <w:lang w:val="en-IE" w:eastAsia="fr-FR"/>
        </w:rPr>
        <w:footnoteReference w:id="106"/>
      </w:r>
      <w:r>
        <w:rPr>
          <w:noProof/>
        </w:rPr>
        <w:t xml:space="preserve"> pågår, samtidigt som inga fall av strategiska rättsprocesser för att hindra offentlig debatt eller systematiska politiska påtryckningar nyligen har förekommit i Finland</w:t>
      </w:r>
      <w:r>
        <w:rPr>
          <w:noProof/>
          <w:szCs w:val="22"/>
          <w:vertAlign w:val="superscript"/>
          <w:lang w:val="en-IE" w:eastAsia="fr-FR"/>
        </w:rPr>
        <w:footnoteReference w:id="107"/>
      </w:r>
      <w:r>
        <w:rPr>
          <w:noProof/>
        </w:rPr>
        <w:t>. Medieföretag har vanligtvis tydliga metoder för att skydda sina anställda från strategiska rättsprocesser för att hindra offentlig debatt</w:t>
      </w:r>
      <w:r>
        <w:rPr>
          <w:noProof/>
          <w:szCs w:val="22"/>
          <w:vertAlign w:val="superscript"/>
          <w:lang w:val="en-IE" w:eastAsia="fr-FR"/>
        </w:rPr>
        <w:footnoteReference w:id="108"/>
      </w:r>
      <w:r>
        <w:rPr>
          <w:noProof/>
        </w:rPr>
        <w:t>. Berörda parter lyfter främst fram problem som härrör från de globala onlineplattformarnas dominans på reklammarknaderna och dess inverkan på medieföretagens ekonomiska hållbarhet</w:t>
      </w:r>
      <w:r>
        <w:rPr>
          <w:noProof/>
          <w:szCs w:val="22"/>
          <w:vertAlign w:val="superscript"/>
          <w:lang w:val="en-IE" w:eastAsia="fr-FR"/>
        </w:rPr>
        <w:footnoteReference w:id="109"/>
      </w:r>
      <w:r>
        <w:rPr>
          <w:noProof/>
        </w:rPr>
        <w:t>. När det gäller Högsta förvaltningsdomstolens dom, enligt vilken ett mediebolags ersättning för journalisters kostnader för ett straffrättsligt förfarande skulle räknas som en del av deras beskattningsbara inkomst</w:t>
      </w:r>
      <w:r>
        <w:rPr>
          <w:noProof/>
          <w:szCs w:val="22"/>
          <w:vertAlign w:val="superscript"/>
          <w:lang w:val="en-IE" w:eastAsia="fr-FR"/>
        </w:rPr>
        <w:footnoteReference w:id="110"/>
      </w:r>
      <w:r>
        <w:rPr>
          <w:noProof/>
        </w:rPr>
        <w:t>, förbereder den finska regeringen för närvarande en lagändring från och med 2026 som innebär att de rättegångskostnader som en arbetsgivare betalar ska vara skattefria om den anställdes handling skett inom ramen för dennes arbetsuppgifter</w:t>
      </w:r>
      <w:r>
        <w:rPr>
          <w:noProof/>
          <w:szCs w:val="22"/>
          <w:vertAlign w:val="superscript"/>
          <w:lang w:val="en-IE" w:eastAsia="fr-FR"/>
        </w:rPr>
        <w:footnoteReference w:id="111"/>
      </w:r>
      <w:r>
        <w:rPr>
          <w:noProof/>
        </w:rPr>
        <w:t>.</w:t>
      </w:r>
    </w:p>
    <w:p w14:paraId="729632AA" w14:textId="3E934D7C" w:rsidR="00A40F04" w:rsidRPr="00E26158" w:rsidRDefault="00A40F04" w:rsidP="007C3709">
      <w:pPr>
        <w:pStyle w:val="ListParagraph"/>
        <w:keepNext/>
        <w:numPr>
          <w:ilvl w:val="0"/>
          <w:numId w:val="22"/>
        </w:numPr>
        <w:ind w:left="720"/>
        <w:outlineLvl w:val="0"/>
        <w:rPr>
          <w:b/>
          <w:smallCaps/>
          <w:noProof/>
          <w:u w:val="single"/>
        </w:rPr>
      </w:pPr>
      <w:r>
        <w:rPr>
          <w:b/>
          <w:smallCaps/>
          <w:noProof/>
          <w:u w:val="single"/>
        </w:rPr>
        <w:t>Andra institutionella frågor som rör kontroller och motvikter</w:t>
      </w:r>
    </w:p>
    <w:p w14:paraId="07228A44" w14:textId="1E8607BD" w:rsidR="00A40F04" w:rsidRPr="00A40F04" w:rsidRDefault="00A40F04" w:rsidP="00493753">
      <w:pPr>
        <w:rPr>
          <w:noProof/>
          <w:szCs w:val="22"/>
        </w:rPr>
      </w:pPr>
      <w:r>
        <w:rPr>
          <w:b/>
          <w:noProof/>
        </w:rPr>
        <w:t xml:space="preserve">Lagstiftningsprocessen är generellt inkluderande, även om berörda parter pekar på områden som behöver förbättras. </w:t>
      </w:r>
      <w:r>
        <w:rPr>
          <w:noProof/>
        </w:rPr>
        <w:t>Under 2024–2025 genomförde regeringen en undersökning om kvalitetsindikatorer för utarbetande av lagstiftning, med preliminära resultat som visade att kvaliteten på processen inom olika tematiska områden förblev jämförbar med tidigare år</w:t>
      </w:r>
      <w:r>
        <w:rPr>
          <w:noProof/>
          <w:szCs w:val="22"/>
          <w:vertAlign w:val="superscript"/>
          <w:lang w:val="en-US" w:eastAsia="fr-FR"/>
        </w:rPr>
        <w:footnoteReference w:id="112"/>
      </w:r>
      <w:r>
        <w:rPr>
          <w:noProof/>
        </w:rPr>
        <w:t>. Arbetet med uppdaterade riktlinjer om berörda parters deltagande i utarbetandet av lagstiftning håller på att slutföras, och de förväntas antas senare under 2025</w:t>
      </w:r>
      <w:r>
        <w:rPr>
          <w:noProof/>
          <w:szCs w:val="22"/>
          <w:vertAlign w:val="superscript"/>
          <w:lang w:val="en-US" w:eastAsia="fr-FR"/>
        </w:rPr>
        <w:footnoteReference w:id="113"/>
      </w:r>
      <w:r>
        <w:rPr>
          <w:noProof/>
        </w:rPr>
        <w:t>. Det finns visserligen en stabil ram för konsekvensbedömningar av lagförslag, men berörda parter rapporterar att det blivit vanligare att lämna in flera delförslag i stället för ett komplett förslag, vilket begränsar möjligheten att på ett korrekt sätt bedöma de kumulativa effekterna av ändringarna</w:t>
      </w:r>
      <w:r>
        <w:rPr>
          <w:noProof/>
          <w:szCs w:val="22"/>
          <w:vertAlign w:val="superscript"/>
          <w:lang w:val="en-IE" w:eastAsia="fr-FR"/>
        </w:rPr>
        <w:footnoteReference w:id="114"/>
      </w:r>
      <w:r>
        <w:rPr>
          <w:noProof/>
        </w:rPr>
        <w:t>. Berörda parter i det civila samhället rapporterade också fall där de kontaktades i senare skeden av lagstiftningsförfarandet, med mindre tid att svara jämfört med tidigare år</w:t>
      </w:r>
      <w:r>
        <w:rPr>
          <w:noProof/>
          <w:szCs w:val="22"/>
          <w:vertAlign w:val="superscript"/>
          <w:lang w:val="en-IE" w:eastAsia="fr-FR"/>
        </w:rPr>
        <w:footnoteReference w:id="115"/>
      </w:r>
      <w:r>
        <w:rPr>
          <w:noProof/>
        </w:rPr>
        <w:t>. I praktiken kan samrådet, i stället för att vara minst sex veckor</w:t>
      </w:r>
      <w:r>
        <w:rPr>
          <w:noProof/>
          <w:szCs w:val="22"/>
          <w:vertAlign w:val="superscript"/>
          <w:lang w:val="en-IE" w:eastAsia="fr-FR"/>
        </w:rPr>
        <w:footnoteReference w:id="116"/>
      </w:r>
      <w:r>
        <w:rPr>
          <w:noProof/>
        </w:rPr>
        <w:t>, vara så kort som två veckor eller till och med endast några dagar, vilket särskilt vid samråd om viktiga lagar kan innebära svårigheter</w:t>
      </w:r>
      <w:r>
        <w:rPr>
          <w:noProof/>
          <w:szCs w:val="22"/>
          <w:vertAlign w:val="superscript"/>
          <w:lang w:val="en-IE" w:eastAsia="fr-FR"/>
        </w:rPr>
        <w:footnoteReference w:id="117"/>
      </w:r>
      <w:r>
        <w:rPr>
          <w:noProof/>
        </w:rPr>
        <w:t>. Samtidigt rapporterade berörda parter inom näringslivet att samråden om lagar som påverkar deras arbetsområden är tillräckliga</w:t>
      </w:r>
      <w:r>
        <w:rPr>
          <w:noProof/>
          <w:szCs w:val="22"/>
          <w:vertAlign w:val="superscript"/>
          <w:lang w:val="en-IE" w:eastAsia="fr-FR"/>
        </w:rPr>
        <w:footnoteReference w:id="118"/>
      </w:r>
      <w:r>
        <w:rPr>
          <w:noProof/>
        </w:rPr>
        <w:t xml:space="preserve">. </w:t>
      </w:r>
    </w:p>
    <w:p w14:paraId="531F097A" w14:textId="77777777" w:rsidR="00A40F04" w:rsidRPr="00A40F04" w:rsidRDefault="00A40F04" w:rsidP="00493753">
      <w:pPr>
        <w:rPr>
          <w:rFonts w:eastAsia="Calibri"/>
          <w:noProof/>
          <w:szCs w:val="22"/>
        </w:rPr>
      </w:pPr>
      <w:r>
        <w:rPr>
          <w:b/>
          <w:noProof/>
        </w:rPr>
        <w:t xml:space="preserve">Nästan åtta av tio företag som tillfrågades i Finland uttrycker förtroende för investeringsskyddets effektivitet. </w:t>
      </w:r>
      <w:r>
        <w:rPr>
          <w:noProof/>
        </w:rPr>
        <w:t>Av företagen är 79 % mycket eller ganska säkra på att investeringar skyddas av lagar och domstolar</w:t>
      </w:r>
      <w:r>
        <w:rPr>
          <w:rFonts w:eastAsia="Calibri"/>
          <w:noProof/>
          <w:szCs w:val="22"/>
          <w:vertAlign w:val="superscript"/>
          <w:lang w:val="en-US" w:eastAsia="en-US"/>
        </w:rPr>
        <w:footnoteReference w:id="119"/>
      </w:r>
      <w:r>
        <w:rPr>
          <w:noProof/>
        </w:rPr>
        <w:t>. Berörda parter inom näringslivet har en positiv uppfattning om den rättsliga ramen i fråga om investeringsskydd</w:t>
      </w:r>
      <w:r>
        <w:rPr>
          <w:rFonts w:eastAsia="Calibri"/>
          <w:noProof/>
          <w:szCs w:val="22"/>
          <w:vertAlign w:val="superscript"/>
          <w:lang w:val="en-US" w:eastAsia="en-US"/>
        </w:rPr>
        <w:footnoteReference w:id="120"/>
      </w:r>
      <w:r>
        <w:rPr>
          <w:noProof/>
        </w:rPr>
        <w:t>. När det gäller myndigheter som är relevanta för ekonomiska aktörer uppfattar 82 % av företagen den nationella konkurrensmyndighetens oberoende (Konkurrens- och konsumentverket) som mycket eller ganska bra</w:t>
      </w:r>
      <w:r>
        <w:rPr>
          <w:rFonts w:eastAsia="Calibri"/>
          <w:noProof/>
          <w:szCs w:val="22"/>
          <w:vertAlign w:val="superscript"/>
          <w:lang w:val="en-US" w:eastAsia="en-US"/>
        </w:rPr>
        <w:footnoteReference w:id="121"/>
      </w:r>
      <w:r>
        <w:rPr>
          <w:noProof/>
        </w:rPr>
        <w:t>. Det finns inga rättsliga mekanismer på Högsta förvaltningsdomstolens nivå för att säkerställa genomförandet av förvaltningsdomstolsavgöranden</w:t>
      </w:r>
      <w:r>
        <w:rPr>
          <w:rFonts w:eastAsia="Calibri" w:cs="Arial"/>
          <w:noProof/>
          <w:szCs w:val="22"/>
          <w:vertAlign w:val="superscript"/>
          <w:lang w:val="en-US" w:eastAsia="en-US"/>
        </w:rPr>
        <w:footnoteReference w:id="122"/>
      </w:r>
      <w:r>
        <w:rPr>
          <w:noProof/>
        </w:rPr>
        <w:t>.</w:t>
      </w:r>
    </w:p>
    <w:p w14:paraId="68BB5EB1" w14:textId="093C55F6" w:rsidR="00A40F04" w:rsidRPr="00A40F04" w:rsidRDefault="00A40F04" w:rsidP="00493753">
      <w:pPr>
        <w:rPr>
          <w:rFonts w:eastAsia="Calibri"/>
          <w:b/>
          <w:bCs/>
          <w:noProof/>
          <w:szCs w:val="22"/>
        </w:rPr>
      </w:pPr>
      <w:r>
        <w:rPr>
          <w:b/>
          <w:noProof/>
        </w:rPr>
        <w:t>Den 1 januari 2025 hade en vägledande dom från Europeiska domstolen för de mänskliga rättigheterna ännu inte verkställts i Finland, vilket är en minskning med en dom jämfört med föregående år</w:t>
      </w:r>
      <w:r>
        <w:rPr>
          <w:rFonts w:eastAsia="Calibri"/>
          <w:b/>
          <w:bCs/>
          <w:noProof/>
          <w:szCs w:val="22"/>
          <w:vertAlign w:val="superscript"/>
          <w:lang w:val="en-US" w:eastAsia="en-US"/>
        </w:rPr>
        <w:footnoteReference w:id="123"/>
      </w:r>
      <w:r>
        <w:rPr>
          <w:b/>
          <w:noProof/>
        </w:rPr>
        <w:t xml:space="preserve">. </w:t>
      </w:r>
      <w:r>
        <w:rPr>
          <w:noProof/>
        </w:rPr>
        <w:t>Finland hade inga vägledande domar från de senaste tio åren som ännu inte hade verkställts</w:t>
      </w:r>
      <w:r>
        <w:rPr>
          <w:rFonts w:eastAsia="Calibri"/>
          <w:noProof/>
          <w:szCs w:val="22"/>
          <w:vertAlign w:val="superscript"/>
          <w:lang w:val="en-US" w:eastAsia="en-US"/>
        </w:rPr>
        <w:footnoteReference w:id="124"/>
      </w:r>
      <w:r>
        <w:rPr>
          <w:noProof/>
        </w:rPr>
        <w:t>. Den enda vägledande dom som inte verkställts på mer än tolv år gäller kränkningen av rätten att inte straffas två gånger</w:t>
      </w:r>
      <w:r>
        <w:rPr>
          <w:rFonts w:eastAsia="Calibri"/>
          <w:noProof/>
          <w:szCs w:val="22"/>
          <w:vertAlign w:val="superscript"/>
          <w:lang w:val="en-US" w:eastAsia="en-US"/>
        </w:rPr>
        <w:footnoteReference w:id="125"/>
      </w:r>
      <w:r>
        <w:rPr>
          <w:noProof/>
        </w:rPr>
        <w:t>.</w:t>
      </w:r>
      <w:r>
        <w:rPr>
          <w:b/>
          <w:noProof/>
        </w:rPr>
        <w:t xml:space="preserve"> </w:t>
      </w:r>
      <w:r>
        <w:rPr>
          <w:noProof/>
        </w:rPr>
        <w:t>När det gäller respekten för betalningsfrister fanns det den 31 december 2024 inga ärenden som inväntade bekräftelse på betalning (samma som 2023)</w:t>
      </w:r>
      <w:r>
        <w:rPr>
          <w:rFonts w:eastAsia="Calibri"/>
          <w:noProof/>
          <w:szCs w:val="22"/>
          <w:vertAlign w:val="superscript"/>
          <w:lang w:val="en-US" w:eastAsia="en-US"/>
        </w:rPr>
        <w:footnoteReference w:id="126"/>
      </w:r>
      <w:r>
        <w:rPr>
          <w:noProof/>
        </w:rPr>
        <w:t>.</w:t>
      </w:r>
      <w:r>
        <w:rPr>
          <w:b/>
          <w:noProof/>
        </w:rPr>
        <w:t xml:space="preserve"> </w:t>
      </w:r>
      <w:r>
        <w:rPr>
          <w:noProof/>
        </w:rPr>
        <w:t>Den 16 juni 2025 var antalet vägledande domar som ännu inte verkställts fortfarande ett</w:t>
      </w:r>
      <w:r>
        <w:rPr>
          <w:rFonts w:eastAsia="Calibri"/>
          <w:noProof/>
          <w:szCs w:val="22"/>
          <w:vertAlign w:val="superscript"/>
          <w:lang w:val="en-US" w:eastAsia="en-US"/>
        </w:rPr>
        <w:footnoteReference w:id="127"/>
      </w:r>
      <w:r>
        <w:rPr>
          <w:noProof/>
        </w:rPr>
        <w:t>.</w:t>
      </w:r>
      <w:r>
        <w:rPr>
          <w:b/>
          <w:noProof/>
        </w:rPr>
        <w:t xml:space="preserve"> </w:t>
      </w:r>
    </w:p>
    <w:p w14:paraId="772C902D" w14:textId="77777777" w:rsidR="00A40F04" w:rsidRPr="00A40F04" w:rsidRDefault="00A40F04" w:rsidP="00493753">
      <w:pPr>
        <w:rPr>
          <w:noProof/>
          <w:szCs w:val="22"/>
        </w:rPr>
      </w:pPr>
      <w:r>
        <w:rPr>
          <w:b/>
          <w:noProof/>
        </w:rPr>
        <w:t xml:space="preserve">Ramen för det civila samhället är fortfarande öppen, men vissa berörda parter fortsätter att rapportera om </w:t>
      </w:r>
      <w:bookmarkStart w:id="7" w:name="_Hlk196302034"/>
      <w:r>
        <w:rPr>
          <w:b/>
          <w:noProof/>
        </w:rPr>
        <w:t>ett förändrat narrativ om den roll som det civila samhällets aktörer spelar</w:t>
      </w:r>
      <w:bookmarkEnd w:id="7"/>
      <w:r>
        <w:rPr>
          <w:b/>
          <w:noProof/>
        </w:rPr>
        <w:t xml:space="preserve">. </w:t>
      </w:r>
      <w:r>
        <w:rPr>
          <w:noProof/>
        </w:rPr>
        <w:t>Civilsamhällets demokratiska utrymme i Finland betraktas fortfarande som ”öppet”</w:t>
      </w:r>
      <w:r>
        <w:rPr>
          <w:noProof/>
          <w:szCs w:val="22"/>
          <w:vertAlign w:val="superscript"/>
          <w:lang w:val="en-US" w:eastAsia="fr-FR"/>
        </w:rPr>
        <w:footnoteReference w:id="128"/>
      </w:r>
      <w:r>
        <w:rPr>
          <w:noProof/>
        </w:rPr>
        <w:t>.</w:t>
      </w:r>
      <w:r>
        <w:rPr>
          <w:b/>
          <w:noProof/>
        </w:rPr>
        <w:t xml:space="preserve"> </w:t>
      </w:r>
      <w:r>
        <w:rPr>
          <w:noProof/>
        </w:rPr>
        <w:t>I samband med åtstramningsåtgärder har regeringen planerat nedskärningar i statliga bidrag för 2025</w:t>
      </w:r>
      <w:r>
        <w:rPr>
          <w:noProof/>
          <w:szCs w:val="22"/>
          <w:vertAlign w:val="superscript"/>
          <w:lang w:val="en-US" w:eastAsia="fr-FR"/>
        </w:rPr>
        <w:footnoteReference w:id="129"/>
      </w:r>
      <w:r>
        <w:rPr>
          <w:noProof/>
        </w:rPr>
        <w:t>, ända upp till 30 % inom vissa sektorer</w:t>
      </w:r>
      <w:r>
        <w:rPr>
          <w:noProof/>
          <w:szCs w:val="22"/>
          <w:vertAlign w:val="superscript"/>
          <w:lang w:val="en-US" w:eastAsia="fr-FR"/>
        </w:rPr>
        <w:footnoteReference w:id="130"/>
      </w:r>
      <w:r>
        <w:rPr>
          <w:noProof/>
        </w:rPr>
        <w:t>. Berörda parter uttryckte oro i detta avseende och noterade att det civila samhällets organisationer i stor utsträckning är beroende av offentliga medel</w:t>
      </w:r>
      <w:r>
        <w:rPr>
          <w:noProof/>
          <w:szCs w:val="22"/>
          <w:vertAlign w:val="superscript"/>
          <w:lang w:val="en-US" w:eastAsia="fr-FR"/>
        </w:rPr>
        <w:footnoteReference w:id="131"/>
      </w:r>
      <w:r>
        <w:rPr>
          <w:noProof/>
        </w:rPr>
        <w:t>. Regeringen har uttryckt sin beredvillighet att fortsätta att föra en dialog i detta avseende, vilket de berörda parterna anser vara positivt</w:t>
      </w:r>
      <w:r>
        <w:rPr>
          <w:noProof/>
          <w:szCs w:val="22"/>
          <w:vertAlign w:val="superscript"/>
          <w:lang w:val="en-US" w:eastAsia="fr-FR"/>
        </w:rPr>
        <w:footnoteReference w:id="132"/>
      </w:r>
      <w:r>
        <w:rPr>
          <w:noProof/>
        </w:rPr>
        <w:t>. Budgeten för den nationella människorättsinstitutionen för 2025 har ökat något</w:t>
      </w:r>
      <w:r>
        <w:rPr>
          <w:noProof/>
          <w:szCs w:val="22"/>
          <w:vertAlign w:val="superscript"/>
          <w:lang w:val="en-US" w:eastAsia="fr-FR"/>
        </w:rPr>
        <w:footnoteReference w:id="133"/>
      </w:r>
      <w:r>
        <w:rPr>
          <w:noProof/>
        </w:rPr>
        <w:t>. Vissa berörda parter noterade en pågående förändring i narrativet om den roll som det civila samhällets aktörer spelar. De rapporterade också om en växande trend med uttalanden från vissa politiker som öppet kritiserar vissa institutioner</w:t>
      </w:r>
      <w:r>
        <w:rPr>
          <w:noProof/>
          <w:szCs w:val="22"/>
          <w:vertAlign w:val="superscript"/>
          <w:lang w:val="en-US" w:eastAsia="fr-FR"/>
        </w:rPr>
        <w:footnoteReference w:id="134"/>
      </w:r>
      <w:r>
        <w:rPr>
          <w:noProof/>
        </w:rPr>
        <w:t>. Berörda parter välkomnar att man övergett idén om att slå samman de specialiserade ombudsmannainstitutionernas uppgifter, eftersom man anser att ett separat system möjliggör ett mer effektivt skydd av rättigheter.</w:t>
      </w:r>
    </w:p>
    <w:p w14:paraId="03A4136D" w14:textId="77777777" w:rsidR="00A40F04" w:rsidRPr="00033A01" w:rsidRDefault="00A40F04" w:rsidP="00493753">
      <w:pPr>
        <w:rPr>
          <w:rFonts w:eastAsia="Calibri"/>
          <w:noProof/>
          <w:szCs w:val="22"/>
          <w:lang w:eastAsia="en-US"/>
        </w:rPr>
      </w:pPr>
    </w:p>
    <w:p w14:paraId="4889E07D" w14:textId="77777777" w:rsidR="00A40F04" w:rsidRPr="00A40F04" w:rsidRDefault="00A40F04" w:rsidP="00493753">
      <w:pPr>
        <w:pageBreakBefore/>
        <w:spacing w:line="264" w:lineRule="auto"/>
        <w:rPr>
          <w:b/>
          <w:noProof/>
          <w:szCs w:val="22"/>
        </w:rPr>
      </w:pPr>
      <w:r>
        <w:rPr>
          <w:b/>
          <w:noProof/>
        </w:rPr>
        <w:t>Bilaga I: Förteckning över källor i alfabetisk ordning*</w:t>
      </w:r>
    </w:p>
    <w:p w14:paraId="43F802A2" w14:textId="77777777" w:rsidR="00704084" w:rsidRPr="00704084" w:rsidRDefault="00A40F04" w:rsidP="00704084">
      <w:pPr>
        <w:rPr>
          <w:i/>
          <w:iCs/>
          <w:noProof/>
          <w:sz w:val="22"/>
          <w:szCs w:val="22"/>
        </w:rPr>
      </w:pPr>
      <w:r>
        <w:rPr>
          <w:i/>
          <w:noProof/>
          <w:sz w:val="22"/>
        </w:rPr>
        <w:t>* Förteckningen över bidrag som inkommit i samband med samrådet för 2025 års rapport om rättsstatsprincipen finns på</w:t>
      </w:r>
      <w:r>
        <w:rPr>
          <w:noProof/>
        </w:rPr>
        <w:t xml:space="preserve"> </w:t>
      </w:r>
      <w:hyperlink r:id="rId22" w:history="1">
        <w:r>
          <w:rPr>
            <w:rStyle w:val="Hyperlink"/>
            <w:i/>
            <w:noProof/>
            <w:sz w:val="22"/>
          </w:rPr>
          <w:t>https://commission.europa.eu/publications/2025-rule-law-report-targeted-stakeholder-consultation_en</w:t>
        </w:r>
      </w:hyperlink>
      <w:r>
        <w:rPr>
          <w:i/>
          <w:noProof/>
          <w:sz w:val="22"/>
        </w:rPr>
        <w:t xml:space="preserve">. </w:t>
      </w:r>
    </w:p>
    <w:p w14:paraId="0457098A" w14:textId="77777777" w:rsidR="00A40F04" w:rsidRPr="00A40F04" w:rsidRDefault="00A40F04" w:rsidP="00493753">
      <w:pPr>
        <w:rPr>
          <w:noProof/>
          <w:sz w:val="22"/>
          <w:szCs w:val="22"/>
        </w:rPr>
      </w:pPr>
      <w:r>
        <w:rPr>
          <w:noProof/>
        </w:rPr>
        <w:t xml:space="preserve">Centret för konstfrämjande (2025), ”Taike och Kavi förbereder en sammanslagning”, </w:t>
      </w:r>
      <w:hyperlink r:id="rId23" w:history="1">
        <w:r>
          <w:rPr>
            <w:noProof/>
            <w:color w:val="0563C1" w:themeColor="hyperlink"/>
            <w:sz w:val="22"/>
            <w:u w:val="single"/>
          </w:rPr>
          <w:t>https://www.taike.fi/sv/taike-ja-kavi-valmistelevat-yhdistymista</w:t>
        </w:r>
      </w:hyperlink>
      <w:r>
        <w:rPr>
          <w:noProof/>
        </w:rPr>
        <w:t>.</w:t>
      </w:r>
    </w:p>
    <w:p w14:paraId="1A1599E0" w14:textId="58395722" w:rsidR="00A40F04" w:rsidRPr="00A40F04" w:rsidRDefault="00A40F04" w:rsidP="00493753">
      <w:pPr>
        <w:rPr>
          <w:noProof/>
          <w:sz w:val="22"/>
          <w:szCs w:val="22"/>
        </w:rPr>
      </w:pPr>
      <w:r>
        <w:rPr>
          <w:noProof/>
          <w:sz w:val="22"/>
        </w:rPr>
        <w:t xml:space="preserve">Centrumet för mediernas mångfald och mediefrihet, </w:t>
      </w:r>
      <w:r>
        <w:rPr>
          <w:i/>
          <w:noProof/>
          <w:sz w:val="22"/>
        </w:rPr>
        <w:t>Monitoring Media Pluralism in the Digital Era in the year 2024</w:t>
      </w:r>
      <w:r>
        <w:rPr>
          <w:noProof/>
          <w:sz w:val="22"/>
        </w:rPr>
        <w:t xml:space="preserve"> (2025), landsrapport:</w:t>
      </w:r>
      <w:r>
        <w:rPr>
          <w:i/>
          <w:noProof/>
          <w:sz w:val="22"/>
        </w:rPr>
        <w:t xml:space="preserve"> Finland</w:t>
      </w:r>
      <w:r>
        <w:rPr>
          <w:noProof/>
          <w:sz w:val="22"/>
        </w:rPr>
        <w:t xml:space="preserve">, </w:t>
      </w:r>
      <w:hyperlink r:id="rId24" w:history="1">
        <w:r>
          <w:rPr>
            <w:rStyle w:val="Hyperlink"/>
            <w:noProof/>
            <w:sz w:val="22"/>
          </w:rPr>
          <w:t>https://cmpf.eui.eu/projects/media-pluralism-monitor/</w:t>
        </w:r>
      </w:hyperlink>
      <w:r>
        <w:rPr>
          <w:noProof/>
          <w:sz w:val="22"/>
        </w:rPr>
        <w:t>.</w:t>
      </w:r>
    </w:p>
    <w:p w14:paraId="49BCD654" w14:textId="7A9551B7" w:rsidR="00A40F04" w:rsidRPr="00663260" w:rsidRDefault="00D76531" w:rsidP="00493753">
      <w:pPr>
        <w:rPr>
          <w:noProof/>
          <w:sz w:val="22"/>
          <w:szCs w:val="22"/>
        </w:rPr>
      </w:pPr>
      <w:r>
        <w:rPr>
          <w:noProof/>
          <w:sz w:val="22"/>
        </w:rPr>
        <w:t xml:space="preserve">CIVICUS (2024), </w:t>
      </w:r>
      <w:r>
        <w:rPr>
          <w:i/>
          <w:noProof/>
          <w:sz w:val="22"/>
        </w:rPr>
        <w:t>Finland</w:t>
      </w:r>
      <w:r>
        <w:rPr>
          <w:noProof/>
          <w:sz w:val="22"/>
        </w:rPr>
        <w:t xml:space="preserve">, </w:t>
      </w:r>
      <w:hyperlink r:id="rId25" w:history="1">
        <w:r>
          <w:rPr>
            <w:rStyle w:val="Hyperlink"/>
            <w:noProof/>
            <w:sz w:val="22"/>
          </w:rPr>
          <w:t>https://monitor.civicus.org/country/finland/</w:t>
        </w:r>
      </w:hyperlink>
      <w:r>
        <w:rPr>
          <w:noProof/>
          <w:sz w:val="22"/>
        </w:rPr>
        <w:t>.</w:t>
      </w:r>
    </w:p>
    <w:p w14:paraId="6C7737F1" w14:textId="77777777" w:rsidR="00A40F04" w:rsidRPr="005B5C9C" w:rsidRDefault="00A40F04" w:rsidP="00493753">
      <w:pPr>
        <w:rPr>
          <w:i/>
          <w:iCs/>
          <w:noProof/>
          <w:sz w:val="22"/>
          <w:szCs w:val="22"/>
        </w:rPr>
      </w:pPr>
      <w:r>
        <w:rPr>
          <w:noProof/>
          <w:sz w:val="22"/>
        </w:rPr>
        <w:t xml:space="preserve">Rådet för advokatsamfunden i Europeiska unionen (2025), </w:t>
      </w:r>
      <w:r>
        <w:rPr>
          <w:i/>
          <w:noProof/>
          <w:sz w:val="22"/>
        </w:rPr>
        <w:t>skriftligt bidrag till 2025 års rapport om rättsstatsprincipen.</w:t>
      </w:r>
    </w:p>
    <w:p w14:paraId="34AA1A2E" w14:textId="77777777" w:rsidR="00A40F04" w:rsidRPr="005B5C9C" w:rsidRDefault="00A40F04" w:rsidP="00493753">
      <w:pPr>
        <w:rPr>
          <w:i/>
          <w:iCs/>
          <w:noProof/>
          <w:sz w:val="22"/>
          <w:szCs w:val="22"/>
        </w:rPr>
      </w:pPr>
      <w:r>
        <w:rPr>
          <w:noProof/>
          <w:sz w:val="22"/>
        </w:rPr>
        <w:t xml:space="preserve">Finlands näringsliv (2025), </w:t>
      </w:r>
      <w:r>
        <w:rPr>
          <w:i/>
          <w:noProof/>
          <w:sz w:val="22"/>
        </w:rPr>
        <w:t>skriftligt bidrag till 2025 års rapport om rättsstatsprincipen.</w:t>
      </w:r>
    </w:p>
    <w:p w14:paraId="2FE71513" w14:textId="1A8B113E" w:rsidR="00A40F04" w:rsidRDefault="00A40F04" w:rsidP="2ED269BE">
      <w:pPr>
        <w:rPr>
          <w:i/>
          <w:iCs/>
          <w:noProof/>
          <w:sz w:val="22"/>
          <w:szCs w:val="22"/>
        </w:rPr>
      </w:pPr>
      <w:r>
        <w:rPr>
          <w:i/>
          <w:noProof/>
        </w:rPr>
        <w:t>Europarådet (2024), Europarådets konvention om tillgång till officiella handlingar (CETS nr 205)</w:t>
      </w:r>
      <w:r>
        <w:rPr>
          <w:noProof/>
        </w:rPr>
        <w:t xml:space="preserve">, </w:t>
      </w:r>
      <w:hyperlink r:id="rId26" w:history="1">
        <w:r>
          <w:rPr>
            <w:rStyle w:val="Hyperlink"/>
            <w:noProof/>
            <w:sz w:val="22"/>
          </w:rPr>
          <w:t>https://www.coe.int/en/web/conventions/full-list?module=treaty-detail&amp;treatynum=205</w:t>
        </w:r>
      </w:hyperlink>
      <w:r>
        <w:rPr>
          <w:i/>
          <w:noProof/>
          <w:sz w:val="22"/>
        </w:rPr>
        <w:t>.</w:t>
      </w:r>
    </w:p>
    <w:p w14:paraId="48E12CF7" w14:textId="705D4A1E" w:rsidR="00AB16F6" w:rsidRPr="005B5C9C" w:rsidRDefault="00AB16F6" w:rsidP="00493753">
      <w:pPr>
        <w:rPr>
          <w:noProof/>
          <w:sz w:val="22"/>
          <w:szCs w:val="22"/>
        </w:rPr>
      </w:pPr>
      <w:r>
        <w:rPr>
          <w:noProof/>
          <w:sz w:val="22"/>
        </w:rPr>
        <w:t xml:space="preserve">Europarådet, Plattform för att främja skydd för journalistik och journalisters säkerhet (2025), </w:t>
      </w:r>
      <w:r>
        <w:rPr>
          <w:i/>
          <w:noProof/>
          <w:sz w:val="22"/>
        </w:rPr>
        <w:t>Finland</w:t>
      </w:r>
      <w:r>
        <w:rPr>
          <w:noProof/>
          <w:sz w:val="22"/>
        </w:rPr>
        <w:t xml:space="preserve">, </w:t>
      </w:r>
      <w:hyperlink r:id="rId27" w:history="1">
        <w:r>
          <w:rPr>
            <w:rStyle w:val="Hyperlink"/>
            <w:noProof/>
            <w:sz w:val="22"/>
          </w:rPr>
          <w:t>https://fom.coe.int/en/pays/detail/11709508</w:t>
        </w:r>
      </w:hyperlink>
      <w:r>
        <w:rPr>
          <w:noProof/>
          <w:sz w:val="22"/>
        </w:rPr>
        <w:t>.</w:t>
      </w:r>
    </w:p>
    <w:p w14:paraId="5B50EF53" w14:textId="0BCE4254" w:rsidR="007923E9" w:rsidRPr="005B5C9C" w:rsidRDefault="007923E9" w:rsidP="00493753">
      <w:pPr>
        <w:rPr>
          <w:noProof/>
          <w:sz w:val="22"/>
          <w:szCs w:val="22"/>
        </w:rPr>
      </w:pPr>
      <w:r>
        <w:rPr>
          <w:noProof/>
          <w:sz w:val="22"/>
        </w:rPr>
        <w:t xml:space="preserve">Europarådet: Ministerkommittén (2025), </w:t>
      </w:r>
      <w:r>
        <w:rPr>
          <w:i/>
          <w:noProof/>
          <w:sz w:val="22"/>
        </w:rPr>
        <w:t>övervakningen av verkställandet av domar och beslut från Europeiska domstolen för de mänskliga rättigheterna, 18:e årliga rapporten från ministerkommittén</w:t>
      </w:r>
      <w:r>
        <w:rPr>
          <w:noProof/>
          <w:sz w:val="22"/>
        </w:rPr>
        <w:t xml:space="preserve">, </w:t>
      </w:r>
      <w:hyperlink r:id="rId28" w:history="1">
        <w:r>
          <w:rPr>
            <w:rStyle w:val="Hyperlink"/>
            <w:noProof/>
            <w:sz w:val="22"/>
          </w:rPr>
          <w:t>https://rm.coe.int/gbr-2001-18e-rapport-annuel-2024/1680b4d77d</w:t>
        </w:r>
      </w:hyperlink>
      <w:r>
        <w:rPr>
          <w:noProof/>
          <w:sz w:val="22"/>
        </w:rPr>
        <w:t>.</w:t>
      </w:r>
    </w:p>
    <w:p w14:paraId="4F204727" w14:textId="77777777" w:rsidR="00A40F04" w:rsidRPr="00A40F04" w:rsidRDefault="00A40F04" w:rsidP="00493753">
      <w:pPr>
        <w:rPr>
          <w:noProof/>
          <w:sz w:val="22"/>
          <w:szCs w:val="22"/>
        </w:rPr>
      </w:pPr>
      <w:r>
        <w:rPr>
          <w:noProof/>
          <w:sz w:val="22"/>
        </w:rPr>
        <w:t xml:space="preserve">Demla (2025), </w:t>
      </w:r>
      <w:r>
        <w:rPr>
          <w:i/>
          <w:noProof/>
          <w:sz w:val="22"/>
        </w:rPr>
        <w:t>skriftligt bidrag till 2025 års rapport om rättsstatsprincipen</w:t>
      </w:r>
      <w:r>
        <w:rPr>
          <w:noProof/>
          <w:sz w:val="22"/>
        </w:rPr>
        <w:t>.</w:t>
      </w:r>
    </w:p>
    <w:p w14:paraId="2456876D" w14:textId="07E9180C" w:rsidR="00A40F04" w:rsidRPr="00A40F04" w:rsidRDefault="00A40F04" w:rsidP="00493753">
      <w:pPr>
        <w:rPr>
          <w:noProof/>
          <w:sz w:val="22"/>
          <w:szCs w:val="22"/>
        </w:rPr>
      </w:pPr>
      <w:r>
        <w:rPr>
          <w:noProof/>
          <w:sz w:val="22"/>
        </w:rPr>
        <w:t>Biträdande justitiekanslern (2020), översyn av instruktionen till polisen av Finlands polisstyrelse.</w:t>
      </w:r>
    </w:p>
    <w:p w14:paraId="2696156D" w14:textId="0BA37754" w:rsidR="00A40F04" w:rsidRPr="00A40F04" w:rsidRDefault="00A40F04" w:rsidP="00493753">
      <w:pPr>
        <w:rPr>
          <w:noProof/>
          <w:sz w:val="22"/>
          <w:szCs w:val="22"/>
        </w:rPr>
      </w:pPr>
      <w:r>
        <w:rPr>
          <w:noProof/>
          <w:sz w:val="22"/>
        </w:rPr>
        <w:t xml:space="preserve">Generaldirektoratet för kommunikation (2025), </w:t>
      </w:r>
      <w:r>
        <w:rPr>
          <w:i/>
          <w:noProof/>
          <w:sz w:val="22"/>
        </w:rPr>
        <w:t>Flash Eurobarometer 557 om företagens inställning till korruption i EU.</w:t>
      </w:r>
      <w:r>
        <w:rPr>
          <w:noProof/>
          <w:sz w:val="22"/>
        </w:rPr>
        <w:t xml:space="preserve"> </w:t>
      </w:r>
    </w:p>
    <w:p w14:paraId="66C0AC3F" w14:textId="7821551F" w:rsidR="00A40F04" w:rsidRPr="005B5C9C" w:rsidRDefault="00A40F04" w:rsidP="00493753">
      <w:pPr>
        <w:rPr>
          <w:i/>
          <w:iCs/>
          <w:noProof/>
          <w:sz w:val="22"/>
          <w:szCs w:val="22"/>
        </w:rPr>
      </w:pPr>
      <w:r>
        <w:rPr>
          <w:noProof/>
          <w:sz w:val="22"/>
        </w:rPr>
        <w:t xml:space="preserve">Generaldirektoratet för kommunikation (2025), </w:t>
      </w:r>
      <w:r>
        <w:rPr>
          <w:i/>
          <w:noProof/>
          <w:sz w:val="22"/>
        </w:rPr>
        <w:t>Särskild Eurobarometer 561 om medborgarnas inställning till korruption i EU.</w:t>
      </w:r>
    </w:p>
    <w:p w14:paraId="01D11BA0" w14:textId="77777777" w:rsidR="00A40F04" w:rsidRPr="005B5C9C" w:rsidRDefault="00A40F04" w:rsidP="00493753">
      <w:pPr>
        <w:rPr>
          <w:i/>
          <w:iCs/>
          <w:noProof/>
          <w:sz w:val="22"/>
          <w:szCs w:val="22"/>
        </w:rPr>
      </w:pPr>
      <w:r>
        <w:rPr>
          <w:noProof/>
          <w:sz w:val="22"/>
        </w:rPr>
        <w:t xml:space="preserve">Europeiska kommissionen (2024), </w:t>
      </w:r>
      <w:r>
        <w:rPr>
          <w:i/>
          <w:noProof/>
          <w:sz w:val="22"/>
        </w:rPr>
        <w:t>2024 års rapport om rättsstatsprincipen, Landskapitel om rättsstatssituationen i Finland.</w:t>
      </w:r>
    </w:p>
    <w:p w14:paraId="4E1D7BDA" w14:textId="77777777" w:rsidR="00A40F04" w:rsidRPr="00A40F04" w:rsidRDefault="00A40F04" w:rsidP="00493753">
      <w:pPr>
        <w:rPr>
          <w:noProof/>
          <w:sz w:val="22"/>
          <w:szCs w:val="22"/>
        </w:rPr>
      </w:pPr>
      <w:r>
        <w:rPr>
          <w:noProof/>
          <w:sz w:val="22"/>
        </w:rPr>
        <w:t xml:space="preserve">Europeiska kommissionen (2024), </w:t>
      </w:r>
      <w:r>
        <w:rPr>
          <w:i/>
          <w:noProof/>
          <w:sz w:val="22"/>
        </w:rPr>
        <w:t>Resultattavlan för rättskipningen i EU 2024.</w:t>
      </w:r>
    </w:p>
    <w:p w14:paraId="5C2532E9" w14:textId="77777777" w:rsidR="00A40F04" w:rsidRPr="00A40F04" w:rsidRDefault="00A40F04" w:rsidP="00493753">
      <w:pPr>
        <w:rPr>
          <w:noProof/>
          <w:sz w:val="22"/>
          <w:szCs w:val="22"/>
        </w:rPr>
      </w:pPr>
      <w:r>
        <w:rPr>
          <w:noProof/>
          <w:sz w:val="22"/>
        </w:rPr>
        <w:t xml:space="preserve">Europeiska kommissionen (2024), </w:t>
      </w:r>
      <w:r>
        <w:rPr>
          <w:i/>
          <w:noProof/>
          <w:sz w:val="22"/>
        </w:rPr>
        <w:t>Resultattavlan för den inre marknaden och konkurrenskraften 2023.</w:t>
      </w:r>
    </w:p>
    <w:p w14:paraId="1A1F07E3" w14:textId="548BBE9C" w:rsidR="00A40F04" w:rsidRDefault="2ADD5615" w:rsidP="58897ABF">
      <w:pPr>
        <w:rPr>
          <w:i/>
          <w:iCs/>
          <w:noProof/>
          <w:sz w:val="22"/>
          <w:szCs w:val="22"/>
        </w:rPr>
      </w:pPr>
      <w:r>
        <w:rPr>
          <w:noProof/>
          <w:sz w:val="22"/>
        </w:rPr>
        <w:t xml:space="preserve">Europeiska kommissionen (2025), </w:t>
      </w:r>
      <w:r>
        <w:rPr>
          <w:i/>
          <w:noProof/>
          <w:sz w:val="22"/>
        </w:rPr>
        <w:t>Resultattavlan för rättskipningen i EU 2025.</w:t>
      </w:r>
    </w:p>
    <w:p w14:paraId="6D7C73B4" w14:textId="5BF0E591" w:rsidR="58897ABF" w:rsidRPr="005B5C9C" w:rsidRDefault="385BA364" w:rsidP="2F25672D">
      <w:pPr>
        <w:rPr>
          <w:noProof/>
          <w:sz w:val="22"/>
          <w:szCs w:val="22"/>
        </w:rPr>
      </w:pPr>
      <w:r>
        <w:rPr>
          <w:noProof/>
          <w:sz w:val="22"/>
        </w:rPr>
        <w:t>Europeiska domstolen för de mänskliga rättigheterna, dom av den 20 augusti 2014,</w:t>
      </w:r>
      <w:r>
        <w:rPr>
          <w:noProof/>
        </w:rPr>
        <w:t xml:space="preserve"> Nykänen mot Finland, 11828/11.</w:t>
      </w:r>
    </w:p>
    <w:p w14:paraId="41F1AC6A" w14:textId="77777777" w:rsidR="001D4D86" w:rsidRDefault="001D4D86" w:rsidP="001D4D86">
      <w:pPr>
        <w:rPr>
          <w:i/>
          <w:iCs/>
          <w:noProof/>
          <w:sz w:val="22"/>
          <w:szCs w:val="22"/>
        </w:rPr>
      </w:pPr>
      <w:r>
        <w:rPr>
          <w:noProof/>
          <w:sz w:val="22"/>
        </w:rPr>
        <w:t xml:space="preserve">European Implementation Network (EIN) (2025), </w:t>
      </w:r>
      <w:r>
        <w:rPr>
          <w:i/>
          <w:noProof/>
          <w:sz w:val="22"/>
        </w:rPr>
        <w:t>skriftligt bidrag till 2025 års rapport om rättsstatsprincipen.</w:t>
      </w:r>
    </w:p>
    <w:p w14:paraId="3AC1BC40" w14:textId="26A6FCD1" w:rsidR="001D4D86" w:rsidRPr="001D4D86" w:rsidRDefault="001D4D86" w:rsidP="00493753">
      <w:pPr>
        <w:rPr>
          <w:noProof/>
          <w:sz w:val="22"/>
          <w:szCs w:val="22"/>
        </w:rPr>
      </w:pPr>
      <w:r>
        <w:rPr>
          <w:noProof/>
          <w:sz w:val="22"/>
        </w:rPr>
        <w:t xml:space="preserve">Europeiska åklagarmyndigheten (Eppo) (2025), </w:t>
      </w:r>
      <w:r>
        <w:rPr>
          <w:i/>
          <w:noProof/>
          <w:sz w:val="22"/>
        </w:rPr>
        <w:t>Årsrapport 2024</w:t>
      </w:r>
      <w:r>
        <w:rPr>
          <w:noProof/>
          <w:sz w:val="22"/>
        </w:rPr>
        <w:t xml:space="preserve">, </w:t>
      </w:r>
      <w:hyperlink r:id="rId29">
        <w:r>
          <w:rPr>
            <w:rStyle w:val="Hyperlink"/>
            <w:noProof/>
            <w:sz w:val="22"/>
          </w:rPr>
          <w:t>Eppos årsrapport 2024_2.pdf.</w:t>
        </w:r>
      </w:hyperlink>
    </w:p>
    <w:p w14:paraId="337E50E1" w14:textId="77777777" w:rsidR="00A40F04" w:rsidRPr="00A40F04" w:rsidRDefault="00A40F04" w:rsidP="00493753">
      <w:pPr>
        <w:rPr>
          <w:noProof/>
          <w:sz w:val="22"/>
          <w:szCs w:val="22"/>
        </w:rPr>
      </w:pPr>
      <w:r>
        <w:rPr>
          <w:noProof/>
          <w:sz w:val="22"/>
        </w:rPr>
        <w:t xml:space="preserve">Centralhandelskammaren (2025), </w:t>
      </w:r>
      <w:r>
        <w:rPr>
          <w:i/>
          <w:noProof/>
          <w:sz w:val="22"/>
        </w:rPr>
        <w:t>skriftligt bidrag till 2025 års rapport om rättsstatsprincipen.</w:t>
      </w:r>
    </w:p>
    <w:p w14:paraId="0FF1912C" w14:textId="77777777" w:rsidR="00A40F04" w:rsidRPr="00A40F04" w:rsidRDefault="00A40F04" w:rsidP="00493753">
      <w:pPr>
        <w:rPr>
          <w:noProof/>
          <w:sz w:val="22"/>
          <w:szCs w:val="22"/>
        </w:rPr>
      </w:pPr>
      <w:r>
        <w:rPr>
          <w:noProof/>
          <w:sz w:val="22"/>
        </w:rPr>
        <w:t xml:space="preserve">Opinionsnämnden för massmedier (2024), </w:t>
      </w:r>
      <w:r>
        <w:rPr>
          <w:i/>
          <w:noProof/>
          <w:sz w:val="22"/>
        </w:rPr>
        <w:t>Journalistreglerna</w:t>
      </w:r>
      <w:r>
        <w:rPr>
          <w:noProof/>
          <w:sz w:val="22"/>
        </w:rPr>
        <w:t>,</w:t>
      </w:r>
      <w:r>
        <w:rPr>
          <w:noProof/>
        </w:rPr>
        <w:t xml:space="preserve"> </w:t>
      </w:r>
      <w:hyperlink r:id="rId30" w:history="1">
        <w:r>
          <w:rPr>
            <w:noProof/>
            <w:color w:val="0563C1" w:themeColor="hyperlink"/>
            <w:sz w:val="22"/>
            <w:u w:val="single"/>
          </w:rPr>
          <w:t>https://jsn.fi/sv/journalistreglerna-2/</w:t>
        </w:r>
      </w:hyperlink>
      <w:r>
        <w:rPr>
          <w:noProof/>
          <w:sz w:val="22"/>
        </w:rPr>
        <w:t>.</w:t>
      </w:r>
    </w:p>
    <w:p w14:paraId="415AF8C3" w14:textId="5A8A0AF8" w:rsidR="00A40F04" w:rsidRPr="00A40F04" w:rsidRDefault="00A40F04" w:rsidP="00493753">
      <w:pPr>
        <w:rPr>
          <w:noProof/>
          <w:sz w:val="22"/>
          <w:szCs w:val="22"/>
        </w:rPr>
      </w:pPr>
      <w:r>
        <w:rPr>
          <w:noProof/>
          <w:sz w:val="22"/>
        </w:rPr>
        <w:t xml:space="preserve">Opinionsnämnden för massmedier (2024), </w:t>
      </w:r>
      <w:r>
        <w:rPr>
          <w:i/>
          <w:noProof/>
          <w:sz w:val="22"/>
        </w:rPr>
        <w:t>Tillämpningsguiden för Journalistreglerna</w:t>
      </w:r>
      <w:r>
        <w:rPr>
          <w:noProof/>
          <w:sz w:val="22"/>
        </w:rPr>
        <w:t>,</w:t>
      </w:r>
      <w:r>
        <w:rPr>
          <w:noProof/>
        </w:rPr>
        <w:t xml:space="preserve"> </w:t>
      </w:r>
      <w:hyperlink r:id="rId31" w:history="1">
        <w:r>
          <w:rPr>
            <w:noProof/>
            <w:color w:val="0563C1" w:themeColor="hyperlink"/>
            <w:sz w:val="22"/>
            <w:u w:val="single"/>
          </w:rPr>
          <w:t>https://jsn.fi/sv/journalistreglerna-2/tillampningsguiden-for-journalistreglerna/</w:t>
        </w:r>
      </w:hyperlink>
      <w:r>
        <w:rPr>
          <w:noProof/>
          <w:sz w:val="22"/>
        </w:rPr>
        <w:t>.</w:t>
      </w:r>
    </w:p>
    <w:p w14:paraId="5A061805" w14:textId="2987A237" w:rsidR="00A40F04" w:rsidRPr="00A40F04" w:rsidRDefault="00A40F04" w:rsidP="00493753">
      <w:pPr>
        <w:rPr>
          <w:noProof/>
          <w:sz w:val="22"/>
          <w:szCs w:val="22"/>
        </w:rPr>
      </w:pPr>
      <w:r>
        <w:rPr>
          <w:noProof/>
          <w:sz w:val="22"/>
        </w:rPr>
        <w:t>Opinionsnämnden för massmedier (2025), Årsrapport 2024 (</w:t>
      </w:r>
      <w:r>
        <w:rPr>
          <w:i/>
          <w:noProof/>
          <w:sz w:val="22"/>
        </w:rPr>
        <w:t>Julkisen Sanan Neuvoston Toimintakertomus 2024</w:t>
      </w:r>
      <w:r>
        <w:rPr>
          <w:noProof/>
          <w:sz w:val="22"/>
        </w:rPr>
        <w:t xml:space="preserve">), </w:t>
      </w:r>
      <w:hyperlink r:id="rId32" w:history="1">
        <w:r>
          <w:rPr>
            <w:noProof/>
            <w:color w:val="0563C1" w:themeColor="hyperlink"/>
            <w:sz w:val="22"/>
            <w:u w:val="single"/>
          </w:rPr>
          <w:t>https://jsn.fi/wp-content/uploads/2025/03/JSN_vuosikertomus_2024.pdf</w:t>
        </w:r>
      </w:hyperlink>
      <w:r>
        <w:rPr>
          <w:noProof/>
          <w:sz w:val="22"/>
        </w:rPr>
        <w:t>.</w:t>
      </w:r>
    </w:p>
    <w:p w14:paraId="36D46716" w14:textId="0FFB3C70" w:rsidR="00A40F04" w:rsidRPr="00A40F04" w:rsidRDefault="00A40F04" w:rsidP="00493753">
      <w:pPr>
        <w:rPr>
          <w:noProof/>
          <w:sz w:val="22"/>
          <w:szCs w:val="22"/>
        </w:rPr>
      </w:pPr>
      <w:r>
        <w:rPr>
          <w:noProof/>
        </w:rPr>
        <w:t xml:space="preserve">Statsrådet (2024), </w:t>
      </w:r>
      <w:r>
        <w:rPr>
          <w:i/>
          <w:noProof/>
        </w:rPr>
        <w:t>Behovet av att utveckla strafflagen i fråga om mutbrott</w:t>
      </w:r>
      <w:r>
        <w:rPr>
          <w:noProof/>
        </w:rPr>
        <w:t xml:space="preserve">, </w:t>
      </w:r>
      <w:hyperlink r:id="rId33">
        <w:r>
          <w:rPr>
            <w:noProof/>
            <w:color w:val="0563C1"/>
            <w:sz w:val="22"/>
            <w:u w:val="single"/>
          </w:rPr>
          <w:t>https://julkaisut.valtioneuvosto.fi/handle/10024/165674</w:t>
        </w:r>
      </w:hyperlink>
      <w:r>
        <w:rPr>
          <w:noProof/>
          <w:sz w:val="22"/>
        </w:rPr>
        <w:t>.</w:t>
      </w:r>
    </w:p>
    <w:p w14:paraId="3815475C" w14:textId="6A36F6F7" w:rsidR="00A40F04" w:rsidRDefault="00A40F04" w:rsidP="2F25672D">
      <w:pPr>
        <w:rPr>
          <w:i/>
          <w:noProof/>
          <w:sz w:val="22"/>
          <w:szCs w:val="22"/>
        </w:rPr>
      </w:pPr>
      <w:r>
        <w:rPr>
          <w:noProof/>
          <w:sz w:val="22"/>
        </w:rPr>
        <w:t xml:space="preserve">Statsrådet (2025), </w:t>
      </w:r>
      <w:r>
        <w:rPr>
          <w:i/>
          <w:noProof/>
          <w:sz w:val="22"/>
        </w:rPr>
        <w:t>skriftligt bidrag till 2025 års rapport om rättsstatsprincipen.</w:t>
      </w:r>
    </w:p>
    <w:p w14:paraId="1821E263" w14:textId="52EC0619" w:rsidR="00347393" w:rsidRPr="00347393" w:rsidRDefault="00CA2125" w:rsidP="2F25672D">
      <w:pPr>
        <w:rPr>
          <w:noProof/>
          <w:sz w:val="22"/>
          <w:szCs w:val="22"/>
        </w:rPr>
      </w:pPr>
      <w:r>
        <w:rPr>
          <w:noProof/>
        </w:rPr>
        <w:tab/>
        <w:t xml:space="preserve">Statsrådet (2025), Statsrådets principbeslut om en nationell strategi och ett åtgärdsprogram för bekämpning av korruption 2025–2027, </w:t>
      </w:r>
      <w:hyperlink r:id="rId34" w:history="1">
        <w:r>
          <w:rPr>
            <w:rStyle w:val="Hyperlink"/>
            <w:noProof/>
            <w:sz w:val="22"/>
          </w:rPr>
          <w:t>https://julkaisut.valtioneuvosto.fi/handle/10024/166362</w:t>
        </w:r>
      </w:hyperlink>
      <w:r>
        <w:rPr>
          <w:noProof/>
        </w:rPr>
        <w:t>.</w:t>
      </w:r>
    </w:p>
    <w:p w14:paraId="09D3FE83" w14:textId="77777777" w:rsidR="00A40F04" w:rsidRPr="00A40F04" w:rsidRDefault="00A40F04" w:rsidP="00493753">
      <w:pPr>
        <w:rPr>
          <w:noProof/>
          <w:sz w:val="22"/>
          <w:szCs w:val="22"/>
        </w:rPr>
      </w:pPr>
      <w:r>
        <w:rPr>
          <w:noProof/>
          <w:sz w:val="22"/>
        </w:rPr>
        <w:t>Medieförbundet (2024), artikel om att finansieringen av Yle bör inriktas på det centrala uppdraget att verka i allmänhetens tjänst (</w:t>
      </w:r>
      <w:r>
        <w:rPr>
          <w:i/>
          <w:noProof/>
          <w:sz w:val="22"/>
        </w:rPr>
        <w:t>Yleisradion rahoitus tulee ohjata julkisen palvelun ydintehtävään</w:t>
      </w:r>
      <w:r>
        <w:rPr>
          <w:noProof/>
          <w:sz w:val="22"/>
        </w:rPr>
        <w:t xml:space="preserve">), </w:t>
      </w:r>
      <w:hyperlink r:id="rId35" w:history="1">
        <w:r>
          <w:rPr>
            <w:noProof/>
            <w:color w:val="0563C1" w:themeColor="hyperlink"/>
            <w:sz w:val="22"/>
            <w:u w:val="single"/>
          </w:rPr>
          <w:t>https://www.medialiitto.fi/uutiset/yleisradion-rahoitus-tulee-ohjata-julkisen-palvelun-ydintehtavaan/</w:t>
        </w:r>
      </w:hyperlink>
      <w:r>
        <w:rPr>
          <w:noProof/>
          <w:sz w:val="22"/>
        </w:rPr>
        <w:t>.</w:t>
      </w:r>
    </w:p>
    <w:p w14:paraId="24D7ADE0" w14:textId="77777777" w:rsidR="00A40F04" w:rsidRPr="00A40F04" w:rsidRDefault="00A40F04" w:rsidP="00493753">
      <w:pPr>
        <w:rPr>
          <w:noProof/>
          <w:sz w:val="22"/>
          <w:szCs w:val="22"/>
        </w:rPr>
      </w:pPr>
      <w:r>
        <w:rPr>
          <w:noProof/>
          <w:sz w:val="22"/>
        </w:rPr>
        <w:t xml:space="preserve">Finlands Journalistförbund (2024), </w:t>
      </w:r>
      <w:r>
        <w:rPr>
          <w:i/>
          <w:noProof/>
          <w:sz w:val="22"/>
        </w:rPr>
        <w:t>Nya journalistreglerna träder i kraft 1 oktober</w:t>
      </w:r>
      <w:r>
        <w:rPr>
          <w:noProof/>
          <w:sz w:val="22"/>
        </w:rPr>
        <w:t xml:space="preserve">, </w:t>
      </w:r>
      <w:hyperlink r:id="rId36" w:history="1">
        <w:r>
          <w:rPr>
            <w:noProof/>
            <w:color w:val="0563C1" w:themeColor="hyperlink"/>
            <w:sz w:val="22"/>
            <w:u w:val="single"/>
          </w:rPr>
          <w:t>https://journalistiliitto.fi/sv/nya-journalistreglerna-trader-i-kraft-1-oktober/</w:t>
        </w:r>
      </w:hyperlink>
      <w:r>
        <w:rPr>
          <w:noProof/>
          <w:sz w:val="22"/>
        </w:rPr>
        <w:t>.</w:t>
      </w:r>
    </w:p>
    <w:p w14:paraId="01362C64" w14:textId="61B9C113" w:rsidR="00A40F04" w:rsidRPr="00A40F04" w:rsidRDefault="00A40F04" w:rsidP="00493753">
      <w:pPr>
        <w:rPr>
          <w:noProof/>
          <w:sz w:val="22"/>
          <w:szCs w:val="22"/>
        </w:rPr>
      </w:pPr>
      <w:r>
        <w:rPr>
          <w:noProof/>
          <w:sz w:val="22"/>
        </w:rPr>
        <w:t>Finlands Journalistförbund (2024a), Journalistförbundet: Regeringens beslut att stödja ONM är rätt (</w:t>
      </w:r>
      <w:r>
        <w:rPr>
          <w:i/>
          <w:noProof/>
          <w:sz w:val="22"/>
        </w:rPr>
        <w:t xml:space="preserve">Journalistförbundet: </w:t>
      </w:r>
      <w:r>
        <w:rPr>
          <w:i/>
          <w:noProof/>
        </w:rPr>
        <w:t>Regeringens beslut att stödja ONM är rätt</w:t>
      </w:r>
      <w:r>
        <w:rPr>
          <w:noProof/>
        </w:rPr>
        <w:t>)</w:t>
      </w:r>
      <w:hyperlink r:id="rId37" w:history="1">
        <w:r>
          <w:rPr>
            <w:noProof/>
            <w:color w:val="0563C1" w:themeColor="hyperlink"/>
            <w:sz w:val="22"/>
            <w:u w:val="single"/>
          </w:rPr>
          <w:t>https://journalistiliitto.fi/sv/regeringens-beslut-att-stodja-onm-ar-ratt/</w:t>
        </w:r>
      </w:hyperlink>
      <w:r>
        <w:rPr>
          <w:noProof/>
          <w:sz w:val="22"/>
        </w:rPr>
        <w:t>.</w:t>
      </w:r>
    </w:p>
    <w:p w14:paraId="1651ACC8" w14:textId="2513A5B3" w:rsidR="00A40F04" w:rsidRPr="00A40F04" w:rsidRDefault="00A40F04" w:rsidP="00493753">
      <w:pPr>
        <w:rPr>
          <w:noProof/>
          <w:sz w:val="22"/>
          <w:szCs w:val="22"/>
        </w:rPr>
      </w:pPr>
      <w:r>
        <w:rPr>
          <w:noProof/>
          <w:sz w:val="22"/>
        </w:rPr>
        <w:t>Finlands Journalistförbund (2024b), Journalistförbundet: Yles uppsägningar har betydande inverkan på inhemsk informationsspridning och kultur (</w:t>
      </w:r>
      <w:r>
        <w:rPr>
          <w:i/>
          <w:noProof/>
          <w:sz w:val="22"/>
        </w:rPr>
        <w:t xml:space="preserve">Journalistförbundet: </w:t>
      </w:r>
      <w:r>
        <w:rPr>
          <w:i/>
          <w:noProof/>
        </w:rPr>
        <w:t>Yles uppsägningar har betydande inverkan på inhemsk informationsspridning och kultur</w:t>
      </w:r>
      <w:r>
        <w:rPr>
          <w:noProof/>
        </w:rPr>
        <w:t xml:space="preserve">) </w:t>
      </w:r>
      <w:hyperlink r:id="rId38" w:history="1">
        <w:r>
          <w:rPr>
            <w:noProof/>
            <w:color w:val="0563C1" w:themeColor="hyperlink"/>
            <w:sz w:val="22"/>
            <w:u w:val="single"/>
          </w:rPr>
          <w:t>https://journalistiliitto.fi/sv/journalistforbundet-yles-uppsagningar-har-betydande-inverkan-pa-inhemsk-informationsspridning-och-kultur/</w:t>
        </w:r>
      </w:hyperlink>
      <w:r>
        <w:rPr>
          <w:noProof/>
          <w:sz w:val="22"/>
        </w:rPr>
        <w:t>.</w:t>
      </w:r>
    </w:p>
    <w:p w14:paraId="565E2DD4" w14:textId="1F347B0F" w:rsidR="00A40F04" w:rsidRPr="00A40F04" w:rsidRDefault="00A40F04" w:rsidP="00493753">
      <w:pPr>
        <w:rPr>
          <w:noProof/>
          <w:sz w:val="22"/>
          <w:szCs w:val="22"/>
        </w:rPr>
      </w:pPr>
      <w:r>
        <w:rPr>
          <w:noProof/>
          <w:sz w:val="22"/>
        </w:rPr>
        <w:t>Finlands journalistförbund (2025), artikel om att Yles uppsägningar försvagar länens röst (</w:t>
      </w:r>
      <w:r>
        <w:rPr>
          <w:i/>
          <w:noProof/>
          <w:sz w:val="22"/>
        </w:rPr>
        <w:t>Yleisradion irtisanomiset heikentävät maakuntien ääntä</w:t>
      </w:r>
      <w:r>
        <w:rPr>
          <w:noProof/>
          <w:sz w:val="22"/>
        </w:rPr>
        <w:t>)</w:t>
      </w:r>
      <w:r>
        <w:rPr>
          <w:noProof/>
        </w:rPr>
        <w:fldChar w:fldCharType="begin" w:fldLock="1"/>
      </w:r>
      <w:r>
        <w:rPr>
          <w:noProof/>
        </w:rPr>
        <w:instrText>H"https://journalistiliitto.fi/fi/yleisradion-irtisanomiset-heikentavat-maakuntien-aanta/"</w:instrText>
      </w:r>
      <w:r>
        <w:rPr>
          <w:noProof/>
        </w:rPr>
        <w:fldChar w:fldCharType="separate"/>
      </w:r>
      <w:r>
        <w:rPr>
          <w:noProof/>
          <w:color w:val="0563C1" w:themeColor="hyperlink"/>
          <w:sz w:val="22"/>
          <w:u w:val="single"/>
        </w:rPr>
        <w:t>https://journalistiliitto.fi/fi/yleisradion-irtisanomiset-heikentavat-maakuntien-aanta/</w:t>
      </w:r>
      <w:r>
        <w:rPr>
          <w:noProof/>
        </w:rPr>
        <w:fldChar w:fldCharType="end"/>
      </w:r>
      <w:r>
        <w:rPr>
          <w:noProof/>
          <w:sz w:val="22"/>
        </w:rPr>
        <w:t>.</w:t>
      </w:r>
    </w:p>
    <w:p w14:paraId="7610F3B1" w14:textId="33EDF2AB" w:rsidR="00A40F04" w:rsidRPr="00C25C90" w:rsidRDefault="00A40F04" w:rsidP="00493753">
      <w:pPr>
        <w:rPr>
          <w:noProof/>
          <w:sz w:val="22"/>
          <w:szCs w:val="22"/>
        </w:rPr>
      </w:pPr>
      <w:r>
        <w:rPr>
          <w:noProof/>
          <w:sz w:val="22"/>
        </w:rPr>
        <w:t xml:space="preserve">Statsrådets kansli (2022), </w:t>
      </w:r>
      <w:r>
        <w:rPr>
          <w:i/>
          <w:noProof/>
          <w:sz w:val="22"/>
        </w:rPr>
        <w:t>Mutor i internationell näringsverksamhet</w:t>
      </w:r>
      <w:r>
        <w:rPr>
          <w:i/>
          <w:noProof/>
          <w:sz w:val="22"/>
        </w:rPr>
        <w:cr/>
      </w:r>
      <w:r>
        <w:rPr>
          <w:i/>
          <w:noProof/>
          <w:sz w:val="22"/>
        </w:rPr>
        <w:br/>
        <w:t>Den nuvarande tillståndet och ändringsbehoven av reglering,</w:t>
      </w:r>
      <w:r>
        <w:rPr>
          <w:i/>
          <w:noProof/>
          <w:sz w:val="22"/>
        </w:rPr>
        <w:cr/>
      </w:r>
      <w:r>
        <w:rPr>
          <w:i/>
          <w:noProof/>
          <w:sz w:val="22"/>
        </w:rPr>
        <w:br/>
        <w:t>tillämpningspraxis och utbildning</w:t>
      </w:r>
      <w:r>
        <w:rPr>
          <w:noProof/>
          <w:sz w:val="22"/>
        </w:rPr>
        <w:t>,</w:t>
      </w:r>
      <w:r>
        <w:rPr>
          <w:i/>
          <w:noProof/>
          <w:sz w:val="22"/>
        </w:rPr>
        <w:t xml:space="preserve"> </w:t>
      </w:r>
      <w:hyperlink r:id="rId39" w:history="1">
        <w:r>
          <w:rPr>
            <w:rStyle w:val="Hyperlink"/>
            <w:noProof/>
            <w:sz w:val="22"/>
          </w:rPr>
          <w:t>https://julkaisut.valtioneuvosto.fi/handle/10024/163811</w:t>
        </w:r>
      </w:hyperlink>
      <w:r>
        <w:rPr>
          <w:noProof/>
        </w:rPr>
        <w:t>.</w:t>
      </w:r>
    </w:p>
    <w:p w14:paraId="0361D560" w14:textId="67DD732E" w:rsidR="00A40F04" w:rsidRPr="00A40F04" w:rsidRDefault="00A40F04" w:rsidP="00493753">
      <w:pPr>
        <w:rPr>
          <w:noProof/>
          <w:sz w:val="22"/>
          <w:szCs w:val="22"/>
        </w:rPr>
      </w:pPr>
      <w:r>
        <w:rPr>
          <w:i/>
          <w:noProof/>
          <w:sz w:val="22"/>
        </w:rPr>
        <w:t>Greco (2018), femte utvärderingsomgången – utvärderingsrapport om Finland om förebyggande av korruption och främjande av integritet i centralregeringar (höga verkställande funktioner) och brottsbekämpande myndigheter.</w:t>
      </w:r>
      <w:hyperlink r:id="rId40">
        <w:r>
          <w:rPr>
            <w:rStyle w:val="Hyperlink"/>
            <w:noProof/>
            <w:sz w:val="22"/>
          </w:rPr>
          <w:t>Femte utvärderingsomgången</w:t>
        </w:r>
      </w:hyperlink>
      <w:r>
        <w:rPr>
          <w:i/>
          <w:noProof/>
          <w:sz w:val="22"/>
        </w:rPr>
        <w:t xml:space="preserve">. </w:t>
      </w:r>
    </w:p>
    <w:p w14:paraId="5B4371F4" w14:textId="7D086CEA" w:rsidR="00A40F04" w:rsidRPr="00A40F04" w:rsidRDefault="00A40F04" w:rsidP="00493753">
      <w:pPr>
        <w:rPr>
          <w:noProof/>
          <w:sz w:val="22"/>
          <w:szCs w:val="22"/>
        </w:rPr>
      </w:pPr>
      <w:r>
        <w:rPr>
          <w:noProof/>
          <w:sz w:val="22"/>
        </w:rPr>
        <w:t xml:space="preserve">Greco (2020), </w:t>
      </w:r>
      <w:r>
        <w:rPr>
          <w:i/>
          <w:noProof/>
          <w:sz w:val="22"/>
        </w:rPr>
        <w:t>femte utvärderingsomgången – efterlevnadsrapport om Finland om förebyggande av korruption och främjande av integritet i centralregeringar (höga verkställande funktioner) och brottsbekämpande myndigheter,</w:t>
      </w:r>
      <w:hyperlink r:id="rId41" w:history="1">
        <w:r>
          <w:rPr>
            <w:rStyle w:val="Hyperlink"/>
            <w:noProof/>
            <w:sz w:val="22"/>
          </w:rPr>
          <w:t>GRECO</w:t>
        </w:r>
      </w:hyperlink>
      <w:r>
        <w:rPr>
          <w:noProof/>
        </w:rPr>
        <w:t>.</w:t>
      </w:r>
    </w:p>
    <w:p w14:paraId="457792AE" w14:textId="337212D2" w:rsidR="00A40F04" w:rsidRPr="00A40F04" w:rsidRDefault="00A40F04" w:rsidP="00493753">
      <w:pPr>
        <w:rPr>
          <w:noProof/>
          <w:sz w:val="22"/>
          <w:szCs w:val="22"/>
        </w:rPr>
      </w:pPr>
      <w:r>
        <w:rPr>
          <w:noProof/>
          <w:sz w:val="22"/>
        </w:rPr>
        <w:t xml:space="preserve">Greco (2023), </w:t>
      </w:r>
      <w:r>
        <w:rPr>
          <w:i/>
          <w:noProof/>
          <w:sz w:val="22"/>
        </w:rPr>
        <w:t>femte utvärderingsomgången – andra efterlevnadsrapport om Finland om förebyggande av korruption och främjande av integritet i centralregeringar (höga verkställande funktioner) och brottsbekämpande myndigheter</w:t>
      </w:r>
      <w:r>
        <w:rPr>
          <w:noProof/>
          <w:sz w:val="22"/>
        </w:rPr>
        <w:t xml:space="preserve">, </w:t>
      </w:r>
      <w:hyperlink r:id="rId42" w:history="1">
        <w:r>
          <w:rPr>
            <w:rStyle w:val="Hyperlink"/>
            <w:noProof/>
            <w:sz w:val="22"/>
          </w:rPr>
          <w:t>GREC</w:t>
        </w:r>
        <w:bookmarkStart w:id="8" w:name="_Hlt201917997"/>
        <w:bookmarkStart w:id="9" w:name="_Hlt201917998"/>
        <w:bookmarkEnd w:id="8"/>
        <w:bookmarkEnd w:id="9"/>
        <w:r>
          <w:rPr>
            <w:rStyle w:val="Hyperlink"/>
            <w:noProof/>
            <w:sz w:val="22"/>
          </w:rPr>
          <w:t>O</w:t>
        </w:r>
      </w:hyperlink>
      <w:r>
        <w:rPr>
          <w:noProof/>
          <w:sz w:val="22"/>
        </w:rPr>
        <w:t xml:space="preserve">. </w:t>
      </w:r>
    </w:p>
    <w:p w14:paraId="1742EC6A" w14:textId="6F39AB88" w:rsidR="00A40F04" w:rsidRPr="00A40F04" w:rsidRDefault="00A40F04" w:rsidP="00493753">
      <w:pPr>
        <w:rPr>
          <w:noProof/>
          <w:sz w:val="22"/>
          <w:szCs w:val="22"/>
        </w:rPr>
      </w:pPr>
      <w:r>
        <w:rPr>
          <w:noProof/>
          <w:sz w:val="22"/>
        </w:rPr>
        <w:t xml:space="preserve">Greco (2024), </w:t>
      </w:r>
      <w:r>
        <w:rPr>
          <w:i/>
          <w:noProof/>
          <w:sz w:val="22"/>
        </w:rPr>
        <w:t>femte utvärderingsomgången – tillägg till den andra efterlevnadsrapport om Finland om förebyggande av korruption och främjande av integritet i centralregeringar (höga verkställande funktioner) och brottsbekämpande myndigheter,</w:t>
      </w:r>
      <w:hyperlink r:id="rId43">
        <w:r>
          <w:rPr>
            <w:rStyle w:val="Hyperlink"/>
            <w:noProof/>
            <w:sz w:val="22"/>
          </w:rPr>
          <w:t>GRECO</w:t>
        </w:r>
      </w:hyperlink>
      <w:r>
        <w:rPr>
          <w:noProof/>
        </w:rPr>
        <w:t>.</w:t>
      </w:r>
    </w:p>
    <w:p w14:paraId="7D7451C1" w14:textId="77777777" w:rsidR="00A40F04" w:rsidRPr="00A40F04" w:rsidRDefault="00A40F04" w:rsidP="00493753">
      <w:pPr>
        <w:rPr>
          <w:noProof/>
          <w:sz w:val="22"/>
          <w:szCs w:val="22"/>
        </w:rPr>
      </w:pPr>
      <w:r>
        <w:rPr>
          <w:noProof/>
          <w:sz w:val="22"/>
        </w:rPr>
        <w:t xml:space="preserve">Journalisti (2025), artikel om att journalister upplever ökade trakasserier och ökat tryck (”Journalistit kokevat häirinnän ja painostuksen aiempaa voimakkaammiksi”), </w:t>
      </w:r>
      <w:hyperlink r:id="rId44" w:history="1">
        <w:r>
          <w:rPr>
            <w:noProof/>
            <w:color w:val="0563C1" w:themeColor="hyperlink"/>
            <w:sz w:val="22"/>
            <w:u w:val="single"/>
          </w:rPr>
          <w:t>https://journalisti.fi/artikkelit/2025/02/journalistit-kokevat-hairinnan-ja-painostuksen-aiempaa-voimakkaammiksi/</w:t>
        </w:r>
      </w:hyperlink>
      <w:r>
        <w:rPr>
          <w:noProof/>
          <w:sz w:val="22"/>
        </w:rPr>
        <w:t>.</w:t>
      </w:r>
    </w:p>
    <w:p w14:paraId="7271629B" w14:textId="46CA490E" w:rsidR="00A40F04" w:rsidRDefault="00A40F04" w:rsidP="00493753">
      <w:pPr>
        <w:rPr>
          <w:noProof/>
          <w:sz w:val="22"/>
          <w:szCs w:val="22"/>
        </w:rPr>
      </w:pPr>
      <w:r>
        <w:rPr>
          <w:noProof/>
          <w:sz w:val="22"/>
        </w:rPr>
        <w:t xml:space="preserve">Media Freedom Rapid Response (2025), </w:t>
      </w:r>
      <w:r>
        <w:rPr>
          <w:i/>
          <w:noProof/>
          <w:sz w:val="22"/>
        </w:rPr>
        <w:t>Monitor – Finland</w:t>
      </w:r>
      <w:r>
        <w:rPr>
          <w:noProof/>
          <w:sz w:val="22"/>
        </w:rPr>
        <w:t xml:space="preserve">, </w:t>
      </w:r>
      <w:hyperlink r:id="rId45">
        <w:r>
          <w:rPr>
            <w:noProof/>
            <w:color w:val="0563C1"/>
            <w:sz w:val="22"/>
            <w:u w:val="single"/>
          </w:rPr>
          <w:t>https://www.mfrr.eu/monitor/</w:t>
        </w:r>
      </w:hyperlink>
      <w:r>
        <w:rPr>
          <w:noProof/>
          <w:sz w:val="22"/>
        </w:rPr>
        <w:t>.</w:t>
      </w:r>
    </w:p>
    <w:p w14:paraId="02E0BA24" w14:textId="77777777" w:rsidR="00A40F04" w:rsidRPr="00A40F04" w:rsidRDefault="00A40F04" w:rsidP="00493753">
      <w:pPr>
        <w:rPr>
          <w:noProof/>
          <w:sz w:val="22"/>
          <w:szCs w:val="22"/>
        </w:rPr>
      </w:pPr>
      <w:r>
        <w:rPr>
          <w:noProof/>
          <w:sz w:val="22"/>
        </w:rPr>
        <w:t xml:space="preserve">Justitieministeriet (2023), </w:t>
      </w:r>
      <w:r>
        <w:rPr>
          <w:i/>
          <w:noProof/>
          <w:sz w:val="22"/>
        </w:rPr>
        <w:t>Arbetsgrupp föreslår att offentlighetslagen revideras</w:t>
      </w:r>
      <w:r>
        <w:rPr>
          <w:noProof/>
          <w:sz w:val="22"/>
        </w:rPr>
        <w:t xml:space="preserve">, </w:t>
      </w:r>
      <w:hyperlink r:id="rId46" w:history="1">
        <w:r>
          <w:rPr>
            <w:noProof/>
            <w:color w:val="0563C1" w:themeColor="hyperlink"/>
            <w:sz w:val="22"/>
            <w:u w:val="single"/>
          </w:rPr>
          <w:t>https://oikeusministerio.fi/sv/-/arbetsgrupp-foreslar-att-offentlighetslagen-revideras</w:t>
        </w:r>
      </w:hyperlink>
      <w:r>
        <w:rPr>
          <w:noProof/>
          <w:sz w:val="22"/>
        </w:rPr>
        <w:t>.</w:t>
      </w:r>
    </w:p>
    <w:p w14:paraId="0251A4DD" w14:textId="77777777" w:rsidR="00A40F04" w:rsidRPr="006309EC" w:rsidRDefault="00A40F04" w:rsidP="00493753">
      <w:pPr>
        <w:rPr>
          <w:i/>
          <w:iCs/>
          <w:noProof/>
          <w:sz w:val="22"/>
          <w:szCs w:val="22"/>
        </w:rPr>
      </w:pPr>
      <w:r>
        <w:rPr>
          <w:noProof/>
          <w:sz w:val="22"/>
        </w:rPr>
        <w:t xml:space="preserve">Domstolsverket (2025), </w:t>
      </w:r>
      <w:r>
        <w:rPr>
          <w:i/>
          <w:noProof/>
          <w:sz w:val="22"/>
        </w:rPr>
        <w:t>ytterligare skriftligt bidrag till 2025 års rapport om rättsstatsprincipen.</w:t>
      </w:r>
    </w:p>
    <w:p w14:paraId="112E6518" w14:textId="552BA6DD" w:rsidR="00A40F04" w:rsidRPr="00A40F04" w:rsidRDefault="00A40F04" w:rsidP="00493753">
      <w:pPr>
        <w:rPr>
          <w:noProof/>
          <w:sz w:val="22"/>
          <w:szCs w:val="22"/>
        </w:rPr>
      </w:pPr>
      <w:r>
        <w:rPr>
          <w:i/>
          <w:noProof/>
        </w:rPr>
        <w:t>Statens revisionsverk (2022), Berättelse om tillsynen över partifinansiering 2022,</w:t>
      </w:r>
      <w:r>
        <w:rPr>
          <w:noProof/>
        </w:rPr>
        <w:t xml:space="preserve"> </w:t>
      </w:r>
      <w:hyperlink r:id="rId47" w:history="1">
        <w:r>
          <w:rPr>
            <w:rStyle w:val="Hyperlink"/>
            <w:noProof/>
            <w:sz w:val="22"/>
          </w:rPr>
          <w:t>Revisionsverkets rapport till riksdagen om tillsynen över partifinansieringen 2022</w:t>
        </w:r>
      </w:hyperlink>
      <w:r>
        <w:rPr>
          <w:noProof/>
        </w:rPr>
        <w:t>.</w:t>
      </w:r>
      <w:r>
        <w:rPr>
          <w:noProof/>
          <w:sz w:val="22"/>
        </w:rPr>
        <w:t xml:space="preserve"> </w:t>
      </w:r>
    </w:p>
    <w:p w14:paraId="3BE8F3AD" w14:textId="19059EA9" w:rsidR="00A40F04" w:rsidRPr="00033A01" w:rsidRDefault="00A40F04" w:rsidP="00493753">
      <w:pPr>
        <w:rPr>
          <w:noProof/>
          <w:sz w:val="22"/>
          <w:szCs w:val="22"/>
          <w:lang w:val="fi-FI"/>
        </w:rPr>
      </w:pPr>
      <w:r>
        <w:rPr>
          <w:noProof/>
        </w:rPr>
        <w:t>Statens revisionsverk (2022), om att föreslagna ändringar av vallagen och partilagen kommer att avsevärt förbättra öppenheten (</w:t>
      </w:r>
      <w:r>
        <w:rPr>
          <w:i/>
          <w:noProof/>
        </w:rPr>
        <w:t>Vaali- ja puoluelakiin ehdotetut muutokset parantavat merkittävästi avoimuutta</w:t>
      </w:r>
      <w:r>
        <w:rPr>
          <w:noProof/>
        </w:rPr>
        <w:t xml:space="preserve">). </w:t>
      </w:r>
      <w:hyperlink r:id="rId48">
        <w:r w:rsidRPr="00033A01">
          <w:rPr>
            <w:rStyle w:val="Hyperlink"/>
            <w:noProof/>
            <w:sz w:val="22"/>
            <w:lang w:val="fi-FI"/>
          </w:rPr>
          <w:t>Vaali- ja puoluelakiin ehdotetut muutokset parantavat merkittävästi avoimuutta - Statens revisionsverk</w:t>
        </w:r>
      </w:hyperlink>
      <w:r w:rsidRPr="00033A01">
        <w:rPr>
          <w:noProof/>
          <w:lang w:val="fi-FI"/>
        </w:rPr>
        <w:t>.</w:t>
      </w:r>
    </w:p>
    <w:p w14:paraId="1C94097C" w14:textId="298A0FA1" w:rsidR="61350EFB" w:rsidRDefault="6941945D" w:rsidP="61350EFB">
      <w:pPr>
        <w:rPr>
          <w:noProof/>
          <w:sz w:val="22"/>
          <w:szCs w:val="22"/>
        </w:rPr>
      </w:pPr>
      <w:r>
        <w:rPr>
          <w:noProof/>
          <w:sz w:val="22"/>
        </w:rPr>
        <w:t xml:space="preserve">Polisstyrelsen (2025), </w:t>
      </w:r>
      <w:r>
        <w:rPr>
          <w:i/>
          <w:noProof/>
          <w:sz w:val="22"/>
        </w:rPr>
        <w:t>ytterligare skriftligt bidrag till 2025 års rapport om rättsstatsprincipen.</w:t>
      </w:r>
    </w:p>
    <w:p w14:paraId="72D8FB45" w14:textId="37AF538E" w:rsidR="00A40F04" w:rsidRPr="00A40F04" w:rsidRDefault="00A40F04" w:rsidP="00493753">
      <w:pPr>
        <w:rPr>
          <w:noProof/>
          <w:sz w:val="22"/>
          <w:szCs w:val="22"/>
        </w:rPr>
      </w:pPr>
      <w:r>
        <w:rPr>
          <w:noProof/>
          <w:sz w:val="22"/>
        </w:rPr>
        <w:t xml:space="preserve">Polisen i Finland (2024), </w:t>
      </w:r>
      <w:r>
        <w:rPr>
          <w:i/>
          <w:noProof/>
          <w:sz w:val="22"/>
        </w:rPr>
        <w:t>Polisens antikorruptionspolicy</w:t>
      </w:r>
      <w:r>
        <w:rPr>
          <w:noProof/>
          <w:sz w:val="22"/>
        </w:rPr>
        <w:t xml:space="preserve">, </w:t>
      </w:r>
      <w:hyperlink r:id="rId49">
        <w:r>
          <w:rPr>
            <w:noProof/>
            <w:color w:val="0563C1"/>
            <w:sz w:val="22"/>
            <w:u w:val="single"/>
          </w:rPr>
          <w:t>https://poliisi.fi/sv/polisens-antikorruptionspolicy</w:t>
        </w:r>
      </w:hyperlink>
      <w:r>
        <w:rPr>
          <w:noProof/>
          <w:sz w:val="22"/>
        </w:rPr>
        <w:t>.</w:t>
      </w:r>
    </w:p>
    <w:p w14:paraId="092C8260" w14:textId="77777777" w:rsidR="00A40F04" w:rsidRPr="00033A01" w:rsidRDefault="00A40F04" w:rsidP="00493753">
      <w:pPr>
        <w:rPr>
          <w:noProof/>
          <w:sz w:val="22"/>
          <w:szCs w:val="22"/>
          <w:lang w:val="en-US"/>
        </w:rPr>
      </w:pPr>
      <w:r w:rsidRPr="00033A01">
        <w:rPr>
          <w:noProof/>
          <w:sz w:val="22"/>
          <w:lang w:val="en-US"/>
        </w:rPr>
        <w:t xml:space="preserve">Public Media Alliance (2024), </w:t>
      </w:r>
      <w:r w:rsidRPr="00033A01">
        <w:rPr>
          <w:i/>
          <w:noProof/>
          <w:sz w:val="22"/>
          <w:lang w:val="en-US"/>
        </w:rPr>
        <w:t>Yle faces structural changes and major budget cuts,</w:t>
      </w:r>
      <w:r w:rsidRPr="00033A01">
        <w:rPr>
          <w:noProof/>
          <w:sz w:val="22"/>
          <w:lang w:val="en-US"/>
        </w:rPr>
        <w:t xml:space="preserve"> </w:t>
      </w:r>
      <w:hyperlink r:id="rId50" w:history="1">
        <w:r w:rsidRPr="00033A01">
          <w:rPr>
            <w:noProof/>
            <w:color w:val="0563C1" w:themeColor="hyperlink"/>
            <w:sz w:val="22"/>
            <w:u w:val="single"/>
            <w:lang w:val="en-US"/>
          </w:rPr>
          <w:t>https://www.publicmediaalliance.org/yle-faces-structural-changes-and-major-budget-cuts/</w:t>
        </w:r>
      </w:hyperlink>
      <w:r w:rsidRPr="00033A01">
        <w:rPr>
          <w:noProof/>
          <w:sz w:val="22"/>
          <w:lang w:val="en-US"/>
        </w:rPr>
        <w:t>.</w:t>
      </w:r>
    </w:p>
    <w:p w14:paraId="0B925D8B" w14:textId="77777777" w:rsidR="00A40F04" w:rsidRPr="00A40F04" w:rsidRDefault="00A40F04" w:rsidP="00493753">
      <w:pPr>
        <w:rPr>
          <w:noProof/>
          <w:sz w:val="22"/>
          <w:szCs w:val="22"/>
        </w:rPr>
      </w:pPr>
      <w:r>
        <w:rPr>
          <w:noProof/>
          <w:sz w:val="22"/>
        </w:rPr>
        <w:t xml:space="preserve">Transparency International (2025), </w:t>
      </w:r>
      <w:r>
        <w:rPr>
          <w:i/>
          <w:noProof/>
          <w:sz w:val="22"/>
        </w:rPr>
        <w:t>Korruptionsindex 2024</w:t>
      </w:r>
      <w:r>
        <w:rPr>
          <w:noProof/>
          <w:sz w:val="22"/>
        </w:rPr>
        <w:t>.</w:t>
      </w:r>
    </w:p>
    <w:p w14:paraId="091B479C" w14:textId="77777777" w:rsidR="00A40F04" w:rsidRPr="006309EC" w:rsidRDefault="00A40F04" w:rsidP="00493753">
      <w:pPr>
        <w:rPr>
          <w:i/>
          <w:iCs/>
          <w:noProof/>
          <w:sz w:val="22"/>
          <w:szCs w:val="22"/>
        </w:rPr>
      </w:pPr>
      <w:r>
        <w:rPr>
          <w:noProof/>
          <w:sz w:val="22"/>
        </w:rPr>
        <w:t xml:space="preserve">Transparency International Finland (2025), </w:t>
      </w:r>
      <w:r>
        <w:rPr>
          <w:i/>
          <w:noProof/>
          <w:sz w:val="22"/>
        </w:rPr>
        <w:t>skriftligt bidrag till 2025 års rapport om rättsstatsprincipen.</w:t>
      </w:r>
    </w:p>
    <w:p w14:paraId="7696E24B" w14:textId="77777777" w:rsidR="00A40F04" w:rsidRPr="00A40F04" w:rsidRDefault="00A40F04" w:rsidP="00493753">
      <w:pPr>
        <w:rPr>
          <w:noProof/>
          <w:sz w:val="22"/>
          <w:szCs w:val="22"/>
        </w:rPr>
      </w:pPr>
      <w:r>
        <w:rPr>
          <w:noProof/>
          <w:sz w:val="22"/>
        </w:rPr>
        <w:t xml:space="preserve">Öppenhetsregistret (2025), </w:t>
      </w:r>
      <w:hyperlink r:id="rId51">
        <w:r>
          <w:rPr>
            <w:noProof/>
            <w:color w:val="0563C1"/>
            <w:sz w:val="22"/>
            <w:u w:val="single"/>
          </w:rPr>
          <w:t>https://avoimuusrekisteri.fi/sv</w:t>
        </w:r>
      </w:hyperlink>
      <w:r>
        <w:rPr>
          <w:noProof/>
          <w:sz w:val="22"/>
        </w:rPr>
        <w:t>.</w:t>
      </w:r>
    </w:p>
    <w:p w14:paraId="1574410C" w14:textId="77777777" w:rsidR="00A40F04" w:rsidRPr="00A40F04" w:rsidRDefault="00A40F04" w:rsidP="00493753">
      <w:pPr>
        <w:rPr>
          <w:noProof/>
          <w:sz w:val="22"/>
          <w:szCs w:val="22"/>
        </w:rPr>
      </w:pPr>
      <w:r>
        <w:rPr>
          <w:noProof/>
          <w:sz w:val="22"/>
        </w:rPr>
        <w:t xml:space="preserve">Traficom (2024), </w:t>
      </w:r>
      <w:r>
        <w:rPr>
          <w:i/>
          <w:noProof/>
          <w:sz w:val="22"/>
        </w:rPr>
        <w:t>Transport- och kommunikationsverket Traficoms organisation förnyas</w:t>
      </w:r>
      <w:r>
        <w:rPr>
          <w:noProof/>
          <w:sz w:val="22"/>
        </w:rPr>
        <w:t xml:space="preserve">, </w:t>
      </w:r>
      <w:hyperlink r:id="rId52" w:history="1">
        <w:r>
          <w:rPr>
            <w:noProof/>
            <w:color w:val="0563C1" w:themeColor="hyperlink"/>
            <w:sz w:val="22"/>
            <w:u w:val="single"/>
          </w:rPr>
          <w:t>https://www.traficom.fi/sv/aktuellt/transport-och-kommunikationsverket-traficoms-organisation-fornyas</w:t>
        </w:r>
      </w:hyperlink>
      <w:r>
        <w:rPr>
          <w:noProof/>
          <w:sz w:val="22"/>
        </w:rPr>
        <w:t>.</w:t>
      </w:r>
    </w:p>
    <w:p w14:paraId="27F02F1F" w14:textId="6DC73A95" w:rsidR="00A40F04" w:rsidRPr="00A40F04" w:rsidRDefault="00A40F04" w:rsidP="00493753">
      <w:pPr>
        <w:rPr>
          <w:noProof/>
          <w:sz w:val="22"/>
          <w:szCs w:val="22"/>
        </w:rPr>
      </w:pPr>
      <w:r>
        <w:rPr>
          <w:noProof/>
          <w:sz w:val="22"/>
        </w:rPr>
        <w:t>Yle (2024), inslag om att staten avser att låta de anställda få sina juridiska utgifter befriade från arbetsgivarskatt (</w:t>
      </w:r>
      <w:r>
        <w:rPr>
          <w:i/>
          <w:noProof/>
          <w:sz w:val="22"/>
        </w:rPr>
        <w:t>Hallitus aikoo muuttaa työnantajan maksamat työntekijän oikeudenkäyntikulut verovapaiksi</w:t>
      </w:r>
      <w:r>
        <w:rPr>
          <w:noProof/>
          <w:sz w:val="22"/>
        </w:rPr>
        <w:t xml:space="preserve">), </w:t>
      </w:r>
      <w:hyperlink r:id="rId53" w:history="1">
        <w:r>
          <w:rPr>
            <w:noProof/>
            <w:color w:val="0563C1" w:themeColor="hyperlink"/>
            <w:sz w:val="22"/>
            <w:u w:val="single"/>
          </w:rPr>
          <w:t>https://yle.fi/a/74-20120436</w:t>
        </w:r>
      </w:hyperlink>
      <w:r>
        <w:rPr>
          <w:noProof/>
          <w:sz w:val="22"/>
        </w:rPr>
        <w:t>.</w:t>
      </w:r>
    </w:p>
    <w:p w14:paraId="444C6FDC" w14:textId="42BCBA68" w:rsidR="00A40F04" w:rsidRPr="00A40F04" w:rsidRDefault="00A40F04" w:rsidP="00493753">
      <w:pPr>
        <w:rPr>
          <w:noProof/>
          <w:sz w:val="22"/>
          <w:szCs w:val="22"/>
        </w:rPr>
      </w:pPr>
      <w:r>
        <w:rPr>
          <w:noProof/>
          <w:sz w:val="22"/>
        </w:rPr>
        <w:t>Yle (2025), inslag om att Yle inleder nya omställningsförhandlingar (</w:t>
      </w:r>
      <w:r>
        <w:rPr>
          <w:i/>
          <w:noProof/>
          <w:sz w:val="22"/>
        </w:rPr>
        <w:t>Yle aloittaa uudet muutosneuvottelut</w:t>
      </w:r>
      <w:r>
        <w:rPr>
          <w:noProof/>
          <w:sz w:val="22"/>
        </w:rPr>
        <w:t xml:space="preserve">), </w:t>
      </w:r>
      <w:hyperlink r:id="rId54">
        <w:r>
          <w:rPr>
            <w:noProof/>
            <w:color w:val="0563C1"/>
            <w:sz w:val="22"/>
            <w:u w:val="single"/>
          </w:rPr>
          <w:t>https://yle.fi/a/74-20156500</w:t>
        </w:r>
      </w:hyperlink>
      <w:r>
        <w:rPr>
          <w:noProof/>
          <w:sz w:val="22"/>
        </w:rPr>
        <w:t>.</w:t>
      </w:r>
    </w:p>
    <w:p w14:paraId="436C1C38" w14:textId="62C61047" w:rsidR="00A40F04" w:rsidRPr="00A40F04" w:rsidRDefault="00A40F04" w:rsidP="00493753">
      <w:pPr>
        <w:rPr>
          <w:noProof/>
          <w:sz w:val="22"/>
          <w:szCs w:val="22"/>
        </w:rPr>
      </w:pPr>
      <w:r>
        <w:rPr>
          <w:noProof/>
        </w:rPr>
        <w:t xml:space="preserve">Yle (2025), </w:t>
      </w:r>
      <w:r>
        <w:rPr>
          <w:i/>
          <w:noProof/>
        </w:rPr>
        <w:t>Yles omställningsförhandlingar har avslutats – personalstyrkan minskar med närmare 40</w:t>
      </w:r>
      <w:r>
        <w:rPr>
          <w:noProof/>
        </w:rPr>
        <w:t xml:space="preserve">, </w:t>
      </w:r>
      <w:hyperlink r:id="rId55" w:history="1">
        <w:r>
          <w:rPr>
            <w:rStyle w:val="Hyperlink"/>
            <w:noProof/>
            <w:sz w:val="22"/>
          </w:rPr>
          <w:t>https://svenska.yle.fi/a/7-10078921</w:t>
        </w:r>
      </w:hyperlink>
      <w:r>
        <w:rPr>
          <w:noProof/>
        </w:rPr>
        <w:t>.</w:t>
      </w:r>
    </w:p>
    <w:p w14:paraId="25836D42" w14:textId="77777777" w:rsidR="00A40F04" w:rsidRPr="00033A01" w:rsidRDefault="00A40F04" w:rsidP="00493753">
      <w:pPr>
        <w:rPr>
          <w:b/>
          <w:bCs/>
          <w:noProof/>
          <w:sz w:val="22"/>
          <w:szCs w:val="22"/>
          <w:lang w:eastAsia="en-GB"/>
        </w:rPr>
      </w:pPr>
    </w:p>
    <w:p w14:paraId="3E033972" w14:textId="77777777" w:rsidR="00A40F04" w:rsidRPr="00033A01" w:rsidRDefault="00A40F04" w:rsidP="00493753">
      <w:pPr>
        <w:rPr>
          <w:b/>
          <w:bCs/>
          <w:noProof/>
          <w:sz w:val="22"/>
          <w:szCs w:val="22"/>
          <w:lang w:eastAsia="en-GB"/>
        </w:rPr>
      </w:pPr>
    </w:p>
    <w:p w14:paraId="7CA8DED4" w14:textId="25A1EF5F" w:rsidR="00A40F04" w:rsidRPr="00A40F04" w:rsidRDefault="00A40F04" w:rsidP="00493753">
      <w:pPr>
        <w:rPr>
          <w:noProof/>
          <w:sz w:val="22"/>
          <w:szCs w:val="22"/>
        </w:rPr>
      </w:pPr>
      <w:r>
        <w:rPr>
          <w:b/>
          <w:noProof/>
          <w:sz w:val="22"/>
        </w:rPr>
        <w:t>Nationell lagstiftning</w:t>
      </w:r>
    </w:p>
    <w:p w14:paraId="75796632" w14:textId="54266BD2" w:rsidR="00A40F04" w:rsidRPr="00A40F04" w:rsidRDefault="00A40F04" w:rsidP="00493753">
      <w:pPr>
        <w:rPr>
          <w:noProof/>
          <w:sz w:val="22"/>
          <w:szCs w:val="22"/>
        </w:rPr>
      </w:pPr>
      <w:r>
        <w:rPr>
          <w:noProof/>
          <w:sz w:val="22"/>
        </w:rPr>
        <w:t>Lag nr 834/2024 om ändring av 3 § i lagen om statens televisions- och radiofond.</w:t>
      </w:r>
    </w:p>
    <w:p w14:paraId="4D527DAE" w14:textId="453317D7" w:rsidR="00A40F04" w:rsidRPr="00A40F04" w:rsidRDefault="00A40F04" w:rsidP="00493753">
      <w:pPr>
        <w:rPr>
          <w:noProof/>
          <w:sz w:val="22"/>
          <w:szCs w:val="22"/>
        </w:rPr>
      </w:pPr>
      <w:r>
        <w:rPr>
          <w:noProof/>
          <w:sz w:val="22"/>
        </w:rPr>
        <w:t>Lag nr 691/2024 om ändring av mervärdesskattelagen.</w:t>
      </w:r>
    </w:p>
    <w:p w14:paraId="70AC5D3E" w14:textId="4185CDC0" w:rsidR="00A40F04" w:rsidRPr="00A40F04" w:rsidRDefault="00A40F04" w:rsidP="00493753">
      <w:pPr>
        <w:rPr>
          <w:noProof/>
          <w:sz w:val="22"/>
          <w:szCs w:val="22"/>
        </w:rPr>
      </w:pPr>
      <w:r>
        <w:rPr>
          <w:noProof/>
          <w:sz w:val="22"/>
        </w:rPr>
        <w:t>Lag nr 482/2024 om temporära åtgärder för bekämpande av instrumentaliserad inresa.</w:t>
      </w:r>
    </w:p>
    <w:p w14:paraId="1F81F5FB" w14:textId="4052BF68" w:rsidR="00A40F04" w:rsidRPr="00A40F04" w:rsidRDefault="00A40F04" w:rsidP="00493753">
      <w:pPr>
        <w:rPr>
          <w:noProof/>
          <w:sz w:val="22"/>
          <w:szCs w:val="22"/>
        </w:rPr>
      </w:pPr>
      <w:r>
        <w:rPr>
          <w:noProof/>
          <w:sz w:val="22"/>
        </w:rPr>
        <w:t>Lag nr 430/2023, lagen om öppenhetsregistret.</w:t>
      </w:r>
    </w:p>
    <w:p w14:paraId="57C66BBC" w14:textId="55B949D8" w:rsidR="00A40F04" w:rsidRPr="00A40F04" w:rsidRDefault="00A40F04" w:rsidP="00493753">
      <w:pPr>
        <w:rPr>
          <w:noProof/>
          <w:sz w:val="22"/>
          <w:szCs w:val="22"/>
        </w:rPr>
      </w:pPr>
      <w:r>
        <w:rPr>
          <w:noProof/>
          <w:sz w:val="22"/>
        </w:rPr>
        <w:t>Lag nr 673/2016, Domstolslagen.</w:t>
      </w:r>
    </w:p>
    <w:p w14:paraId="721FE50F" w14:textId="75E10CE9" w:rsidR="00A40F04" w:rsidRPr="00A40F04" w:rsidRDefault="00A40F04" w:rsidP="00493753">
      <w:pPr>
        <w:rPr>
          <w:rFonts w:eastAsia="Calibri" w:cs="Arial"/>
          <w:noProof/>
          <w:sz w:val="22"/>
          <w:szCs w:val="22"/>
        </w:rPr>
      </w:pPr>
      <w:r>
        <w:rPr>
          <w:noProof/>
          <w:sz w:val="22"/>
        </w:rPr>
        <w:t>Lag nr 1015/2005 om medling vid brott och i vissa tvister.</w:t>
      </w:r>
    </w:p>
    <w:p w14:paraId="4CA36184" w14:textId="77777777" w:rsidR="00A40F04" w:rsidRPr="00A40F04" w:rsidRDefault="00A40F04" w:rsidP="00493753">
      <w:pPr>
        <w:rPr>
          <w:noProof/>
          <w:sz w:val="22"/>
          <w:szCs w:val="22"/>
        </w:rPr>
      </w:pPr>
      <w:r>
        <w:rPr>
          <w:noProof/>
          <w:sz w:val="22"/>
        </w:rPr>
        <w:t>Lag nr 257/2002, Rättshjälpslagen.</w:t>
      </w:r>
    </w:p>
    <w:p w14:paraId="32E0E28A" w14:textId="1D58A069" w:rsidR="00A40F04" w:rsidRPr="00A40F04" w:rsidRDefault="00A40F04" w:rsidP="00493753">
      <w:pPr>
        <w:rPr>
          <w:noProof/>
          <w:sz w:val="22"/>
          <w:szCs w:val="22"/>
        </w:rPr>
      </w:pPr>
      <w:r>
        <w:rPr>
          <w:noProof/>
          <w:sz w:val="22"/>
        </w:rPr>
        <w:t>Regeringens proposition RP 90/2024 rd.</w:t>
      </w:r>
    </w:p>
    <w:p w14:paraId="785F9CF3" w14:textId="77777777" w:rsidR="00A40F04" w:rsidRPr="00A40F04" w:rsidRDefault="00A40F04" w:rsidP="00493753">
      <w:pPr>
        <w:rPr>
          <w:noProof/>
          <w:sz w:val="22"/>
          <w:szCs w:val="22"/>
        </w:rPr>
      </w:pPr>
      <w:r>
        <w:rPr>
          <w:noProof/>
          <w:sz w:val="22"/>
        </w:rPr>
        <w:t>Regeringens proposition RP 190/2024 rd.</w:t>
      </w:r>
    </w:p>
    <w:p w14:paraId="071507CC" w14:textId="77777777" w:rsidR="00A40F04" w:rsidRPr="00A40F04" w:rsidRDefault="00A40F04" w:rsidP="00493753">
      <w:pPr>
        <w:rPr>
          <w:noProof/>
          <w:sz w:val="22"/>
          <w:szCs w:val="22"/>
        </w:rPr>
      </w:pPr>
      <w:bookmarkStart w:id="10" w:name="_Hlk198817371"/>
      <w:r>
        <w:rPr>
          <w:noProof/>
          <w:sz w:val="22"/>
        </w:rPr>
        <w:t>Regeringens proposition RP 34/2025 rd.</w:t>
      </w:r>
    </w:p>
    <w:bookmarkEnd w:id="10"/>
    <w:p w14:paraId="4CD8D7C7" w14:textId="77777777" w:rsidR="00A40F04" w:rsidRPr="00033A01" w:rsidRDefault="00A40F04" w:rsidP="00493753">
      <w:pPr>
        <w:rPr>
          <w:noProof/>
          <w:sz w:val="22"/>
          <w:szCs w:val="22"/>
          <w:lang w:eastAsia="en-GB"/>
        </w:rPr>
      </w:pPr>
    </w:p>
    <w:p w14:paraId="35DACFC0" w14:textId="77777777" w:rsidR="00A40F04" w:rsidRPr="00A40F04" w:rsidRDefault="00A40F04" w:rsidP="00493753">
      <w:pPr>
        <w:pageBreakBefore/>
        <w:spacing w:line="264" w:lineRule="auto"/>
        <w:rPr>
          <w:b/>
          <w:noProof/>
        </w:rPr>
      </w:pPr>
      <w:r>
        <w:rPr>
          <w:b/>
          <w:noProof/>
        </w:rPr>
        <w:t>Bilaga II: Besök i Finland</w:t>
      </w:r>
    </w:p>
    <w:p w14:paraId="2660C627" w14:textId="77777777" w:rsidR="00A40F04" w:rsidRPr="00A40F04" w:rsidRDefault="00A40F04" w:rsidP="00493753">
      <w:pPr>
        <w:spacing w:line="264" w:lineRule="auto"/>
        <w:rPr>
          <w:noProof/>
          <w:szCs w:val="22"/>
          <w:shd w:val="clear" w:color="auto" w:fill="FFFFFF"/>
        </w:rPr>
      </w:pPr>
      <w:r>
        <w:rPr>
          <w:noProof/>
        </w:rPr>
        <w:t>I mars 2025 höll kommissionens avdelningar virtuella möten med</w:t>
      </w:r>
    </w:p>
    <w:p w14:paraId="699E91FE" w14:textId="77777777" w:rsidR="00A40F04" w:rsidRPr="00A40F04" w:rsidRDefault="00A40F04" w:rsidP="009E14CB">
      <w:pPr>
        <w:numPr>
          <w:ilvl w:val="0"/>
          <w:numId w:val="20"/>
        </w:numPr>
        <w:spacing w:after="0" w:line="254" w:lineRule="auto"/>
        <w:ind w:left="714" w:hanging="357"/>
        <w:rPr>
          <w:rFonts w:eastAsia="Calibri"/>
          <w:noProof/>
          <w:szCs w:val="22"/>
        </w:rPr>
      </w:pPr>
      <w:r>
        <w:rPr>
          <w:noProof/>
        </w:rPr>
        <w:t>Delegation för medborgarsamhällspolitik</w:t>
      </w:r>
    </w:p>
    <w:p w14:paraId="0353B696"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Amnesty International Finland</w:t>
      </w:r>
    </w:p>
    <w:p w14:paraId="3D904EE4" w14:textId="77777777" w:rsidR="00A40F04" w:rsidRPr="00A40F04" w:rsidRDefault="00A40F04" w:rsidP="00493753">
      <w:pPr>
        <w:numPr>
          <w:ilvl w:val="0"/>
          <w:numId w:val="20"/>
        </w:numPr>
        <w:spacing w:line="254" w:lineRule="auto"/>
        <w:ind w:left="714" w:hanging="357"/>
        <w:contextualSpacing/>
        <w:rPr>
          <w:rFonts w:eastAsia="Calibri"/>
          <w:noProof/>
          <w:szCs w:val="22"/>
        </w:rPr>
      </w:pPr>
      <w:r>
        <w:rPr>
          <w:noProof/>
        </w:rPr>
        <w:t>Samarbetsnätverket mot korruption</w:t>
      </w:r>
    </w:p>
    <w:p w14:paraId="642F55B9" w14:textId="77777777" w:rsidR="00A40F04" w:rsidRPr="00A40F04" w:rsidRDefault="00A40F04" w:rsidP="00493753">
      <w:pPr>
        <w:numPr>
          <w:ilvl w:val="0"/>
          <w:numId w:val="20"/>
        </w:numPr>
        <w:spacing w:line="254" w:lineRule="auto"/>
        <w:ind w:left="714" w:hanging="357"/>
        <w:contextualSpacing/>
        <w:rPr>
          <w:rFonts w:eastAsia="Calibri"/>
          <w:noProof/>
          <w:szCs w:val="22"/>
        </w:rPr>
      </w:pPr>
      <w:r>
        <w:rPr>
          <w:noProof/>
        </w:rPr>
        <w:t>Justitiekanslern</w:t>
      </w:r>
    </w:p>
    <w:p w14:paraId="06F88356" w14:textId="77777777" w:rsidR="00A40F04" w:rsidRPr="00A40F04" w:rsidRDefault="00A40F04" w:rsidP="00493753">
      <w:pPr>
        <w:numPr>
          <w:ilvl w:val="0"/>
          <w:numId w:val="20"/>
        </w:numPr>
        <w:spacing w:line="254" w:lineRule="auto"/>
        <w:ind w:left="714" w:hanging="357"/>
        <w:contextualSpacing/>
        <w:rPr>
          <w:rFonts w:eastAsia="Calibri"/>
          <w:noProof/>
          <w:szCs w:val="22"/>
        </w:rPr>
      </w:pPr>
      <w:r>
        <w:rPr>
          <w:noProof/>
        </w:rPr>
        <w:t>Finlands näringsliv (svarade skriftligen)</w:t>
      </w:r>
    </w:p>
    <w:p w14:paraId="06D327A7"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Opinionsnämnden för massmedier</w:t>
      </w:r>
    </w:p>
    <w:p w14:paraId="6DA4E7FD"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Rättspolitiska föreningen Demla ry</w:t>
      </w:r>
    </w:p>
    <w:p w14:paraId="6A64C932"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Centralen för utredning av penningtvätt</w:t>
      </w:r>
    </w:p>
    <w:p w14:paraId="37877FC5"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Finlands domareförbund</w:t>
      </w:r>
    </w:p>
    <w:p w14:paraId="643D8507"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Finlands Advokatförbund</w:t>
      </w:r>
    </w:p>
    <w:p w14:paraId="27253CEE"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Centralhandelskammaren (svarade skriftligen)</w:t>
      </w:r>
    </w:p>
    <w:p w14:paraId="5A9F32B4"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Konkurrens- och konsumentverket (KKV)</w:t>
      </w:r>
    </w:p>
    <w:p w14:paraId="2868FEBB"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Medieförbundet</w:t>
      </w:r>
    </w:p>
    <w:p w14:paraId="5F010F84"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Människorättscentret</w:t>
      </w:r>
    </w:p>
    <w:p w14:paraId="46BD3503"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Finansministeriet</w:t>
      </w:r>
    </w:p>
    <w:p w14:paraId="63A789CE"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Inrikesministeriet</w:t>
      </w:r>
    </w:p>
    <w:p w14:paraId="2D5E9C3F"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Justitieministeriet</w:t>
      </w:r>
    </w:p>
    <w:p w14:paraId="219CF2C2"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Kommunikationsministeriet</w:t>
      </w:r>
    </w:p>
    <w:p w14:paraId="1D19B619"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Nationella audiovisuella institutet</w:t>
      </w:r>
    </w:p>
    <w:p w14:paraId="7E6BAAB4"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Centralkriminalpolisen</w:t>
      </w:r>
    </w:p>
    <w:p w14:paraId="0380C27E"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Domstolsverket</w:t>
      </w:r>
    </w:p>
    <w:p w14:paraId="7DB1FC10"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Polisstyrelsen</w:t>
      </w:r>
    </w:p>
    <w:p w14:paraId="301FFD08"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Åklagarmyndigheten</w:t>
      </w:r>
    </w:p>
    <w:p w14:paraId="563AE243"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Parlamentariska författningskommittén</w:t>
      </w:r>
    </w:p>
    <w:p w14:paraId="2C0713AF" w14:textId="77777777" w:rsidR="00A40F04" w:rsidRPr="004B239E"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Justitieombudsmannen</w:t>
      </w:r>
    </w:p>
    <w:p w14:paraId="493FB1F1" w14:textId="2037E4F9" w:rsidR="006A2BDE" w:rsidRPr="007A3186" w:rsidRDefault="006A2BDE" w:rsidP="036508E9">
      <w:pPr>
        <w:numPr>
          <w:ilvl w:val="0"/>
          <w:numId w:val="20"/>
        </w:numPr>
        <w:spacing w:line="254" w:lineRule="auto"/>
        <w:ind w:left="714" w:hanging="357"/>
        <w:contextualSpacing/>
        <w:rPr>
          <w:rFonts w:eastAsia="Calibri"/>
          <w:noProof/>
          <w:shd w:val="clear" w:color="auto" w:fill="FFFFFF"/>
        </w:rPr>
      </w:pPr>
      <w:r>
        <w:rPr>
          <w:noProof/>
        </w:rPr>
        <w:t>Statsrådets kansli</w:t>
      </w:r>
    </w:p>
    <w:p w14:paraId="268AF745"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Högsta förvaltningsdomstolen</w:t>
      </w:r>
    </w:p>
    <w:p w14:paraId="3C3CCB9D"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Högsta domstolen</w:t>
      </w:r>
    </w:p>
    <w:p w14:paraId="035C0CB2" w14:textId="77777777" w:rsidR="00A40F04" w:rsidRPr="00A40F04" w:rsidRDefault="00A40F04" w:rsidP="00493753">
      <w:pPr>
        <w:numPr>
          <w:ilvl w:val="0"/>
          <w:numId w:val="20"/>
        </w:numPr>
        <w:spacing w:line="254" w:lineRule="auto"/>
        <w:ind w:left="714" w:hanging="357"/>
        <w:contextualSpacing/>
        <w:rPr>
          <w:rFonts w:eastAsia="Calibri"/>
          <w:noProof/>
          <w:szCs w:val="22"/>
          <w:shd w:val="clear" w:color="auto" w:fill="FFFFFF"/>
        </w:rPr>
      </w:pPr>
      <w:r>
        <w:rPr>
          <w:noProof/>
        </w:rPr>
        <w:t>Traficom</w:t>
      </w:r>
    </w:p>
    <w:p w14:paraId="7D5FC727" w14:textId="77777777" w:rsidR="00A40F04" w:rsidRPr="00A40F04" w:rsidRDefault="00A40F04" w:rsidP="00493753">
      <w:pPr>
        <w:numPr>
          <w:ilvl w:val="0"/>
          <w:numId w:val="20"/>
        </w:numPr>
        <w:spacing w:line="254" w:lineRule="auto"/>
        <w:ind w:left="714" w:hanging="357"/>
        <w:contextualSpacing/>
        <w:rPr>
          <w:rFonts w:eastAsia="Calibri"/>
          <w:noProof/>
          <w:szCs w:val="22"/>
        </w:rPr>
      </w:pPr>
      <w:r>
        <w:rPr>
          <w:noProof/>
        </w:rPr>
        <w:t>Transparency International Finland</w:t>
      </w:r>
    </w:p>
    <w:p w14:paraId="5E680FBD" w14:textId="77777777" w:rsidR="00A40F04" w:rsidRPr="00A40F04" w:rsidRDefault="00A40F04" w:rsidP="00493753">
      <w:pPr>
        <w:numPr>
          <w:ilvl w:val="0"/>
          <w:numId w:val="20"/>
        </w:numPr>
        <w:spacing w:line="254" w:lineRule="auto"/>
        <w:ind w:left="714" w:hanging="357"/>
        <w:contextualSpacing/>
        <w:rPr>
          <w:rFonts w:eastAsia="Calibri"/>
          <w:noProof/>
          <w:szCs w:val="22"/>
        </w:rPr>
      </w:pPr>
      <w:r>
        <w:rPr>
          <w:noProof/>
        </w:rPr>
        <w:t>Finlands journalistförbund</w:t>
      </w:r>
    </w:p>
    <w:p w14:paraId="5930A724" w14:textId="77777777" w:rsidR="00A40F04" w:rsidRPr="00A40F04" w:rsidRDefault="00A40F04" w:rsidP="00493753">
      <w:pPr>
        <w:numPr>
          <w:ilvl w:val="0"/>
          <w:numId w:val="20"/>
        </w:numPr>
        <w:spacing w:line="254" w:lineRule="auto"/>
        <w:ind w:left="714" w:hanging="357"/>
        <w:contextualSpacing/>
        <w:rPr>
          <w:rFonts w:eastAsia="Calibri"/>
          <w:noProof/>
          <w:szCs w:val="22"/>
        </w:rPr>
      </w:pPr>
      <w:r>
        <w:rPr>
          <w:noProof/>
        </w:rPr>
        <w:t>Rundradion Ab</w:t>
      </w:r>
    </w:p>
    <w:p w14:paraId="3A88F5FB" w14:textId="77777777" w:rsidR="00A40F04" w:rsidRPr="00A40F04" w:rsidRDefault="00A40F04" w:rsidP="00493753">
      <w:pPr>
        <w:spacing w:line="254" w:lineRule="auto"/>
        <w:ind w:left="714" w:hanging="357"/>
        <w:contextualSpacing/>
        <w:rPr>
          <w:rFonts w:eastAsia="Calibri"/>
          <w:noProof/>
          <w:szCs w:val="22"/>
          <w:shd w:val="clear" w:color="auto" w:fill="FFFFFF"/>
          <w:lang w:val="en-IE" w:eastAsia="en-US"/>
        </w:rPr>
      </w:pPr>
    </w:p>
    <w:p w14:paraId="33517939" w14:textId="77777777" w:rsidR="00A40F04" w:rsidRPr="00A40F04" w:rsidRDefault="00A40F04" w:rsidP="00493753">
      <w:pPr>
        <w:spacing w:line="264" w:lineRule="auto"/>
        <w:rPr>
          <w:noProof/>
        </w:rPr>
      </w:pPr>
      <w:r>
        <w:rPr>
          <w:noProof/>
        </w:rPr>
        <w:t xml:space="preserve">* Kommissionen träffade också följande organisationer under ett antal horisontella möten: </w:t>
      </w:r>
    </w:p>
    <w:p w14:paraId="57A44DC8" w14:textId="77777777" w:rsidR="00A40F04" w:rsidRPr="00A40F04" w:rsidRDefault="00A40F04" w:rsidP="007C3709">
      <w:pPr>
        <w:numPr>
          <w:ilvl w:val="0"/>
          <w:numId w:val="21"/>
        </w:numPr>
        <w:tabs>
          <w:tab w:val="num" w:pos="720"/>
        </w:tabs>
        <w:spacing w:after="0" w:line="264" w:lineRule="auto"/>
        <w:ind w:left="714" w:hanging="357"/>
        <w:rPr>
          <w:noProof/>
        </w:rPr>
      </w:pPr>
      <w:r>
        <w:rPr>
          <w:noProof/>
        </w:rPr>
        <w:t>Amnesty International </w:t>
      </w:r>
    </w:p>
    <w:p w14:paraId="5548D5D6" w14:textId="77777777" w:rsidR="00A40F04" w:rsidRPr="00A40F04" w:rsidRDefault="00A40F04" w:rsidP="007C3709">
      <w:pPr>
        <w:numPr>
          <w:ilvl w:val="0"/>
          <w:numId w:val="21"/>
        </w:numPr>
        <w:tabs>
          <w:tab w:val="num" w:pos="720"/>
        </w:tabs>
        <w:spacing w:after="0" w:line="264" w:lineRule="auto"/>
        <w:ind w:left="714" w:hanging="357"/>
        <w:rPr>
          <w:noProof/>
        </w:rPr>
      </w:pPr>
      <w:r>
        <w:rPr>
          <w:noProof/>
        </w:rPr>
        <w:t>Araminta </w:t>
      </w:r>
    </w:p>
    <w:p w14:paraId="664046F6" w14:textId="77777777" w:rsidR="00A40F04" w:rsidRPr="00A40F04" w:rsidRDefault="00A40F04" w:rsidP="007C3709">
      <w:pPr>
        <w:numPr>
          <w:ilvl w:val="0"/>
          <w:numId w:val="21"/>
        </w:numPr>
        <w:tabs>
          <w:tab w:val="num" w:pos="720"/>
        </w:tabs>
        <w:spacing w:after="0" w:line="264" w:lineRule="auto"/>
        <w:ind w:left="714" w:hanging="357"/>
        <w:rPr>
          <w:noProof/>
        </w:rPr>
      </w:pPr>
      <w:r>
        <w:rPr>
          <w:noProof/>
        </w:rPr>
        <w:t>Förbundet för medborgerliga friheter i Europa  </w:t>
      </w:r>
    </w:p>
    <w:p w14:paraId="4AEF2B80" w14:textId="77777777" w:rsidR="00A40F04" w:rsidRPr="00A40F04" w:rsidRDefault="00A40F04" w:rsidP="007C3709">
      <w:pPr>
        <w:numPr>
          <w:ilvl w:val="0"/>
          <w:numId w:val="21"/>
        </w:numPr>
        <w:tabs>
          <w:tab w:val="num" w:pos="720"/>
        </w:tabs>
        <w:spacing w:after="0" w:line="264" w:lineRule="auto"/>
        <w:ind w:left="714" w:hanging="357"/>
        <w:rPr>
          <w:noProof/>
        </w:rPr>
      </w:pPr>
      <w:r>
        <w:rPr>
          <w:noProof/>
        </w:rPr>
        <w:t>Civila samhället Europa  </w:t>
      </w:r>
    </w:p>
    <w:p w14:paraId="5464A910" w14:textId="77777777" w:rsidR="00A40F04" w:rsidRPr="00A40F04" w:rsidRDefault="00A40F04" w:rsidP="007C3709">
      <w:pPr>
        <w:numPr>
          <w:ilvl w:val="0"/>
          <w:numId w:val="21"/>
        </w:numPr>
        <w:tabs>
          <w:tab w:val="num" w:pos="720"/>
        </w:tabs>
        <w:spacing w:after="0" w:line="264" w:lineRule="auto"/>
        <w:ind w:left="714" w:hanging="357"/>
        <w:rPr>
          <w:noProof/>
        </w:rPr>
      </w:pPr>
      <w:r>
        <w:rPr>
          <w:noProof/>
        </w:rPr>
        <w:t>Europeiskt medborgarforumet  </w:t>
      </w:r>
    </w:p>
    <w:p w14:paraId="34B6A34E" w14:textId="77777777" w:rsidR="00A40F04" w:rsidRPr="00A40F04" w:rsidRDefault="00A40F04" w:rsidP="007C3709">
      <w:pPr>
        <w:numPr>
          <w:ilvl w:val="0"/>
          <w:numId w:val="21"/>
        </w:numPr>
        <w:spacing w:after="0" w:line="264" w:lineRule="auto"/>
        <w:ind w:left="714" w:hanging="357"/>
        <w:rPr>
          <w:noProof/>
        </w:rPr>
      </w:pPr>
      <w:r>
        <w:rPr>
          <w:noProof/>
        </w:rPr>
        <w:t>Europeiskt partnerskap för demokrati </w:t>
      </w:r>
    </w:p>
    <w:p w14:paraId="5DA3AEAB" w14:textId="77777777" w:rsidR="00A40F04" w:rsidRPr="00A40F04" w:rsidRDefault="00A40F04" w:rsidP="007C3709">
      <w:pPr>
        <w:numPr>
          <w:ilvl w:val="0"/>
          <w:numId w:val="21"/>
        </w:numPr>
        <w:tabs>
          <w:tab w:val="num" w:pos="720"/>
        </w:tabs>
        <w:spacing w:after="0" w:line="264" w:lineRule="auto"/>
        <w:ind w:left="714" w:hanging="357"/>
        <w:rPr>
          <w:noProof/>
        </w:rPr>
      </w:pPr>
      <w:r>
        <w:rPr>
          <w:noProof/>
        </w:rPr>
        <w:t>Europeiskt ungdomsforum </w:t>
      </w:r>
    </w:p>
    <w:p w14:paraId="6B70ACF6" w14:textId="77777777" w:rsidR="00A40F04" w:rsidRPr="00A40F04" w:rsidRDefault="00A40F04" w:rsidP="007C3709">
      <w:pPr>
        <w:numPr>
          <w:ilvl w:val="0"/>
          <w:numId w:val="21"/>
        </w:numPr>
        <w:tabs>
          <w:tab w:val="num" w:pos="720"/>
        </w:tabs>
        <w:spacing w:after="0" w:line="264" w:lineRule="auto"/>
        <w:ind w:left="714" w:hanging="357"/>
        <w:rPr>
          <w:noProof/>
        </w:rPr>
      </w:pPr>
      <w:r>
        <w:rPr>
          <w:noProof/>
        </w:rPr>
        <w:t>Internationella juristkommissionen  </w:t>
      </w:r>
    </w:p>
    <w:p w14:paraId="5CA84736" w14:textId="77777777" w:rsidR="00A40F04" w:rsidRPr="00A40F04" w:rsidRDefault="00A40F04" w:rsidP="007C3709">
      <w:pPr>
        <w:numPr>
          <w:ilvl w:val="0"/>
          <w:numId w:val="21"/>
        </w:numPr>
        <w:tabs>
          <w:tab w:val="num" w:pos="720"/>
        </w:tabs>
        <w:spacing w:after="0" w:line="264" w:lineRule="auto"/>
        <w:ind w:left="714" w:hanging="357"/>
        <w:rPr>
          <w:noProof/>
        </w:rPr>
      </w:pPr>
      <w:r>
        <w:rPr>
          <w:noProof/>
        </w:rPr>
        <w:t>Internationella federationen för mänskliga rättigheter </w:t>
      </w:r>
    </w:p>
    <w:p w14:paraId="3EC0C78C" w14:textId="77777777" w:rsidR="00A40F04" w:rsidRPr="00A40F04" w:rsidRDefault="00A40F04" w:rsidP="007C3709">
      <w:pPr>
        <w:numPr>
          <w:ilvl w:val="0"/>
          <w:numId w:val="21"/>
        </w:numPr>
        <w:tabs>
          <w:tab w:val="num" w:pos="720"/>
        </w:tabs>
        <w:spacing w:after="0" w:line="264" w:lineRule="auto"/>
        <w:ind w:left="714" w:hanging="357"/>
        <w:rPr>
          <w:noProof/>
        </w:rPr>
      </w:pPr>
      <w:r>
        <w:rPr>
          <w:noProof/>
        </w:rPr>
        <w:t>JEF-Europa </w:t>
      </w:r>
    </w:p>
    <w:p w14:paraId="04B4130A" w14:textId="77777777" w:rsidR="00A40F04" w:rsidRPr="00A40F04" w:rsidRDefault="00A40F04" w:rsidP="007C3709">
      <w:pPr>
        <w:numPr>
          <w:ilvl w:val="0"/>
          <w:numId w:val="21"/>
        </w:numPr>
        <w:tabs>
          <w:tab w:val="num" w:pos="720"/>
        </w:tabs>
        <w:spacing w:after="0" w:line="264" w:lineRule="auto"/>
        <w:ind w:left="714" w:hanging="357"/>
        <w:rPr>
          <w:noProof/>
        </w:rPr>
      </w:pPr>
      <w:r>
        <w:rPr>
          <w:noProof/>
        </w:rPr>
        <w:t>Philea - Philanthropy Europe Association </w:t>
      </w:r>
    </w:p>
    <w:p w14:paraId="0B4B1D8F" w14:textId="77777777" w:rsidR="00A40F04" w:rsidRPr="00A40F04" w:rsidRDefault="00A40F04" w:rsidP="007C3709">
      <w:pPr>
        <w:numPr>
          <w:ilvl w:val="0"/>
          <w:numId w:val="21"/>
        </w:numPr>
        <w:tabs>
          <w:tab w:val="num" w:pos="720"/>
        </w:tabs>
        <w:spacing w:after="0" w:line="264" w:lineRule="auto"/>
        <w:ind w:left="714" w:hanging="357"/>
        <w:rPr>
          <w:noProof/>
        </w:rPr>
      </w:pPr>
      <w:r>
        <w:rPr>
          <w:noProof/>
        </w:rPr>
        <w:t>Transparency International  </w:t>
      </w:r>
    </w:p>
    <w:p w14:paraId="5BB9AFE5" w14:textId="77777777" w:rsidR="00A40F04" w:rsidRPr="00A40F04" w:rsidRDefault="00A40F04" w:rsidP="00493753">
      <w:pPr>
        <w:spacing w:line="264" w:lineRule="auto"/>
        <w:rPr>
          <w:noProof/>
          <w:lang w:val="en-IE" w:eastAsia="en-GB"/>
        </w:rPr>
      </w:pPr>
    </w:p>
    <w:p w14:paraId="7D9DBFD3" w14:textId="77777777" w:rsidR="00A40F04" w:rsidRPr="00A40F04" w:rsidRDefault="00A40F04" w:rsidP="00493753">
      <w:pPr>
        <w:ind w:left="284" w:hanging="284"/>
        <w:rPr>
          <w:noProof/>
          <w:szCs w:val="22"/>
          <w:lang w:val="en-IE" w:eastAsia="en-GB"/>
        </w:rPr>
      </w:pPr>
    </w:p>
    <w:p w14:paraId="27D5077A" w14:textId="77777777" w:rsidR="00A40F04" w:rsidRPr="00A40F04" w:rsidRDefault="00A40F04" w:rsidP="00493753">
      <w:pPr>
        <w:rPr>
          <w:noProof/>
          <w:lang w:val="en-IE" w:eastAsia="en-GB"/>
        </w:rPr>
      </w:pPr>
    </w:p>
    <w:p w14:paraId="328C96AF" w14:textId="77777777" w:rsidR="00A40F04" w:rsidRPr="00A40F04" w:rsidRDefault="00A40F04" w:rsidP="00493753">
      <w:pPr>
        <w:rPr>
          <w:rFonts w:eastAsia="Calibri" w:cs="Arial"/>
          <w:noProof/>
          <w:szCs w:val="22"/>
          <w:lang w:val="en-IE" w:eastAsia="en-US"/>
        </w:rPr>
      </w:pPr>
    </w:p>
    <w:p w14:paraId="567D765D" w14:textId="77777777" w:rsidR="00A40F04" w:rsidRPr="00A40F04" w:rsidRDefault="00A40F04" w:rsidP="00493753">
      <w:pPr>
        <w:rPr>
          <w:rFonts w:eastAsia="Calibri" w:cs="Arial"/>
          <w:noProof/>
          <w:szCs w:val="22"/>
          <w:lang w:val="en-IE" w:eastAsia="en-US"/>
        </w:rPr>
      </w:pPr>
    </w:p>
    <w:p w14:paraId="7C71BB12" w14:textId="77777777" w:rsidR="00CD604B" w:rsidRDefault="00CD604B" w:rsidP="00493753">
      <w:pPr>
        <w:rPr>
          <w:noProof/>
        </w:rPr>
      </w:pPr>
    </w:p>
    <w:sectPr w:rsidR="00CD604B" w:rsidSect="006A297B">
      <w:headerReference w:type="even" r:id="rId56"/>
      <w:headerReference w:type="default" r:id="rId57"/>
      <w:footerReference w:type="even" r:id="rId58"/>
      <w:footerReference w:type="default" r:id="rId59"/>
      <w:headerReference w:type="first" r:id="rId60"/>
      <w:footerReference w:type="first" r:id="rId61"/>
      <w:pgSz w:w="11906" w:h="16838" w:code="9"/>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BC6EC" w14:textId="77777777" w:rsidR="00092A1B" w:rsidRDefault="00092A1B">
      <w:pPr>
        <w:spacing w:after="0"/>
      </w:pPr>
      <w:r>
        <w:separator/>
      </w:r>
    </w:p>
  </w:endnote>
  <w:endnote w:type="continuationSeparator" w:id="0">
    <w:p w14:paraId="45EFD913" w14:textId="77777777" w:rsidR="00092A1B" w:rsidRDefault="00092A1B">
      <w:pPr>
        <w:spacing w:after="0"/>
      </w:pPr>
      <w:r>
        <w:continuationSeparator/>
      </w:r>
    </w:p>
  </w:endnote>
  <w:endnote w:type="continuationNotice" w:id="1">
    <w:p w14:paraId="2A6477F4" w14:textId="77777777" w:rsidR="00092A1B" w:rsidRDefault="00092A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C5A3" w14:textId="73F34EC1" w:rsidR="00BC6DE0" w:rsidRPr="00BC6DE0" w:rsidRDefault="00BC6DE0" w:rsidP="00BC6DE0">
    <w:pPr>
      <w:pStyle w:val="FooterCoverPage"/>
      <w:rPr>
        <w:rFonts w:ascii="Arial" w:hAnsi="Arial" w:cs="Arial"/>
        <w:b/>
        <w:sz w:val="48"/>
      </w:rPr>
    </w:pPr>
    <w:r w:rsidRPr="00BC6DE0">
      <w:rPr>
        <w:rFonts w:ascii="Arial" w:hAnsi="Arial" w:cs="Arial"/>
        <w:b/>
        <w:sz w:val="48"/>
      </w:rPr>
      <w:t>SV</w:t>
    </w:r>
    <w:r w:rsidRPr="00BC6DE0">
      <w:rPr>
        <w:rFonts w:ascii="Arial" w:hAnsi="Arial" w:cs="Arial"/>
        <w:b/>
        <w:sz w:val="48"/>
      </w:rPr>
      <w:tab/>
    </w:r>
    <w:r w:rsidRPr="00BC6DE0">
      <w:rPr>
        <w:rFonts w:ascii="Arial" w:hAnsi="Arial" w:cs="Arial"/>
        <w:b/>
        <w:sz w:val="48"/>
      </w:rPr>
      <w:tab/>
    </w:r>
    <w:r w:rsidRPr="00BC6DE0">
      <w:tab/>
    </w:r>
    <w:r w:rsidRPr="00BC6DE0">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E12CF" w14:textId="0AEFFB9E" w:rsidR="00BC6DE0" w:rsidRPr="00BC6DE0" w:rsidRDefault="00BC6DE0" w:rsidP="00BC6DE0">
    <w:pPr>
      <w:pStyle w:val="FooterCoverPage"/>
      <w:rPr>
        <w:rFonts w:ascii="Arial" w:hAnsi="Arial" w:cs="Arial"/>
        <w:b/>
        <w:sz w:val="48"/>
      </w:rPr>
    </w:pPr>
    <w:r w:rsidRPr="00BC6DE0">
      <w:rPr>
        <w:rFonts w:ascii="Arial" w:hAnsi="Arial" w:cs="Arial"/>
        <w:b/>
        <w:sz w:val="48"/>
      </w:rPr>
      <w:t>SV</w:t>
    </w:r>
    <w:r w:rsidRPr="00BC6DE0">
      <w:rPr>
        <w:rFonts w:ascii="Arial" w:hAnsi="Arial" w:cs="Arial"/>
        <w:b/>
        <w:sz w:val="48"/>
      </w:rPr>
      <w:tab/>
    </w:r>
    <w:r w:rsidRPr="00BC6DE0">
      <w:rPr>
        <w:rFonts w:ascii="Arial" w:hAnsi="Arial" w:cs="Arial"/>
        <w:b/>
        <w:sz w:val="48"/>
      </w:rPr>
      <w:tab/>
    </w:r>
    <w:r w:rsidRPr="00BC6DE0">
      <w:tab/>
    </w:r>
    <w:r w:rsidRPr="00BC6DE0">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54356" w14:textId="77777777" w:rsidR="00BC6DE0" w:rsidRPr="00BC6DE0" w:rsidRDefault="00BC6DE0" w:rsidP="00BC6DE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A651" w14:textId="77777777" w:rsidR="000830E3" w:rsidRDefault="000830E3">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4EB7" w14:textId="77777777" w:rsidR="001306D1" w:rsidRPr="001306D1" w:rsidRDefault="001306D1" w:rsidP="001306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D2490" w14:textId="77777777" w:rsidR="001306D1" w:rsidRPr="001306D1" w:rsidRDefault="001306D1" w:rsidP="0013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0D72C" w14:textId="77777777" w:rsidR="00092A1B" w:rsidRDefault="00092A1B">
      <w:pPr>
        <w:spacing w:after="0"/>
      </w:pPr>
      <w:r>
        <w:separator/>
      </w:r>
    </w:p>
  </w:footnote>
  <w:footnote w:type="continuationSeparator" w:id="0">
    <w:p w14:paraId="5E193AEC" w14:textId="77777777" w:rsidR="00092A1B" w:rsidRDefault="00092A1B">
      <w:pPr>
        <w:spacing w:after="0"/>
      </w:pPr>
      <w:r>
        <w:continuationSeparator/>
      </w:r>
    </w:p>
  </w:footnote>
  <w:footnote w:type="continuationNotice" w:id="1">
    <w:p w14:paraId="6E489D5A" w14:textId="77777777" w:rsidR="00092A1B" w:rsidRDefault="00092A1B">
      <w:pPr>
        <w:spacing w:after="0"/>
      </w:pPr>
    </w:p>
  </w:footnote>
  <w:footnote w:id="2">
    <w:p w14:paraId="2632AFDE" w14:textId="40BA055B" w:rsidR="00A40F04" w:rsidRPr="00C243E2" w:rsidRDefault="00A40F04" w:rsidP="00A40F04">
      <w:pPr>
        <w:pStyle w:val="FootnoteText"/>
        <w:spacing w:after="0"/>
      </w:pPr>
      <w:r>
        <w:rPr>
          <w:rStyle w:val="FootnoteReference"/>
        </w:rPr>
        <w:footnoteRef/>
      </w:r>
      <w:r>
        <w:t xml:space="preserve"> </w:t>
      </w:r>
      <w:r>
        <w:tab/>
        <w:t xml:space="preserve">En översikt över den institutionella strukturen för samtliga fyra pelare finns </w:t>
      </w:r>
      <w:hyperlink r:id="rId1" w:history="1">
        <w:r>
          <w:rPr>
            <w:rStyle w:val="Hyperlink"/>
          </w:rPr>
          <w:t>här</w:t>
        </w:r>
      </w:hyperlink>
      <w:r>
        <w:t xml:space="preserve">. </w:t>
      </w:r>
    </w:p>
  </w:footnote>
  <w:footnote w:id="3">
    <w:p w14:paraId="0191A893" w14:textId="77777777" w:rsidR="00A40F04" w:rsidRPr="00A8446F" w:rsidRDefault="00A40F04" w:rsidP="00A40F04">
      <w:pPr>
        <w:pStyle w:val="FootnoteText"/>
        <w:spacing w:after="0"/>
      </w:pPr>
      <w:r>
        <w:rPr>
          <w:rStyle w:val="FootnoteReference"/>
        </w:rPr>
        <w:footnoteRef/>
      </w:r>
      <w:r>
        <w:t xml:space="preserve"> </w:t>
      </w:r>
      <w:r>
        <w:tab/>
        <w:t>Figurerna 50 och 52, resultattavlan för rättskipningen i EU 2025 och figurerna 49 och 51, resultattavlan för rättskipningen i EU 2023. Domstolarnas uppfattade oberoende kategoriseras enligt följande: mycket lågt upplevt oberoende (färre än 30 % av de tillfrågade anser att domstolsväsendets oberoende ligger på en ganska eller mycket bra nivå), lågt (30–39 %), medelhögt (40–59 %), högt (60–75 %), mycket högt (över 75 %).</w:t>
      </w:r>
    </w:p>
  </w:footnote>
  <w:footnote w:id="4">
    <w:p w14:paraId="4BFCC979" w14:textId="77777777" w:rsidR="00A40F04" w:rsidRPr="00A8446F" w:rsidRDefault="00A40F04" w:rsidP="00A40F04">
      <w:pPr>
        <w:pStyle w:val="FootnoteText"/>
        <w:spacing w:after="0"/>
      </w:pPr>
      <w:r>
        <w:rPr>
          <w:rStyle w:val="FootnoteReference"/>
        </w:rPr>
        <w:footnoteRef/>
      </w:r>
      <w:r>
        <w:t xml:space="preserve"> </w:t>
      </w:r>
      <w:r>
        <w:tab/>
      </w:r>
      <w:bookmarkStart w:id="3" w:name="_Hlk196297893"/>
      <w:r>
        <w:t>I 2024 års rapport om rättsstatsprincipen rekommenderades Finland att ”fortsätta arbetet i arbetsgruppen ’Rättsstatens garantier och utvecklandet av rättsväsendet’ i syfte att stärka rättsväsendets oberoende och höja kvaliteten på det rättsliga skyddet”.</w:t>
      </w:r>
      <w:bookmarkEnd w:id="3"/>
    </w:p>
  </w:footnote>
  <w:footnote w:id="5">
    <w:p w14:paraId="3BC9F808" w14:textId="5068D81E" w:rsidR="00A40F04" w:rsidRPr="00C243E2" w:rsidRDefault="00A40F04" w:rsidP="00A40F04">
      <w:pPr>
        <w:pStyle w:val="FootnoteText"/>
        <w:spacing w:after="0"/>
      </w:pPr>
      <w:r>
        <w:rPr>
          <w:rStyle w:val="FootnoteReference"/>
        </w:rPr>
        <w:footnoteRef/>
      </w:r>
      <w:r>
        <w:t xml:space="preserve"> </w:t>
      </w:r>
      <w:r>
        <w:tab/>
        <w:t xml:space="preserve">Arbetsgruppen består av sex undergrupper med en arbetsplan för åren 2023–2027. </w:t>
      </w:r>
    </w:p>
  </w:footnote>
  <w:footnote w:id="6">
    <w:p w14:paraId="4E3D1E60" w14:textId="77777777" w:rsidR="00A40F04" w:rsidRPr="00C243E2" w:rsidRDefault="00A40F04" w:rsidP="00A40F04">
      <w:pPr>
        <w:pStyle w:val="FootnoteText"/>
        <w:spacing w:after="0"/>
      </w:pPr>
      <w:r>
        <w:rPr>
          <w:rStyle w:val="FootnoteReference"/>
        </w:rPr>
        <w:footnoteRef/>
      </w:r>
      <w:r>
        <w:t xml:space="preserve"> </w:t>
      </w:r>
      <w:r>
        <w:tab/>
        <w:t>2024 års rapport om rättsstatsprincipen – Finland, s. 4.</w:t>
      </w:r>
    </w:p>
  </w:footnote>
  <w:footnote w:id="7">
    <w:p w14:paraId="19C3300E" w14:textId="77777777" w:rsidR="00A40F04" w:rsidRPr="00C243E2" w:rsidRDefault="00A40F04" w:rsidP="00A40F04">
      <w:pPr>
        <w:pStyle w:val="FootnoteText"/>
        <w:spacing w:after="0"/>
      </w:pPr>
      <w:r>
        <w:rPr>
          <w:rStyle w:val="FootnoteReference"/>
        </w:rPr>
        <w:footnoteRef/>
      </w:r>
      <w:r>
        <w:t xml:space="preserve"> </w:t>
      </w:r>
      <w:r>
        <w:tab/>
        <w:t>Statsrådet (2025), skriftligt bidrag, s. 7. Slutsatserna av hela projektet förväntas läggas fram 2027.</w:t>
      </w:r>
    </w:p>
  </w:footnote>
  <w:footnote w:id="8">
    <w:p w14:paraId="70174121" w14:textId="672D6578" w:rsidR="00A40F04" w:rsidRPr="00C243E2" w:rsidRDefault="00A40F04" w:rsidP="00A40F04">
      <w:pPr>
        <w:pStyle w:val="FootnoteText"/>
        <w:spacing w:after="0"/>
      </w:pPr>
      <w:r>
        <w:rPr>
          <w:rStyle w:val="FootnoteReference"/>
        </w:rPr>
        <w:footnoteRef/>
      </w:r>
      <w:r>
        <w:t xml:space="preserve"> </w:t>
      </w:r>
      <w:r>
        <w:tab/>
        <w:t>Mandatet för denna arbetsgrupp för grundlagsenliga garantier för rättsväsendets oberoende löper fram till slutet av 2026.</w:t>
      </w:r>
    </w:p>
  </w:footnote>
  <w:footnote w:id="9">
    <w:p w14:paraId="472A8A18" w14:textId="77777777" w:rsidR="00A40F04" w:rsidRPr="00C243E2" w:rsidRDefault="00A40F04" w:rsidP="00A40F04">
      <w:pPr>
        <w:pStyle w:val="FootnoteText"/>
        <w:spacing w:after="0"/>
      </w:pPr>
      <w:r>
        <w:rPr>
          <w:rStyle w:val="FootnoteReference"/>
        </w:rPr>
        <w:footnoteRef/>
      </w:r>
      <w:r>
        <w:t xml:space="preserve"> </w:t>
      </w:r>
      <w:r>
        <w:tab/>
        <w:t>Landsbesök i Finland, Högsta förvaltningsdomstolen, Högsta domstolen, justitiekanslern, Finlands Advokatförbund.</w:t>
      </w:r>
    </w:p>
  </w:footnote>
  <w:footnote w:id="10">
    <w:p w14:paraId="4600A557" w14:textId="77777777" w:rsidR="00A40F04" w:rsidRPr="005E6642" w:rsidRDefault="00A40F04" w:rsidP="00A40F04">
      <w:pPr>
        <w:pStyle w:val="FootnoteText"/>
        <w:spacing w:after="0"/>
      </w:pPr>
      <w:r>
        <w:rPr>
          <w:rStyle w:val="FootnoteReference"/>
        </w:rPr>
        <w:footnoteRef/>
      </w:r>
      <w:r>
        <w:t xml:space="preserve"> </w:t>
      </w:r>
      <w:r>
        <w:tab/>
        <w:t>I 2024 års rapport om rättsstatsprincipen rekommenderades Finland att ”[r]eformera systemet för utnämning av nämndemän, med beaktande av europeiska normer för rättsväsendets oberoende”.</w:t>
      </w:r>
    </w:p>
  </w:footnote>
  <w:footnote w:id="11">
    <w:p w14:paraId="21D3E6A7" w14:textId="6B33A501" w:rsidR="00A40F04" w:rsidRPr="005E6642" w:rsidRDefault="00A40F04" w:rsidP="00A40F04">
      <w:pPr>
        <w:pStyle w:val="FootnoteText"/>
        <w:spacing w:after="0"/>
      </w:pPr>
      <w:r>
        <w:rPr>
          <w:rStyle w:val="FootnoteReference"/>
        </w:rPr>
        <w:footnoteRef/>
      </w:r>
      <w:r>
        <w:t xml:space="preserve"> </w:t>
      </w:r>
      <w:r>
        <w:tab/>
        <w:t xml:space="preserve">Landsbesök Finland, Statsrådet. </w:t>
      </w:r>
    </w:p>
  </w:footnote>
  <w:footnote w:id="12">
    <w:p w14:paraId="59446BA9" w14:textId="77777777" w:rsidR="00A40F04" w:rsidRPr="005E6642" w:rsidRDefault="00A40F04" w:rsidP="00A40F04">
      <w:pPr>
        <w:pStyle w:val="FootnoteText"/>
        <w:spacing w:after="0"/>
      </w:pPr>
      <w:r>
        <w:rPr>
          <w:rStyle w:val="FootnoteReference"/>
        </w:rPr>
        <w:footnoteRef/>
      </w:r>
      <w:r>
        <w:t xml:space="preserve"> </w:t>
      </w:r>
      <w:r>
        <w:tab/>
        <w:t xml:space="preserve">Landsbesök i Finland, Domstolsverket. </w:t>
      </w:r>
    </w:p>
  </w:footnote>
  <w:footnote w:id="13">
    <w:p w14:paraId="30E307D0" w14:textId="77777777" w:rsidR="00A40F04" w:rsidRPr="005E6642" w:rsidRDefault="00A40F04" w:rsidP="00A40F04">
      <w:pPr>
        <w:pStyle w:val="FootnoteText"/>
        <w:spacing w:after="0"/>
      </w:pPr>
      <w:r>
        <w:rPr>
          <w:rStyle w:val="FootnoteReference"/>
        </w:rPr>
        <w:footnoteRef/>
      </w:r>
      <w:r>
        <w:t xml:space="preserve"> </w:t>
      </w:r>
      <w:r>
        <w:tab/>
        <w:t xml:space="preserve">Landsbesök i Finland, riksdagens justitieombudsman, Domareförbundet. </w:t>
      </w:r>
    </w:p>
  </w:footnote>
  <w:footnote w:id="14">
    <w:p w14:paraId="10AF931A" w14:textId="77777777" w:rsidR="00A40F04" w:rsidRPr="005E6642" w:rsidRDefault="00A40F04" w:rsidP="00A40F04">
      <w:pPr>
        <w:pStyle w:val="FootnoteText"/>
        <w:spacing w:after="0"/>
      </w:pPr>
      <w:r>
        <w:rPr>
          <w:rStyle w:val="FootnoteReference"/>
        </w:rPr>
        <w:footnoteRef/>
      </w:r>
      <w:r>
        <w:t xml:space="preserve"> </w:t>
      </w:r>
      <w:r>
        <w:tab/>
        <w:t>Domstolslagen.</w:t>
      </w:r>
    </w:p>
  </w:footnote>
  <w:footnote w:id="15">
    <w:p w14:paraId="3AAB0C6F" w14:textId="77777777" w:rsidR="00A40F04" w:rsidRPr="005E6642" w:rsidRDefault="00A40F04" w:rsidP="00A40F04">
      <w:pPr>
        <w:pStyle w:val="FootnoteText"/>
        <w:spacing w:after="0"/>
      </w:pPr>
      <w:r>
        <w:rPr>
          <w:rStyle w:val="FootnoteReference"/>
        </w:rPr>
        <w:footnoteRef/>
      </w:r>
      <w:r>
        <w:t xml:space="preserve"> </w:t>
      </w:r>
      <w:r>
        <w:tab/>
        <w:t xml:space="preserve">Landsbesök i Finland, Domareförbundet. </w:t>
      </w:r>
    </w:p>
  </w:footnote>
  <w:footnote w:id="16">
    <w:p w14:paraId="4F08DCCF" w14:textId="77777777" w:rsidR="00A40F04" w:rsidRPr="005E6642" w:rsidRDefault="00A40F04" w:rsidP="00A40F04">
      <w:pPr>
        <w:pStyle w:val="FootnoteText"/>
        <w:spacing w:after="0"/>
      </w:pPr>
      <w:r>
        <w:rPr>
          <w:rStyle w:val="FootnoteReference"/>
        </w:rPr>
        <w:footnoteRef/>
      </w:r>
      <w:r>
        <w:t xml:space="preserve"> </w:t>
      </w:r>
      <w:r>
        <w:tab/>
        <w:t>Domstolsverket, ytterligare skriftligt bidrag. Landsbesök i Finland, Domareförbundet.</w:t>
      </w:r>
    </w:p>
  </w:footnote>
  <w:footnote w:id="17">
    <w:p w14:paraId="220BCCEA" w14:textId="44BAE32C" w:rsidR="00A40F04" w:rsidRPr="005E6642" w:rsidRDefault="00A40F04" w:rsidP="00A40F04">
      <w:pPr>
        <w:pStyle w:val="FootnoteText"/>
        <w:spacing w:after="0"/>
      </w:pPr>
      <w:r>
        <w:rPr>
          <w:rStyle w:val="FootnoteReference"/>
        </w:rPr>
        <w:footnoteRef/>
      </w:r>
      <w:r>
        <w:t xml:space="preserve"> </w:t>
      </w:r>
      <w:r>
        <w:tab/>
        <w:t>Landsbesök i Finland, Domareförbundet, Högsta förvaltningsdomstolen.</w:t>
      </w:r>
    </w:p>
  </w:footnote>
  <w:footnote w:id="18">
    <w:p w14:paraId="39C0ED12" w14:textId="77777777" w:rsidR="00A40F04" w:rsidRPr="005E6642" w:rsidRDefault="00A40F04" w:rsidP="00A40F04">
      <w:pPr>
        <w:pStyle w:val="FootnoteText"/>
        <w:spacing w:after="0"/>
      </w:pPr>
      <w:r>
        <w:rPr>
          <w:rStyle w:val="FootnoteReference"/>
        </w:rPr>
        <w:footnoteRef/>
      </w:r>
      <w:r>
        <w:t xml:space="preserve"> </w:t>
      </w:r>
      <w:r>
        <w:tab/>
        <w:t>Landsbesök i Finland, Domstolsverket, Domareförbundet.</w:t>
      </w:r>
    </w:p>
  </w:footnote>
  <w:footnote w:id="19">
    <w:p w14:paraId="3953B0FE" w14:textId="77777777" w:rsidR="00A40F04" w:rsidRPr="005E6642" w:rsidRDefault="00A40F04" w:rsidP="00A40F04">
      <w:pPr>
        <w:pStyle w:val="FootnoteText"/>
        <w:spacing w:after="0"/>
      </w:pPr>
      <w:r>
        <w:rPr>
          <w:rStyle w:val="FootnoteReference"/>
        </w:rPr>
        <w:footnoteRef/>
      </w:r>
      <w:r>
        <w:t xml:space="preserve"> </w:t>
      </w:r>
      <w:r>
        <w:tab/>
        <w:t xml:space="preserve">Denna fråga regleras i lagen om medling vid brott och i vissa tvister. </w:t>
      </w:r>
    </w:p>
  </w:footnote>
  <w:footnote w:id="20">
    <w:p w14:paraId="5AB9D7DD" w14:textId="50A9E11B" w:rsidR="00A40F04" w:rsidRPr="005E6642" w:rsidRDefault="00A40F04" w:rsidP="00A40F04">
      <w:pPr>
        <w:pStyle w:val="FootnoteText"/>
        <w:spacing w:after="0"/>
      </w:pPr>
      <w:r>
        <w:rPr>
          <w:rStyle w:val="FootnoteReference"/>
        </w:rPr>
        <w:footnoteRef/>
      </w:r>
      <w:r>
        <w:t xml:space="preserve"> </w:t>
      </w:r>
      <w:r>
        <w:tab/>
        <w:t>Initiativ till medling kan tas av den misstänkte, brottsoffret, men också på eget initiativ av en polis eller allmän åklagare, med stort utrymme för skönsmässig bedömning. Medling kan resultera i lindrigare straff, begränsad förundersökning, nedläggning av åtal samt beaktas som en faktor vid dom. Parterna i medlingen kan antingen nå en överenskommelse, avbryta processen för att i stället gå vidare till domstol, eller så kan medlingen avslutas utan att någon överenskommelse nås.</w:t>
      </w:r>
    </w:p>
  </w:footnote>
  <w:footnote w:id="21">
    <w:p w14:paraId="269B2017" w14:textId="290A6DA0" w:rsidR="00A40F04" w:rsidRPr="00E11D70" w:rsidRDefault="00A40F04" w:rsidP="00A40F04">
      <w:pPr>
        <w:pStyle w:val="FootnoteText"/>
        <w:spacing w:after="0"/>
      </w:pPr>
      <w:r>
        <w:rPr>
          <w:rStyle w:val="FootnoteReference"/>
        </w:rPr>
        <w:footnoteRef/>
      </w:r>
      <w:r>
        <w:t xml:space="preserve"> </w:t>
      </w:r>
      <w:r>
        <w:tab/>
        <w:t>Biträdande justitiekanslern (2020), s. 143.</w:t>
      </w:r>
    </w:p>
  </w:footnote>
  <w:footnote w:id="22">
    <w:p w14:paraId="282ACDED" w14:textId="77777777" w:rsidR="00A40F04" w:rsidRPr="00E11D70" w:rsidRDefault="00A40F04" w:rsidP="00A40F04">
      <w:pPr>
        <w:pStyle w:val="FootnoteText"/>
        <w:spacing w:after="0"/>
      </w:pPr>
      <w:r>
        <w:rPr>
          <w:rStyle w:val="FootnoteReference"/>
        </w:rPr>
        <w:footnoteRef/>
      </w:r>
      <w:r>
        <w:t xml:space="preserve"> </w:t>
      </w:r>
      <w:r>
        <w:tab/>
        <w:t>Landsbesök i Finland, den nationella Åklagarmyndigheten, Högsta domstolen, riksdagens justitieombudsman.</w:t>
      </w:r>
    </w:p>
  </w:footnote>
  <w:footnote w:id="23">
    <w:p w14:paraId="0D2AC016" w14:textId="77777777" w:rsidR="00A40F04" w:rsidRPr="00E11D70" w:rsidRDefault="00A40F04" w:rsidP="00A40F04">
      <w:pPr>
        <w:pStyle w:val="FootnoteText"/>
        <w:spacing w:after="0"/>
      </w:pPr>
      <w:r>
        <w:rPr>
          <w:rStyle w:val="FootnoteReference"/>
        </w:rPr>
        <w:footnoteRef/>
      </w:r>
      <w:r>
        <w:t xml:space="preserve"> </w:t>
      </w:r>
      <w:r>
        <w:tab/>
        <w:t xml:space="preserve">Statsrådet (2025), skriftligt bidrag, s. 11. </w:t>
      </w:r>
    </w:p>
  </w:footnote>
  <w:footnote w:id="24">
    <w:p w14:paraId="3C17CE4E" w14:textId="77777777" w:rsidR="00A40F04" w:rsidRPr="00E11D70" w:rsidRDefault="00A40F04" w:rsidP="00A40F04">
      <w:pPr>
        <w:pStyle w:val="FootnoteText"/>
        <w:spacing w:after="0"/>
      </w:pPr>
      <w:r>
        <w:rPr>
          <w:rStyle w:val="FootnoteReference"/>
        </w:rPr>
        <w:footnoteRef/>
      </w:r>
      <w:r>
        <w:t xml:space="preserve"> </w:t>
      </w:r>
      <w:r>
        <w:tab/>
        <w:t xml:space="preserve">Statsrådet (2025), skriftligt bidrag, s. 11. Landsbesök i Finland, Åklagarmyndigheten. </w:t>
      </w:r>
    </w:p>
  </w:footnote>
  <w:footnote w:id="25">
    <w:p w14:paraId="785256A8" w14:textId="77777777" w:rsidR="00A40F04" w:rsidRPr="00E11D70" w:rsidRDefault="00A40F04" w:rsidP="00A40F04">
      <w:pPr>
        <w:pStyle w:val="FootnoteText"/>
        <w:spacing w:after="0"/>
      </w:pPr>
      <w:r>
        <w:rPr>
          <w:rStyle w:val="FootnoteReference"/>
        </w:rPr>
        <w:footnoteRef/>
      </w:r>
      <w:r>
        <w:t xml:space="preserve"> </w:t>
      </w:r>
      <w:r>
        <w:tab/>
        <w:t>Landsbesök i Finland, Högsta domstolen, Domstolsverket, Åklagarmyndigheten. Högsta förvaltningsdomstolen noterade positiva erfarenheter av systemet för förvaltningsdomstolar (HAIPA), med visst utrymme för förbättringar.</w:t>
      </w:r>
    </w:p>
  </w:footnote>
  <w:footnote w:id="26">
    <w:p w14:paraId="09D36073" w14:textId="77777777" w:rsidR="00A40F04" w:rsidRPr="00E11D70" w:rsidRDefault="00A40F04" w:rsidP="00A40F04">
      <w:pPr>
        <w:pStyle w:val="FootnoteText"/>
        <w:spacing w:after="0"/>
        <w:rPr>
          <w:rFonts w:cs="Arial"/>
        </w:rPr>
      </w:pPr>
      <w:r>
        <w:rPr>
          <w:rStyle w:val="FootnoteReference"/>
        </w:rPr>
        <w:footnoteRef/>
      </w:r>
      <w:r>
        <w:t xml:space="preserve"> </w:t>
      </w:r>
      <w:r>
        <w:tab/>
        <w:t xml:space="preserve">Rådet för advokatsamfunden i Europeiska unionen (2025), skriftligt bidrag, s. 2. Landsbesök i Finland, Domareförbundet. </w:t>
      </w:r>
    </w:p>
  </w:footnote>
  <w:footnote w:id="27">
    <w:p w14:paraId="0D27C12C" w14:textId="7CD2467B" w:rsidR="00A40F04" w:rsidRPr="00663260" w:rsidRDefault="00A40F04" w:rsidP="00685E81">
      <w:pPr>
        <w:pStyle w:val="FootnoteText"/>
        <w:spacing w:after="0"/>
        <w:rPr>
          <w:highlight w:val="green"/>
        </w:rPr>
      </w:pPr>
      <w:r>
        <w:rPr>
          <w:rStyle w:val="FootnoteReference"/>
        </w:rPr>
        <w:footnoteRef/>
      </w:r>
      <w:r>
        <w:t xml:space="preserve"> </w:t>
      </w:r>
      <w:r>
        <w:tab/>
        <w:t>Högsta domstolen fastslog år 2024 (HD:2024:71) att det tidigare belopp som hade tillämpats sedan 2014 inte längre var skäligt, och lät bli att tillämpa den statsrådets förordning där man fastställde den avgift som var i kraft vid tidpunkten. Högsta förvaltningsdomstolen meddelade dock ett avvikande beslut (HFD: 2024:129) och fortsatte att tillämpa nämnda förordning. Därefter ändrade justitieministeriet statsrådets förordning, och höjde timavgiften till 120 euro. Vissa berörda parter ansåg att denna nya avgift var otillräcklig. Rådet för advokatsamfunden i Europeiska unionen (2025), skriftligt bidrag, s. 2. Den nya avgiften låg under det tröskelvärde som fastställdes i Högsta domstolens dom, vilket tillfälligt bidrog till en fortsatt avsaknad av enhetlig tillämpning. Finlands Advokatförbund (2025), skriftligt bidrag, s. 2. Landsbesök i Finland, Finlands advokatsamfund, Högsta domstolen, Högsta förvaltningsdomstolen. I april 2025 fann Högsta domstolen dock att den nya avgiften var förenlig med rättshjälpslagen (HD: 2025:38), vilket undanröjde behovet av ytterligare lagändringar. Statsrådet (2025), skriftligt bidrag, s. 9.</w:t>
      </w:r>
    </w:p>
  </w:footnote>
  <w:footnote w:id="28">
    <w:p w14:paraId="78E28076" w14:textId="184D46DF" w:rsidR="00A40F04" w:rsidRPr="00D67535" w:rsidRDefault="00A40F04" w:rsidP="00BC7106">
      <w:pPr>
        <w:pStyle w:val="FootnoteText"/>
        <w:spacing w:after="0"/>
      </w:pPr>
    </w:p>
  </w:footnote>
  <w:footnote w:id="29">
    <w:p w14:paraId="246729C0" w14:textId="77777777" w:rsidR="00A40F04" w:rsidRPr="00D67535" w:rsidRDefault="00A40F04" w:rsidP="00A40F04">
      <w:pPr>
        <w:pStyle w:val="FootnoteText"/>
        <w:spacing w:after="0"/>
      </w:pPr>
      <w:r>
        <w:rPr>
          <w:rStyle w:val="FootnoteReference"/>
        </w:rPr>
        <w:footnoteRef/>
      </w:r>
      <w:r>
        <w:t xml:space="preserve"> </w:t>
      </w:r>
      <w:r>
        <w:tab/>
        <w:t>En specialdomstol med exklusiv behörighet i vissa handelsfrågor, särskilt upphandlingsärenden, konkurrens- och tillsynsärenden, marknadsrättsliga ärenden samt ärenden som gäller industriella rättigheter. Statsrådet (2025), skriftligt bidrag, s. 12.</w:t>
      </w:r>
    </w:p>
  </w:footnote>
  <w:footnote w:id="30">
    <w:p w14:paraId="24B98065" w14:textId="77777777" w:rsidR="00A40F04" w:rsidRPr="00D67535" w:rsidRDefault="00A40F04" w:rsidP="00A40F04">
      <w:pPr>
        <w:pStyle w:val="FootnoteText"/>
        <w:spacing w:after="0"/>
      </w:pPr>
      <w:r>
        <w:rPr>
          <w:rStyle w:val="FootnoteReference"/>
        </w:rPr>
        <w:footnoteRef/>
      </w:r>
      <w:r>
        <w:t xml:space="preserve"> </w:t>
      </w:r>
      <w:r>
        <w:tab/>
        <w:t>Centralhandelskammaren (2025), skriftligt bidrag. Landsbesök i Finland, Högsta förvaltningsdomstolen.</w:t>
      </w:r>
    </w:p>
  </w:footnote>
  <w:footnote w:id="31">
    <w:p w14:paraId="7B7F6DC4" w14:textId="77777777" w:rsidR="00A40F04" w:rsidRPr="00D67535" w:rsidRDefault="00A40F04" w:rsidP="00A40F04">
      <w:pPr>
        <w:pStyle w:val="FootnoteText"/>
        <w:spacing w:after="0"/>
      </w:pPr>
      <w:r>
        <w:rPr>
          <w:rStyle w:val="FootnoteReference"/>
        </w:rPr>
        <w:footnoteRef/>
      </w:r>
      <w:r>
        <w:t xml:space="preserve"> </w:t>
      </w:r>
      <w:r>
        <w:tab/>
        <w:t>Landsbesök i Finland, Människorättscentret.</w:t>
      </w:r>
    </w:p>
  </w:footnote>
  <w:footnote w:id="32">
    <w:p w14:paraId="62A2F88E" w14:textId="77777777" w:rsidR="00A40F04" w:rsidRPr="00D67535" w:rsidRDefault="00A40F04" w:rsidP="00A40F04">
      <w:pPr>
        <w:pStyle w:val="FootnoteText"/>
        <w:spacing w:after="0"/>
      </w:pPr>
      <w:r>
        <w:rPr>
          <w:rStyle w:val="FootnoteReference"/>
        </w:rPr>
        <w:footnoteRef/>
      </w:r>
      <w:r>
        <w:t xml:space="preserve"> </w:t>
      </w:r>
      <w:r>
        <w:tab/>
        <w:t>Centralhandelskammaren, Finlands näringsliv (2025), ytterligare skriftligt bidrag.</w:t>
      </w:r>
    </w:p>
  </w:footnote>
  <w:footnote w:id="33">
    <w:p w14:paraId="21263F46" w14:textId="77777777" w:rsidR="00A40F04" w:rsidRPr="00D67535" w:rsidRDefault="00A40F04" w:rsidP="00A40F04">
      <w:pPr>
        <w:pStyle w:val="FootnoteText"/>
        <w:spacing w:after="0"/>
      </w:pPr>
      <w:r>
        <w:rPr>
          <w:rStyle w:val="FootnoteReference"/>
        </w:rPr>
        <w:footnoteRef/>
      </w:r>
      <w:r>
        <w:t xml:space="preserve"> </w:t>
      </w:r>
      <w:r>
        <w:tab/>
        <w:t>Statsrådet (2025), skriftligt bidrag, s. 9.</w:t>
      </w:r>
    </w:p>
  </w:footnote>
  <w:footnote w:id="34">
    <w:p w14:paraId="5356122E" w14:textId="77777777" w:rsidR="00A40F04" w:rsidRPr="00D67535" w:rsidRDefault="00A40F04" w:rsidP="00A40F04">
      <w:pPr>
        <w:pStyle w:val="FootnoteText"/>
        <w:spacing w:after="0"/>
      </w:pPr>
      <w:r>
        <w:rPr>
          <w:rStyle w:val="FootnoteReference"/>
        </w:rPr>
        <w:footnoteRef/>
      </w:r>
      <w:r>
        <w:t xml:space="preserve"> </w:t>
      </w:r>
      <w:r>
        <w:tab/>
        <w:t xml:space="preserve">När en lägre domstol hänskjuter en prejudikatfråga till Högsta domstolen, är den bunden av Högsta domstolens avgörande. </w:t>
      </w:r>
    </w:p>
  </w:footnote>
  <w:footnote w:id="35">
    <w:p w14:paraId="28045FEE" w14:textId="77777777" w:rsidR="00A40F04" w:rsidRPr="00D67535" w:rsidRDefault="00A40F04" w:rsidP="00A40F04">
      <w:pPr>
        <w:pStyle w:val="FootnoteText"/>
        <w:spacing w:after="0"/>
      </w:pPr>
      <w:r>
        <w:rPr>
          <w:rStyle w:val="FootnoteReference"/>
        </w:rPr>
        <w:footnoteRef/>
      </w:r>
      <w:r>
        <w:t xml:space="preserve"> </w:t>
      </w:r>
      <w:r>
        <w:tab/>
        <w:t>Statsrådet (2025), skriftligt bidrag, s. 12.</w:t>
      </w:r>
    </w:p>
  </w:footnote>
  <w:footnote w:id="36">
    <w:p w14:paraId="4AE0F28B" w14:textId="77777777" w:rsidR="00A40F04" w:rsidRPr="00D67535" w:rsidRDefault="00A40F04" w:rsidP="00A40F04">
      <w:pPr>
        <w:pStyle w:val="FootnoteText"/>
        <w:spacing w:after="0"/>
      </w:pPr>
      <w:r>
        <w:rPr>
          <w:rStyle w:val="FootnoteReference"/>
        </w:rPr>
        <w:footnoteRef/>
      </w:r>
      <w:r>
        <w:t xml:space="preserve"> </w:t>
      </w:r>
      <w:r>
        <w:tab/>
        <w:t>Landsbesök i Finland, Finlands Advokatförbund, Domareförbundet.</w:t>
      </w:r>
    </w:p>
  </w:footnote>
  <w:footnote w:id="37">
    <w:p w14:paraId="32C5AA78" w14:textId="77777777" w:rsidR="00A40F04" w:rsidRPr="00D67535" w:rsidRDefault="00A40F04" w:rsidP="00A40F04">
      <w:pPr>
        <w:pStyle w:val="FootnoteText"/>
        <w:spacing w:after="0"/>
      </w:pPr>
      <w:r>
        <w:rPr>
          <w:vertAlign w:val="superscript"/>
        </w:rPr>
        <w:footnoteRef/>
      </w:r>
      <w:r>
        <w:rPr>
          <w:vertAlign w:val="superscript"/>
        </w:rPr>
        <w:t xml:space="preserve"> </w:t>
      </w:r>
      <w:r>
        <w:tab/>
        <w:t>Den upplevda korruptionen kategoriseras enligt följande: låg (experters och företagsledares upplevelse av korruption i offentlig sektor ges en poäng som överstiger 79), relativt låg (79–60), relativt hög (59–50), hög (under 50).</w:t>
      </w:r>
    </w:p>
  </w:footnote>
  <w:footnote w:id="38">
    <w:p w14:paraId="64298D9E" w14:textId="77777777" w:rsidR="00A40F04" w:rsidRPr="00D67535" w:rsidRDefault="00A40F04" w:rsidP="00A40F04">
      <w:pPr>
        <w:pStyle w:val="FootnoteText"/>
        <w:spacing w:after="0"/>
      </w:pPr>
      <w:r>
        <w:rPr>
          <w:vertAlign w:val="superscript"/>
        </w:rPr>
        <w:footnoteRef/>
      </w:r>
      <w:r>
        <w:t xml:space="preserve"> </w:t>
      </w:r>
      <w:r>
        <w:tab/>
        <w:t>År 2020 fick landet 85 poäng och 88 poäng år 2024. Värdet ökar/minskar avsevärt om det förändrats mer än fem punkter, förbättras/försämras om det förändrats mellan 4–5 punkter och ligger relativt stabilt om det förändrats mellan 1–3 punkter under de senaste fem åren.</w:t>
      </w:r>
    </w:p>
  </w:footnote>
  <w:footnote w:id="39">
    <w:p w14:paraId="292ABFF1" w14:textId="77777777" w:rsidR="00A40F04" w:rsidRPr="00E2570A" w:rsidRDefault="00A40F04" w:rsidP="00A40F04">
      <w:pPr>
        <w:pStyle w:val="FootnoteText"/>
        <w:spacing w:after="0"/>
      </w:pPr>
      <w:r>
        <w:rPr>
          <w:rStyle w:val="FootnoteReference"/>
        </w:rPr>
        <w:footnoteRef/>
      </w:r>
      <w:r>
        <w:t xml:space="preserve"> </w:t>
      </w:r>
      <w:r>
        <w:tab/>
        <w:t>Uppgifter från särskild Eurobarometer 561 (2025). Flash Eurobarometer 557 (2025).</w:t>
      </w:r>
    </w:p>
  </w:footnote>
  <w:footnote w:id="40">
    <w:p w14:paraId="68123659" w14:textId="058ED2C8" w:rsidR="00A40F04" w:rsidRPr="00E2570A" w:rsidRDefault="00A40F04" w:rsidP="00A40F04">
      <w:pPr>
        <w:pStyle w:val="FootnoteText"/>
        <w:spacing w:after="0"/>
      </w:pPr>
      <w:r>
        <w:rPr>
          <w:rStyle w:val="FootnoteReference"/>
        </w:rPr>
        <w:footnoteRef/>
      </w:r>
      <w:r>
        <w:t xml:space="preserve"> </w:t>
      </w:r>
      <w:r>
        <w:tab/>
        <w:t>Statsrådet (2025), Statsrådets principbeslut om en nationell strategi och ett åtgärdsprogram för bekämpning av korruption 2025–2027. Landsbesök i Finland, justitieministeriet. Statsrådet (2025), skriftligt bidrag, s. 15. Rapport om rättsstatsprincipen, Finland, s. 11.</w:t>
      </w:r>
    </w:p>
  </w:footnote>
  <w:footnote w:id="41">
    <w:p w14:paraId="1DBBDE35" w14:textId="77777777" w:rsidR="00A40F04" w:rsidRPr="00E2570A" w:rsidRDefault="00A40F04" w:rsidP="00A40F04">
      <w:pPr>
        <w:pStyle w:val="FootnoteText"/>
        <w:spacing w:after="0"/>
      </w:pPr>
      <w:r>
        <w:rPr>
          <w:rStyle w:val="FootnoteReference"/>
        </w:rPr>
        <w:footnoteRef/>
      </w:r>
      <w:r>
        <w:t xml:space="preserve"> </w:t>
      </w:r>
      <w:r>
        <w:tab/>
        <w:t xml:space="preserve">Landsbesök i Finland, justitieministeriet och Transparency International Finland. </w:t>
      </w:r>
    </w:p>
  </w:footnote>
  <w:footnote w:id="42">
    <w:p w14:paraId="4B4863FB" w14:textId="0A005640" w:rsidR="00A40F04" w:rsidRPr="00E2570A" w:rsidRDefault="00A40F04" w:rsidP="00A40F04">
      <w:pPr>
        <w:pStyle w:val="FootnoteText"/>
        <w:spacing w:after="0"/>
      </w:pPr>
      <w:r>
        <w:rPr>
          <w:rStyle w:val="FootnoteReference"/>
        </w:rPr>
        <w:footnoteRef/>
      </w:r>
      <w:r>
        <w:t xml:space="preserve"> </w:t>
      </w:r>
      <w:r>
        <w:tab/>
        <w:t xml:space="preserve">Greco (2023), rekommendation vii, s. 9. </w:t>
      </w:r>
    </w:p>
  </w:footnote>
  <w:footnote w:id="43">
    <w:p w14:paraId="33306E06" w14:textId="325B6A1D" w:rsidR="00A40F04" w:rsidRPr="00AE4A69" w:rsidRDefault="00A40F04" w:rsidP="00A40F04">
      <w:pPr>
        <w:pStyle w:val="FootnoteText"/>
        <w:spacing w:after="0"/>
      </w:pPr>
      <w:r>
        <w:rPr>
          <w:rStyle w:val="FootnoteReference"/>
        </w:rPr>
        <w:footnoteRef/>
      </w:r>
      <w:r>
        <w:t xml:space="preserve"> </w:t>
      </w:r>
      <w:r>
        <w:tab/>
        <w:t>Statsrådet (2025), skriftligt bidrag, s. 16. Landsbesök i Finland, Polisstyrelsen. Polisen i Finland (2024), Polisens policy för korruptionsbekämpning. Denna antikorruptionspolicy innehåller följande: 1) Förtroendet för polisen är fortsatt högt. 2) Polisen har nolltolerans mot korruption. 3) Vi är medvetna om, identifierar och har kontroll över korruptionsriskerna. 4) Vi gör det möjligt att avslöja och rapportera oegentligheter. 5) När vi upptäcker korruptiva egenskaper vidtar vi omedelbara åtgärder.</w:t>
      </w:r>
    </w:p>
  </w:footnote>
  <w:footnote w:id="44">
    <w:p w14:paraId="63F9ADDA" w14:textId="77777777" w:rsidR="00A40F04" w:rsidRPr="00AE4A69" w:rsidRDefault="00A40F04" w:rsidP="00A40F04">
      <w:pPr>
        <w:pStyle w:val="FootnoteText"/>
        <w:spacing w:after="0"/>
      </w:pPr>
      <w:r>
        <w:rPr>
          <w:rStyle w:val="FootnoteReference"/>
        </w:rPr>
        <w:footnoteRef/>
      </w:r>
      <w:r>
        <w:t xml:space="preserve"> </w:t>
      </w:r>
      <w:r>
        <w:tab/>
        <w:t>Landsbesök i Finland, Åklagarmyndigheten, Centralkriminalpolisen och Polisstyrelsen. Inom Centralkriminalpolisen ansvarar en nationell samordnare för korruptionsbekämpning, och två polisinspektörer ansvarar för ärenden som rör korruptionsbekämpning.</w:t>
      </w:r>
    </w:p>
  </w:footnote>
  <w:footnote w:id="45">
    <w:p w14:paraId="7C8F5D95" w14:textId="77777777" w:rsidR="00A40F04" w:rsidRPr="00AE4A69" w:rsidRDefault="00A40F04" w:rsidP="00A40F04">
      <w:pPr>
        <w:pStyle w:val="FootnoteText"/>
        <w:spacing w:after="0"/>
        <w:rPr>
          <w:rFonts w:cs="Arial"/>
        </w:rPr>
      </w:pPr>
      <w:r>
        <w:rPr>
          <w:rStyle w:val="FootnoteReference"/>
        </w:rPr>
        <w:footnoteRef/>
      </w:r>
      <w:r>
        <w:t xml:space="preserve"> </w:t>
      </w:r>
      <w:r>
        <w:tab/>
        <w:t>Landsbesök i Finland, Polisstyrelsen.</w:t>
      </w:r>
    </w:p>
  </w:footnote>
  <w:footnote w:id="46">
    <w:p w14:paraId="230611B8" w14:textId="66EEBB05" w:rsidR="00A40F04" w:rsidRPr="00AE4A69" w:rsidRDefault="00A40F04" w:rsidP="00A40F04">
      <w:pPr>
        <w:pStyle w:val="FootnoteText"/>
        <w:spacing w:after="0"/>
      </w:pPr>
      <w:r>
        <w:rPr>
          <w:rStyle w:val="FootnoteReference"/>
        </w:rPr>
        <w:footnoteRef/>
      </w:r>
      <w:r>
        <w:t xml:space="preserve"> </w:t>
      </w:r>
      <w:r>
        <w:tab/>
        <w:t>Åklagarmyndigheten mottog tio korruptionsärenden från polisen 2024, jämfört med nio år 2023. Landsbesök i Finland, Åklagarmyndigheten. Inga korruptionsmål hos Eppo rapporterades i Finland 2024. Eppo (2024), s. 29.</w:t>
      </w:r>
    </w:p>
  </w:footnote>
  <w:footnote w:id="47">
    <w:p w14:paraId="3AE28B99" w14:textId="77777777" w:rsidR="00A40F04" w:rsidRPr="00AE4A69" w:rsidRDefault="00A40F04" w:rsidP="00A40F04">
      <w:pPr>
        <w:pStyle w:val="FootnoteText"/>
        <w:spacing w:after="0"/>
        <w:rPr>
          <w:i/>
          <w:iCs/>
        </w:rPr>
      </w:pPr>
      <w:r>
        <w:rPr>
          <w:rStyle w:val="FootnoteReference"/>
        </w:rPr>
        <w:footnoteRef/>
      </w:r>
      <w:r>
        <w:t xml:space="preserve"> </w:t>
      </w:r>
      <w:r>
        <w:tab/>
        <w:t>I 2024 års rapport om rättsstatsprincipen rekommenderades Finland att ”[a]nta lagstiftning om handel med inflytande och föreslå en översyn av mutbrott utomlands”.</w:t>
      </w:r>
    </w:p>
  </w:footnote>
  <w:footnote w:id="48">
    <w:p w14:paraId="20123890" w14:textId="77777777" w:rsidR="00A40F04" w:rsidRPr="00AE4A69" w:rsidRDefault="00A40F04" w:rsidP="00A40F04">
      <w:pPr>
        <w:pStyle w:val="FootnoteText"/>
        <w:spacing w:after="0"/>
        <w:rPr>
          <w:rFonts w:cs="Arial"/>
        </w:rPr>
      </w:pPr>
      <w:r>
        <w:rPr>
          <w:rStyle w:val="FootnoteReference"/>
        </w:rPr>
        <w:footnoteRef/>
      </w:r>
      <w:r>
        <w:t xml:space="preserve"> </w:t>
      </w:r>
      <w:r>
        <w:tab/>
        <w:t>2024 års rapport om rättsstatsprincipen, Finland, s. 11–12. Förslag till Europaparlamentets och rådets direktiv om bekämpande av korruption, COM(2023) 234 final. Förslaget diskuteras för närvarande.</w:t>
      </w:r>
    </w:p>
  </w:footnote>
  <w:footnote w:id="49">
    <w:p w14:paraId="7610A6D4" w14:textId="77777777" w:rsidR="00A40F04" w:rsidRPr="00A8446F" w:rsidRDefault="00A40F04" w:rsidP="00A40F04">
      <w:pPr>
        <w:pStyle w:val="FootnoteText"/>
        <w:spacing w:after="0"/>
      </w:pPr>
      <w:r>
        <w:rPr>
          <w:rStyle w:val="FootnoteReference"/>
        </w:rPr>
        <w:footnoteRef/>
      </w:r>
      <w:r>
        <w:t xml:space="preserve"> </w:t>
      </w:r>
      <w:r>
        <w:tab/>
        <w:t>Statsrådet (2025), skriftligt bidrag, s. 14–15.</w:t>
      </w:r>
    </w:p>
  </w:footnote>
  <w:footnote w:id="50">
    <w:p w14:paraId="77DD0DE5" w14:textId="77777777" w:rsidR="00A40F04" w:rsidRPr="00A8446F" w:rsidRDefault="00A40F04" w:rsidP="00A40F04">
      <w:pPr>
        <w:pStyle w:val="FootnoteText"/>
        <w:spacing w:after="0"/>
      </w:pPr>
      <w:r>
        <w:rPr>
          <w:rStyle w:val="FootnoteReference"/>
        </w:rPr>
        <w:footnoteRef/>
      </w:r>
      <w:r>
        <w:t xml:space="preserve"> </w:t>
      </w:r>
      <w:r>
        <w:tab/>
        <w:t>Statsrådet (2025), skriftligt bidrag, s. 6, s. 14.</w:t>
      </w:r>
    </w:p>
  </w:footnote>
  <w:footnote w:id="51">
    <w:p w14:paraId="766B0632" w14:textId="77777777" w:rsidR="00A40F04" w:rsidRPr="0002076F" w:rsidRDefault="00A40F04" w:rsidP="00A40F04">
      <w:pPr>
        <w:pStyle w:val="FootnoteText"/>
        <w:spacing w:after="0"/>
      </w:pPr>
      <w:r>
        <w:rPr>
          <w:rStyle w:val="FootnoteReference"/>
        </w:rPr>
        <w:footnoteRef/>
      </w:r>
      <w:r w:rsidRPr="00033A01">
        <w:rPr>
          <w:lang w:val="fi-FI"/>
        </w:rPr>
        <w:t xml:space="preserve"> </w:t>
      </w:r>
      <w:r w:rsidRPr="00033A01">
        <w:rPr>
          <w:lang w:val="fi-FI"/>
        </w:rPr>
        <w:tab/>
        <w:t xml:space="preserve">Statsrådets kansli (2022), </w:t>
      </w:r>
      <w:r w:rsidRPr="00033A01">
        <w:rPr>
          <w:i/>
          <w:lang w:val="fi-FI"/>
        </w:rPr>
        <w:t xml:space="preserve">Lahjonta kansainvälisessä liiketoiminnassa. </w:t>
      </w:r>
      <w:r>
        <w:rPr>
          <w:i/>
        </w:rPr>
        <w:t>Sääntelyn, soveltamiskäytännön ja koulutuksen nykytila ja muutostarpeet</w:t>
      </w:r>
      <w:r>
        <w:t xml:space="preserve">. Studien visar att det finns ett behov av att utveckla utbudet av utbildning samt lagstiftning och tillämpningspraxis. </w:t>
      </w:r>
    </w:p>
  </w:footnote>
  <w:footnote w:id="52">
    <w:p w14:paraId="02D99DAF" w14:textId="77777777" w:rsidR="00A40F04" w:rsidRPr="0002076F" w:rsidRDefault="00A40F04" w:rsidP="00A40F04">
      <w:pPr>
        <w:pStyle w:val="FootnoteText"/>
        <w:spacing w:after="0"/>
      </w:pPr>
      <w:r>
        <w:rPr>
          <w:rStyle w:val="FootnoteReference"/>
        </w:rPr>
        <w:footnoteRef/>
      </w:r>
      <w:r>
        <w:t xml:space="preserve"> </w:t>
      </w:r>
      <w:r>
        <w:tab/>
        <w:t>Landsbesök i Finland, justitieministeriet. Statsrådet (2025), skriftligt bidrag, s. 14–15. Rapport om rättsstatsprincipen 2024, s. 12.</w:t>
      </w:r>
    </w:p>
  </w:footnote>
  <w:footnote w:id="53">
    <w:p w14:paraId="7182FD3E" w14:textId="0F4759A8" w:rsidR="00A40F04" w:rsidRPr="00A8446F" w:rsidRDefault="00A40F04" w:rsidP="00A40F04">
      <w:pPr>
        <w:pStyle w:val="FootnoteText"/>
        <w:spacing w:after="0"/>
        <w:rPr>
          <w:rFonts w:cs="Arial"/>
        </w:rPr>
      </w:pPr>
      <w:r>
        <w:rPr>
          <w:rStyle w:val="FootnoteReference"/>
        </w:rPr>
        <w:footnoteRef/>
      </w:r>
      <w:r>
        <w:t xml:space="preserve"> </w:t>
      </w:r>
      <w:r>
        <w:tab/>
        <w:t>Polisstyrelsen (2025), ytterligare skriftligt bidrag, s. 2.</w:t>
      </w:r>
    </w:p>
  </w:footnote>
  <w:footnote w:id="54">
    <w:p w14:paraId="493A15FB" w14:textId="77777777" w:rsidR="00A40F04" w:rsidRPr="0002076F" w:rsidRDefault="00A40F04" w:rsidP="00A40F04">
      <w:pPr>
        <w:pStyle w:val="FootnoteText"/>
        <w:spacing w:after="0"/>
        <w:rPr>
          <w:i/>
        </w:rPr>
      </w:pPr>
      <w:r>
        <w:rPr>
          <w:rStyle w:val="FootnoteReference"/>
        </w:rPr>
        <w:footnoteRef/>
      </w:r>
      <w:r>
        <w:t xml:space="preserve"> </w:t>
      </w:r>
      <w:r>
        <w:tab/>
        <w:t>2024 års rapport om rättsstatsprincipen, Finland, s. 13–14. I 2024 års rapport om rättsstatsprincipen rekommenderades Finland att ”[s]tärka den ram för integritet och ansvarsskyldighet som gäller för ministrar och de högsta tjänstemännen genom att anta anvisningar om tjänstemannaetik”.</w:t>
      </w:r>
    </w:p>
  </w:footnote>
  <w:footnote w:id="55">
    <w:p w14:paraId="546A22A9" w14:textId="77777777" w:rsidR="00A40F04" w:rsidRPr="0002076F" w:rsidRDefault="00A40F04" w:rsidP="00A40F04">
      <w:pPr>
        <w:pStyle w:val="FootnoteText"/>
        <w:spacing w:after="0"/>
      </w:pPr>
      <w:r>
        <w:rPr>
          <w:rStyle w:val="FootnoteReference"/>
        </w:rPr>
        <w:footnoteRef/>
      </w:r>
      <w:r>
        <w:t xml:space="preserve"> </w:t>
      </w:r>
      <w:r>
        <w:tab/>
        <w:t xml:space="preserve">Det omfattar högre tjänstemän i statsförvaltningen som omfattas av krav på finansiell information. </w:t>
      </w:r>
    </w:p>
  </w:footnote>
  <w:footnote w:id="56">
    <w:p w14:paraId="06C09D7E" w14:textId="77777777" w:rsidR="00A40F04" w:rsidRPr="0002076F" w:rsidRDefault="00A40F04" w:rsidP="00A40F04">
      <w:pPr>
        <w:pStyle w:val="FootnoteText"/>
        <w:spacing w:after="0"/>
      </w:pPr>
      <w:r>
        <w:rPr>
          <w:rStyle w:val="FootnoteReference"/>
        </w:rPr>
        <w:footnoteRef/>
      </w:r>
      <w:r>
        <w:t xml:space="preserve"> </w:t>
      </w:r>
      <w:r>
        <w:tab/>
        <w:t>Det omfattar ministrarnas rättsliga och politiska ansvar, förklaring av privata intressen och regler om mottagande av gästfrihet, förmåner och gåvor.</w:t>
      </w:r>
    </w:p>
  </w:footnote>
  <w:footnote w:id="57">
    <w:p w14:paraId="26669410" w14:textId="3C238A8D" w:rsidR="00A40F04" w:rsidRPr="0002076F" w:rsidRDefault="00A40F04" w:rsidP="00A40F04">
      <w:pPr>
        <w:pStyle w:val="FootnoteText"/>
        <w:spacing w:after="0"/>
        <w:rPr>
          <w:rFonts w:cs="Arial"/>
        </w:rPr>
      </w:pPr>
      <w:r>
        <w:rPr>
          <w:rStyle w:val="FootnoteReference"/>
        </w:rPr>
        <w:footnoteRef/>
      </w:r>
      <w:r>
        <w:t xml:space="preserve"> </w:t>
      </w:r>
      <w:r>
        <w:tab/>
        <w:t xml:space="preserve">Greco (2023), rekommendation i, punkterna 17 och 96. 2024 års rapport om rättsstatsprincipen, s. 13–14. Förfarandet för utredning av korruption hos medlemmarna av statsrådet skiljer sig från en vanlig korruptionsutredning. Ministerns handbok är allmän och det finns ingen efterlevnadsmekanism. Greco (2023), rekommendation iv och v, punkterna 28–41. </w:t>
      </w:r>
    </w:p>
  </w:footnote>
  <w:footnote w:id="58">
    <w:p w14:paraId="484AE083" w14:textId="3A871D36" w:rsidR="00A40F04" w:rsidRPr="00A8446F" w:rsidRDefault="00A40F04" w:rsidP="00A40F04">
      <w:pPr>
        <w:pStyle w:val="FootnoteText"/>
        <w:spacing w:after="0"/>
      </w:pPr>
      <w:r>
        <w:rPr>
          <w:rStyle w:val="FootnoteReference"/>
        </w:rPr>
        <w:footnoteRef/>
      </w:r>
      <w:r>
        <w:t xml:space="preserve"> </w:t>
      </w:r>
      <w:r>
        <w:tab/>
        <w:t>Statsrådet (2025), Statsrådets principbeslut om en nationell strategi och ett åtgärdsprogram för bekämpning av korruption 2025–2027. Landsbesök i Finland, justitieministeriet.</w:t>
      </w:r>
    </w:p>
  </w:footnote>
  <w:footnote w:id="59">
    <w:p w14:paraId="7B93CBFE" w14:textId="77777777" w:rsidR="00A40F04" w:rsidRPr="0002076F" w:rsidRDefault="00A40F04" w:rsidP="00A40F04">
      <w:pPr>
        <w:pStyle w:val="FootnoteText"/>
        <w:spacing w:after="0"/>
      </w:pPr>
      <w:r>
        <w:rPr>
          <w:rStyle w:val="FootnoteReference"/>
        </w:rPr>
        <w:footnoteRef/>
      </w:r>
      <w:r>
        <w:t xml:space="preserve"> </w:t>
      </w:r>
      <w:r>
        <w:tab/>
        <w:t>Landsbesök i Finland, Åklagarmyndigheten.</w:t>
      </w:r>
    </w:p>
  </w:footnote>
  <w:footnote w:id="60">
    <w:p w14:paraId="7005B745" w14:textId="2BD3E846" w:rsidR="00A40F04" w:rsidRPr="007A3186" w:rsidRDefault="00A40F04" w:rsidP="00A40F04">
      <w:pPr>
        <w:pStyle w:val="FootnoteText"/>
        <w:spacing w:after="0"/>
      </w:pPr>
      <w:r>
        <w:rPr>
          <w:rStyle w:val="FootnoteReference"/>
        </w:rPr>
        <w:footnoteRef/>
      </w:r>
      <w:r>
        <w:tab/>
        <w:t xml:space="preserve"> Lagen om öppenhetsregistret. 2024 års rapport om rättsstatsprincipen, Finland, s. 14–15.</w:t>
      </w:r>
    </w:p>
  </w:footnote>
  <w:footnote w:id="61">
    <w:p w14:paraId="2654D6C4" w14:textId="77777777" w:rsidR="00A40F04" w:rsidRPr="007A3186" w:rsidRDefault="00A40F04" w:rsidP="00A40F04">
      <w:pPr>
        <w:pStyle w:val="FootnoteText"/>
        <w:spacing w:after="0"/>
        <w:rPr>
          <w:rFonts w:cs="Arial"/>
        </w:rPr>
      </w:pPr>
      <w:r>
        <w:rPr>
          <w:rStyle w:val="FootnoteReference"/>
        </w:rPr>
        <w:footnoteRef/>
      </w:r>
      <w:r>
        <w:t xml:space="preserve"> </w:t>
      </w:r>
      <w:r>
        <w:tab/>
        <w:t>Landsbesök i Finland, justitieministeriet.</w:t>
      </w:r>
    </w:p>
  </w:footnote>
  <w:footnote w:id="62">
    <w:p w14:paraId="1FBFEB0E" w14:textId="1DB6CC43" w:rsidR="00A40F04" w:rsidRPr="007A3186" w:rsidRDefault="00A40F04" w:rsidP="00A40F04">
      <w:pPr>
        <w:pStyle w:val="FootnoteText"/>
        <w:spacing w:after="0"/>
        <w:jc w:val="left"/>
      </w:pPr>
      <w:r>
        <w:rPr>
          <w:rStyle w:val="FootnoteReference"/>
        </w:rPr>
        <w:footnoteRef/>
      </w:r>
      <w:r>
        <w:t xml:space="preserve"> </w:t>
      </w:r>
      <w:r>
        <w:tab/>
        <w:t>Landsbesök i Finland, justitieministeriet. Öppenhetsregistret (2025). Transparency International Finland (2025), skriftligt bidrag, s. 12.</w:t>
      </w:r>
    </w:p>
  </w:footnote>
  <w:footnote w:id="63">
    <w:p w14:paraId="20A9475D" w14:textId="77777777" w:rsidR="00A40F04" w:rsidRPr="007A3186" w:rsidRDefault="00A40F04" w:rsidP="00A40F04">
      <w:pPr>
        <w:pStyle w:val="FootnoteText"/>
        <w:spacing w:after="0"/>
      </w:pPr>
      <w:r>
        <w:rPr>
          <w:rStyle w:val="FootnoteReference"/>
        </w:rPr>
        <w:footnoteRef/>
      </w:r>
      <w:r>
        <w:t xml:space="preserve"> </w:t>
      </w:r>
      <w:r>
        <w:tab/>
        <w:t>Landsbesök i Finland, justitieministeriet. 2024 års rapport om rättsstatsprincipen, Finland, s. 14–15.</w:t>
      </w:r>
    </w:p>
  </w:footnote>
  <w:footnote w:id="64">
    <w:p w14:paraId="19237502" w14:textId="77777777" w:rsidR="00A40F04" w:rsidRPr="007A3186" w:rsidRDefault="00A40F04" w:rsidP="00A40F04">
      <w:pPr>
        <w:pStyle w:val="FootnoteText"/>
        <w:spacing w:after="0"/>
        <w:rPr>
          <w:highlight w:val="yellow"/>
        </w:rPr>
      </w:pPr>
      <w:r>
        <w:rPr>
          <w:rStyle w:val="FootnoteReference"/>
        </w:rPr>
        <w:footnoteRef/>
      </w:r>
      <w:r>
        <w:t xml:space="preserve"> </w:t>
      </w:r>
      <w:r>
        <w:tab/>
        <w:t>Landsbesök i Finland, Transparency International Finland. Transparency International Finland (2025), skriftligt bidrag, s. 12.</w:t>
      </w:r>
    </w:p>
  </w:footnote>
  <w:footnote w:id="65">
    <w:p w14:paraId="004C8660" w14:textId="77777777" w:rsidR="00A40F04" w:rsidRPr="007A3186" w:rsidRDefault="00A40F04" w:rsidP="00A40F04">
      <w:pPr>
        <w:pStyle w:val="FootnoteText"/>
        <w:spacing w:after="0"/>
      </w:pPr>
      <w:r>
        <w:rPr>
          <w:rStyle w:val="FootnoteReference"/>
        </w:rPr>
        <w:footnoteRef/>
      </w:r>
      <w:r>
        <w:t xml:space="preserve"> </w:t>
      </w:r>
      <w:r>
        <w:tab/>
        <w:t>Statsrådet (2025), skriftligt bidrag, s. 17.</w:t>
      </w:r>
    </w:p>
  </w:footnote>
  <w:footnote w:id="66">
    <w:p w14:paraId="12CBD0A4" w14:textId="7B829287" w:rsidR="00A40F04" w:rsidRPr="007A3186" w:rsidRDefault="00A40F04" w:rsidP="00A40F04">
      <w:pPr>
        <w:pStyle w:val="FootnoteText"/>
        <w:spacing w:after="0"/>
      </w:pPr>
      <w:r>
        <w:rPr>
          <w:rStyle w:val="FootnoteReference"/>
        </w:rPr>
        <w:footnoteRef/>
      </w:r>
      <w:r>
        <w:t xml:space="preserve"> </w:t>
      </w:r>
      <w:r>
        <w:tab/>
        <w:t>Dessa skyldigheter skulle i stor utsträckning gälla överföringar till aktörer inom den privata sektorn, men inte till offentliga organ, Europeiska unionen, en internationell organisation, ett internationellt organ eller ett politiskt parti som avses i förslaget. Regeringens proposition RP 90/2024 rd. Statsrådet (2025), skriftligt bidrag, s. 17. 2024 års rapport om rättsstatsprincipen, Finland, s. 15. Landsbesök i Finland, statsrådets kansli och Transparency International Finland.</w:t>
      </w:r>
    </w:p>
  </w:footnote>
  <w:footnote w:id="67">
    <w:p w14:paraId="300FED29" w14:textId="3E586D48" w:rsidR="00A40F04" w:rsidRPr="007A3186" w:rsidRDefault="00A40F04" w:rsidP="00A40F04">
      <w:pPr>
        <w:pStyle w:val="FootnoteText"/>
        <w:spacing w:after="0"/>
      </w:pPr>
      <w:r>
        <w:rPr>
          <w:rStyle w:val="FootnoteReference"/>
        </w:rPr>
        <w:footnoteRef/>
      </w:r>
      <w:r>
        <w:t xml:space="preserve"> </w:t>
      </w:r>
      <w:r>
        <w:tab/>
        <w:t>Regeringens proposition RP 190/2024 rd. Genom lagstiftningen ändras lagen om kandidaters valfinansiering, vallagen och lagen om medborgarinitiativ. Statsrådet (2025), skriftligt bidrag, s. 18. Landsbesök i Finland, justitieministeriet. 2024 års rapport om rättsstatsprincipen, Finland, s. 16.</w:t>
      </w:r>
    </w:p>
  </w:footnote>
  <w:footnote w:id="68">
    <w:p w14:paraId="6E0A0DF9" w14:textId="77777777" w:rsidR="00A40F04" w:rsidRPr="007A3186" w:rsidRDefault="00A40F04" w:rsidP="00A40F04">
      <w:pPr>
        <w:pStyle w:val="FootnoteText"/>
        <w:spacing w:after="0"/>
        <w:rPr>
          <w:rFonts w:cs="Arial"/>
        </w:rPr>
      </w:pPr>
      <w:r>
        <w:rPr>
          <w:rStyle w:val="FootnoteReference"/>
        </w:rPr>
        <w:footnoteRef/>
      </w:r>
      <w:r>
        <w:t xml:space="preserve"> </w:t>
      </w:r>
      <w:r>
        <w:tab/>
        <w:t>Landsbesök i Finland, Transparency International Finland.</w:t>
      </w:r>
    </w:p>
  </w:footnote>
  <w:footnote w:id="69">
    <w:p w14:paraId="12C6F1D6" w14:textId="1D59FD7B" w:rsidR="00A40F04" w:rsidRPr="007A3186" w:rsidRDefault="00A40F04" w:rsidP="00A40F04">
      <w:pPr>
        <w:pStyle w:val="FootnoteText"/>
        <w:spacing w:after="0"/>
      </w:pPr>
      <w:r>
        <w:rPr>
          <w:rStyle w:val="FootnoteReference"/>
        </w:rPr>
        <w:footnoteRef/>
      </w:r>
      <w:r>
        <w:t xml:space="preserve"> </w:t>
      </w:r>
      <w:r>
        <w:tab/>
      </w:r>
      <w:bookmarkStart w:id="4" w:name="_Hlk194568329"/>
      <w:r>
        <w:t>Från och med januari 2025 har projektets utbildningar och andra medvetandehöjande evenemang nått omkring 6 500 personer. Landsbesök i Finland,</w:t>
      </w:r>
      <w:bookmarkEnd w:id="4"/>
      <w:r>
        <w:t xml:space="preserve"> justitieministeriet och Åklagarmyndigheten. Statsrådet (2025), skriftligt bidrag, s. 16–17. 2024 års rapport om rättsstatsprincipen, Finland, s. 17.</w:t>
      </w:r>
    </w:p>
  </w:footnote>
  <w:footnote w:id="70">
    <w:p w14:paraId="75385344" w14:textId="77777777" w:rsidR="00A40F04" w:rsidRPr="007A3186" w:rsidRDefault="00A40F04" w:rsidP="00A40F04">
      <w:pPr>
        <w:pStyle w:val="FootnoteText"/>
        <w:spacing w:after="0"/>
        <w:rPr>
          <w:rFonts w:cs="Arial"/>
        </w:rPr>
      </w:pPr>
      <w:r>
        <w:rPr>
          <w:rStyle w:val="FootnoteReference"/>
        </w:rPr>
        <w:footnoteRef/>
      </w:r>
      <w:r>
        <w:t xml:space="preserve"> </w:t>
      </w:r>
      <w:r>
        <w:tab/>
        <w:t>Landsbesök i Finland, Transparency International Finland.</w:t>
      </w:r>
    </w:p>
  </w:footnote>
  <w:footnote w:id="71">
    <w:p w14:paraId="0CDF3E35" w14:textId="77777777" w:rsidR="00A40F04" w:rsidRPr="00A8446F" w:rsidRDefault="00A40F04" w:rsidP="00A40F04">
      <w:pPr>
        <w:pStyle w:val="FootnoteText"/>
        <w:spacing w:after="0"/>
      </w:pPr>
      <w:r>
        <w:rPr>
          <w:rStyle w:val="FootnoteReference"/>
        </w:rPr>
        <w:footnoteRef/>
      </w:r>
      <w:r>
        <w:t xml:space="preserve"> </w:t>
      </w:r>
      <w:r>
        <w:tab/>
        <w:t>Flash Eurobarometer 557 om företagens inställning till korruption i EU (2025). Detta är 4 procentenheter lägre än EU-genomsnittet.</w:t>
      </w:r>
    </w:p>
  </w:footnote>
  <w:footnote w:id="72">
    <w:p w14:paraId="6B623D4F" w14:textId="3278095F" w:rsidR="00A40F04" w:rsidRPr="00A8446F" w:rsidRDefault="00A40F04" w:rsidP="00A40F04">
      <w:pPr>
        <w:pStyle w:val="FootnoteText"/>
        <w:spacing w:after="0"/>
        <w:rPr>
          <w:rFonts w:cs="Arial"/>
        </w:rPr>
      </w:pPr>
      <w:r>
        <w:rPr>
          <w:rStyle w:val="FootnoteReference"/>
        </w:rPr>
        <w:footnoteRef/>
      </w:r>
      <w:r>
        <w:t xml:space="preserve"> </w:t>
      </w:r>
      <w:r>
        <w:tab/>
        <w:t>Resultattavlan för rättskipningen i EU 2025, diagram 59.</w:t>
      </w:r>
    </w:p>
  </w:footnote>
  <w:footnote w:id="73">
    <w:p w14:paraId="32D6F989" w14:textId="2E841251" w:rsidR="00A40F04" w:rsidRPr="007A3186" w:rsidRDefault="00A40F04" w:rsidP="00A40F04">
      <w:pPr>
        <w:pStyle w:val="FootnoteText"/>
        <w:spacing w:after="0"/>
      </w:pPr>
      <w:r>
        <w:rPr>
          <w:rStyle w:val="FootnoteReference"/>
        </w:rPr>
        <w:footnoteRef/>
      </w:r>
      <w:r>
        <w:t xml:space="preserve"> </w:t>
      </w:r>
      <w:r>
        <w:tab/>
        <w:t>Landsbesök i Finland, Polisstyrelsen, Konkurrens- och konsumentverket, Finlands näringsliv, Centralhandelskammaren och Åklagarmyndigheten. Statsrådet (2025), skriftligt bidrag, s. 18–20.</w:t>
      </w:r>
    </w:p>
  </w:footnote>
  <w:footnote w:id="74">
    <w:p w14:paraId="7C2FBDBB" w14:textId="1685FBFE" w:rsidR="00A40F04" w:rsidRPr="007A3186" w:rsidRDefault="00A40F04" w:rsidP="00A40F04">
      <w:pPr>
        <w:pStyle w:val="FootnoteText"/>
        <w:spacing w:after="0"/>
      </w:pPr>
      <w:r>
        <w:rPr>
          <w:rStyle w:val="FootnoteReference"/>
        </w:rPr>
        <w:footnoteRef/>
      </w:r>
      <w:r>
        <w:t xml:space="preserve"> </w:t>
      </w:r>
      <w:r>
        <w:tab/>
        <w:t>Statsrådet (2025), skriftligt bidrag, s. 18. Landsbesök i Finland, Polisstyrelsen och Transparency International Finland. Polisstyrelsen (2025), ytterligare skriftligt bidrag, s. 2–3. Finlands näringsliv (2025), skriftligt bidrag, s. 2–3.</w:t>
      </w:r>
    </w:p>
  </w:footnote>
  <w:footnote w:id="75">
    <w:p w14:paraId="4E8E9B48" w14:textId="77777777" w:rsidR="00A40F04" w:rsidRPr="007A3186" w:rsidRDefault="00A40F04" w:rsidP="00A40F04">
      <w:pPr>
        <w:pStyle w:val="FootnoteText"/>
        <w:spacing w:after="0"/>
      </w:pPr>
      <w:r>
        <w:rPr>
          <w:rStyle w:val="FootnoteReference"/>
        </w:rPr>
        <w:footnoteRef/>
      </w:r>
      <w:r>
        <w:t xml:space="preserve"> </w:t>
      </w:r>
      <w:r>
        <w:tab/>
        <w:t>Landsbesök i Finland, justitieministeriet. Statsrådet (2025), skriftligt bidrag, s. 17. Justitieministeriet strävar efter att genomföra analysen vartannat år. Som planerat rekryterade justitieministeriet projektansvariga 2024 för att genomföra detta projekt.</w:t>
      </w:r>
    </w:p>
  </w:footnote>
  <w:footnote w:id="76">
    <w:p w14:paraId="4FE7E5CF" w14:textId="77777777" w:rsidR="00A40F04" w:rsidRPr="007A3186" w:rsidRDefault="00A40F04" w:rsidP="00A40F04">
      <w:pPr>
        <w:pStyle w:val="FootnoteText"/>
        <w:spacing w:after="0"/>
        <w:rPr>
          <w:rFonts w:cs="Arial"/>
        </w:rPr>
      </w:pPr>
      <w:r>
        <w:rPr>
          <w:rStyle w:val="FootnoteReference"/>
        </w:rPr>
        <w:footnoteRef/>
      </w:r>
      <w:r>
        <w:t xml:space="preserve"> </w:t>
      </w:r>
      <w:r>
        <w:tab/>
        <w:t>Traficom (2024).</w:t>
      </w:r>
    </w:p>
  </w:footnote>
  <w:footnote w:id="77">
    <w:p w14:paraId="0E680913" w14:textId="5E440217" w:rsidR="00A40F04" w:rsidRPr="007A3186" w:rsidRDefault="00A40F04" w:rsidP="00A40F04">
      <w:pPr>
        <w:pStyle w:val="FootnoteText"/>
        <w:spacing w:after="0"/>
      </w:pPr>
      <w:r>
        <w:rPr>
          <w:rStyle w:val="FootnoteReference"/>
        </w:rPr>
        <w:footnoteRef/>
      </w:r>
      <w:r>
        <w:t xml:space="preserve"> </w:t>
      </w:r>
      <w:r>
        <w:tab/>
        <w:t>Landsbesök i Finland, Traficom. Centrumet för mediernas mångfald och mediefrihet (2025), s. 19–20.</w:t>
      </w:r>
    </w:p>
  </w:footnote>
  <w:footnote w:id="78">
    <w:p w14:paraId="4830CD55" w14:textId="77777777" w:rsidR="00A40F04" w:rsidRPr="00A8446F" w:rsidRDefault="00A40F04" w:rsidP="00A40F04">
      <w:pPr>
        <w:pStyle w:val="FootnoteText"/>
        <w:spacing w:after="0"/>
      </w:pPr>
      <w:r>
        <w:rPr>
          <w:rStyle w:val="FootnoteReference"/>
        </w:rPr>
        <w:footnoteRef/>
      </w:r>
      <w:r>
        <w:t xml:space="preserve"> </w:t>
      </w:r>
      <w:r>
        <w:tab/>
        <w:t>2024 års rapport om rättsstatsprincipen, Finland, s. 18. Centret för konstfrämjande Finland (2025), Landsbesök i Finland, Nationella audiovisuella institutet.</w:t>
      </w:r>
    </w:p>
  </w:footnote>
  <w:footnote w:id="79">
    <w:p w14:paraId="13420EE6" w14:textId="77777777" w:rsidR="00A40F04" w:rsidRPr="00A8446F" w:rsidRDefault="00A40F04" w:rsidP="00A40F04">
      <w:pPr>
        <w:pStyle w:val="FootnoteText"/>
        <w:spacing w:after="0"/>
      </w:pPr>
      <w:r>
        <w:rPr>
          <w:rStyle w:val="FootnoteReference"/>
        </w:rPr>
        <w:footnoteRef/>
      </w:r>
      <w:r>
        <w:t xml:space="preserve"> </w:t>
      </w:r>
      <w:r>
        <w:tab/>
        <w:t>2024 års rapport om rättsstatsprincipen – Finland, s. 18.</w:t>
      </w:r>
    </w:p>
  </w:footnote>
  <w:footnote w:id="80">
    <w:p w14:paraId="684238F0" w14:textId="77777777" w:rsidR="00A40F04" w:rsidRPr="007A3186" w:rsidRDefault="00A40F04" w:rsidP="00A40F04">
      <w:pPr>
        <w:pStyle w:val="FootnoteText"/>
        <w:spacing w:after="0"/>
      </w:pPr>
      <w:r>
        <w:rPr>
          <w:rStyle w:val="FootnoteReference"/>
        </w:rPr>
        <w:footnoteRef/>
      </w:r>
      <w:r>
        <w:t xml:space="preserve"> </w:t>
      </w:r>
      <w:r>
        <w:tab/>
        <w:t>Landsbesök i Finland, Nationella audiovisuella institutet.</w:t>
      </w:r>
    </w:p>
  </w:footnote>
  <w:footnote w:id="81">
    <w:p w14:paraId="4F8F2F8B" w14:textId="636B51D3" w:rsidR="00A40F04" w:rsidRPr="007A3186" w:rsidRDefault="00A40F04" w:rsidP="00A40F04">
      <w:pPr>
        <w:pStyle w:val="FootnoteText"/>
        <w:spacing w:after="0"/>
      </w:pPr>
      <w:r>
        <w:rPr>
          <w:rStyle w:val="FootnoteReference"/>
        </w:rPr>
        <w:footnoteRef/>
      </w:r>
      <w:r>
        <w:t xml:space="preserve"> </w:t>
      </w:r>
      <w:r>
        <w:tab/>
        <w:t>Centrumet för mediernas mångfald och mediefrihet (2025), s. 19.</w:t>
      </w:r>
    </w:p>
  </w:footnote>
  <w:footnote w:id="82">
    <w:p w14:paraId="431FD7F7" w14:textId="77777777" w:rsidR="00A40F04" w:rsidRPr="007A3186" w:rsidRDefault="00A40F04" w:rsidP="00A40F04">
      <w:pPr>
        <w:pStyle w:val="FootnoteText"/>
        <w:spacing w:after="0"/>
      </w:pPr>
      <w:r>
        <w:rPr>
          <w:rStyle w:val="FootnoteReference"/>
        </w:rPr>
        <w:footnoteRef/>
      </w:r>
      <w:r>
        <w:t xml:space="preserve"> </w:t>
      </w:r>
      <w:r>
        <w:tab/>
        <w:t>Opinionsnämnden för massmedier (2024).</w:t>
      </w:r>
    </w:p>
  </w:footnote>
  <w:footnote w:id="83">
    <w:p w14:paraId="37ACEADC" w14:textId="77777777" w:rsidR="00A40F04" w:rsidRPr="007A3186" w:rsidRDefault="00A40F04" w:rsidP="00A40F04">
      <w:pPr>
        <w:pStyle w:val="FootnoteText"/>
        <w:spacing w:after="0"/>
      </w:pPr>
      <w:r>
        <w:rPr>
          <w:rStyle w:val="FootnoteReference"/>
        </w:rPr>
        <w:footnoteRef/>
      </w:r>
      <w:r>
        <w:t xml:space="preserve"> </w:t>
      </w:r>
      <w:r>
        <w:tab/>
        <w:t>2024 års rapport om rättsstatsprincipen – Finland, s. 18.</w:t>
      </w:r>
    </w:p>
  </w:footnote>
  <w:footnote w:id="84">
    <w:p w14:paraId="7FBAC260" w14:textId="5C29456A" w:rsidR="00A40F04" w:rsidRPr="007A3186" w:rsidRDefault="00A40F04" w:rsidP="00A40F04">
      <w:pPr>
        <w:pStyle w:val="FootnoteText"/>
        <w:spacing w:after="0"/>
      </w:pPr>
      <w:r>
        <w:rPr>
          <w:rStyle w:val="FootnoteReference"/>
        </w:rPr>
        <w:footnoteRef/>
      </w:r>
      <w:r>
        <w:t xml:space="preserve"> </w:t>
      </w:r>
      <w:r>
        <w:tab/>
        <w:t>Finlands Journalistförbund (2024); Opinionsnämnden för massmedier (2025).</w:t>
      </w:r>
    </w:p>
  </w:footnote>
  <w:footnote w:id="85">
    <w:p w14:paraId="3ABFCF84" w14:textId="77777777" w:rsidR="00A40F04" w:rsidRPr="007A3186" w:rsidRDefault="00A40F04" w:rsidP="00A40F04">
      <w:pPr>
        <w:pStyle w:val="FootnoteText"/>
        <w:spacing w:after="0"/>
      </w:pPr>
      <w:r>
        <w:rPr>
          <w:rStyle w:val="FootnoteReference"/>
        </w:rPr>
        <w:footnoteRef/>
      </w:r>
      <w:r>
        <w:t xml:space="preserve"> </w:t>
      </w:r>
      <w:r>
        <w:tab/>
        <w:t>Opinionsnämnden för massmedier (2024).</w:t>
      </w:r>
    </w:p>
  </w:footnote>
  <w:footnote w:id="86">
    <w:p w14:paraId="6B88D17E" w14:textId="3940C6CD" w:rsidR="00A40F04" w:rsidRPr="00A8446F" w:rsidRDefault="00A40F04" w:rsidP="00A40F04">
      <w:pPr>
        <w:pStyle w:val="FootnoteText"/>
        <w:spacing w:after="0"/>
      </w:pPr>
      <w:r>
        <w:rPr>
          <w:rStyle w:val="FootnoteReference"/>
        </w:rPr>
        <w:footnoteRef/>
      </w:r>
      <w:r>
        <w:t xml:space="preserve"> </w:t>
      </w:r>
      <w:r>
        <w:tab/>
        <w:t>Opinionsnämnden för massmedier (2025). Landsbesök i Finland, Opinionsnämnden för massmedier och justitieministeriet. Finlands journalistförbund (2024a).</w:t>
      </w:r>
    </w:p>
  </w:footnote>
  <w:footnote w:id="87">
    <w:p w14:paraId="7AD9C71B" w14:textId="77777777" w:rsidR="00A40F04" w:rsidRPr="007A3186" w:rsidRDefault="00A40F04" w:rsidP="00A40F04">
      <w:pPr>
        <w:pStyle w:val="FootnoteText"/>
        <w:spacing w:after="0"/>
      </w:pPr>
      <w:r>
        <w:rPr>
          <w:rStyle w:val="FootnoteReference"/>
        </w:rPr>
        <w:footnoteRef/>
      </w:r>
      <w:r>
        <w:t xml:space="preserve"> </w:t>
      </w:r>
      <w:r>
        <w:tab/>
        <w:t>Landsbesök i Finland, Opinionsnämnden för massmedier.</w:t>
      </w:r>
    </w:p>
  </w:footnote>
  <w:footnote w:id="88">
    <w:p w14:paraId="0FB84C39" w14:textId="38089EEC" w:rsidR="00A40F04" w:rsidRPr="007A3186" w:rsidRDefault="00A40F04" w:rsidP="00A40F04">
      <w:pPr>
        <w:pStyle w:val="FootnoteText"/>
        <w:spacing w:after="0"/>
      </w:pPr>
      <w:r>
        <w:rPr>
          <w:rStyle w:val="FootnoteReference"/>
        </w:rPr>
        <w:footnoteRef/>
      </w:r>
      <w:r>
        <w:t xml:space="preserve"> </w:t>
      </w:r>
      <w:r>
        <w:tab/>
        <w:t>Centrumet för mediernas mångfald och mediefrihet (2025), s. 23–24.</w:t>
      </w:r>
    </w:p>
  </w:footnote>
  <w:footnote w:id="89">
    <w:p w14:paraId="2C50F276" w14:textId="77777777" w:rsidR="00A40F04" w:rsidRPr="007A3186" w:rsidRDefault="00A40F04" w:rsidP="00A40F04">
      <w:pPr>
        <w:pStyle w:val="FootnoteText"/>
        <w:spacing w:after="0"/>
      </w:pPr>
      <w:r>
        <w:rPr>
          <w:rStyle w:val="FootnoteReference"/>
        </w:rPr>
        <w:footnoteRef/>
      </w:r>
      <w:r>
        <w:t xml:space="preserve"> </w:t>
      </w:r>
      <w:r>
        <w:tab/>
        <w:t>Statsrådet (2025), skriftligt bidrag, s. 23.</w:t>
      </w:r>
    </w:p>
  </w:footnote>
  <w:footnote w:id="90">
    <w:p w14:paraId="387264D8" w14:textId="77777777" w:rsidR="00A40F04" w:rsidRPr="007A3186" w:rsidRDefault="00A40F04" w:rsidP="00A40F04">
      <w:pPr>
        <w:pStyle w:val="FootnoteText"/>
        <w:spacing w:after="0"/>
      </w:pPr>
      <w:r>
        <w:rPr>
          <w:rStyle w:val="FootnoteReference"/>
        </w:rPr>
        <w:footnoteRef/>
      </w:r>
      <w:r>
        <w:t xml:space="preserve"> </w:t>
      </w:r>
      <w:r>
        <w:tab/>
        <w:t>Regeringens proposition RP 34/2025 rd.</w:t>
      </w:r>
    </w:p>
  </w:footnote>
  <w:footnote w:id="91">
    <w:p w14:paraId="1793935B" w14:textId="77777777" w:rsidR="00A40F04" w:rsidRPr="00A8446F" w:rsidRDefault="00A40F04" w:rsidP="00A40F04">
      <w:pPr>
        <w:pStyle w:val="FootnoteText"/>
        <w:spacing w:after="0"/>
      </w:pPr>
      <w:r>
        <w:rPr>
          <w:rStyle w:val="FootnoteReference"/>
        </w:rPr>
        <w:footnoteRef/>
      </w:r>
      <w:r>
        <w:t xml:space="preserve"> </w:t>
      </w:r>
      <w:r>
        <w:tab/>
        <w:t>Landsbesök i Finland, Finlands Journalistförbund, Medieförbundet och Opinionsnämnden för massmedier.</w:t>
      </w:r>
    </w:p>
  </w:footnote>
  <w:footnote w:id="92">
    <w:p w14:paraId="1388B838" w14:textId="286836DD" w:rsidR="00A40F04" w:rsidRPr="00A8446F" w:rsidRDefault="00A40F04" w:rsidP="00A40F04">
      <w:pPr>
        <w:pStyle w:val="FootnoteText"/>
        <w:spacing w:after="0"/>
      </w:pPr>
      <w:r>
        <w:rPr>
          <w:rStyle w:val="FootnoteReference"/>
        </w:rPr>
        <w:footnoteRef/>
      </w:r>
      <w:r>
        <w:tab/>
        <w:t>Centrumet för mediernas mångfald och mediefrihet (2025), s. 36–37.</w:t>
      </w:r>
    </w:p>
  </w:footnote>
  <w:footnote w:id="93">
    <w:p w14:paraId="7F0FEB9F" w14:textId="77777777" w:rsidR="00A40F04" w:rsidRPr="007A3186" w:rsidRDefault="00A40F04" w:rsidP="00A40F04">
      <w:pPr>
        <w:pStyle w:val="FootnoteText"/>
        <w:spacing w:after="0"/>
      </w:pPr>
      <w:r>
        <w:rPr>
          <w:rStyle w:val="FootnoteReference"/>
        </w:rPr>
        <w:footnoteRef/>
      </w:r>
      <w:r>
        <w:t xml:space="preserve"> </w:t>
      </w:r>
      <w:r>
        <w:tab/>
        <w:t>Lag om ändring av 3 § i lagen om statens televisions- och radiofond; lag om ändring av mervärdesskattelagen; landsbesök i Finland, kommunikationsministeriet; Public Media Alliance (2024).</w:t>
      </w:r>
    </w:p>
  </w:footnote>
  <w:footnote w:id="94">
    <w:p w14:paraId="20CF2435" w14:textId="79F84A7F" w:rsidR="00A40F04" w:rsidRPr="007A3186" w:rsidRDefault="00A40F04" w:rsidP="00A40F04">
      <w:pPr>
        <w:pStyle w:val="FootnoteText"/>
        <w:spacing w:after="0"/>
      </w:pPr>
      <w:r>
        <w:rPr>
          <w:rStyle w:val="FootnoteReference"/>
        </w:rPr>
        <w:footnoteRef/>
      </w:r>
      <w:r>
        <w:t xml:space="preserve"> </w:t>
      </w:r>
      <w:r>
        <w:tab/>
        <w:t>Yle (2025a), Yle (2025b).</w:t>
      </w:r>
    </w:p>
  </w:footnote>
  <w:footnote w:id="95">
    <w:p w14:paraId="45ACB908" w14:textId="692A5531" w:rsidR="00A40F04" w:rsidRPr="00D62379" w:rsidRDefault="00A40F04" w:rsidP="00203981">
      <w:pPr>
        <w:pStyle w:val="FootnoteText"/>
        <w:spacing w:after="0"/>
        <w:contextualSpacing/>
      </w:pPr>
      <w:r>
        <w:rPr>
          <w:rStyle w:val="FootnoteReference"/>
        </w:rPr>
        <w:footnoteRef/>
      </w:r>
      <w:r>
        <w:t xml:space="preserve"> </w:t>
      </w:r>
      <w:r>
        <w:tab/>
        <w:t>Finlands Journalistförbund (2024b), Finlands Journalistförbund (2025). Landsbesök i Finland, public service-bolaget.</w:t>
      </w:r>
    </w:p>
  </w:footnote>
  <w:footnote w:id="96">
    <w:p w14:paraId="3CA618E3" w14:textId="525DD378" w:rsidR="00290313" w:rsidRPr="00290313" w:rsidRDefault="00290313" w:rsidP="00203981">
      <w:pPr>
        <w:pStyle w:val="FootnoteText"/>
        <w:spacing w:after="0"/>
        <w:contextualSpacing/>
      </w:pPr>
      <w:r>
        <w:rPr>
          <w:rStyle w:val="FootnoteReference"/>
        </w:rPr>
        <w:footnoteRef/>
      </w:r>
      <w:r>
        <w:t xml:space="preserve"> </w:t>
      </w:r>
      <w:r>
        <w:tab/>
        <w:t>Medieförbundet (2024), landsbesök i Finland, Medieförbundet.</w:t>
      </w:r>
    </w:p>
  </w:footnote>
  <w:footnote w:id="97">
    <w:p w14:paraId="5F16A8E1" w14:textId="0FD15A5D" w:rsidR="00D62379" w:rsidRPr="00D62379" w:rsidRDefault="00D62379" w:rsidP="00203981">
      <w:pPr>
        <w:pStyle w:val="FootnoteText"/>
        <w:spacing w:after="0"/>
        <w:contextualSpacing/>
      </w:pPr>
      <w:r>
        <w:rPr>
          <w:rStyle w:val="FootnoteReference"/>
        </w:rPr>
        <w:footnoteRef/>
      </w:r>
      <w:r>
        <w:t xml:space="preserve"> </w:t>
      </w:r>
      <w:r>
        <w:tab/>
        <w:t>I 2024 års rapport om rättsstatsprincipen rekommenderades Finland att ”driva på reformen av lagen om offentlighet i myndigheternas verksamhet i syfte att säkerställa en faktisk och mer omfattande tillgång till handlingar, mot bakgrund av de europeiska normerna för tillgång till offentliga handlingar”.</w:t>
      </w:r>
    </w:p>
  </w:footnote>
  <w:footnote w:id="98">
    <w:p w14:paraId="36313011" w14:textId="2C324F1B" w:rsidR="00A40F04" w:rsidRPr="00D62379" w:rsidRDefault="00A40F04" w:rsidP="00D62379">
      <w:pPr>
        <w:pStyle w:val="FootnoteText"/>
        <w:spacing w:after="0"/>
        <w:contextualSpacing/>
      </w:pPr>
      <w:r>
        <w:rPr>
          <w:rStyle w:val="FootnoteReference"/>
        </w:rPr>
        <w:footnoteRef/>
      </w:r>
      <w:r>
        <w:t xml:space="preserve"> </w:t>
      </w:r>
      <w:r>
        <w:tab/>
        <w:t>2024 års rapport om rättsstatsprincipen, Finland, s. 19–20, justitieministeriet (2023).</w:t>
      </w:r>
    </w:p>
  </w:footnote>
  <w:footnote w:id="99">
    <w:p w14:paraId="180DB9D8" w14:textId="59715048" w:rsidR="00A40F04" w:rsidRPr="00D62379" w:rsidRDefault="00A40F04" w:rsidP="00A40F04">
      <w:pPr>
        <w:pStyle w:val="FootnoteText"/>
        <w:spacing w:after="0"/>
      </w:pPr>
      <w:r>
        <w:rPr>
          <w:rStyle w:val="FootnoteReference"/>
        </w:rPr>
        <w:footnoteRef/>
      </w:r>
      <w:r>
        <w:t xml:space="preserve"> </w:t>
      </w:r>
      <w:r>
        <w:tab/>
        <w:t>Statsrådet (2025), skriftligt bidrag, s. 20–21.</w:t>
      </w:r>
    </w:p>
  </w:footnote>
  <w:footnote w:id="100">
    <w:p w14:paraId="619F59C0" w14:textId="719C9C72" w:rsidR="00A40F04" w:rsidRPr="00D62379" w:rsidRDefault="00A40F04" w:rsidP="00A40F04">
      <w:pPr>
        <w:pStyle w:val="FootnoteText"/>
        <w:spacing w:after="0"/>
      </w:pPr>
      <w:r>
        <w:rPr>
          <w:rStyle w:val="FootnoteReference"/>
        </w:rPr>
        <w:footnoteRef/>
      </w:r>
      <w:r>
        <w:t xml:space="preserve"> </w:t>
      </w:r>
      <w:r>
        <w:tab/>
        <w:t>2024 års</w:t>
      </w:r>
      <w:r>
        <w:tab/>
        <w:t xml:space="preserve"> rapport om rättsstatsprincipen, Finland, s. 19–20, justitieministeriet (2023).</w:t>
      </w:r>
    </w:p>
  </w:footnote>
  <w:footnote w:id="101">
    <w:p w14:paraId="39430320" w14:textId="77777777" w:rsidR="00A40F04" w:rsidRPr="00D62379" w:rsidRDefault="00A40F04" w:rsidP="00A40F04">
      <w:pPr>
        <w:pStyle w:val="FootnoteText"/>
        <w:spacing w:after="0"/>
      </w:pPr>
      <w:r>
        <w:rPr>
          <w:rStyle w:val="FootnoteReference"/>
        </w:rPr>
        <w:footnoteRef/>
      </w:r>
      <w:r>
        <w:t xml:space="preserve"> </w:t>
      </w:r>
      <w:r>
        <w:tab/>
        <w:t xml:space="preserve">Europarådets konvention om tillgång till officiella handlingar (CETS nr 205), även kallad </w:t>
      </w:r>
      <w:r>
        <w:rPr>
          <w:i/>
        </w:rPr>
        <w:t>Tromsökonventionen</w:t>
      </w:r>
      <w:r>
        <w:t>, trädde i kraft den 1 december 2020.</w:t>
      </w:r>
    </w:p>
  </w:footnote>
  <w:footnote w:id="102">
    <w:p w14:paraId="5ADBBD70" w14:textId="77777777" w:rsidR="00A40F04" w:rsidRPr="00D62379" w:rsidRDefault="00A40F04" w:rsidP="00A40F04">
      <w:pPr>
        <w:pStyle w:val="FootnoteText"/>
        <w:spacing w:after="0"/>
      </w:pPr>
      <w:r>
        <w:rPr>
          <w:rStyle w:val="FootnoteReference"/>
        </w:rPr>
        <w:footnoteRef/>
      </w:r>
      <w:r>
        <w:t xml:space="preserve"> </w:t>
      </w:r>
      <w:r>
        <w:tab/>
        <w:t xml:space="preserve">Landsbesök i Finland, Medieförbundet., Finlands Journalistförbund. </w:t>
      </w:r>
    </w:p>
  </w:footnote>
  <w:footnote w:id="103">
    <w:p w14:paraId="3AFF5139" w14:textId="77777777" w:rsidR="00A40F04" w:rsidRPr="00D62379" w:rsidRDefault="00A40F04" w:rsidP="00A40F04">
      <w:pPr>
        <w:pStyle w:val="FootnoteText"/>
        <w:spacing w:after="0"/>
      </w:pPr>
      <w:r>
        <w:rPr>
          <w:rStyle w:val="FootnoteReference"/>
        </w:rPr>
        <w:footnoteRef/>
      </w:r>
      <w:r>
        <w:t xml:space="preserve"> </w:t>
      </w:r>
      <w:r>
        <w:tab/>
        <w:t>Europarådets plattform för att främja skyddet av journalistik och journalisters säkerhet, Finland.</w:t>
      </w:r>
    </w:p>
  </w:footnote>
  <w:footnote w:id="104">
    <w:p w14:paraId="6FDBC1E2" w14:textId="3CAF0F6F" w:rsidR="00A40F04" w:rsidRPr="00033A01" w:rsidRDefault="00A40F04" w:rsidP="00A40F04">
      <w:pPr>
        <w:pStyle w:val="FootnoteText"/>
        <w:spacing w:after="0"/>
        <w:rPr>
          <w:lang w:val="en-US"/>
        </w:rPr>
      </w:pPr>
      <w:r>
        <w:rPr>
          <w:rStyle w:val="FootnoteReference"/>
        </w:rPr>
        <w:footnoteRef/>
      </w:r>
      <w:r w:rsidRPr="00033A01">
        <w:rPr>
          <w:lang w:val="en-US"/>
        </w:rPr>
        <w:t xml:space="preserve"> </w:t>
      </w:r>
      <w:r w:rsidRPr="00033A01">
        <w:rPr>
          <w:lang w:val="en-US"/>
        </w:rPr>
        <w:tab/>
        <w:t>Media Freedom Rapid Response.</w:t>
      </w:r>
    </w:p>
  </w:footnote>
  <w:footnote w:id="105">
    <w:p w14:paraId="5CA9F48F" w14:textId="77777777" w:rsidR="00A40F04" w:rsidRPr="00033A01" w:rsidRDefault="00A40F04" w:rsidP="00A40F04">
      <w:pPr>
        <w:pStyle w:val="FootnoteText"/>
        <w:spacing w:after="0"/>
        <w:rPr>
          <w:lang w:val="en-US"/>
        </w:rPr>
      </w:pPr>
      <w:r>
        <w:rPr>
          <w:rStyle w:val="FootnoteReference"/>
        </w:rPr>
        <w:footnoteRef/>
      </w:r>
      <w:r w:rsidRPr="00033A01">
        <w:rPr>
          <w:lang w:val="en-US"/>
        </w:rPr>
        <w:t xml:space="preserve"> </w:t>
      </w:r>
      <w:r w:rsidRPr="00033A01">
        <w:rPr>
          <w:lang w:val="en-US"/>
        </w:rPr>
        <w:tab/>
        <w:t>Journalisti (2025).</w:t>
      </w:r>
    </w:p>
  </w:footnote>
  <w:footnote w:id="106">
    <w:p w14:paraId="7F17FCB8" w14:textId="77777777" w:rsidR="00A40F04" w:rsidRPr="00D62379" w:rsidRDefault="00A40F04" w:rsidP="00A40F04">
      <w:pPr>
        <w:pStyle w:val="FootnoteText"/>
        <w:spacing w:after="0"/>
      </w:pPr>
      <w:r>
        <w:rPr>
          <w:rStyle w:val="FootnoteReference"/>
        </w:rPr>
        <w:footnoteRef/>
      </w:r>
      <w:r>
        <w:t xml:space="preserve"> </w:t>
      </w:r>
      <w:r>
        <w:tab/>
        <w:t>Statsrådet (2025), skriftligt bidrag, s. 24.</w:t>
      </w:r>
    </w:p>
  </w:footnote>
  <w:footnote w:id="107">
    <w:p w14:paraId="564718D3" w14:textId="77777777" w:rsidR="00A40F04" w:rsidRPr="00D62379" w:rsidRDefault="00A40F04" w:rsidP="00A40F04">
      <w:pPr>
        <w:pStyle w:val="FootnoteText"/>
        <w:spacing w:after="0"/>
      </w:pPr>
      <w:r>
        <w:rPr>
          <w:rStyle w:val="FootnoteReference"/>
        </w:rPr>
        <w:footnoteRef/>
      </w:r>
      <w:r>
        <w:t xml:space="preserve"> </w:t>
      </w:r>
      <w:r>
        <w:tab/>
        <w:t>Landsbesök i Finland, Medieförbundet, Opinionsnämnden för massmedier, Finlands Journalistförbund, justitieministeriet och kommunikationsministeriet, Traficom and Nationella audiovisuella institutet.</w:t>
      </w:r>
    </w:p>
  </w:footnote>
  <w:footnote w:id="108">
    <w:p w14:paraId="00904BC5" w14:textId="77777777" w:rsidR="00A40F04" w:rsidRPr="00D62379" w:rsidRDefault="00A40F04" w:rsidP="00A40F04">
      <w:pPr>
        <w:pStyle w:val="FootnoteText"/>
        <w:spacing w:after="0"/>
      </w:pPr>
      <w:r>
        <w:rPr>
          <w:rStyle w:val="FootnoteReference"/>
        </w:rPr>
        <w:footnoteRef/>
      </w:r>
      <w:r>
        <w:t xml:space="preserve"> </w:t>
      </w:r>
      <w:r>
        <w:tab/>
        <w:t>Landsbesök i Finland, Finlands Journalistförbund.</w:t>
      </w:r>
    </w:p>
  </w:footnote>
  <w:footnote w:id="109">
    <w:p w14:paraId="3AB7745F" w14:textId="77777777" w:rsidR="00A40F04" w:rsidRPr="00D62379" w:rsidRDefault="00A40F04" w:rsidP="00A40F04">
      <w:pPr>
        <w:pStyle w:val="FootnoteText"/>
        <w:spacing w:after="0"/>
      </w:pPr>
      <w:r>
        <w:rPr>
          <w:rStyle w:val="FootnoteReference"/>
        </w:rPr>
        <w:footnoteRef/>
      </w:r>
      <w:r>
        <w:t xml:space="preserve"> </w:t>
      </w:r>
      <w:r>
        <w:tab/>
        <w:t>Landsbesök i Finland, public service-medier, Medieförbundet, Finlands Journalistförbund.</w:t>
      </w:r>
    </w:p>
  </w:footnote>
  <w:footnote w:id="110">
    <w:p w14:paraId="2AF83602" w14:textId="748A6927" w:rsidR="00A40F04" w:rsidRPr="00D62379" w:rsidRDefault="00A40F04" w:rsidP="00A40F04">
      <w:pPr>
        <w:pStyle w:val="FootnoteText"/>
        <w:spacing w:after="0"/>
      </w:pPr>
      <w:r>
        <w:rPr>
          <w:rStyle w:val="FootnoteReference"/>
        </w:rPr>
        <w:footnoteRef/>
      </w:r>
      <w:r>
        <w:t xml:space="preserve"> </w:t>
      </w:r>
      <w:r>
        <w:tab/>
        <w:t>2024 års rapport om rättsstatsprincipen, Finland, s. 20–21.</w:t>
      </w:r>
    </w:p>
  </w:footnote>
  <w:footnote w:id="111">
    <w:p w14:paraId="0F3CB356" w14:textId="77777777" w:rsidR="00A40F04" w:rsidRPr="00D62379" w:rsidRDefault="00A40F04" w:rsidP="00A40F04">
      <w:pPr>
        <w:pStyle w:val="FootnoteText"/>
        <w:spacing w:after="0"/>
      </w:pPr>
      <w:r>
        <w:rPr>
          <w:rStyle w:val="FootnoteReference"/>
        </w:rPr>
        <w:footnoteRef/>
      </w:r>
      <w:r>
        <w:t xml:space="preserve"> </w:t>
      </w:r>
      <w:r>
        <w:tab/>
        <w:t>Yle (2024).</w:t>
      </w:r>
    </w:p>
  </w:footnote>
  <w:footnote w:id="112">
    <w:p w14:paraId="26B89E18" w14:textId="77777777" w:rsidR="00A40F04" w:rsidRPr="00D62379" w:rsidRDefault="00A40F04" w:rsidP="00A40F04">
      <w:pPr>
        <w:pStyle w:val="FootnoteText"/>
        <w:spacing w:after="0"/>
      </w:pPr>
      <w:r>
        <w:rPr>
          <w:rStyle w:val="FootnoteReference"/>
        </w:rPr>
        <w:footnoteRef/>
      </w:r>
      <w:r>
        <w:t xml:space="preserve"> </w:t>
      </w:r>
      <w:r>
        <w:tab/>
        <w:t>Landsbesök i Finland, justitieministeriet.</w:t>
      </w:r>
    </w:p>
  </w:footnote>
  <w:footnote w:id="113">
    <w:p w14:paraId="1395CCDF" w14:textId="77777777" w:rsidR="00A40F04" w:rsidRPr="00D62379" w:rsidRDefault="00A40F04" w:rsidP="00A40F04">
      <w:pPr>
        <w:pStyle w:val="FootnoteText"/>
        <w:spacing w:after="0"/>
      </w:pPr>
      <w:r>
        <w:rPr>
          <w:rStyle w:val="FootnoteReference"/>
        </w:rPr>
        <w:footnoteRef/>
      </w:r>
      <w:r>
        <w:t xml:space="preserve"> </w:t>
      </w:r>
      <w:r>
        <w:tab/>
        <w:t xml:space="preserve">Landsbesök i Finland, justitieministeriet. Statsrådet (2025), skriftligt bidrag, s. 25. </w:t>
      </w:r>
    </w:p>
  </w:footnote>
  <w:footnote w:id="114">
    <w:p w14:paraId="74E14BCB" w14:textId="77777777" w:rsidR="00A40F04" w:rsidRPr="00D62379" w:rsidRDefault="00A40F04" w:rsidP="00A40F04">
      <w:pPr>
        <w:pStyle w:val="FootnoteText"/>
        <w:spacing w:after="0"/>
      </w:pPr>
      <w:r>
        <w:rPr>
          <w:rStyle w:val="FootnoteReference"/>
        </w:rPr>
        <w:footnoteRef/>
      </w:r>
      <w:r>
        <w:t xml:space="preserve"> </w:t>
      </w:r>
      <w:r>
        <w:tab/>
        <w:t>Landsbesök i Finland, grundlagsutskottet, justitiekanslern, delegationen för medborgarsamhällspolitik, Demla, Människorättscentret.</w:t>
      </w:r>
    </w:p>
  </w:footnote>
  <w:footnote w:id="115">
    <w:p w14:paraId="0225A136" w14:textId="43EECFBB" w:rsidR="00A40F04" w:rsidRPr="00A07267" w:rsidRDefault="00A40F04" w:rsidP="00A40F04">
      <w:pPr>
        <w:pStyle w:val="FootnoteText"/>
        <w:spacing w:after="0"/>
      </w:pPr>
      <w:r>
        <w:rPr>
          <w:rStyle w:val="FootnoteReference"/>
        </w:rPr>
        <w:footnoteRef/>
      </w:r>
      <w:r>
        <w:tab/>
        <w:t>Demla (2025), skriftligt bidrag, s. 1–2, landsbesök i Finland, delegationen för medborgarsamhällspolitik, Människorättscentret.</w:t>
      </w:r>
    </w:p>
  </w:footnote>
  <w:footnote w:id="116">
    <w:p w14:paraId="78A64ED5" w14:textId="640EAC58" w:rsidR="00A40F04" w:rsidRPr="00A07267" w:rsidRDefault="00A40F04" w:rsidP="00A40F04">
      <w:pPr>
        <w:pStyle w:val="FootnoteText"/>
        <w:spacing w:after="0"/>
      </w:pPr>
      <w:r>
        <w:rPr>
          <w:rStyle w:val="FootnoteReference"/>
        </w:rPr>
        <w:footnoteRef/>
      </w:r>
      <w:r>
        <w:t xml:space="preserve"> </w:t>
      </w:r>
      <w:r>
        <w:tab/>
        <w:t xml:space="preserve">I enlighet med den nuvarande versionen av riktlinjerna för berörda parters deltagande i utarbetandet av lagstiftning. </w:t>
      </w:r>
    </w:p>
  </w:footnote>
  <w:footnote w:id="117">
    <w:p w14:paraId="1F2B46C2" w14:textId="77777777" w:rsidR="00A40F04" w:rsidRPr="00D62379" w:rsidRDefault="00A40F04" w:rsidP="00A07267">
      <w:pPr>
        <w:pStyle w:val="FootnoteText"/>
        <w:spacing w:after="0"/>
      </w:pPr>
      <w:r>
        <w:rPr>
          <w:rStyle w:val="FootnoteReference"/>
        </w:rPr>
        <w:footnoteRef/>
      </w:r>
      <w:r>
        <w:t xml:space="preserve"> </w:t>
      </w:r>
      <w:r>
        <w:tab/>
        <w:t>Till exempel gränssäkerhetslagen.</w:t>
      </w:r>
    </w:p>
  </w:footnote>
  <w:footnote w:id="118">
    <w:p w14:paraId="5A4630F4" w14:textId="0FF59FD8" w:rsidR="00A40F04" w:rsidRPr="00D62379" w:rsidRDefault="00A40F04" w:rsidP="00A40F04">
      <w:pPr>
        <w:pStyle w:val="FootnoteText"/>
        <w:spacing w:after="0"/>
      </w:pPr>
      <w:r>
        <w:rPr>
          <w:rStyle w:val="FootnoteReference"/>
        </w:rPr>
        <w:footnoteRef/>
      </w:r>
      <w:r>
        <w:t xml:space="preserve"> </w:t>
      </w:r>
      <w:r>
        <w:tab/>
        <w:t>Centralhandelskammaren (2025), skriftligt bidrag, s. 1, Finlands näringsliv (2025), skriftligt bidrag, s. 1.</w:t>
      </w:r>
    </w:p>
  </w:footnote>
  <w:footnote w:id="119">
    <w:p w14:paraId="51D0EE7C" w14:textId="0AB8092B" w:rsidR="00A40F04" w:rsidRPr="00D62379" w:rsidRDefault="00A40F04" w:rsidP="00A40F04">
      <w:pPr>
        <w:pStyle w:val="FootnoteText"/>
        <w:spacing w:after="0"/>
      </w:pPr>
      <w:r>
        <w:rPr>
          <w:rStyle w:val="FootnoteReference"/>
        </w:rPr>
        <w:footnoteRef/>
      </w:r>
      <w:r>
        <w:t xml:space="preserve"> </w:t>
      </w:r>
      <w:r>
        <w:tab/>
        <w:t xml:space="preserve">Resultattavlan för rättskipningen i EU 2025, diagram 54. </w:t>
      </w:r>
    </w:p>
  </w:footnote>
  <w:footnote w:id="120">
    <w:p w14:paraId="5759EFD3" w14:textId="0C4C6D61" w:rsidR="00A40F04" w:rsidRPr="00D62379" w:rsidRDefault="00A40F04" w:rsidP="00A07267">
      <w:pPr>
        <w:pStyle w:val="FootnoteText"/>
        <w:spacing w:after="0"/>
        <w:rPr>
          <w:rFonts w:cs="Arial"/>
        </w:rPr>
      </w:pPr>
      <w:r>
        <w:rPr>
          <w:rStyle w:val="FootnoteReference"/>
        </w:rPr>
        <w:footnoteRef/>
      </w:r>
      <w:r>
        <w:t xml:space="preserve"> </w:t>
      </w:r>
      <w:r>
        <w:tab/>
        <w:t>Centralhandelskammaren (2025), skriftligt bidrag, s. 2, Finlands näringsliv (2025), skriftligt bidrag, s. 2.</w:t>
      </w:r>
    </w:p>
  </w:footnote>
  <w:footnote w:id="121">
    <w:p w14:paraId="30525742" w14:textId="17F7F58D" w:rsidR="00A40F04" w:rsidRPr="00D62379" w:rsidRDefault="00A40F04" w:rsidP="00A40F04">
      <w:pPr>
        <w:pStyle w:val="FootnoteText"/>
        <w:spacing w:after="0"/>
      </w:pPr>
      <w:r>
        <w:rPr>
          <w:rStyle w:val="FootnoteReference"/>
        </w:rPr>
        <w:footnoteRef/>
      </w:r>
      <w:r>
        <w:t xml:space="preserve"> </w:t>
      </w:r>
      <w:r>
        <w:tab/>
        <w:t>Resultattavlan för rättskipningen i EU 2025, diagram 60.</w:t>
      </w:r>
    </w:p>
  </w:footnote>
  <w:footnote w:id="122">
    <w:p w14:paraId="61EA3E24" w14:textId="77777777" w:rsidR="00A40F04" w:rsidRPr="0062797C" w:rsidRDefault="00A40F04" w:rsidP="00A40F04">
      <w:pPr>
        <w:pStyle w:val="FootnoteText"/>
        <w:spacing w:after="0"/>
        <w:rPr>
          <w:rFonts w:cs="Arial"/>
        </w:rPr>
      </w:pPr>
      <w:r>
        <w:rPr>
          <w:rStyle w:val="FootnoteReference"/>
        </w:rPr>
        <w:footnoteRef/>
      </w:r>
      <w:r>
        <w:t xml:space="preserve"> </w:t>
      </w:r>
      <w:r>
        <w:tab/>
        <w:t>Resultattavlan för rättskipningen i EU 2025, diagram 49. De uppgifter som presenteras återspeglar uteslutande de mekanismer som finns i de högsta förvaltningsdomstolarna. Samma eller andra mekanismer kan finnas vid förvaltningsdomstolar i lägre instans.</w:t>
      </w:r>
    </w:p>
  </w:footnote>
  <w:footnote w:id="123">
    <w:p w14:paraId="725EC9A3" w14:textId="77777777" w:rsidR="00A40F04" w:rsidRPr="0062797C" w:rsidRDefault="00A40F04" w:rsidP="00A40F04">
      <w:pPr>
        <w:pStyle w:val="FootnoteText"/>
        <w:spacing w:after="0"/>
      </w:pPr>
      <w:r>
        <w:rPr>
          <w:rStyle w:val="FootnoteReference"/>
        </w:rPr>
        <w:footnoteRef/>
      </w:r>
      <w:r>
        <w:t xml:space="preserve"> </w:t>
      </w:r>
      <w:r>
        <w:tab/>
        <w:t xml:space="preserve">En förklaring av tillsynsprocessen finns på Europarådets </w:t>
      </w:r>
      <w:hyperlink r:id="rId2" w:history="1">
        <w:r>
          <w:rPr>
            <w:rStyle w:val="Hyperlink"/>
          </w:rPr>
          <w:t>webbplats</w:t>
        </w:r>
      </w:hyperlink>
      <w:r>
        <w:t xml:space="preserve">.  </w:t>
      </w:r>
    </w:p>
  </w:footnote>
  <w:footnote w:id="124">
    <w:p w14:paraId="396A54E5" w14:textId="55B7D975" w:rsidR="00A40F04" w:rsidRPr="00A8446F" w:rsidRDefault="00A40F04" w:rsidP="00A40F04">
      <w:pPr>
        <w:pStyle w:val="FootnoteText"/>
        <w:spacing w:after="0"/>
      </w:pPr>
      <w:r>
        <w:rPr>
          <w:rStyle w:val="FootnoteReference"/>
        </w:rPr>
        <w:footnoteRef/>
      </w:r>
      <w:r>
        <w:t xml:space="preserve"> </w:t>
      </w:r>
      <w:r>
        <w:tab/>
        <w:t>Samtliga siffror har beräknats av European Implementation Network (EIN) och bygger på antalet ärenden som ansågs vara pågående vid det årliga brytdatumet den 1 januari 2025. EIN (2025) , skriftligt bidrag, s. 3–4.</w:t>
      </w:r>
    </w:p>
  </w:footnote>
  <w:footnote w:id="125">
    <w:p w14:paraId="3F47B793" w14:textId="77777777" w:rsidR="00A40F04" w:rsidRPr="00A8446F" w:rsidRDefault="00A40F04" w:rsidP="00A40F04">
      <w:pPr>
        <w:pStyle w:val="FootnoteText"/>
        <w:spacing w:after="0"/>
      </w:pPr>
      <w:r>
        <w:rPr>
          <w:rStyle w:val="FootnoteReference"/>
        </w:rPr>
        <w:footnoteRef/>
      </w:r>
      <w:r>
        <w:t xml:space="preserve"> </w:t>
      </w:r>
      <w:r>
        <w:tab/>
        <w:t xml:space="preserve">Europadomstolens dom, 11828/11, Nykänen mot Finland, ännu inte verkställd sedan 2012. </w:t>
      </w:r>
    </w:p>
  </w:footnote>
  <w:footnote w:id="126">
    <w:p w14:paraId="3D5A48D6" w14:textId="77777777" w:rsidR="00A40F04" w:rsidRPr="00A8446F" w:rsidRDefault="00A40F04" w:rsidP="00A40F04">
      <w:pPr>
        <w:pStyle w:val="FootnoteText"/>
        <w:spacing w:after="0"/>
      </w:pPr>
      <w:r>
        <w:rPr>
          <w:rStyle w:val="FootnoteReference"/>
        </w:rPr>
        <w:footnoteRef/>
      </w:r>
      <w:r>
        <w:t xml:space="preserve"> </w:t>
      </w:r>
      <w:r>
        <w:tab/>
        <w:t xml:space="preserve">Europarådet (2025), s. 156.  </w:t>
      </w:r>
    </w:p>
  </w:footnote>
  <w:footnote w:id="127">
    <w:p w14:paraId="4BA909B1" w14:textId="77777777" w:rsidR="00A40F04" w:rsidRPr="00A8446F" w:rsidRDefault="00A40F04" w:rsidP="00A40F04">
      <w:pPr>
        <w:pStyle w:val="FootnoteText"/>
        <w:spacing w:after="0"/>
      </w:pPr>
      <w:r>
        <w:rPr>
          <w:rStyle w:val="FootnoteReference"/>
        </w:rPr>
        <w:footnoteRef/>
      </w:r>
      <w:r>
        <w:t xml:space="preserve"> </w:t>
      </w:r>
      <w:r>
        <w:tab/>
        <w:t>Enligt uppgifter från Europarådets onlinedatabas (HUDOC).</w:t>
      </w:r>
    </w:p>
  </w:footnote>
  <w:footnote w:id="128">
    <w:p w14:paraId="2EE59DE0" w14:textId="085F72FA" w:rsidR="00A40F04" w:rsidRPr="0062797C" w:rsidRDefault="00A40F04" w:rsidP="00A40F04">
      <w:pPr>
        <w:pStyle w:val="FootnoteText"/>
        <w:spacing w:after="0"/>
      </w:pPr>
      <w:r>
        <w:rPr>
          <w:rStyle w:val="FootnoteReference"/>
        </w:rPr>
        <w:footnoteRef/>
      </w:r>
      <w:r>
        <w:t xml:space="preserve"> </w:t>
      </w:r>
      <w:r>
        <w:tab/>
        <w:t>CIVICUS (2024).</w:t>
      </w:r>
    </w:p>
  </w:footnote>
  <w:footnote w:id="129">
    <w:p w14:paraId="39E6544C" w14:textId="4D13C705" w:rsidR="00A40F04" w:rsidRPr="0062797C" w:rsidRDefault="00A40F04" w:rsidP="00A40F04">
      <w:pPr>
        <w:pStyle w:val="FootnoteText"/>
        <w:spacing w:after="0"/>
      </w:pPr>
      <w:r>
        <w:rPr>
          <w:rStyle w:val="FootnoteReference"/>
        </w:rPr>
        <w:footnoteRef/>
      </w:r>
      <w:r>
        <w:t xml:space="preserve"> </w:t>
      </w:r>
      <w:r>
        <w:tab/>
        <w:t>Statsrådet (2025), skriftligt bidrag, s. 31–32.</w:t>
      </w:r>
    </w:p>
  </w:footnote>
  <w:footnote w:id="130">
    <w:p w14:paraId="543CAABF" w14:textId="77777777" w:rsidR="00A40F04" w:rsidRPr="0062797C" w:rsidRDefault="00A40F04" w:rsidP="00A40F04">
      <w:pPr>
        <w:pStyle w:val="FootnoteText"/>
        <w:spacing w:after="0"/>
        <w:rPr>
          <w:highlight w:val="yellow"/>
        </w:rPr>
      </w:pPr>
      <w:r>
        <w:rPr>
          <w:rStyle w:val="FootnoteReference"/>
        </w:rPr>
        <w:footnoteRef/>
      </w:r>
      <w:r>
        <w:t xml:space="preserve"> </w:t>
      </w:r>
      <w:r>
        <w:tab/>
        <w:t>Landsbesök i Finland, delegation för medborgarsamhällspolitik.</w:t>
      </w:r>
    </w:p>
  </w:footnote>
  <w:footnote w:id="131">
    <w:p w14:paraId="366F31A3" w14:textId="77777777" w:rsidR="00A40F04" w:rsidRPr="0062797C" w:rsidRDefault="00A40F04" w:rsidP="00A40F04">
      <w:pPr>
        <w:pStyle w:val="FootnoteText"/>
        <w:spacing w:after="0"/>
      </w:pPr>
      <w:r>
        <w:rPr>
          <w:rStyle w:val="FootnoteReference"/>
        </w:rPr>
        <w:footnoteRef/>
      </w:r>
      <w:r>
        <w:t xml:space="preserve"> </w:t>
      </w:r>
      <w:r>
        <w:tab/>
        <w:t>Landsbesök i Finland, delegation för medborgarsamhällspolitik.</w:t>
      </w:r>
    </w:p>
  </w:footnote>
  <w:footnote w:id="132">
    <w:p w14:paraId="62D0024B" w14:textId="77777777" w:rsidR="00A40F04" w:rsidRPr="0062797C" w:rsidRDefault="00A40F04" w:rsidP="00A40F04">
      <w:pPr>
        <w:pStyle w:val="FootnoteText"/>
        <w:spacing w:after="0"/>
      </w:pPr>
      <w:r>
        <w:rPr>
          <w:rStyle w:val="FootnoteReference"/>
        </w:rPr>
        <w:footnoteRef/>
      </w:r>
      <w:r>
        <w:t xml:space="preserve"> </w:t>
      </w:r>
      <w:r>
        <w:tab/>
        <w:t>Landsbesök i Finland, delegation för medborgarsamhällspolitik, Amnesty International, Demla, Människorättscentret.</w:t>
      </w:r>
    </w:p>
  </w:footnote>
  <w:footnote w:id="133">
    <w:p w14:paraId="60F4ED68" w14:textId="77777777" w:rsidR="00A40F04" w:rsidRPr="0062797C" w:rsidRDefault="00A40F04" w:rsidP="00A40F04">
      <w:pPr>
        <w:pStyle w:val="FootnoteText"/>
        <w:spacing w:after="0"/>
      </w:pPr>
      <w:r>
        <w:rPr>
          <w:rStyle w:val="FootnoteReference"/>
        </w:rPr>
        <w:footnoteRef/>
      </w:r>
      <w:r>
        <w:t xml:space="preserve"> </w:t>
      </w:r>
      <w:r>
        <w:tab/>
        <w:t>Statsrådet (2025), skriftligt bidrag, s. 26.</w:t>
      </w:r>
    </w:p>
  </w:footnote>
  <w:footnote w:id="134">
    <w:p w14:paraId="2F4499C8" w14:textId="77777777" w:rsidR="00A40F04" w:rsidRPr="0062797C" w:rsidRDefault="00A40F04" w:rsidP="00A40F04">
      <w:pPr>
        <w:pStyle w:val="FootnoteText"/>
        <w:spacing w:after="0"/>
      </w:pPr>
      <w:r>
        <w:rPr>
          <w:rStyle w:val="FootnoteReference"/>
        </w:rPr>
        <w:footnoteRef/>
      </w:r>
      <w:r>
        <w:t xml:space="preserve"> </w:t>
      </w:r>
      <w:r>
        <w:tab/>
        <w:t>Såsom vice justitiekanslern, jämställdhetsombudsmannen och barnombudsmannen. Landsbesök i Finland, justitieombudsmannen, Människorättscentret.</w:t>
      </w:r>
    </w:p>
    <w:p w14:paraId="75CC4FD1" w14:textId="77777777" w:rsidR="00A40F04" w:rsidRPr="0062797C" w:rsidRDefault="00A40F04" w:rsidP="00A40F04">
      <w:pPr>
        <w:pStyle w:val="FootnoteText"/>
        <w:spacing w:after="0"/>
        <w:rPr>
          <w:rFonts w:eastAsia="Calibri" w:cs="Arial"/>
          <w:vanish/>
          <w:highlight w:val="yellow"/>
          <w:lang w:eastAsia="en-US"/>
          <w:specVanis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F32E" w14:textId="77777777" w:rsidR="00BC6DE0" w:rsidRPr="00BC6DE0" w:rsidRDefault="00BC6DE0" w:rsidP="00BC6DE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A31DE" w14:textId="77777777" w:rsidR="00BC6DE0" w:rsidRPr="00BC6DE0" w:rsidRDefault="00BC6DE0" w:rsidP="00BC6DE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7564F" w14:textId="77777777" w:rsidR="00BC6DE0" w:rsidRPr="00BC6DE0" w:rsidRDefault="00BC6DE0" w:rsidP="00BC6DE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2D385" w14:textId="77777777" w:rsidR="000830E3" w:rsidRDefault="000830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7A5C" w14:textId="77777777" w:rsidR="001306D1" w:rsidRPr="001306D1" w:rsidRDefault="001306D1" w:rsidP="001306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99B27" w14:textId="77777777" w:rsidR="001306D1" w:rsidRPr="001306D1" w:rsidRDefault="001306D1" w:rsidP="00130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18F4878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D0A6400"/>
    <w:multiLevelType w:val="hybridMultilevel"/>
    <w:tmpl w:val="AF00441E"/>
    <w:lvl w:ilvl="0" w:tplc="86362D4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FB7115"/>
    <w:multiLevelType w:val="multilevel"/>
    <w:tmpl w:val="C0D2C66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D106566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14789E6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6F0E0BB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FA68C3"/>
    <w:multiLevelType w:val="hybridMultilevel"/>
    <w:tmpl w:val="5D82D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2F0AC5"/>
    <w:multiLevelType w:val="multilevel"/>
    <w:tmpl w:val="4E94D68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72B6369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BA084E0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EA1E1D2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FFCA7A0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8F6236B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CE7AB1C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86A075F"/>
    <w:multiLevelType w:val="hybridMultilevel"/>
    <w:tmpl w:val="E500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7730C4"/>
    <w:multiLevelType w:val="multilevel"/>
    <w:tmpl w:val="9D92563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D4C4A24"/>
    <w:multiLevelType w:val="hybridMultilevel"/>
    <w:tmpl w:val="1D6896D8"/>
    <w:lvl w:ilvl="0" w:tplc="8F64672A">
      <w:start w:val="2"/>
      <w:numFmt w:val="upp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9E662A"/>
    <w:multiLevelType w:val="multilevel"/>
    <w:tmpl w:val="8500BCE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982C"/>
    <w:multiLevelType w:val="multilevel"/>
    <w:tmpl w:val="39BEA36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619B"/>
    <w:multiLevelType w:val="multilevel"/>
    <w:tmpl w:val="0DDE708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FA92860"/>
    <w:multiLevelType w:val="hybridMultilevel"/>
    <w:tmpl w:val="52145C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6977472E"/>
    <w:multiLevelType w:val="multilevel"/>
    <w:tmpl w:val="DC4AC1DE"/>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CCA618A"/>
    <w:multiLevelType w:val="hybridMultilevel"/>
    <w:tmpl w:val="7F50BB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712D19E7"/>
    <w:multiLevelType w:val="hybridMultilevel"/>
    <w:tmpl w:val="C99018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C65145E"/>
    <w:multiLevelType w:val="multilevel"/>
    <w:tmpl w:val="42C6333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5"/>
  </w:num>
  <w:num w:numId="2">
    <w:abstractNumId w:val="11"/>
  </w:num>
  <w:num w:numId="3">
    <w:abstractNumId w:val="10"/>
  </w:num>
  <w:num w:numId="4">
    <w:abstractNumId w:val="24"/>
  </w:num>
  <w:num w:numId="5">
    <w:abstractNumId w:val="18"/>
  </w:num>
  <w:num w:numId="6">
    <w:abstractNumId w:val="15"/>
  </w:num>
  <w:num w:numId="7">
    <w:abstractNumId w:val="9"/>
  </w:num>
  <w:num w:numId="8">
    <w:abstractNumId w:val="5"/>
  </w:num>
  <w:num w:numId="9">
    <w:abstractNumId w:val="4"/>
  </w:num>
  <w:num w:numId="10">
    <w:abstractNumId w:val="3"/>
  </w:num>
  <w:num w:numId="11">
    <w:abstractNumId w:val="17"/>
  </w:num>
  <w:num w:numId="12">
    <w:abstractNumId w:val="7"/>
  </w:num>
  <w:num w:numId="13">
    <w:abstractNumId w:val="2"/>
  </w:num>
  <w:num w:numId="14">
    <w:abstractNumId w:val="21"/>
  </w:num>
  <w:num w:numId="15">
    <w:abstractNumId w:val="19"/>
  </w:num>
  <w:num w:numId="16">
    <w:abstractNumId w:val="13"/>
  </w:num>
  <w:num w:numId="17">
    <w:abstractNumId w:val="8"/>
  </w:num>
  <w:num w:numId="18">
    <w:abstractNumId w:val="12"/>
  </w:num>
  <w:num w:numId="19">
    <w:abstractNumId w:val="0"/>
  </w:num>
  <w:num w:numId="20">
    <w:abstractNumId w:val="6"/>
  </w:num>
  <w:num w:numId="21">
    <w:abstractNumId w:val="14"/>
  </w:num>
  <w:num w:numId="22">
    <w:abstractNumId w:val="16"/>
  </w:num>
  <w:num w:numId="23">
    <w:abstractNumId w:val="1"/>
  </w:num>
  <w:num w:numId="24">
    <w:abstractNumId w:val="22"/>
  </w:num>
  <w:num w:numId="25">
    <w:abstractNumId w:val="2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Följedokument till"/>
    <w:docVar w:name="LW_CORRIGENDUM" w:val="&lt;UNUSED&gt;"/>
    <w:docVar w:name="LW_COVERPAGE_EXISTS" w:val="True"/>
    <w:docVar w:name="LW_COVERPAGE_GUID" w:val="725A505E-3D30-4632-854E-932953BEB047"/>
    <w:docVar w:name="LW_COVERPAGE_TYPE" w:val="1"/>
    <w:docVar w:name="LW_CROSSREFERENCE" w:val="{COM(2025) 900 final} - {SWD(2025) 901 final} - {SWD(2025) 902 final} - {SWD(2025) 903 final} - {SWD(2025) 904 final} - {SWD(2025) 905 final} - {SWD(2025) 906 final} - {SWD(2025) 907 final} - {SWD(2025) 908 final} - {SWD(2025) 909 final} - {SWD(2025) 910 final} - {SWD(2025) 911 final} - {SWD(2025) 912 final} - {SWD(2025) 913 final} - {SWD(2025) 914 final} - {SWD(2025) 915 final} - {SWD(2025) 916 final} - {SWD(2025) 917 final} - {SWD(2025) 918 final} - {SWD(2025) 919 final} - {SWD(2025) 920 final} - {SWD(2025) 921 final} - {SWD(2025) 922 final} - {SWD(2025) 923 final} - {SWD(2025) 924 final} - {SWD(2025) 925 final} - {SWD(2025) 927 final} - {SWD(2025) 928 final} - {SWD(2025) 929 final} - {SWD(2025) 930 final} - {SWD(2025) 931 final}"/>
    <w:docVar w:name="LW_DocType" w:val="EUROLOOK"/>
    <w:docVar w:name="LW_EMISSION" w:val="8.7.2025"/>
    <w:docVar w:name="LW_EMISSION_ISODATE" w:val="2025-07-08"/>
    <w:docVar w:name="LW_EMISSION_LOCATION" w:val="STR"/>
    <w:docVar w:name="LW_EMISSION_PREFIX" w:val="Strasbourg den "/>
    <w:docVar w:name="LW_EMISSION_SUFFIX" w:val=" "/>
    <w:docVar w:name="LW_ID_DOCTYPE_NONLW" w:val="CP-025"/>
    <w:docVar w:name="LW_LANGUE" w:val="SV"/>
    <w:docVar w:name="LW_LEVEL_OF_SENSITIVITY" w:val="Standard treatment"/>
    <w:docVar w:name="LW_NOM.INST" w:val="EUROPEISKA KOMMISSIONEN"/>
    <w:docVar w:name="LW_NOM.INST_JOINTDOC" w:val="&lt;EMPTY&gt;"/>
    <w:docVar w:name="LW_OBJETACTEPRINCIPAL.CP" w:val="2025 års rapport om rättsstatsprincipen_x000d__x000d__x000b_Situationen i fråga om rättsstatsprincipen i EU"/>
    <w:docVar w:name="LW_PART_NBR" w:val="1"/>
    <w:docVar w:name="LW_PART_NBR_TOTAL" w:val="1"/>
    <w:docVar w:name="LW_REF.INST.NEW" w:val="SWD"/>
    <w:docVar w:name="LW_REF.INST.NEW_ADOPTED" w:val="final"/>
    <w:docVar w:name="LW_REF.INST.NEW_TEXT" w:val="(2025) 9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5 års rapport om rättsstatsprincipen _x000d__x000d__x000b_Landskapitel om situationen i fråga om rättsstatsprincipen i Finland_x000d__x000d__x000b__x000d__x000d__x000d__x000d__x000d__x000d__x000d__x000d__x000d__x000d__x000d__x000d__x000d__x000d__x000d__x000d__x000d__x000d__x000d__x000d__x000d__x000d__x000d__x000d__x000d__x000d__x000d__x000d__x000d__x000d__x000d__x000d__x000d__x000d__x000b_"/>
    <w:docVar w:name="LW_TYPE.DOC.CP" w:val="ARBETSDOKUMENT FRÅN KOMMISSIONENS AVDELNINGAR"/>
    <w:docVar w:name="LW_TYPEACTEPRINCIPAL.CP" w:val="Meddelande från kommissionen till Europaparlamentet, rådet, Europeiska ekonomiska och sociala kommittén och Regionkommittén_x000b__x000b_"/>
    <w:docVar w:name="LwApiVersions" w:val="LW4CoDe 1.24.5.0; LW 9.0, Build 20240221"/>
  </w:docVars>
  <w:rsids>
    <w:rsidRoot w:val="00B51782"/>
    <w:rsid w:val="000018FE"/>
    <w:rsid w:val="00002262"/>
    <w:rsid w:val="00002CB7"/>
    <w:rsid w:val="000041B2"/>
    <w:rsid w:val="000046A0"/>
    <w:rsid w:val="00005304"/>
    <w:rsid w:val="00005DF2"/>
    <w:rsid w:val="00007057"/>
    <w:rsid w:val="000070B5"/>
    <w:rsid w:val="00007901"/>
    <w:rsid w:val="0001024E"/>
    <w:rsid w:val="0001138A"/>
    <w:rsid w:val="00017CB6"/>
    <w:rsid w:val="0002076F"/>
    <w:rsid w:val="00021887"/>
    <w:rsid w:val="00022D1A"/>
    <w:rsid w:val="00023B21"/>
    <w:rsid w:val="00024306"/>
    <w:rsid w:val="00026F56"/>
    <w:rsid w:val="0003016C"/>
    <w:rsid w:val="000328D0"/>
    <w:rsid w:val="00033A01"/>
    <w:rsid w:val="00034653"/>
    <w:rsid w:val="0003491C"/>
    <w:rsid w:val="00034A8D"/>
    <w:rsid w:val="000369A9"/>
    <w:rsid w:val="00036C97"/>
    <w:rsid w:val="000372D4"/>
    <w:rsid w:val="000374F1"/>
    <w:rsid w:val="00037B8C"/>
    <w:rsid w:val="00043F0F"/>
    <w:rsid w:val="000475CE"/>
    <w:rsid w:val="0005454E"/>
    <w:rsid w:val="000553FC"/>
    <w:rsid w:val="00057B86"/>
    <w:rsid w:val="00060388"/>
    <w:rsid w:val="000637CF"/>
    <w:rsid w:val="00063C92"/>
    <w:rsid w:val="000651D7"/>
    <w:rsid w:val="0006574B"/>
    <w:rsid w:val="00065E56"/>
    <w:rsid w:val="00066066"/>
    <w:rsid w:val="00071348"/>
    <w:rsid w:val="00071F60"/>
    <w:rsid w:val="0007267D"/>
    <w:rsid w:val="00073B54"/>
    <w:rsid w:val="000743F7"/>
    <w:rsid w:val="00074D3D"/>
    <w:rsid w:val="00075A17"/>
    <w:rsid w:val="00075F26"/>
    <w:rsid w:val="000765A8"/>
    <w:rsid w:val="00076E52"/>
    <w:rsid w:val="000772C0"/>
    <w:rsid w:val="0008119E"/>
    <w:rsid w:val="00081A09"/>
    <w:rsid w:val="000830E3"/>
    <w:rsid w:val="00084CC6"/>
    <w:rsid w:val="00086CE7"/>
    <w:rsid w:val="00090B9E"/>
    <w:rsid w:val="00092A1B"/>
    <w:rsid w:val="00094281"/>
    <w:rsid w:val="0009466A"/>
    <w:rsid w:val="00095500"/>
    <w:rsid w:val="00095864"/>
    <w:rsid w:val="00096142"/>
    <w:rsid w:val="00096347"/>
    <w:rsid w:val="000974DA"/>
    <w:rsid w:val="000A18F3"/>
    <w:rsid w:val="000A1DBB"/>
    <w:rsid w:val="000A2116"/>
    <w:rsid w:val="000A22C8"/>
    <w:rsid w:val="000A282D"/>
    <w:rsid w:val="000A3504"/>
    <w:rsid w:val="000A4108"/>
    <w:rsid w:val="000A6093"/>
    <w:rsid w:val="000A7C86"/>
    <w:rsid w:val="000B165C"/>
    <w:rsid w:val="000B1BED"/>
    <w:rsid w:val="000B4439"/>
    <w:rsid w:val="000B49CA"/>
    <w:rsid w:val="000B52D7"/>
    <w:rsid w:val="000B590A"/>
    <w:rsid w:val="000B79D2"/>
    <w:rsid w:val="000B7A9E"/>
    <w:rsid w:val="000B7BEC"/>
    <w:rsid w:val="000B7C79"/>
    <w:rsid w:val="000B7FF3"/>
    <w:rsid w:val="000C140A"/>
    <w:rsid w:val="000C3601"/>
    <w:rsid w:val="000C4228"/>
    <w:rsid w:val="000D04E7"/>
    <w:rsid w:val="000D20DB"/>
    <w:rsid w:val="000D2905"/>
    <w:rsid w:val="000D3D51"/>
    <w:rsid w:val="000D6D3B"/>
    <w:rsid w:val="000E01A2"/>
    <w:rsid w:val="000E0D84"/>
    <w:rsid w:val="000E1A5D"/>
    <w:rsid w:val="000E1D15"/>
    <w:rsid w:val="000E3077"/>
    <w:rsid w:val="000E3688"/>
    <w:rsid w:val="000E496E"/>
    <w:rsid w:val="000E4D4D"/>
    <w:rsid w:val="000E7632"/>
    <w:rsid w:val="000E7A50"/>
    <w:rsid w:val="000F009B"/>
    <w:rsid w:val="000F0EF2"/>
    <w:rsid w:val="000F42C1"/>
    <w:rsid w:val="000F4441"/>
    <w:rsid w:val="000F5F1E"/>
    <w:rsid w:val="000F602A"/>
    <w:rsid w:val="000F6E48"/>
    <w:rsid w:val="000F7C96"/>
    <w:rsid w:val="00100D40"/>
    <w:rsid w:val="00101C76"/>
    <w:rsid w:val="001022FC"/>
    <w:rsid w:val="0010279E"/>
    <w:rsid w:val="001051C3"/>
    <w:rsid w:val="0010592A"/>
    <w:rsid w:val="001071B6"/>
    <w:rsid w:val="00110A9F"/>
    <w:rsid w:val="001127ED"/>
    <w:rsid w:val="00114428"/>
    <w:rsid w:val="00115C1D"/>
    <w:rsid w:val="00116884"/>
    <w:rsid w:val="00116DCF"/>
    <w:rsid w:val="001172C0"/>
    <w:rsid w:val="00120178"/>
    <w:rsid w:val="00120A84"/>
    <w:rsid w:val="00121EB0"/>
    <w:rsid w:val="00126156"/>
    <w:rsid w:val="001270B3"/>
    <w:rsid w:val="001279D3"/>
    <w:rsid w:val="001306D1"/>
    <w:rsid w:val="00131654"/>
    <w:rsid w:val="001316CC"/>
    <w:rsid w:val="00132E8C"/>
    <w:rsid w:val="001340AD"/>
    <w:rsid w:val="00134BE8"/>
    <w:rsid w:val="00136294"/>
    <w:rsid w:val="00140349"/>
    <w:rsid w:val="00140E7A"/>
    <w:rsid w:val="001411BE"/>
    <w:rsid w:val="00143002"/>
    <w:rsid w:val="00144B96"/>
    <w:rsid w:val="00144D4D"/>
    <w:rsid w:val="001468FF"/>
    <w:rsid w:val="00146F91"/>
    <w:rsid w:val="00147AA6"/>
    <w:rsid w:val="00151CE7"/>
    <w:rsid w:val="00154A0F"/>
    <w:rsid w:val="00160CD3"/>
    <w:rsid w:val="00161504"/>
    <w:rsid w:val="00162AB9"/>
    <w:rsid w:val="00163682"/>
    <w:rsid w:val="00164D62"/>
    <w:rsid w:val="00166038"/>
    <w:rsid w:val="0017054B"/>
    <w:rsid w:val="00170923"/>
    <w:rsid w:val="0017142D"/>
    <w:rsid w:val="00171A58"/>
    <w:rsid w:val="00173007"/>
    <w:rsid w:val="00173CDD"/>
    <w:rsid w:val="001768D1"/>
    <w:rsid w:val="001771D2"/>
    <w:rsid w:val="0018472F"/>
    <w:rsid w:val="00184F6A"/>
    <w:rsid w:val="001867D8"/>
    <w:rsid w:val="001909DD"/>
    <w:rsid w:val="001918F7"/>
    <w:rsid w:val="00191908"/>
    <w:rsid w:val="00191986"/>
    <w:rsid w:val="00191BF7"/>
    <w:rsid w:val="001920C8"/>
    <w:rsid w:val="00192763"/>
    <w:rsid w:val="00195A6C"/>
    <w:rsid w:val="00197F62"/>
    <w:rsid w:val="001A0268"/>
    <w:rsid w:val="001A1368"/>
    <w:rsid w:val="001A1E92"/>
    <w:rsid w:val="001A205F"/>
    <w:rsid w:val="001A2DA8"/>
    <w:rsid w:val="001A3E5D"/>
    <w:rsid w:val="001A5191"/>
    <w:rsid w:val="001A5958"/>
    <w:rsid w:val="001A6E7E"/>
    <w:rsid w:val="001A7512"/>
    <w:rsid w:val="001A7A33"/>
    <w:rsid w:val="001A7F6C"/>
    <w:rsid w:val="001B2DBB"/>
    <w:rsid w:val="001B351C"/>
    <w:rsid w:val="001B6E34"/>
    <w:rsid w:val="001C01A3"/>
    <w:rsid w:val="001C4826"/>
    <w:rsid w:val="001C4E1F"/>
    <w:rsid w:val="001C5AD9"/>
    <w:rsid w:val="001C5B0B"/>
    <w:rsid w:val="001C5F5A"/>
    <w:rsid w:val="001C627D"/>
    <w:rsid w:val="001C7325"/>
    <w:rsid w:val="001D14C6"/>
    <w:rsid w:val="001D15DB"/>
    <w:rsid w:val="001D48C9"/>
    <w:rsid w:val="001D4D86"/>
    <w:rsid w:val="001D567E"/>
    <w:rsid w:val="001D764F"/>
    <w:rsid w:val="001E066C"/>
    <w:rsid w:val="001E2903"/>
    <w:rsid w:val="001E2A4F"/>
    <w:rsid w:val="001E5FEE"/>
    <w:rsid w:val="001F0095"/>
    <w:rsid w:val="001F01D6"/>
    <w:rsid w:val="001F1843"/>
    <w:rsid w:val="001F1CBE"/>
    <w:rsid w:val="001F4209"/>
    <w:rsid w:val="001F5396"/>
    <w:rsid w:val="001F6779"/>
    <w:rsid w:val="00200A2E"/>
    <w:rsid w:val="00202E32"/>
    <w:rsid w:val="00203395"/>
    <w:rsid w:val="00203981"/>
    <w:rsid w:val="00205714"/>
    <w:rsid w:val="0020650B"/>
    <w:rsid w:val="00210937"/>
    <w:rsid w:val="00212668"/>
    <w:rsid w:val="00214EDA"/>
    <w:rsid w:val="00215EEB"/>
    <w:rsid w:val="00216689"/>
    <w:rsid w:val="00216F42"/>
    <w:rsid w:val="002212ED"/>
    <w:rsid w:val="00221385"/>
    <w:rsid w:val="00225365"/>
    <w:rsid w:val="002255A0"/>
    <w:rsid w:val="0023036C"/>
    <w:rsid w:val="002304A7"/>
    <w:rsid w:val="0023203F"/>
    <w:rsid w:val="0023241F"/>
    <w:rsid w:val="00232B2A"/>
    <w:rsid w:val="00233134"/>
    <w:rsid w:val="00233E4A"/>
    <w:rsid w:val="002349D8"/>
    <w:rsid w:val="00234A60"/>
    <w:rsid w:val="00235153"/>
    <w:rsid w:val="00235ACC"/>
    <w:rsid w:val="00235E27"/>
    <w:rsid w:val="00235FB5"/>
    <w:rsid w:val="00236083"/>
    <w:rsid w:val="002411FC"/>
    <w:rsid w:val="00241332"/>
    <w:rsid w:val="00244DDC"/>
    <w:rsid w:val="00246287"/>
    <w:rsid w:val="0024637E"/>
    <w:rsid w:val="00246712"/>
    <w:rsid w:val="00247773"/>
    <w:rsid w:val="002550A2"/>
    <w:rsid w:val="00257A7E"/>
    <w:rsid w:val="00257E46"/>
    <w:rsid w:val="00261BA7"/>
    <w:rsid w:val="002631C6"/>
    <w:rsid w:val="0026355A"/>
    <w:rsid w:val="002635C9"/>
    <w:rsid w:val="00263906"/>
    <w:rsid w:val="00263A51"/>
    <w:rsid w:val="00264479"/>
    <w:rsid w:val="0026685E"/>
    <w:rsid w:val="00267BE6"/>
    <w:rsid w:val="00274288"/>
    <w:rsid w:val="00274E29"/>
    <w:rsid w:val="00274E75"/>
    <w:rsid w:val="0027755F"/>
    <w:rsid w:val="00277897"/>
    <w:rsid w:val="00280C12"/>
    <w:rsid w:val="0028307A"/>
    <w:rsid w:val="00284278"/>
    <w:rsid w:val="00284968"/>
    <w:rsid w:val="00284B55"/>
    <w:rsid w:val="002860E2"/>
    <w:rsid w:val="002876DE"/>
    <w:rsid w:val="00287FF7"/>
    <w:rsid w:val="00290313"/>
    <w:rsid w:val="002935D0"/>
    <w:rsid w:val="00294FAA"/>
    <w:rsid w:val="002953D3"/>
    <w:rsid w:val="00295824"/>
    <w:rsid w:val="00295B33"/>
    <w:rsid w:val="002968BE"/>
    <w:rsid w:val="002974DC"/>
    <w:rsid w:val="002A0EA9"/>
    <w:rsid w:val="002A3406"/>
    <w:rsid w:val="002A521E"/>
    <w:rsid w:val="002A5386"/>
    <w:rsid w:val="002A6051"/>
    <w:rsid w:val="002A7486"/>
    <w:rsid w:val="002B2D9A"/>
    <w:rsid w:val="002B2F0E"/>
    <w:rsid w:val="002B3CB2"/>
    <w:rsid w:val="002B50C1"/>
    <w:rsid w:val="002B6B7D"/>
    <w:rsid w:val="002B752A"/>
    <w:rsid w:val="002C2E45"/>
    <w:rsid w:val="002C3C6F"/>
    <w:rsid w:val="002C4E9A"/>
    <w:rsid w:val="002C50BC"/>
    <w:rsid w:val="002C73D1"/>
    <w:rsid w:val="002D0B80"/>
    <w:rsid w:val="002D0C28"/>
    <w:rsid w:val="002D1602"/>
    <w:rsid w:val="002D2F07"/>
    <w:rsid w:val="002D3DAA"/>
    <w:rsid w:val="002D3F76"/>
    <w:rsid w:val="002D56D0"/>
    <w:rsid w:val="002D5A1E"/>
    <w:rsid w:val="002D770B"/>
    <w:rsid w:val="002E0F40"/>
    <w:rsid w:val="002E15C8"/>
    <w:rsid w:val="002E3C1D"/>
    <w:rsid w:val="002E463B"/>
    <w:rsid w:val="002E5119"/>
    <w:rsid w:val="002E7540"/>
    <w:rsid w:val="002F0B40"/>
    <w:rsid w:val="002F20CB"/>
    <w:rsid w:val="002F4142"/>
    <w:rsid w:val="002F6C6F"/>
    <w:rsid w:val="002F73DD"/>
    <w:rsid w:val="002F7D1B"/>
    <w:rsid w:val="00300A9F"/>
    <w:rsid w:val="003014C7"/>
    <w:rsid w:val="00301F95"/>
    <w:rsid w:val="00303658"/>
    <w:rsid w:val="00303A72"/>
    <w:rsid w:val="00304C16"/>
    <w:rsid w:val="00305759"/>
    <w:rsid w:val="003070B4"/>
    <w:rsid w:val="003146C0"/>
    <w:rsid w:val="00315D46"/>
    <w:rsid w:val="0031716D"/>
    <w:rsid w:val="00317E08"/>
    <w:rsid w:val="00320232"/>
    <w:rsid w:val="00321D1D"/>
    <w:rsid w:val="0032348B"/>
    <w:rsid w:val="00324BC6"/>
    <w:rsid w:val="0032650A"/>
    <w:rsid w:val="00330442"/>
    <w:rsid w:val="00330EA1"/>
    <w:rsid w:val="00332803"/>
    <w:rsid w:val="00334DE5"/>
    <w:rsid w:val="003353FA"/>
    <w:rsid w:val="0033686B"/>
    <w:rsid w:val="00336A24"/>
    <w:rsid w:val="00340F44"/>
    <w:rsid w:val="003427AC"/>
    <w:rsid w:val="00342E9C"/>
    <w:rsid w:val="0034310C"/>
    <w:rsid w:val="003463FF"/>
    <w:rsid w:val="00347393"/>
    <w:rsid w:val="003505F4"/>
    <w:rsid w:val="00351412"/>
    <w:rsid w:val="00351DEF"/>
    <w:rsid w:val="0035283E"/>
    <w:rsid w:val="003533CD"/>
    <w:rsid w:val="00353BD2"/>
    <w:rsid w:val="00354325"/>
    <w:rsid w:val="00355039"/>
    <w:rsid w:val="00356348"/>
    <w:rsid w:val="003566EC"/>
    <w:rsid w:val="00360C8E"/>
    <w:rsid w:val="00360DAA"/>
    <w:rsid w:val="0036217E"/>
    <w:rsid w:val="0036266C"/>
    <w:rsid w:val="0036299B"/>
    <w:rsid w:val="003629CD"/>
    <w:rsid w:val="00362AFD"/>
    <w:rsid w:val="00363DE4"/>
    <w:rsid w:val="003649EE"/>
    <w:rsid w:val="00364B70"/>
    <w:rsid w:val="00367EC5"/>
    <w:rsid w:val="0037263F"/>
    <w:rsid w:val="00372E5F"/>
    <w:rsid w:val="00374363"/>
    <w:rsid w:val="00375776"/>
    <w:rsid w:val="00376D0E"/>
    <w:rsid w:val="00377123"/>
    <w:rsid w:val="0037755F"/>
    <w:rsid w:val="00380BD3"/>
    <w:rsid w:val="003811AD"/>
    <w:rsid w:val="0038297E"/>
    <w:rsid w:val="00385300"/>
    <w:rsid w:val="0038597C"/>
    <w:rsid w:val="00386683"/>
    <w:rsid w:val="003870ED"/>
    <w:rsid w:val="00387D0C"/>
    <w:rsid w:val="0039167C"/>
    <w:rsid w:val="00393C67"/>
    <w:rsid w:val="00393ED7"/>
    <w:rsid w:val="0039484E"/>
    <w:rsid w:val="0039648B"/>
    <w:rsid w:val="00397B02"/>
    <w:rsid w:val="003A0626"/>
    <w:rsid w:val="003A1402"/>
    <w:rsid w:val="003A2957"/>
    <w:rsid w:val="003A37A4"/>
    <w:rsid w:val="003A53F6"/>
    <w:rsid w:val="003A7401"/>
    <w:rsid w:val="003B185B"/>
    <w:rsid w:val="003B186E"/>
    <w:rsid w:val="003B1D70"/>
    <w:rsid w:val="003B3012"/>
    <w:rsid w:val="003B3AF2"/>
    <w:rsid w:val="003B3EF8"/>
    <w:rsid w:val="003B50D4"/>
    <w:rsid w:val="003B6202"/>
    <w:rsid w:val="003C0925"/>
    <w:rsid w:val="003C16F0"/>
    <w:rsid w:val="003C41CB"/>
    <w:rsid w:val="003C4F28"/>
    <w:rsid w:val="003C5DC9"/>
    <w:rsid w:val="003C65AE"/>
    <w:rsid w:val="003C66DA"/>
    <w:rsid w:val="003C6D0A"/>
    <w:rsid w:val="003C6F0D"/>
    <w:rsid w:val="003D03FA"/>
    <w:rsid w:val="003D566D"/>
    <w:rsid w:val="003D6E30"/>
    <w:rsid w:val="003D789E"/>
    <w:rsid w:val="003E0C35"/>
    <w:rsid w:val="003E0EA8"/>
    <w:rsid w:val="003E2A7E"/>
    <w:rsid w:val="003E393B"/>
    <w:rsid w:val="003E3B44"/>
    <w:rsid w:val="003E3D20"/>
    <w:rsid w:val="003E59D5"/>
    <w:rsid w:val="003E63C4"/>
    <w:rsid w:val="003F0D7D"/>
    <w:rsid w:val="003F2DAC"/>
    <w:rsid w:val="003F4025"/>
    <w:rsid w:val="003F68D5"/>
    <w:rsid w:val="003F6C69"/>
    <w:rsid w:val="003F789E"/>
    <w:rsid w:val="004001C2"/>
    <w:rsid w:val="004015DD"/>
    <w:rsid w:val="0040247D"/>
    <w:rsid w:val="00402DBA"/>
    <w:rsid w:val="004038A4"/>
    <w:rsid w:val="004047CE"/>
    <w:rsid w:val="0041147F"/>
    <w:rsid w:val="00411CE2"/>
    <w:rsid w:val="00411E5C"/>
    <w:rsid w:val="00417912"/>
    <w:rsid w:val="0042066F"/>
    <w:rsid w:val="00421037"/>
    <w:rsid w:val="0042255F"/>
    <w:rsid w:val="00423446"/>
    <w:rsid w:val="00425ABF"/>
    <w:rsid w:val="00430741"/>
    <w:rsid w:val="004315AA"/>
    <w:rsid w:val="0043334B"/>
    <w:rsid w:val="00434140"/>
    <w:rsid w:val="00436B27"/>
    <w:rsid w:val="00437B6E"/>
    <w:rsid w:val="004403BE"/>
    <w:rsid w:val="004403C2"/>
    <w:rsid w:val="004437AC"/>
    <w:rsid w:val="00443EFB"/>
    <w:rsid w:val="004442AB"/>
    <w:rsid w:val="004446A7"/>
    <w:rsid w:val="0044583E"/>
    <w:rsid w:val="004536B6"/>
    <w:rsid w:val="00453D3C"/>
    <w:rsid w:val="0045406F"/>
    <w:rsid w:val="00455473"/>
    <w:rsid w:val="00456A76"/>
    <w:rsid w:val="004576EC"/>
    <w:rsid w:val="004579AB"/>
    <w:rsid w:val="0046086A"/>
    <w:rsid w:val="0046398F"/>
    <w:rsid w:val="00464446"/>
    <w:rsid w:val="00466643"/>
    <w:rsid w:val="00466E39"/>
    <w:rsid w:val="004677BB"/>
    <w:rsid w:val="00480F5B"/>
    <w:rsid w:val="00483959"/>
    <w:rsid w:val="0048417D"/>
    <w:rsid w:val="00486CFE"/>
    <w:rsid w:val="00487F01"/>
    <w:rsid w:val="00490854"/>
    <w:rsid w:val="00490DF2"/>
    <w:rsid w:val="00491A4E"/>
    <w:rsid w:val="00493753"/>
    <w:rsid w:val="00493B87"/>
    <w:rsid w:val="0049657C"/>
    <w:rsid w:val="004968A7"/>
    <w:rsid w:val="004968B1"/>
    <w:rsid w:val="004A0467"/>
    <w:rsid w:val="004A15A9"/>
    <w:rsid w:val="004A2678"/>
    <w:rsid w:val="004A65AA"/>
    <w:rsid w:val="004A69A6"/>
    <w:rsid w:val="004A6C14"/>
    <w:rsid w:val="004A704C"/>
    <w:rsid w:val="004A7256"/>
    <w:rsid w:val="004B1737"/>
    <w:rsid w:val="004B239E"/>
    <w:rsid w:val="004B46CE"/>
    <w:rsid w:val="004B50CE"/>
    <w:rsid w:val="004C019C"/>
    <w:rsid w:val="004C0D1F"/>
    <w:rsid w:val="004C2DC3"/>
    <w:rsid w:val="004C2E19"/>
    <w:rsid w:val="004C3B94"/>
    <w:rsid w:val="004C3F94"/>
    <w:rsid w:val="004C4C62"/>
    <w:rsid w:val="004C5859"/>
    <w:rsid w:val="004C65E4"/>
    <w:rsid w:val="004C6B3D"/>
    <w:rsid w:val="004C6C55"/>
    <w:rsid w:val="004C6D06"/>
    <w:rsid w:val="004C75A4"/>
    <w:rsid w:val="004D0AEE"/>
    <w:rsid w:val="004D118E"/>
    <w:rsid w:val="004D12AA"/>
    <w:rsid w:val="004D1CA2"/>
    <w:rsid w:val="004D1D62"/>
    <w:rsid w:val="004D2D02"/>
    <w:rsid w:val="004D5ACC"/>
    <w:rsid w:val="004E1179"/>
    <w:rsid w:val="004E15CB"/>
    <w:rsid w:val="004E506D"/>
    <w:rsid w:val="004E50C1"/>
    <w:rsid w:val="004E6487"/>
    <w:rsid w:val="004E726B"/>
    <w:rsid w:val="004F0C8F"/>
    <w:rsid w:val="004F0D77"/>
    <w:rsid w:val="004F1078"/>
    <w:rsid w:val="004F1332"/>
    <w:rsid w:val="004F2C1C"/>
    <w:rsid w:val="004F3BEA"/>
    <w:rsid w:val="004F4C36"/>
    <w:rsid w:val="004F4E76"/>
    <w:rsid w:val="004F5D71"/>
    <w:rsid w:val="00501D92"/>
    <w:rsid w:val="005041C9"/>
    <w:rsid w:val="005041D3"/>
    <w:rsid w:val="005065D2"/>
    <w:rsid w:val="005078C3"/>
    <w:rsid w:val="00507FE2"/>
    <w:rsid w:val="00510530"/>
    <w:rsid w:val="00511EDF"/>
    <w:rsid w:val="0051252D"/>
    <w:rsid w:val="005128B7"/>
    <w:rsid w:val="0051409A"/>
    <w:rsid w:val="00516B0D"/>
    <w:rsid w:val="00517061"/>
    <w:rsid w:val="005204B8"/>
    <w:rsid w:val="00520D77"/>
    <w:rsid w:val="005212E0"/>
    <w:rsid w:val="005241FF"/>
    <w:rsid w:val="00524DBC"/>
    <w:rsid w:val="00525706"/>
    <w:rsid w:val="00525C88"/>
    <w:rsid w:val="005307F9"/>
    <w:rsid w:val="00531677"/>
    <w:rsid w:val="005327DB"/>
    <w:rsid w:val="00532C5C"/>
    <w:rsid w:val="00535E20"/>
    <w:rsid w:val="00536D2F"/>
    <w:rsid w:val="0054069B"/>
    <w:rsid w:val="00540DA7"/>
    <w:rsid w:val="005422F7"/>
    <w:rsid w:val="00543776"/>
    <w:rsid w:val="00543BC2"/>
    <w:rsid w:val="00544A1E"/>
    <w:rsid w:val="00545FBE"/>
    <w:rsid w:val="00550742"/>
    <w:rsid w:val="00551598"/>
    <w:rsid w:val="00551AB0"/>
    <w:rsid w:val="00552284"/>
    <w:rsid w:val="00553366"/>
    <w:rsid w:val="005575F1"/>
    <w:rsid w:val="00557BD4"/>
    <w:rsid w:val="00557CA0"/>
    <w:rsid w:val="00560357"/>
    <w:rsid w:val="00560E83"/>
    <w:rsid w:val="00563315"/>
    <w:rsid w:val="005638A5"/>
    <w:rsid w:val="00563DFC"/>
    <w:rsid w:val="0056701F"/>
    <w:rsid w:val="005673F4"/>
    <w:rsid w:val="0057042C"/>
    <w:rsid w:val="0057293D"/>
    <w:rsid w:val="005738B6"/>
    <w:rsid w:val="00573B19"/>
    <w:rsid w:val="00575320"/>
    <w:rsid w:val="00575DCA"/>
    <w:rsid w:val="005769DA"/>
    <w:rsid w:val="00577430"/>
    <w:rsid w:val="00580747"/>
    <w:rsid w:val="00580E79"/>
    <w:rsid w:val="0058142E"/>
    <w:rsid w:val="0058196A"/>
    <w:rsid w:val="0058360B"/>
    <w:rsid w:val="005837F0"/>
    <w:rsid w:val="00590989"/>
    <w:rsid w:val="00591302"/>
    <w:rsid w:val="00591543"/>
    <w:rsid w:val="00591BF9"/>
    <w:rsid w:val="00591CD5"/>
    <w:rsid w:val="005933B7"/>
    <w:rsid w:val="00593EDC"/>
    <w:rsid w:val="00595E32"/>
    <w:rsid w:val="005969EF"/>
    <w:rsid w:val="00596CF1"/>
    <w:rsid w:val="00597277"/>
    <w:rsid w:val="005979FD"/>
    <w:rsid w:val="00597AEC"/>
    <w:rsid w:val="00597C54"/>
    <w:rsid w:val="005A097E"/>
    <w:rsid w:val="005A1296"/>
    <w:rsid w:val="005A1CF2"/>
    <w:rsid w:val="005A2A6D"/>
    <w:rsid w:val="005A365C"/>
    <w:rsid w:val="005A398C"/>
    <w:rsid w:val="005A3EB3"/>
    <w:rsid w:val="005A4005"/>
    <w:rsid w:val="005A493C"/>
    <w:rsid w:val="005A74EB"/>
    <w:rsid w:val="005B0FC9"/>
    <w:rsid w:val="005B47BF"/>
    <w:rsid w:val="005B5C9C"/>
    <w:rsid w:val="005B5EAE"/>
    <w:rsid w:val="005B6C0F"/>
    <w:rsid w:val="005C011A"/>
    <w:rsid w:val="005C45BE"/>
    <w:rsid w:val="005C55B0"/>
    <w:rsid w:val="005C5C5B"/>
    <w:rsid w:val="005C5F67"/>
    <w:rsid w:val="005C6672"/>
    <w:rsid w:val="005C75BB"/>
    <w:rsid w:val="005D235B"/>
    <w:rsid w:val="005D2D7C"/>
    <w:rsid w:val="005D3943"/>
    <w:rsid w:val="005D3C45"/>
    <w:rsid w:val="005D4EBF"/>
    <w:rsid w:val="005D55EB"/>
    <w:rsid w:val="005D7141"/>
    <w:rsid w:val="005D750C"/>
    <w:rsid w:val="005D7ADC"/>
    <w:rsid w:val="005E00FF"/>
    <w:rsid w:val="005E1086"/>
    <w:rsid w:val="005E4022"/>
    <w:rsid w:val="005E52BA"/>
    <w:rsid w:val="005E6642"/>
    <w:rsid w:val="005E666D"/>
    <w:rsid w:val="005E66B8"/>
    <w:rsid w:val="005E7FD6"/>
    <w:rsid w:val="005F4A29"/>
    <w:rsid w:val="005F79E1"/>
    <w:rsid w:val="0060210F"/>
    <w:rsid w:val="0060238F"/>
    <w:rsid w:val="0060323B"/>
    <w:rsid w:val="00603929"/>
    <w:rsid w:val="00604483"/>
    <w:rsid w:val="00604E66"/>
    <w:rsid w:val="00606BD5"/>
    <w:rsid w:val="0061162F"/>
    <w:rsid w:val="00612E1A"/>
    <w:rsid w:val="00612EDE"/>
    <w:rsid w:val="00613852"/>
    <w:rsid w:val="00616153"/>
    <w:rsid w:val="0061618D"/>
    <w:rsid w:val="006219BF"/>
    <w:rsid w:val="00622DE6"/>
    <w:rsid w:val="006245B5"/>
    <w:rsid w:val="00624D5E"/>
    <w:rsid w:val="00625999"/>
    <w:rsid w:val="00625AD0"/>
    <w:rsid w:val="00626342"/>
    <w:rsid w:val="00627613"/>
    <w:rsid w:val="0062797C"/>
    <w:rsid w:val="0063038D"/>
    <w:rsid w:val="006309EC"/>
    <w:rsid w:val="00631883"/>
    <w:rsid w:val="006326F7"/>
    <w:rsid w:val="00632818"/>
    <w:rsid w:val="00633714"/>
    <w:rsid w:val="00634A56"/>
    <w:rsid w:val="00635CD8"/>
    <w:rsid w:val="00636792"/>
    <w:rsid w:val="00636DFF"/>
    <w:rsid w:val="00636E32"/>
    <w:rsid w:val="0063711D"/>
    <w:rsid w:val="006373C7"/>
    <w:rsid w:val="006376CE"/>
    <w:rsid w:val="006402FC"/>
    <w:rsid w:val="00640815"/>
    <w:rsid w:val="00640AA4"/>
    <w:rsid w:val="00640EDB"/>
    <w:rsid w:val="006413D4"/>
    <w:rsid w:val="00641EB5"/>
    <w:rsid w:val="006427BE"/>
    <w:rsid w:val="00642F38"/>
    <w:rsid w:val="006436A5"/>
    <w:rsid w:val="00643EDF"/>
    <w:rsid w:val="006506C3"/>
    <w:rsid w:val="00650A9E"/>
    <w:rsid w:val="00651586"/>
    <w:rsid w:val="006541E7"/>
    <w:rsid w:val="00656120"/>
    <w:rsid w:val="00656B0D"/>
    <w:rsid w:val="00656CE0"/>
    <w:rsid w:val="00656F81"/>
    <w:rsid w:val="0066181E"/>
    <w:rsid w:val="00663260"/>
    <w:rsid w:val="0066422E"/>
    <w:rsid w:val="0066571D"/>
    <w:rsid w:val="00666C33"/>
    <w:rsid w:val="0066758E"/>
    <w:rsid w:val="00671502"/>
    <w:rsid w:val="006722B1"/>
    <w:rsid w:val="00673767"/>
    <w:rsid w:val="00675B58"/>
    <w:rsid w:val="00680659"/>
    <w:rsid w:val="00682BA5"/>
    <w:rsid w:val="00683A9F"/>
    <w:rsid w:val="00683DAC"/>
    <w:rsid w:val="0068437A"/>
    <w:rsid w:val="00685E81"/>
    <w:rsid w:val="006867FD"/>
    <w:rsid w:val="00690C9B"/>
    <w:rsid w:val="0069382F"/>
    <w:rsid w:val="00693BD4"/>
    <w:rsid w:val="00694826"/>
    <w:rsid w:val="00694D74"/>
    <w:rsid w:val="00694DCC"/>
    <w:rsid w:val="00695780"/>
    <w:rsid w:val="00697062"/>
    <w:rsid w:val="006A1844"/>
    <w:rsid w:val="006A297B"/>
    <w:rsid w:val="006A2BDE"/>
    <w:rsid w:val="006A3CBC"/>
    <w:rsid w:val="006A3CEE"/>
    <w:rsid w:val="006A7731"/>
    <w:rsid w:val="006B0713"/>
    <w:rsid w:val="006B13B2"/>
    <w:rsid w:val="006B2683"/>
    <w:rsid w:val="006B2CBE"/>
    <w:rsid w:val="006B3CE5"/>
    <w:rsid w:val="006B4DC3"/>
    <w:rsid w:val="006B7B12"/>
    <w:rsid w:val="006C016E"/>
    <w:rsid w:val="006C0E58"/>
    <w:rsid w:val="006C520B"/>
    <w:rsid w:val="006C66ED"/>
    <w:rsid w:val="006C71F5"/>
    <w:rsid w:val="006C7DC6"/>
    <w:rsid w:val="006D0AD1"/>
    <w:rsid w:val="006D0F6F"/>
    <w:rsid w:val="006D1AD3"/>
    <w:rsid w:val="006D2718"/>
    <w:rsid w:val="006D2B6D"/>
    <w:rsid w:val="006D2E1F"/>
    <w:rsid w:val="006D329E"/>
    <w:rsid w:val="006D4038"/>
    <w:rsid w:val="006D4478"/>
    <w:rsid w:val="006D5DCA"/>
    <w:rsid w:val="006D67FF"/>
    <w:rsid w:val="006D71BE"/>
    <w:rsid w:val="006D78D8"/>
    <w:rsid w:val="006E223C"/>
    <w:rsid w:val="006E28E6"/>
    <w:rsid w:val="006E2D1B"/>
    <w:rsid w:val="006E313A"/>
    <w:rsid w:val="006E3534"/>
    <w:rsid w:val="006E3F78"/>
    <w:rsid w:val="006E465F"/>
    <w:rsid w:val="006E52B6"/>
    <w:rsid w:val="006E5747"/>
    <w:rsid w:val="006E61CA"/>
    <w:rsid w:val="006E7260"/>
    <w:rsid w:val="006F4EA4"/>
    <w:rsid w:val="006F79F1"/>
    <w:rsid w:val="0070118B"/>
    <w:rsid w:val="007023F7"/>
    <w:rsid w:val="00704084"/>
    <w:rsid w:val="007048CE"/>
    <w:rsid w:val="00705944"/>
    <w:rsid w:val="00705A81"/>
    <w:rsid w:val="00706989"/>
    <w:rsid w:val="00706A82"/>
    <w:rsid w:val="0071054F"/>
    <w:rsid w:val="00710EAE"/>
    <w:rsid w:val="007112A0"/>
    <w:rsid w:val="00711A38"/>
    <w:rsid w:val="00712A83"/>
    <w:rsid w:val="00713491"/>
    <w:rsid w:val="00714276"/>
    <w:rsid w:val="00716287"/>
    <w:rsid w:val="0071722C"/>
    <w:rsid w:val="007203E4"/>
    <w:rsid w:val="007204D8"/>
    <w:rsid w:val="00720CF2"/>
    <w:rsid w:val="00722F0C"/>
    <w:rsid w:val="00723037"/>
    <w:rsid w:val="00723151"/>
    <w:rsid w:val="007231D6"/>
    <w:rsid w:val="00726352"/>
    <w:rsid w:val="007266C1"/>
    <w:rsid w:val="0073300D"/>
    <w:rsid w:val="00733C1E"/>
    <w:rsid w:val="00735834"/>
    <w:rsid w:val="007369E0"/>
    <w:rsid w:val="007371EC"/>
    <w:rsid w:val="00737495"/>
    <w:rsid w:val="007379D6"/>
    <w:rsid w:val="00741715"/>
    <w:rsid w:val="007419D3"/>
    <w:rsid w:val="00741E9E"/>
    <w:rsid w:val="007435F3"/>
    <w:rsid w:val="00744496"/>
    <w:rsid w:val="007458EB"/>
    <w:rsid w:val="00750EE6"/>
    <w:rsid w:val="0075192C"/>
    <w:rsid w:val="00751FCF"/>
    <w:rsid w:val="00752071"/>
    <w:rsid w:val="007554A3"/>
    <w:rsid w:val="00755762"/>
    <w:rsid w:val="00755FA6"/>
    <w:rsid w:val="007564F3"/>
    <w:rsid w:val="00761152"/>
    <w:rsid w:val="00762782"/>
    <w:rsid w:val="00763A17"/>
    <w:rsid w:val="00764118"/>
    <w:rsid w:val="00764169"/>
    <w:rsid w:val="007651EB"/>
    <w:rsid w:val="00772D02"/>
    <w:rsid w:val="00773F8E"/>
    <w:rsid w:val="00774AB9"/>
    <w:rsid w:val="00775BF9"/>
    <w:rsid w:val="00777065"/>
    <w:rsid w:val="00777187"/>
    <w:rsid w:val="0077793E"/>
    <w:rsid w:val="00780E83"/>
    <w:rsid w:val="00781EF2"/>
    <w:rsid w:val="00781F7E"/>
    <w:rsid w:val="00782F47"/>
    <w:rsid w:val="00782FDC"/>
    <w:rsid w:val="007867D2"/>
    <w:rsid w:val="00790051"/>
    <w:rsid w:val="00790549"/>
    <w:rsid w:val="00790F4C"/>
    <w:rsid w:val="007914A9"/>
    <w:rsid w:val="007916A6"/>
    <w:rsid w:val="007923E9"/>
    <w:rsid w:val="007941B9"/>
    <w:rsid w:val="007960F2"/>
    <w:rsid w:val="00796C15"/>
    <w:rsid w:val="007A0BE1"/>
    <w:rsid w:val="007A10F4"/>
    <w:rsid w:val="007A2CB8"/>
    <w:rsid w:val="007A2D9F"/>
    <w:rsid w:val="007A3186"/>
    <w:rsid w:val="007A36AD"/>
    <w:rsid w:val="007B20F4"/>
    <w:rsid w:val="007B267C"/>
    <w:rsid w:val="007B3CC2"/>
    <w:rsid w:val="007B54D9"/>
    <w:rsid w:val="007B61C0"/>
    <w:rsid w:val="007C1444"/>
    <w:rsid w:val="007C3709"/>
    <w:rsid w:val="007C3727"/>
    <w:rsid w:val="007C486D"/>
    <w:rsid w:val="007C77EB"/>
    <w:rsid w:val="007C7B33"/>
    <w:rsid w:val="007D2352"/>
    <w:rsid w:val="007D3130"/>
    <w:rsid w:val="007D58D6"/>
    <w:rsid w:val="007D6B70"/>
    <w:rsid w:val="007D700C"/>
    <w:rsid w:val="007D7C0F"/>
    <w:rsid w:val="007E0219"/>
    <w:rsid w:val="007E552F"/>
    <w:rsid w:val="007E6A9A"/>
    <w:rsid w:val="007F0566"/>
    <w:rsid w:val="007F0959"/>
    <w:rsid w:val="007F16DA"/>
    <w:rsid w:val="007F5783"/>
    <w:rsid w:val="007F5CBC"/>
    <w:rsid w:val="00800E75"/>
    <w:rsid w:val="00801B97"/>
    <w:rsid w:val="0080565B"/>
    <w:rsid w:val="008061DD"/>
    <w:rsid w:val="00810C45"/>
    <w:rsid w:val="008121FF"/>
    <w:rsid w:val="00814DC4"/>
    <w:rsid w:val="008156EA"/>
    <w:rsid w:val="00817A5B"/>
    <w:rsid w:val="00821A45"/>
    <w:rsid w:val="00821C38"/>
    <w:rsid w:val="00822FEE"/>
    <w:rsid w:val="00827A60"/>
    <w:rsid w:val="008312B7"/>
    <w:rsid w:val="008313E9"/>
    <w:rsid w:val="00832225"/>
    <w:rsid w:val="00834877"/>
    <w:rsid w:val="00835723"/>
    <w:rsid w:val="00835ADA"/>
    <w:rsid w:val="00835E79"/>
    <w:rsid w:val="0084171A"/>
    <w:rsid w:val="008427A1"/>
    <w:rsid w:val="00842B46"/>
    <w:rsid w:val="0084315E"/>
    <w:rsid w:val="00843E2D"/>
    <w:rsid w:val="00845AAD"/>
    <w:rsid w:val="00846949"/>
    <w:rsid w:val="00847DC7"/>
    <w:rsid w:val="00847F66"/>
    <w:rsid w:val="00850077"/>
    <w:rsid w:val="00850A71"/>
    <w:rsid w:val="00853C09"/>
    <w:rsid w:val="00853E2B"/>
    <w:rsid w:val="0085485C"/>
    <w:rsid w:val="008557EC"/>
    <w:rsid w:val="00856212"/>
    <w:rsid w:val="00857B9E"/>
    <w:rsid w:val="008602AC"/>
    <w:rsid w:val="0086181C"/>
    <w:rsid w:val="00861FC1"/>
    <w:rsid w:val="00863C8E"/>
    <w:rsid w:val="00863CFE"/>
    <w:rsid w:val="00863DB5"/>
    <w:rsid w:val="008649B8"/>
    <w:rsid w:val="00866BF7"/>
    <w:rsid w:val="00866EC2"/>
    <w:rsid w:val="00870B2F"/>
    <w:rsid w:val="0087104C"/>
    <w:rsid w:val="0087109E"/>
    <w:rsid w:val="00871C0D"/>
    <w:rsid w:val="00871EA0"/>
    <w:rsid w:val="00872123"/>
    <w:rsid w:val="00872744"/>
    <w:rsid w:val="00874137"/>
    <w:rsid w:val="0087477A"/>
    <w:rsid w:val="00881CCB"/>
    <w:rsid w:val="00882107"/>
    <w:rsid w:val="00882DA8"/>
    <w:rsid w:val="00884091"/>
    <w:rsid w:val="008843B2"/>
    <w:rsid w:val="00885ED8"/>
    <w:rsid w:val="0089047A"/>
    <w:rsid w:val="008909DA"/>
    <w:rsid w:val="00891DC9"/>
    <w:rsid w:val="00892B73"/>
    <w:rsid w:val="00894D06"/>
    <w:rsid w:val="008962AB"/>
    <w:rsid w:val="00896F12"/>
    <w:rsid w:val="0089758B"/>
    <w:rsid w:val="00897710"/>
    <w:rsid w:val="008A16E1"/>
    <w:rsid w:val="008A1E67"/>
    <w:rsid w:val="008A2522"/>
    <w:rsid w:val="008A2BFB"/>
    <w:rsid w:val="008A3405"/>
    <w:rsid w:val="008A6733"/>
    <w:rsid w:val="008A6AA4"/>
    <w:rsid w:val="008B0D4D"/>
    <w:rsid w:val="008B2042"/>
    <w:rsid w:val="008B210E"/>
    <w:rsid w:val="008B2783"/>
    <w:rsid w:val="008B3809"/>
    <w:rsid w:val="008B3D43"/>
    <w:rsid w:val="008B55A8"/>
    <w:rsid w:val="008B5BB9"/>
    <w:rsid w:val="008B7BA0"/>
    <w:rsid w:val="008C0B19"/>
    <w:rsid w:val="008C1627"/>
    <w:rsid w:val="008C20EB"/>
    <w:rsid w:val="008C315B"/>
    <w:rsid w:val="008C37B6"/>
    <w:rsid w:val="008C6F2B"/>
    <w:rsid w:val="008C763F"/>
    <w:rsid w:val="008D01F5"/>
    <w:rsid w:val="008D18DA"/>
    <w:rsid w:val="008D1F88"/>
    <w:rsid w:val="008D235E"/>
    <w:rsid w:val="008D2A48"/>
    <w:rsid w:val="008D3198"/>
    <w:rsid w:val="008D3BF8"/>
    <w:rsid w:val="008D489C"/>
    <w:rsid w:val="008D595C"/>
    <w:rsid w:val="008D6035"/>
    <w:rsid w:val="008D7262"/>
    <w:rsid w:val="008D79A4"/>
    <w:rsid w:val="008E5ACF"/>
    <w:rsid w:val="008E609C"/>
    <w:rsid w:val="008E72D6"/>
    <w:rsid w:val="008F165F"/>
    <w:rsid w:val="008F3225"/>
    <w:rsid w:val="008F36F5"/>
    <w:rsid w:val="008F443A"/>
    <w:rsid w:val="008F45D6"/>
    <w:rsid w:val="008F4A4B"/>
    <w:rsid w:val="008F50E3"/>
    <w:rsid w:val="008F57C0"/>
    <w:rsid w:val="008F6126"/>
    <w:rsid w:val="008F6E87"/>
    <w:rsid w:val="008F714B"/>
    <w:rsid w:val="0090147C"/>
    <w:rsid w:val="00901496"/>
    <w:rsid w:val="00902059"/>
    <w:rsid w:val="0090300C"/>
    <w:rsid w:val="00903401"/>
    <w:rsid w:val="0090342E"/>
    <w:rsid w:val="00904B13"/>
    <w:rsid w:val="00906983"/>
    <w:rsid w:val="0091055C"/>
    <w:rsid w:val="0091198E"/>
    <w:rsid w:val="00912B3B"/>
    <w:rsid w:val="00913242"/>
    <w:rsid w:val="00915197"/>
    <w:rsid w:val="009154E9"/>
    <w:rsid w:val="00915786"/>
    <w:rsid w:val="00915C22"/>
    <w:rsid w:val="009179D1"/>
    <w:rsid w:val="00920712"/>
    <w:rsid w:val="0092075C"/>
    <w:rsid w:val="00920C1A"/>
    <w:rsid w:val="00922765"/>
    <w:rsid w:val="00925B8F"/>
    <w:rsid w:val="00932EDF"/>
    <w:rsid w:val="0093674B"/>
    <w:rsid w:val="009371A5"/>
    <w:rsid w:val="00941634"/>
    <w:rsid w:val="00941B83"/>
    <w:rsid w:val="00941D81"/>
    <w:rsid w:val="00942B59"/>
    <w:rsid w:val="0094487D"/>
    <w:rsid w:val="00945468"/>
    <w:rsid w:val="00945B73"/>
    <w:rsid w:val="009461E3"/>
    <w:rsid w:val="0094754D"/>
    <w:rsid w:val="00947E18"/>
    <w:rsid w:val="009501F3"/>
    <w:rsid w:val="00950784"/>
    <w:rsid w:val="00951115"/>
    <w:rsid w:val="009515DA"/>
    <w:rsid w:val="00951E50"/>
    <w:rsid w:val="00952E0B"/>
    <w:rsid w:val="00952F5C"/>
    <w:rsid w:val="009533D2"/>
    <w:rsid w:val="00953B95"/>
    <w:rsid w:val="00953FB9"/>
    <w:rsid w:val="00955F10"/>
    <w:rsid w:val="009564D5"/>
    <w:rsid w:val="00956C13"/>
    <w:rsid w:val="00956EB8"/>
    <w:rsid w:val="00957322"/>
    <w:rsid w:val="00960734"/>
    <w:rsid w:val="009616F2"/>
    <w:rsid w:val="00962BCB"/>
    <w:rsid w:val="009655F1"/>
    <w:rsid w:val="00965A51"/>
    <w:rsid w:val="00970E30"/>
    <w:rsid w:val="00972203"/>
    <w:rsid w:val="0097366B"/>
    <w:rsid w:val="00973ECE"/>
    <w:rsid w:val="00973F64"/>
    <w:rsid w:val="00974EA3"/>
    <w:rsid w:val="00976A5C"/>
    <w:rsid w:val="009807A4"/>
    <w:rsid w:val="00983D74"/>
    <w:rsid w:val="009849EC"/>
    <w:rsid w:val="009852E2"/>
    <w:rsid w:val="009854C3"/>
    <w:rsid w:val="0099038B"/>
    <w:rsid w:val="00994974"/>
    <w:rsid w:val="0099645D"/>
    <w:rsid w:val="009979BE"/>
    <w:rsid w:val="009A0047"/>
    <w:rsid w:val="009A1A34"/>
    <w:rsid w:val="009A29E0"/>
    <w:rsid w:val="009A4646"/>
    <w:rsid w:val="009A7764"/>
    <w:rsid w:val="009B081A"/>
    <w:rsid w:val="009B2160"/>
    <w:rsid w:val="009B3EE0"/>
    <w:rsid w:val="009B7355"/>
    <w:rsid w:val="009B7CE1"/>
    <w:rsid w:val="009C4C7F"/>
    <w:rsid w:val="009D0392"/>
    <w:rsid w:val="009D2A8B"/>
    <w:rsid w:val="009D4204"/>
    <w:rsid w:val="009D4CED"/>
    <w:rsid w:val="009D5291"/>
    <w:rsid w:val="009D5FB9"/>
    <w:rsid w:val="009E0684"/>
    <w:rsid w:val="009E14CB"/>
    <w:rsid w:val="009E3AA0"/>
    <w:rsid w:val="009E579B"/>
    <w:rsid w:val="009E6195"/>
    <w:rsid w:val="009E6A7B"/>
    <w:rsid w:val="009E6FFF"/>
    <w:rsid w:val="009F02E8"/>
    <w:rsid w:val="009F225B"/>
    <w:rsid w:val="009F3EF7"/>
    <w:rsid w:val="009F4090"/>
    <w:rsid w:val="009F6CB3"/>
    <w:rsid w:val="00A007F4"/>
    <w:rsid w:val="00A0170C"/>
    <w:rsid w:val="00A03996"/>
    <w:rsid w:val="00A03CC9"/>
    <w:rsid w:val="00A0486B"/>
    <w:rsid w:val="00A05D31"/>
    <w:rsid w:val="00A07267"/>
    <w:rsid w:val="00A07B61"/>
    <w:rsid w:val="00A10C6A"/>
    <w:rsid w:val="00A10F6B"/>
    <w:rsid w:val="00A12118"/>
    <w:rsid w:val="00A137B9"/>
    <w:rsid w:val="00A13957"/>
    <w:rsid w:val="00A16981"/>
    <w:rsid w:val="00A22CE1"/>
    <w:rsid w:val="00A22FDB"/>
    <w:rsid w:val="00A2314A"/>
    <w:rsid w:val="00A257E7"/>
    <w:rsid w:val="00A25D3C"/>
    <w:rsid w:val="00A272E4"/>
    <w:rsid w:val="00A2755D"/>
    <w:rsid w:val="00A320FF"/>
    <w:rsid w:val="00A32182"/>
    <w:rsid w:val="00A32748"/>
    <w:rsid w:val="00A32D95"/>
    <w:rsid w:val="00A35A21"/>
    <w:rsid w:val="00A36714"/>
    <w:rsid w:val="00A37E8B"/>
    <w:rsid w:val="00A40F04"/>
    <w:rsid w:val="00A41D8F"/>
    <w:rsid w:val="00A43953"/>
    <w:rsid w:val="00A44ABD"/>
    <w:rsid w:val="00A47FC8"/>
    <w:rsid w:val="00A5004A"/>
    <w:rsid w:val="00A501B0"/>
    <w:rsid w:val="00A503F4"/>
    <w:rsid w:val="00A51362"/>
    <w:rsid w:val="00A514E9"/>
    <w:rsid w:val="00A517CD"/>
    <w:rsid w:val="00A5417D"/>
    <w:rsid w:val="00A5418A"/>
    <w:rsid w:val="00A55E46"/>
    <w:rsid w:val="00A563C1"/>
    <w:rsid w:val="00A6255C"/>
    <w:rsid w:val="00A6290B"/>
    <w:rsid w:val="00A63DD6"/>
    <w:rsid w:val="00A643A0"/>
    <w:rsid w:val="00A64E11"/>
    <w:rsid w:val="00A67198"/>
    <w:rsid w:val="00A677A8"/>
    <w:rsid w:val="00A71A83"/>
    <w:rsid w:val="00A72971"/>
    <w:rsid w:val="00A75BC8"/>
    <w:rsid w:val="00A812CD"/>
    <w:rsid w:val="00A81B9C"/>
    <w:rsid w:val="00A82616"/>
    <w:rsid w:val="00A83B22"/>
    <w:rsid w:val="00A8446F"/>
    <w:rsid w:val="00A84A4E"/>
    <w:rsid w:val="00A85243"/>
    <w:rsid w:val="00A8645B"/>
    <w:rsid w:val="00A87E1C"/>
    <w:rsid w:val="00A900DD"/>
    <w:rsid w:val="00A90A17"/>
    <w:rsid w:val="00A90EBF"/>
    <w:rsid w:val="00A91360"/>
    <w:rsid w:val="00A914EB"/>
    <w:rsid w:val="00A92359"/>
    <w:rsid w:val="00A9275E"/>
    <w:rsid w:val="00A94CBF"/>
    <w:rsid w:val="00A94E03"/>
    <w:rsid w:val="00A94E14"/>
    <w:rsid w:val="00A94F41"/>
    <w:rsid w:val="00A96241"/>
    <w:rsid w:val="00A96F33"/>
    <w:rsid w:val="00A97292"/>
    <w:rsid w:val="00AA11A8"/>
    <w:rsid w:val="00AA11D7"/>
    <w:rsid w:val="00AA21A6"/>
    <w:rsid w:val="00AA4724"/>
    <w:rsid w:val="00AA67F4"/>
    <w:rsid w:val="00AB16F5"/>
    <w:rsid w:val="00AB16F6"/>
    <w:rsid w:val="00AB2BB3"/>
    <w:rsid w:val="00AB37F5"/>
    <w:rsid w:val="00AB3C9F"/>
    <w:rsid w:val="00AB4950"/>
    <w:rsid w:val="00AB5D99"/>
    <w:rsid w:val="00AC092F"/>
    <w:rsid w:val="00AC10E5"/>
    <w:rsid w:val="00AC1F68"/>
    <w:rsid w:val="00AC24D5"/>
    <w:rsid w:val="00AC5477"/>
    <w:rsid w:val="00AC5665"/>
    <w:rsid w:val="00AC6974"/>
    <w:rsid w:val="00AC69C6"/>
    <w:rsid w:val="00AD08FA"/>
    <w:rsid w:val="00AD11A3"/>
    <w:rsid w:val="00AD2C4B"/>
    <w:rsid w:val="00AD38DC"/>
    <w:rsid w:val="00AD5926"/>
    <w:rsid w:val="00AD5E27"/>
    <w:rsid w:val="00AD7203"/>
    <w:rsid w:val="00AD7633"/>
    <w:rsid w:val="00AE104F"/>
    <w:rsid w:val="00AE1934"/>
    <w:rsid w:val="00AE250E"/>
    <w:rsid w:val="00AE2582"/>
    <w:rsid w:val="00AE3D3B"/>
    <w:rsid w:val="00AE4A69"/>
    <w:rsid w:val="00AE5070"/>
    <w:rsid w:val="00AE6639"/>
    <w:rsid w:val="00AE680F"/>
    <w:rsid w:val="00AE72F0"/>
    <w:rsid w:val="00AE7A90"/>
    <w:rsid w:val="00AF0723"/>
    <w:rsid w:val="00AF1C7A"/>
    <w:rsid w:val="00AF1E46"/>
    <w:rsid w:val="00AF3078"/>
    <w:rsid w:val="00AF36F3"/>
    <w:rsid w:val="00AF5556"/>
    <w:rsid w:val="00AF7C93"/>
    <w:rsid w:val="00B0272A"/>
    <w:rsid w:val="00B04E45"/>
    <w:rsid w:val="00B05963"/>
    <w:rsid w:val="00B0638C"/>
    <w:rsid w:val="00B07D41"/>
    <w:rsid w:val="00B1058F"/>
    <w:rsid w:val="00B11095"/>
    <w:rsid w:val="00B11136"/>
    <w:rsid w:val="00B1187E"/>
    <w:rsid w:val="00B12549"/>
    <w:rsid w:val="00B14258"/>
    <w:rsid w:val="00B14C7C"/>
    <w:rsid w:val="00B15626"/>
    <w:rsid w:val="00B15659"/>
    <w:rsid w:val="00B15832"/>
    <w:rsid w:val="00B17D9C"/>
    <w:rsid w:val="00B2058C"/>
    <w:rsid w:val="00B2482F"/>
    <w:rsid w:val="00B24FBE"/>
    <w:rsid w:val="00B25E72"/>
    <w:rsid w:val="00B30FCA"/>
    <w:rsid w:val="00B323A5"/>
    <w:rsid w:val="00B34269"/>
    <w:rsid w:val="00B353CC"/>
    <w:rsid w:val="00B35B6C"/>
    <w:rsid w:val="00B370A6"/>
    <w:rsid w:val="00B401C9"/>
    <w:rsid w:val="00B420CC"/>
    <w:rsid w:val="00B42E9B"/>
    <w:rsid w:val="00B43622"/>
    <w:rsid w:val="00B43871"/>
    <w:rsid w:val="00B43EB1"/>
    <w:rsid w:val="00B44489"/>
    <w:rsid w:val="00B44768"/>
    <w:rsid w:val="00B4700F"/>
    <w:rsid w:val="00B47436"/>
    <w:rsid w:val="00B47976"/>
    <w:rsid w:val="00B51782"/>
    <w:rsid w:val="00B52D85"/>
    <w:rsid w:val="00B5321D"/>
    <w:rsid w:val="00B53B0E"/>
    <w:rsid w:val="00B54833"/>
    <w:rsid w:val="00B54D05"/>
    <w:rsid w:val="00B5743D"/>
    <w:rsid w:val="00B57BC6"/>
    <w:rsid w:val="00B67054"/>
    <w:rsid w:val="00B67F5D"/>
    <w:rsid w:val="00B705A6"/>
    <w:rsid w:val="00B71644"/>
    <w:rsid w:val="00B737F9"/>
    <w:rsid w:val="00B73AFD"/>
    <w:rsid w:val="00B73DDB"/>
    <w:rsid w:val="00B7534B"/>
    <w:rsid w:val="00B76016"/>
    <w:rsid w:val="00B76774"/>
    <w:rsid w:val="00B77A79"/>
    <w:rsid w:val="00B77B1D"/>
    <w:rsid w:val="00B82565"/>
    <w:rsid w:val="00B83692"/>
    <w:rsid w:val="00B849F4"/>
    <w:rsid w:val="00B85725"/>
    <w:rsid w:val="00B86CAC"/>
    <w:rsid w:val="00B94679"/>
    <w:rsid w:val="00B9487E"/>
    <w:rsid w:val="00B94ECB"/>
    <w:rsid w:val="00B959BD"/>
    <w:rsid w:val="00B964B8"/>
    <w:rsid w:val="00BA2E0A"/>
    <w:rsid w:val="00BA45E9"/>
    <w:rsid w:val="00BA59BF"/>
    <w:rsid w:val="00BA59DE"/>
    <w:rsid w:val="00BB0D80"/>
    <w:rsid w:val="00BB1175"/>
    <w:rsid w:val="00BB1FD4"/>
    <w:rsid w:val="00BB4669"/>
    <w:rsid w:val="00BB469D"/>
    <w:rsid w:val="00BB4C35"/>
    <w:rsid w:val="00BB4EEB"/>
    <w:rsid w:val="00BB5499"/>
    <w:rsid w:val="00BB5C9C"/>
    <w:rsid w:val="00BB5D56"/>
    <w:rsid w:val="00BB6381"/>
    <w:rsid w:val="00BB7BA0"/>
    <w:rsid w:val="00BB7F94"/>
    <w:rsid w:val="00BC0901"/>
    <w:rsid w:val="00BC1512"/>
    <w:rsid w:val="00BC1ABD"/>
    <w:rsid w:val="00BC1C30"/>
    <w:rsid w:val="00BC2CC7"/>
    <w:rsid w:val="00BC306E"/>
    <w:rsid w:val="00BC3E51"/>
    <w:rsid w:val="00BC4936"/>
    <w:rsid w:val="00BC616A"/>
    <w:rsid w:val="00BC6A23"/>
    <w:rsid w:val="00BC6DE0"/>
    <w:rsid w:val="00BC7106"/>
    <w:rsid w:val="00BC72BB"/>
    <w:rsid w:val="00BD0454"/>
    <w:rsid w:val="00BD1463"/>
    <w:rsid w:val="00BD2D7C"/>
    <w:rsid w:val="00BD3E85"/>
    <w:rsid w:val="00BD7EC3"/>
    <w:rsid w:val="00BE015A"/>
    <w:rsid w:val="00BE0DCC"/>
    <w:rsid w:val="00BE1944"/>
    <w:rsid w:val="00BE3A1A"/>
    <w:rsid w:val="00BE3CA4"/>
    <w:rsid w:val="00BE3E28"/>
    <w:rsid w:val="00BE5BC5"/>
    <w:rsid w:val="00BE6973"/>
    <w:rsid w:val="00BF0D67"/>
    <w:rsid w:val="00BF4326"/>
    <w:rsid w:val="00BF459D"/>
    <w:rsid w:val="00BF687E"/>
    <w:rsid w:val="00C0327A"/>
    <w:rsid w:val="00C04711"/>
    <w:rsid w:val="00C04857"/>
    <w:rsid w:val="00C04DE5"/>
    <w:rsid w:val="00C04E1C"/>
    <w:rsid w:val="00C05523"/>
    <w:rsid w:val="00C06824"/>
    <w:rsid w:val="00C07266"/>
    <w:rsid w:val="00C103C9"/>
    <w:rsid w:val="00C10D22"/>
    <w:rsid w:val="00C11FB9"/>
    <w:rsid w:val="00C1283C"/>
    <w:rsid w:val="00C14CC6"/>
    <w:rsid w:val="00C15DAE"/>
    <w:rsid w:val="00C16F91"/>
    <w:rsid w:val="00C17266"/>
    <w:rsid w:val="00C243E2"/>
    <w:rsid w:val="00C24F92"/>
    <w:rsid w:val="00C25C90"/>
    <w:rsid w:val="00C26FFB"/>
    <w:rsid w:val="00C30F86"/>
    <w:rsid w:val="00C32747"/>
    <w:rsid w:val="00C32D0A"/>
    <w:rsid w:val="00C34C4B"/>
    <w:rsid w:val="00C359B9"/>
    <w:rsid w:val="00C362FB"/>
    <w:rsid w:val="00C36B9A"/>
    <w:rsid w:val="00C41B53"/>
    <w:rsid w:val="00C4290D"/>
    <w:rsid w:val="00C44D25"/>
    <w:rsid w:val="00C50E20"/>
    <w:rsid w:val="00C54FAA"/>
    <w:rsid w:val="00C57975"/>
    <w:rsid w:val="00C57F1E"/>
    <w:rsid w:val="00C61381"/>
    <w:rsid w:val="00C6479A"/>
    <w:rsid w:val="00C6587C"/>
    <w:rsid w:val="00C71BC0"/>
    <w:rsid w:val="00C7592F"/>
    <w:rsid w:val="00C75B9E"/>
    <w:rsid w:val="00C76A5F"/>
    <w:rsid w:val="00C774F6"/>
    <w:rsid w:val="00C77C17"/>
    <w:rsid w:val="00C80186"/>
    <w:rsid w:val="00C8079E"/>
    <w:rsid w:val="00C82BC3"/>
    <w:rsid w:val="00C82D58"/>
    <w:rsid w:val="00C84B65"/>
    <w:rsid w:val="00C86750"/>
    <w:rsid w:val="00C90B38"/>
    <w:rsid w:val="00C91370"/>
    <w:rsid w:val="00C94658"/>
    <w:rsid w:val="00C95D3F"/>
    <w:rsid w:val="00C96896"/>
    <w:rsid w:val="00CA049B"/>
    <w:rsid w:val="00CA156F"/>
    <w:rsid w:val="00CA2125"/>
    <w:rsid w:val="00CA2FBE"/>
    <w:rsid w:val="00CA358A"/>
    <w:rsid w:val="00CA75F7"/>
    <w:rsid w:val="00CB09BD"/>
    <w:rsid w:val="00CB1E0E"/>
    <w:rsid w:val="00CB5B5D"/>
    <w:rsid w:val="00CB61AB"/>
    <w:rsid w:val="00CB77EB"/>
    <w:rsid w:val="00CB77FC"/>
    <w:rsid w:val="00CC2A7D"/>
    <w:rsid w:val="00CC2E22"/>
    <w:rsid w:val="00CC3B27"/>
    <w:rsid w:val="00CC49CF"/>
    <w:rsid w:val="00CC4AB7"/>
    <w:rsid w:val="00CC4CA1"/>
    <w:rsid w:val="00CC50B3"/>
    <w:rsid w:val="00CC75FC"/>
    <w:rsid w:val="00CC7F0E"/>
    <w:rsid w:val="00CD0066"/>
    <w:rsid w:val="00CD0B56"/>
    <w:rsid w:val="00CD318C"/>
    <w:rsid w:val="00CD39F4"/>
    <w:rsid w:val="00CD3E20"/>
    <w:rsid w:val="00CD604B"/>
    <w:rsid w:val="00CD6A69"/>
    <w:rsid w:val="00CD75D2"/>
    <w:rsid w:val="00CE08AA"/>
    <w:rsid w:val="00CE0A08"/>
    <w:rsid w:val="00CE3399"/>
    <w:rsid w:val="00CE34D4"/>
    <w:rsid w:val="00CE352F"/>
    <w:rsid w:val="00CE3A1E"/>
    <w:rsid w:val="00CE40DA"/>
    <w:rsid w:val="00CE4B1C"/>
    <w:rsid w:val="00CE58A4"/>
    <w:rsid w:val="00CE6027"/>
    <w:rsid w:val="00CE7245"/>
    <w:rsid w:val="00CE7647"/>
    <w:rsid w:val="00CE777E"/>
    <w:rsid w:val="00CE7CCB"/>
    <w:rsid w:val="00CE7D70"/>
    <w:rsid w:val="00CF0056"/>
    <w:rsid w:val="00CF03CB"/>
    <w:rsid w:val="00CF07BA"/>
    <w:rsid w:val="00CF16D9"/>
    <w:rsid w:val="00CF255F"/>
    <w:rsid w:val="00CF313B"/>
    <w:rsid w:val="00CF3A19"/>
    <w:rsid w:val="00CF5F7D"/>
    <w:rsid w:val="00CF6656"/>
    <w:rsid w:val="00CF6E20"/>
    <w:rsid w:val="00CF7A1F"/>
    <w:rsid w:val="00D0062A"/>
    <w:rsid w:val="00D01187"/>
    <w:rsid w:val="00D01FFF"/>
    <w:rsid w:val="00D0241A"/>
    <w:rsid w:val="00D03C0C"/>
    <w:rsid w:val="00D042C6"/>
    <w:rsid w:val="00D052C5"/>
    <w:rsid w:val="00D05A00"/>
    <w:rsid w:val="00D06BF4"/>
    <w:rsid w:val="00D06CCB"/>
    <w:rsid w:val="00D07081"/>
    <w:rsid w:val="00D07AA4"/>
    <w:rsid w:val="00D1041F"/>
    <w:rsid w:val="00D10DD2"/>
    <w:rsid w:val="00D10FE7"/>
    <w:rsid w:val="00D12307"/>
    <w:rsid w:val="00D1255A"/>
    <w:rsid w:val="00D13241"/>
    <w:rsid w:val="00D13EC6"/>
    <w:rsid w:val="00D20F9D"/>
    <w:rsid w:val="00D2247A"/>
    <w:rsid w:val="00D23D47"/>
    <w:rsid w:val="00D24328"/>
    <w:rsid w:val="00D259E7"/>
    <w:rsid w:val="00D25CCA"/>
    <w:rsid w:val="00D264D8"/>
    <w:rsid w:val="00D27D7D"/>
    <w:rsid w:val="00D32FEF"/>
    <w:rsid w:val="00D3352D"/>
    <w:rsid w:val="00D33769"/>
    <w:rsid w:val="00D33DC8"/>
    <w:rsid w:val="00D33E92"/>
    <w:rsid w:val="00D340C4"/>
    <w:rsid w:val="00D35668"/>
    <w:rsid w:val="00D37521"/>
    <w:rsid w:val="00D37BF1"/>
    <w:rsid w:val="00D41E09"/>
    <w:rsid w:val="00D43227"/>
    <w:rsid w:val="00D45738"/>
    <w:rsid w:val="00D4587C"/>
    <w:rsid w:val="00D5143C"/>
    <w:rsid w:val="00D53541"/>
    <w:rsid w:val="00D5385C"/>
    <w:rsid w:val="00D56CA2"/>
    <w:rsid w:val="00D60941"/>
    <w:rsid w:val="00D616E7"/>
    <w:rsid w:val="00D62379"/>
    <w:rsid w:val="00D641D7"/>
    <w:rsid w:val="00D64DBD"/>
    <w:rsid w:val="00D65A37"/>
    <w:rsid w:val="00D66905"/>
    <w:rsid w:val="00D66AB5"/>
    <w:rsid w:val="00D67535"/>
    <w:rsid w:val="00D705F5"/>
    <w:rsid w:val="00D709EF"/>
    <w:rsid w:val="00D738F6"/>
    <w:rsid w:val="00D73DFE"/>
    <w:rsid w:val="00D74F68"/>
    <w:rsid w:val="00D75112"/>
    <w:rsid w:val="00D75B25"/>
    <w:rsid w:val="00D75DD6"/>
    <w:rsid w:val="00D76531"/>
    <w:rsid w:val="00D772B7"/>
    <w:rsid w:val="00D776BE"/>
    <w:rsid w:val="00D7775F"/>
    <w:rsid w:val="00D828F8"/>
    <w:rsid w:val="00D8337F"/>
    <w:rsid w:val="00D836B6"/>
    <w:rsid w:val="00D869EC"/>
    <w:rsid w:val="00D92C07"/>
    <w:rsid w:val="00D94993"/>
    <w:rsid w:val="00D94C60"/>
    <w:rsid w:val="00DA1BE6"/>
    <w:rsid w:val="00DA5547"/>
    <w:rsid w:val="00DA5D31"/>
    <w:rsid w:val="00DA5EC6"/>
    <w:rsid w:val="00DA6D88"/>
    <w:rsid w:val="00DB14B7"/>
    <w:rsid w:val="00DB2E4E"/>
    <w:rsid w:val="00DB3E09"/>
    <w:rsid w:val="00DB7F19"/>
    <w:rsid w:val="00DC20B4"/>
    <w:rsid w:val="00DC3321"/>
    <w:rsid w:val="00DC61CF"/>
    <w:rsid w:val="00DC67B1"/>
    <w:rsid w:val="00DC7B4A"/>
    <w:rsid w:val="00DC7D91"/>
    <w:rsid w:val="00DC7EA3"/>
    <w:rsid w:val="00DD0997"/>
    <w:rsid w:val="00DD4242"/>
    <w:rsid w:val="00DD4370"/>
    <w:rsid w:val="00DD526D"/>
    <w:rsid w:val="00DD52C4"/>
    <w:rsid w:val="00DD5FF6"/>
    <w:rsid w:val="00DD6046"/>
    <w:rsid w:val="00DE24B8"/>
    <w:rsid w:val="00DE48EB"/>
    <w:rsid w:val="00DE535B"/>
    <w:rsid w:val="00DE7E6D"/>
    <w:rsid w:val="00DF022C"/>
    <w:rsid w:val="00DF0F25"/>
    <w:rsid w:val="00DF12EE"/>
    <w:rsid w:val="00DF2E0B"/>
    <w:rsid w:val="00DF3985"/>
    <w:rsid w:val="00DF3EF7"/>
    <w:rsid w:val="00DF4111"/>
    <w:rsid w:val="00DF44CE"/>
    <w:rsid w:val="00DF454D"/>
    <w:rsid w:val="00DF554B"/>
    <w:rsid w:val="00DF6AF5"/>
    <w:rsid w:val="00DF70D6"/>
    <w:rsid w:val="00E00D7F"/>
    <w:rsid w:val="00E00F0B"/>
    <w:rsid w:val="00E00F3F"/>
    <w:rsid w:val="00E013EC"/>
    <w:rsid w:val="00E0290D"/>
    <w:rsid w:val="00E0468F"/>
    <w:rsid w:val="00E117AD"/>
    <w:rsid w:val="00E11C16"/>
    <w:rsid w:val="00E11D70"/>
    <w:rsid w:val="00E131FC"/>
    <w:rsid w:val="00E13938"/>
    <w:rsid w:val="00E13D2D"/>
    <w:rsid w:val="00E15BA9"/>
    <w:rsid w:val="00E17392"/>
    <w:rsid w:val="00E206C2"/>
    <w:rsid w:val="00E2180B"/>
    <w:rsid w:val="00E2189C"/>
    <w:rsid w:val="00E218B5"/>
    <w:rsid w:val="00E21F30"/>
    <w:rsid w:val="00E22782"/>
    <w:rsid w:val="00E22A78"/>
    <w:rsid w:val="00E23993"/>
    <w:rsid w:val="00E2438E"/>
    <w:rsid w:val="00E2570A"/>
    <w:rsid w:val="00E26158"/>
    <w:rsid w:val="00E2622B"/>
    <w:rsid w:val="00E27997"/>
    <w:rsid w:val="00E31565"/>
    <w:rsid w:val="00E36639"/>
    <w:rsid w:val="00E37F61"/>
    <w:rsid w:val="00E404A2"/>
    <w:rsid w:val="00E417BF"/>
    <w:rsid w:val="00E41D57"/>
    <w:rsid w:val="00E424A7"/>
    <w:rsid w:val="00E43E90"/>
    <w:rsid w:val="00E44343"/>
    <w:rsid w:val="00E459D2"/>
    <w:rsid w:val="00E464C8"/>
    <w:rsid w:val="00E4781E"/>
    <w:rsid w:val="00E507B6"/>
    <w:rsid w:val="00E51630"/>
    <w:rsid w:val="00E540A4"/>
    <w:rsid w:val="00E56061"/>
    <w:rsid w:val="00E57C13"/>
    <w:rsid w:val="00E61675"/>
    <w:rsid w:val="00E634CF"/>
    <w:rsid w:val="00E642C7"/>
    <w:rsid w:val="00E66118"/>
    <w:rsid w:val="00E67D6C"/>
    <w:rsid w:val="00E70846"/>
    <w:rsid w:val="00E70E1A"/>
    <w:rsid w:val="00E70F4C"/>
    <w:rsid w:val="00E72A27"/>
    <w:rsid w:val="00E735AA"/>
    <w:rsid w:val="00E74CC6"/>
    <w:rsid w:val="00E75337"/>
    <w:rsid w:val="00E7550B"/>
    <w:rsid w:val="00E76628"/>
    <w:rsid w:val="00E778B9"/>
    <w:rsid w:val="00E80C22"/>
    <w:rsid w:val="00E82D12"/>
    <w:rsid w:val="00E83630"/>
    <w:rsid w:val="00E83A31"/>
    <w:rsid w:val="00E848F2"/>
    <w:rsid w:val="00E861D1"/>
    <w:rsid w:val="00E87850"/>
    <w:rsid w:val="00E87A2C"/>
    <w:rsid w:val="00E93310"/>
    <w:rsid w:val="00E93EA8"/>
    <w:rsid w:val="00E946B9"/>
    <w:rsid w:val="00E94821"/>
    <w:rsid w:val="00E952DB"/>
    <w:rsid w:val="00E959E8"/>
    <w:rsid w:val="00E9680D"/>
    <w:rsid w:val="00E96917"/>
    <w:rsid w:val="00EA1149"/>
    <w:rsid w:val="00EA1FE8"/>
    <w:rsid w:val="00EA2457"/>
    <w:rsid w:val="00EA3994"/>
    <w:rsid w:val="00EA465A"/>
    <w:rsid w:val="00EA4F55"/>
    <w:rsid w:val="00EA6907"/>
    <w:rsid w:val="00EA6A63"/>
    <w:rsid w:val="00EA74D4"/>
    <w:rsid w:val="00EA7C10"/>
    <w:rsid w:val="00EA7CDE"/>
    <w:rsid w:val="00EA7E6E"/>
    <w:rsid w:val="00EB0606"/>
    <w:rsid w:val="00EB07A6"/>
    <w:rsid w:val="00EB10E1"/>
    <w:rsid w:val="00EB3BFB"/>
    <w:rsid w:val="00EB4CA8"/>
    <w:rsid w:val="00EB7873"/>
    <w:rsid w:val="00EC0D00"/>
    <w:rsid w:val="00EC10B6"/>
    <w:rsid w:val="00EC117A"/>
    <w:rsid w:val="00EC1444"/>
    <w:rsid w:val="00EC15A7"/>
    <w:rsid w:val="00EC2F54"/>
    <w:rsid w:val="00EC3A31"/>
    <w:rsid w:val="00EC5BDB"/>
    <w:rsid w:val="00EC5FFF"/>
    <w:rsid w:val="00EC6BA2"/>
    <w:rsid w:val="00ED0AEC"/>
    <w:rsid w:val="00ED1402"/>
    <w:rsid w:val="00ED14E5"/>
    <w:rsid w:val="00ED21AA"/>
    <w:rsid w:val="00ED2DC4"/>
    <w:rsid w:val="00ED49B5"/>
    <w:rsid w:val="00ED50D9"/>
    <w:rsid w:val="00ED7C27"/>
    <w:rsid w:val="00ED7F15"/>
    <w:rsid w:val="00EE0E66"/>
    <w:rsid w:val="00EE1C62"/>
    <w:rsid w:val="00EE23B4"/>
    <w:rsid w:val="00EE31BE"/>
    <w:rsid w:val="00EE4676"/>
    <w:rsid w:val="00EF0A7E"/>
    <w:rsid w:val="00EF2FD2"/>
    <w:rsid w:val="00EF474B"/>
    <w:rsid w:val="00EF5B80"/>
    <w:rsid w:val="00F00A5E"/>
    <w:rsid w:val="00F01968"/>
    <w:rsid w:val="00F02159"/>
    <w:rsid w:val="00F03776"/>
    <w:rsid w:val="00F04EB8"/>
    <w:rsid w:val="00F116AF"/>
    <w:rsid w:val="00F11FEC"/>
    <w:rsid w:val="00F126BF"/>
    <w:rsid w:val="00F12D3B"/>
    <w:rsid w:val="00F14E32"/>
    <w:rsid w:val="00F150D9"/>
    <w:rsid w:val="00F215BC"/>
    <w:rsid w:val="00F217BD"/>
    <w:rsid w:val="00F2270F"/>
    <w:rsid w:val="00F244C2"/>
    <w:rsid w:val="00F26301"/>
    <w:rsid w:val="00F271E0"/>
    <w:rsid w:val="00F27992"/>
    <w:rsid w:val="00F30781"/>
    <w:rsid w:val="00F314E4"/>
    <w:rsid w:val="00F3296C"/>
    <w:rsid w:val="00F32DAE"/>
    <w:rsid w:val="00F348C5"/>
    <w:rsid w:val="00F36184"/>
    <w:rsid w:val="00F4130E"/>
    <w:rsid w:val="00F4143D"/>
    <w:rsid w:val="00F41692"/>
    <w:rsid w:val="00F41CB4"/>
    <w:rsid w:val="00F41E7A"/>
    <w:rsid w:val="00F431F1"/>
    <w:rsid w:val="00F43DFE"/>
    <w:rsid w:val="00F4556B"/>
    <w:rsid w:val="00F50218"/>
    <w:rsid w:val="00F50CA8"/>
    <w:rsid w:val="00F51563"/>
    <w:rsid w:val="00F51A5E"/>
    <w:rsid w:val="00F52236"/>
    <w:rsid w:val="00F52463"/>
    <w:rsid w:val="00F53652"/>
    <w:rsid w:val="00F53A0B"/>
    <w:rsid w:val="00F544EC"/>
    <w:rsid w:val="00F61FB9"/>
    <w:rsid w:val="00F62B29"/>
    <w:rsid w:val="00F639A2"/>
    <w:rsid w:val="00F63F48"/>
    <w:rsid w:val="00F642F7"/>
    <w:rsid w:val="00F66130"/>
    <w:rsid w:val="00F661A2"/>
    <w:rsid w:val="00F67757"/>
    <w:rsid w:val="00F67BCC"/>
    <w:rsid w:val="00F71613"/>
    <w:rsid w:val="00F7197B"/>
    <w:rsid w:val="00F71E85"/>
    <w:rsid w:val="00F75188"/>
    <w:rsid w:val="00F7774B"/>
    <w:rsid w:val="00F80025"/>
    <w:rsid w:val="00F80075"/>
    <w:rsid w:val="00F82C59"/>
    <w:rsid w:val="00F82EBE"/>
    <w:rsid w:val="00F831C2"/>
    <w:rsid w:val="00F83ACF"/>
    <w:rsid w:val="00F84159"/>
    <w:rsid w:val="00F86127"/>
    <w:rsid w:val="00F869AC"/>
    <w:rsid w:val="00F86D3C"/>
    <w:rsid w:val="00F91A06"/>
    <w:rsid w:val="00F924EC"/>
    <w:rsid w:val="00F94C84"/>
    <w:rsid w:val="00F95A35"/>
    <w:rsid w:val="00F965F4"/>
    <w:rsid w:val="00F966E3"/>
    <w:rsid w:val="00F9696B"/>
    <w:rsid w:val="00F970F0"/>
    <w:rsid w:val="00FA0032"/>
    <w:rsid w:val="00FA02F7"/>
    <w:rsid w:val="00FA23AB"/>
    <w:rsid w:val="00FA6FDB"/>
    <w:rsid w:val="00FB1B12"/>
    <w:rsid w:val="00FB2399"/>
    <w:rsid w:val="00FB2935"/>
    <w:rsid w:val="00FB5DD5"/>
    <w:rsid w:val="00FC5439"/>
    <w:rsid w:val="00FC5D15"/>
    <w:rsid w:val="00FD02D4"/>
    <w:rsid w:val="00FD03B0"/>
    <w:rsid w:val="00FD0E8A"/>
    <w:rsid w:val="00FD49DB"/>
    <w:rsid w:val="00FD49EE"/>
    <w:rsid w:val="00FD65CA"/>
    <w:rsid w:val="00FE1BEF"/>
    <w:rsid w:val="00FE31C0"/>
    <w:rsid w:val="00FE35A4"/>
    <w:rsid w:val="00FE45FE"/>
    <w:rsid w:val="00FE4D03"/>
    <w:rsid w:val="00FE5C9E"/>
    <w:rsid w:val="00FE76C2"/>
    <w:rsid w:val="00FE7B76"/>
    <w:rsid w:val="00FF05B6"/>
    <w:rsid w:val="00FF394E"/>
    <w:rsid w:val="00FF3FAC"/>
    <w:rsid w:val="00FF56EB"/>
    <w:rsid w:val="00FF7450"/>
    <w:rsid w:val="00FF7EDD"/>
    <w:rsid w:val="021F3517"/>
    <w:rsid w:val="02CA7683"/>
    <w:rsid w:val="0315112B"/>
    <w:rsid w:val="036508E9"/>
    <w:rsid w:val="05191E8E"/>
    <w:rsid w:val="05229BF9"/>
    <w:rsid w:val="066F808E"/>
    <w:rsid w:val="07E3EA6F"/>
    <w:rsid w:val="0936053D"/>
    <w:rsid w:val="0A98A104"/>
    <w:rsid w:val="0C32905A"/>
    <w:rsid w:val="0C48291A"/>
    <w:rsid w:val="0F6546AF"/>
    <w:rsid w:val="0FE6A5CC"/>
    <w:rsid w:val="0FF9928A"/>
    <w:rsid w:val="10754E64"/>
    <w:rsid w:val="1159AB08"/>
    <w:rsid w:val="13D4D4A6"/>
    <w:rsid w:val="14619D10"/>
    <w:rsid w:val="156A7073"/>
    <w:rsid w:val="1620B5C1"/>
    <w:rsid w:val="16F85774"/>
    <w:rsid w:val="170DA1AF"/>
    <w:rsid w:val="18352C8A"/>
    <w:rsid w:val="186C6647"/>
    <w:rsid w:val="19DE7499"/>
    <w:rsid w:val="1B44D79C"/>
    <w:rsid w:val="1EF1BBD7"/>
    <w:rsid w:val="204074C4"/>
    <w:rsid w:val="21A53039"/>
    <w:rsid w:val="21EDF6D3"/>
    <w:rsid w:val="231B6830"/>
    <w:rsid w:val="23755764"/>
    <w:rsid w:val="2387C019"/>
    <w:rsid w:val="23B38EB8"/>
    <w:rsid w:val="2447BFCF"/>
    <w:rsid w:val="248A4CF7"/>
    <w:rsid w:val="259AD7FF"/>
    <w:rsid w:val="25B225B2"/>
    <w:rsid w:val="27DAF7E6"/>
    <w:rsid w:val="29BAA6BC"/>
    <w:rsid w:val="2A0ACEF9"/>
    <w:rsid w:val="2ADD5615"/>
    <w:rsid w:val="2AF5F4D8"/>
    <w:rsid w:val="2B8B7C67"/>
    <w:rsid w:val="2CC74D36"/>
    <w:rsid w:val="2DD89BFA"/>
    <w:rsid w:val="2EA0B73B"/>
    <w:rsid w:val="2ED269BE"/>
    <w:rsid w:val="2F25672D"/>
    <w:rsid w:val="2FAB42A3"/>
    <w:rsid w:val="30040816"/>
    <w:rsid w:val="3038A9B8"/>
    <w:rsid w:val="3077028D"/>
    <w:rsid w:val="30A49D47"/>
    <w:rsid w:val="30E4F8BC"/>
    <w:rsid w:val="311EBE20"/>
    <w:rsid w:val="311F0B7D"/>
    <w:rsid w:val="3179DCE2"/>
    <w:rsid w:val="31BD2A59"/>
    <w:rsid w:val="320F67D9"/>
    <w:rsid w:val="32A5D9B1"/>
    <w:rsid w:val="338DEDB5"/>
    <w:rsid w:val="35885BA7"/>
    <w:rsid w:val="372307D8"/>
    <w:rsid w:val="37F34470"/>
    <w:rsid w:val="385BA364"/>
    <w:rsid w:val="38B95A9C"/>
    <w:rsid w:val="39A2C9B9"/>
    <w:rsid w:val="3BB040DC"/>
    <w:rsid w:val="3DB055BE"/>
    <w:rsid w:val="3F62967A"/>
    <w:rsid w:val="401BE3CC"/>
    <w:rsid w:val="4205E632"/>
    <w:rsid w:val="43262900"/>
    <w:rsid w:val="4521868C"/>
    <w:rsid w:val="47E50D0A"/>
    <w:rsid w:val="482C4F3A"/>
    <w:rsid w:val="4C0AA007"/>
    <w:rsid w:val="4C0C866D"/>
    <w:rsid w:val="4C134A30"/>
    <w:rsid w:val="4C6597D8"/>
    <w:rsid w:val="4DAAB882"/>
    <w:rsid w:val="4E1923B0"/>
    <w:rsid w:val="4F24E2EC"/>
    <w:rsid w:val="50F6BFD4"/>
    <w:rsid w:val="51E5BF29"/>
    <w:rsid w:val="52A694B7"/>
    <w:rsid w:val="5715C1F1"/>
    <w:rsid w:val="573AEA27"/>
    <w:rsid w:val="57F8D977"/>
    <w:rsid w:val="58363FE1"/>
    <w:rsid w:val="58897ABF"/>
    <w:rsid w:val="597B4A91"/>
    <w:rsid w:val="5AD6EE0C"/>
    <w:rsid w:val="5BF549F3"/>
    <w:rsid w:val="6130D678"/>
    <w:rsid w:val="61350EFB"/>
    <w:rsid w:val="621CA96B"/>
    <w:rsid w:val="629E90B1"/>
    <w:rsid w:val="62A65536"/>
    <w:rsid w:val="62CFE6B4"/>
    <w:rsid w:val="63A866B1"/>
    <w:rsid w:val="63E758A1"/>
    <w:rsid w:val="642AC53E"/>
    <w:rsid w:val="650125E2"/>
    <w:rsid w:val="6558CBBF"/>
    <w:rsid w:val="656533F5"/>
    <w:rsid w:val="669BA247"/>
    <w:rsid w:val="674EB328"/>
    <w:rsid w:val="6773A425"/>
    <w:rsid w:val="67F8545E"/>
    <w:rsid w:val="686B7D17"/>
    <w:rsid w:val="6941945D"/>
    <w:rsid w:val="6AF83643"/>
    <w:rsid w:val="6C69404A"/>
    <w:rsid w:val="6CEFC6C9"/>
    <w:rsid w:val="6E532C44"/>
    <w:rsid w:val="6E7FF6CE"/>
    <w:rsid w:val="6F5EB37E"/>
    <w:rsid w:val="6F7628A2"/>
    <w:rsid w:val="70D13625"/>
    <w:rsid w:val="725591C8"/>
    <w:rsid w:val="728CA25A"/>
    <w:rsid w:val="74FA2BDC"/>
    <w:rsid w:val="75759A34"/>
    <w:rsid w:val="766C0A85"/>
    <w:rsid w:val="76A86391"/>
    <w:rsid w:val="76C159EF"/>
    <w:rsid w:val="76D4D178"/>
    <w:rsid w:val="771444F4"/>
    <w:rsid w:val="777BD4DC"/>
    <w:rsid w:val="7848A84F"/>
    <w:rsid w:val="78A8AC52"/>
    <w:rsid w:val="79B5EB63"/>
    <w:rsid w:val="7A4980CA"/>
    <w:rsid w:val="7B1BA4C4"/>
    <w:rsid w:val="7D1153A7"/>
    <w:rsid w:val="7DE2D775"/>
    <w:rsid w:val="7E7082A4"/>
    <w:rsid w:val="7F07EF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CE99AE"/>
  <w15:docId w15:val="{87F7E372-B71B-4F51-8618-97F72EBF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sv-SE" w:eastAsia="fr-B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
      </w:numPr>
      <w:spacing w:before="240"/>
      <w:outlineLvl w:val="0"/>
    </w:pPr>
    <w:rPr>
      <w:b/>
      <w:smallCaps/>
    </w:rPr>
  </w:style>
  <w:style w:type="paragraph" w:styleId="Heading2">
    <w:name w:val="heading 2"/>
    <w:basedOn w:val="Normal"/>
    <w:next w:val="Text2"/>
    <w:uiPriority w:val="1"/>
    <w:qFormat/>
    <w:pPr>
      <w:keepNext/>
      <w:numPr>
        <w:ilvl w:val="1"/>
        <w:numId w:val="4"/>
      </w:numPr>
      <w:outlineLvl w:val="1"/>
    </w:pPr>
    <w:rPr>
      <w:b/>
    </w:rPr>
  </w:style>
  <w:style w:type="paragraph" w:styleId="Heading3">
    <w:name w:val="heading 3"/>
    <w:basedOn w:val="Normal"/>
    <w:next w:val="Text3"/>
    <w:uiPriority w:val="1"/>
    <w:qFormat/>
    <w:pPr>
      <w:keepNext/>
      <w:numPr>
        <w:ilvl w:val="2"/>
        <w:numId w:val="4"/>
      </w:numPr>
      <w:outlineLvl w:val="2"/>
    </w:pPr>
    <w:rPr>
      <w:i/>
    </w:rPr>
  </w:style>
  <w:style w:type="paragraph" w:styleId="Heading4">
    <w:name w:val="heading 4"/>
    <w:basedOn w:val="Normal"/>
    <w:next w:val="Text4"/>
    <w:uiPriority w:val="1"/>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2">
    <w:name w:val="List Number (Level 2)"/>
    <w:basedOn w:val="Normal"/>
    <w:uiPriority w:val="1"/>
    <w:pPr>
      <w:numPr>
        <w:ilvl w:val="1"/>
        <w:numId w:val="10"/>
      </w:numPr>
    </w:pPr>
  </w:style>
  <w:style w:type="paragraph" w:styleId="ListNumber">
    <w:name w:val="List Number"/>
    <w:basedOn w:val="Normal"/>
    <w:uiPriority w:val="1"/>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1"/>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unhideWhenUsed/>
    <w:pPr>
      <w:spacing w:after="120"/>
      <w:ind w:left="357" w:hanging="357"/>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uiPriority w:val="2"/>
    <w:pPr>
      <w:widowControl w:val="0"/>
      <w:spacing w:after="0"/>
      <w:ind w:right="85"/>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Letterhead">
    <w:name w:val="Table Letterhead"/>
    <w:basedOn w:val="TableNormal"/>
    <w:semiHidden/>
    <w:tblPr>
      <w:tblCellMar>
        <w:left w:w="0" w:type="dxa"/>
        <w:bottom w:w="340" w:type="dxa"/>
        <w:right w:w="0" w:type="dxa"/>
      </w:tblCellMar>
    </w:tblPr>
  </w:style>
  <w:style w:type="paragraph" w:styleId="BalloonText">
    <w:name w:val="Balloon Text"/>
    <w:basedOn w:val="Normal"/>
    <w:link w:val="BalloonTextChar"/>
    <w:semiHidden/>
    <w:locked/>
    <w:rsid w:val="00B5178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51782"/>
    <w:rPr>
      <w:rFonts w:ascii="Segoe UI" w:hAnsi="Segoe UI" w:cs="Segoe UI"/>
      <w:sz w:val="18"/>
      <w:szCs w:val="18"/>
    </w:rPr>
  </w:style>
  <w:style w:type="character" w:customStyle="1" w:styleId="Marker">
    <w:name w:val="Marker"/>
    <w:basedOn w:val="DefaultParagraphFont"/>
    <w:rsid w:val="000830E3"/>
    <w:rPr>
      <w:color w:val="0000FF"/>
      <w:shd w:val="clear" w:color="auto" w:fill="auto"/>
    </w:rPr>
  </w:style>
  <w:style w:type="paragraph" w:customStyle="1" w:styleId="Pagedecouverture">
    <w:name w:val="Page de couverture"/>
    <w:basedOn w:val="Normal"/>
    <w:next w:val="Normal"/>
    <w:rsid w:val="000830E3"/>
    <w:pPr>
      <w:spacing w:after="0"/>
    </w:pPr>
    <w:rPr>
      <w:rFonts w:eastAsiaTheme="minorHAnsi"/>
      <w:szCs w:val="22"/>
      <w:lang w:eastAsia="en-US"/>
    </w:rPr>
  </w:style>
  <w:style w:type="paragraph" w:customStyle="1" w:styleId="FooterCoverPage">
    <w:name w:val="Footer Cover Page"/>
    <w:basedOn w:val="Normal"/>
    <w:link w:val="FooterCoverPageChar"/>
    <w:rsid w:val="000830E3"/>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0830E3"/>
  </w:style>
  <w:style w:type="paragraph" w:customStyle="1" w:styleId="FooterSensitivity">
    <w:name w:val="Footer Sensitivity"/>
    <w:basedOn w:val="Normal"/>
    <w:link w:val="FooterSensitivityChar"/>
    <w:rsid w:val="000830E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0830E3"/>
    <w:rPr>
      <w:b/>
      <w:sz w:val="32"/>
    </w:rPr>
  </w:style>
  <w:style w:type="paragraph" w:customStyle="1" w:styleId="HeaderCoverPage">
    <w:name w:val="Header Cover Page"/>
    <w:basedOn w:val="Normal"/>
    <w:link w:val="HeaderCoverPageChar"/>
    <w:rsid w:val="000830E3"/>
    <w:pPr>
      <w:tabs>
        <w:tab w:val="center" w:pos="4535"/>
        <w:tab w:val="right" w:pos="9071"/>
      </w:tabs>
      <w:spacing w:after="120"/>
    </w:pPr>
  </w:style>
  <w:style w:type="character" w:customStyle="1" w:styleId="HeaderCoverPageChar">
    <w:name w:val="Header Cover Page Char"/>
    <w:basedOn w:val="DefaultParagraphFont"/>
    <w:link w:val="HeaderCoverPage"/>
    <w:rsid w:val="000830E3"/>
  </w:style>
  <w:style w:type="paragraph" w:customStyle="1" w:styleId="HeaderSensitivity">
    <w:name w:val="Header Sensitivity"/>
    <w:basedOn w:val="Normal"/>
    <w:link w:val="HeaderSensitivityChar"/>
    <w:rsid w:val="000830E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0830E3"/>
    <w:rPr>
      <w:b/>
      <w:sz w:val="32"/>
    </w:rPr>
  </w:style>
  <w:style w:type="paragraph" w:customStyle="1" w:styleId="HeaderSensitivityRight">
    <w:name w:val="Header Sensitivity Right"/>
    <w:basedOn w:val="Normal"/>
    <w:link w:val="HeaderSensitivityRightChar"/>
    <w:rsid w:val="000830E3"/>
    <w:pPr>
      <w:spacing w:after="120"/>
      <w:jc w:val="right"/>
    </w:pPr>
    <w:rPr>
      <w:sz w:val="28"/>
    </w:rPr>
  </w:style>
  <w:style w:type="character" w:customStyle="1" w:styleId="HeaderSensitivityRightChar">
    <w:name w:val="Header Sensitivity Right Char"/>
    <w:basedOn w:val="DefaultParagraphFont"/>
    <w:link w:val="HeaderSensitivityRight"/>
    <w:rsid w:val="000830E3"/>
    <w:rPr>
      <w:sz w:val="28"/>
    </w:rPr>
  </w:style>
  <w:style w:type="character" w:customStyle="1" w:styleId="FooterChar">
    <w:name w:val="Footer Char"/>
    <w:basedOn w:val="DefaultParagraphFont"/>
    <w:link w:val="Footer"/>
    <w:uiPriority w:val="99"/>
    <w:rsid w:val="000830E3"/>
    <w:rPr>
      <w:sz w:val="16"/>
    </w:rPr>
  </w:style>
  <w:style w:type="character" w:styleId="Hyperlink">
    <w:name w:val="Hyperlink"/>
    <w:basedOn w:val="DefaultParagraphFont"/>
    <w:uiPriority w:val="99"/>
    <w:unhideWhenUsed/>
    <w:locked/>
    <w:rsid w:val="00A40F04"/>
    <w:rPr>
      <w:color w:val="0563C1" w:themeColor="hyperlink"/>
      <w:u w:val="single"/>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r,ftref"/>
    <w:basedOn w:val="DefaultParagraphFont"/>
    <w:link w:val="ftrefCharCharCharCharCharCharCharCharChar"/>
    <w:uiPriority w:val="99"/>
    <w:unhideWhenUsed/>
    <w:qFormat/>
    <w:locked/>
    <w:rsid w:val="00A40F04"/>
    <w:rPr>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uiPriority w:val="99"/>
    <w:rsid w:val="00A40F04"/>
    <w:pPr>
      <w:spacing w:after="160" w:line="240" w:lineRule="exact"/>
    </w:pPr>
    <w:rPr>
      <w:vertAlign w:val="superscript"/>
    </w:rPr>
  </w:style>
  <w:style w:type="paragraph" w:styleId="ListParagraph">
    <w:name w:val="List Paragraph"/>
    <w:basedOn w:val="Normal"/>
    <w:qFormat/>
    <w:locked/>
    <w:rsid w:val="00897710"/>
    <w:pPr>
      <w:ind w:left="720"/>
      <w:contextualSpacing/>
    </w:pPr>
  </w:style>
  <w:style w:type="paragraph" w:styleId="Revision">
    <w:name w:val="Revision"/>
    <w:hidden/>
    <w:semiHidden/>
    <w:locked/>
    <w:rsid w:val="00170923"/>
  </w:style>
  <w:style w:type="character" w:styleId="CommentReference">
    <w:name w:val="annotation reference"/>
    <w:basedOn w:val="DefaultParagraphFont"/>
    <w:semiHidden/>
    <w:locked/>
    <w:rsid w:val="00553366"/>
    <w:rPr>
      <w:sz w:val="16"/>
      <w:szCs w:val="16"/>
    </w:rPr>
  </w:style>
  <w:style w:type="paragraph" w:styleId="CommentText">
    <w:name w:val="annotation text"/>
    <w:basedOn w:val="Normal"/>
    <w:link w:val="CommentTextChar"/>
    <w:semiHidden/>
    <w:locked/>
    <w:rsid w:val="00553366"/>
    <w:rPr>
      <w:sz w:val="20"/>
    </w:rPr>
  </w:style>
  <w:style w:type="character" w:customStyle="1" w:styleId="CommentTextChar">
    <w:name w:val="Comment Text Char"/>
    <w:basedOn w:val="DefaultParagraphFont"/>
    <w:link w:val="CommentText"/>
    <w:semiHidden/>
    <w:rsid w:val="00553366"/>
    <w:rPr>
      <w:sz w:val="20"/>
    </w:rPr>
  </w:style>
  <w:style w:type="paragraph" w:styleId="CommentSubject">
    <w:name w:val="annotation subject"/>
    <w:basedOn w:val="CommentText"/>
    <w:next w:val="CommentText"/>
    <w:link w:val="CommentSubjectChar"/>
    <w:semiHidden/>
    <w:locked/>
    <w:rsid w:val="00553366"/>
    <w:rPr>
      <w:b/>
      <w:bCs/>
    </w:rPr>
  </w:style>
  <w:style w:type="character" w:customStyle="1" w:styleId="CommentSubjectChar">
    <w:name w:val="Comment Subject Char"/>
    <w:basedOn w:val="CommentTextChar"/>
    <w:link w:val="CommentSubject"/>
    <w:semiHidden/>
    <w:rsid w:val="00553366"/>
    <w:rPr>
      <w:b/>
      <w:bCs/>
      <w:sz w:val="20"/>
    </w:rPr>
  </w:style>
  <w:style w:type="character" w:customStyle="1" w:styleId="UnresolvedMention1">
    <w:name w:val="Unresolved Mention1"/>
    <w:basedOn w:val="DefaultParagraphFont"/>
    <w:uiPriority w:val="99"/>
    <w:semiHidden/>
    <w:unhideWhenUsed/>
    <w:rsid w:val="00704084"/>
    <w:rPr>
      <w:color w:val="605E5C"/>
      <w:shd w:val="clear" w:color="auto" w:fill="E1DFDD"/>
    </w:rPr>
  </w:style>
  <w:style w:type="character" w:styleId="FollowedHyperlink">
    <w:name w:val="FollowedHyperlink"/>
    <w:basedOn w:val="DefaultParagraphFont"/>
    <w:semiHidden/>
    <w:locked/>
    <w:rsid w:val="00DC3321"/>
    <w:rPr>
      <w:color w:val="954F72" w:themeColor="followedHyperlink"/>
      <w:u w:val="single"/>
    </w:rPr>
  </w:style>
  <w:style w:type="character" w:customStyle="1" w:styleId="Mention1">
    <w:name w:val="Mention1"/>
    <w:basedOn w:val="DefaultParagraphFont"/>
    <w:uiPriority w:val="99"/>
    <w:unhideWhenUsed/>
    <w:rsid w:val="007023F7"/>
    <w:rPr>
      <w:color w:val="2B579A"/>
      <w:shd w:val="clear" w:color="auto" w:fill="E1DFDD"/>
    </w:rPr>
  </w:style>
  <w:style w:type="character" w:customStyle="1" w:styleId="normaltextrun">
    <w:name w:val="normaltextrun"/>
    <w:basedOn w:val="DefaultParagraphFont"/>
    <w:rsid w:val="004B2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0021">
      <w:bodyDiv w:val="1"/>
      <w:marLeft w:val="0"/>
      <w:marRight w:val="0"/>
      <w:marTop w:val="0"/>
      <w:marBottom w:val="0"/>
      <w:divBdr>
        <w:top w:val="none" w:sz="0" w:space="0" w:color="auto"/>
        <w:left w:val="none" w:sz="0" w:space="0" w:color="auto"/>
        <w:bottom w:val="none" w:sz="0" w:space="0" w:color="auto"/>
        <w:right w:val="none" w:sz="0" w:space="0" w:color="auto"/>
      </w:divBdr>
    </w:div>
    <w:div w:id="160389911">
      <w:bodyDiv w:val="1"/>
      <w:marLeft w:val="0"/>
      <w:marRight w:val="0"/>
      <w:marTop w:val="0"/>
      <w:marBottom w:val="0"/>
      <w:divBdr>
        <w:top w:val="none" w:sz="0" w:space="0" w:color="auto"/>
        <w:left w:val="none" w:sz="0" w:space="0" w:color="auto"/>
        <w:bottom w:val="none" w:sz="0" w:space="0" w:color="auto"/>
        <w:right w:val="none" w:sz="0" w:space="0" w:color="auto"/>
      </w:divBdr>
    </w:div>
    <w:div w:id="301157906">
      <w:bodyDiv w:val="1"/>
      <w:marLeft w:val="0"/>
      <w:marRight w:val="0"/>
      <w:marTop w:val="0"/>
      <w:marBottom w:val="0"/>
      <w:divBdr>
        <w:top w:val="none" w:sz="0" w:space="0" w:color="auto"/>
        <w:left w:val="none" w:sz="0" w:space="0" w:color="auto"/>
        <w:bottom w:val="none" w:sz="0" w:space="0" w:color="auto"/>
        <w:right w:val="none" w:sz="0" w:space="0" w:color="auto"/>
      </w:divBdr>
    </w:div>
    <w:div w:id="424424748">
      <w:bodyDiv w:val="1"/>
      <w:marLeft w:val="0"/>
      <w:marRight w:val="0"/>
      <w:marTop w:val="0"/>
      <w:marBottom w:val="0"/>
      <w:divBdr>
        <w:top w:val="none" w:sz="0" w:space="0" w:color="auto"/>
        <w:left w:val="none" w:sz="0" w:space="0" w:color="auto"/>
        <w:bottom w:val="none" w:sz="0" w:space="0" w:color="auto"/>
        <w:right w:val="none" w:sz="0" w:space="0" w:color="auto"/>
      </w:divBdr>
    </w:div>
    <w:div w:id="542710668">
      <w:bodyDiv w:val="1"/>
      <w:marLeft w:val="0"/>
      <w:marRight w:val="0"/>
      <w:marTop w:val="0"/>
      <w:marBottom w:val="0"/>
      <w:divBdr>
        <w:top w:val="none" w:sz="0" w:space="0" w:color="auto"/>
        <w:left w:val="none" w:sz="0" w:space="0" w:color="auto"/>
        <w:bottom w:val="none" w:sz="0" w:space="0" w:color="auto"/>
        <w:right w:val="none" w:sz="0" w:space="0" w:color="auto"/>
      </w:divBdr>
    </w:div>
    <w:div w:id="885606474">
      <w:bodyDiv w:val="1"/>
      <w:marLeft w:val="0"/>
      <w:marRight w:val="0"/>
      <w:marTop w:val="0"/>
      <w:marBottom w:val="0"/>
      <w:divBdr>
        <w:top w:val="none" w:sz="0" w:space="0" w:color="auto"/>
        <w:left w:val="none" w:sz="0" w:space="0" w:color="auto"/>
        <w:bottom w:val="none" w:sz="0" w:space="0" w:color="auto"/>
        <w:right w:val="none" w:sz="0" w:space="0" w:color="auto"/>
      </w:divBdr>
    </w:div>
    <w:div w:id="967397648">
      <w:bodyDiv w:val="1"/>
      <w:marLeft w:val="0"/>
      <w:marRight w:val="0"/>
      <w:marTop w:val="0"/>
      <w:marBottom w:val="0"/>
      <w:divBdr>
        <w:top w:val="none" w:sz="0" w:space="0" w:color="auto"/>
        <w:left w:val="none" w:sz="0" w:space="0" w:color="auto"/>
        <w:bottom w:val="none" w:sz="0" w:space="0" w:color="auto"/>
        <w:right w:val="none" w:sz="0" w:space="0" w:color="auto"/>
      </w:divBdr>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450322157">
      <w:bodyDiv w:val="1"/>
      <w:marLeft w:val="0"/>
      <w:marRight w:val="0"/>
      <w:marTop w:val="0"/>
      <w:marBottom w:val="0"/>
      <w:divBdr>
        <w:top w:val="none" w:sz="0" w:space="0" w:color="auto"/>
        <w:left w:val="none" w:sz="0" w:space="0" w:color="auto"/>
        <w:bottom w:val="none" w:sz="0" w:space="0" w:color="auto"/>
        <w:right w:val="none" w:sz="0" w:space="0" w:color="auto"/>
      </w:divBdr>
    </w:div>
    <w:div w:id="164608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yperlink" Target="https://www.coe.int/en/web/conventions/full-list?module=treaty-detail&amp;treatynum=205" TargetMode="External"/><Relationship Id="rId39" Type="http://schemas.openxmlformats.org/officeDocument/2006/relationships/hyperlink" Target="https://julkaisut.valtioneuvosto.fi/handle/10024/163811" TargetMode="External"/><Relationship Id="rId21" Type="http://schemas.openxmlformats.org/officeDocument/2006/relationships/footer" Target="footer3.xml"/><Relationship Id="rId34" Type="http://schemas.openxmlformats.org/officeDocument/2006/relationships/hyperlink" Target="https://julkaisut.valtioneuvosto.fi/handle/10024/166362" TargetMode="External"/><Relationship Id="rId42" Type="http://schemas.openxmlformats.org/officeDocument/2006/relationships/hyperlink" Target="https://rm.coe.int/fifth-evaluation-round-preventing-corruption-and-promoting-integrity-i/1680a9f3a8" TargetMode="External"/><Relationship Id="rId47" Type="http://schemas.openxmlformats.org/officeDocument/2006/relationships/hyperlink" Target="https://www.vtv.fi/sv/publikationer/berattelse-om-tillsynen-over-partifinansieringen-2022/" TargetMode="External"/><Relationship Id="rId50" Type="http://schemas.openxmlformats.org/officeDocument/2006/relationships/hyperlink" Target="https://www.publicmediaalliance.org/yle-faces-structural-changes-and-major-budget-cuts/" TargetMode="External"/><Relationship Id="rId55" Type="http://schemas.openxmlformats.org/officeDocument/2006/relationships/hyperlink" Target="https://yle.fi/aihe/a/20-10008768" TargetMode="Externa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eppo.europa.eu/sites/default/files/2025-03/EPPO%20Annual%20Report%202024_2.pdf" TargetMode="External"/><Relationship Id="rId41" Type="http://schemas.openxmlformats.org/officeDocument/2006/relationships/hyperlink" Target="https://rm.coe.int/fifth-evaluation-round-preventing-corruption-and-promoting-integrity-i/1680a0b0ca" TargetMode="External"/><Relationship Id="rId54" Type="http://schemas.openxmlformats.org/officeDocument/2006/relationships/hyperlink" Target="https://yle.fi/a/74-2015650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mpf.eui.eu/projects/media-pluralism-monitor/." TargetMode="External"/><Relationship Id="rId32" Type="http://schemas.openxmlformats.org/officeDocument/2006/relationships/hyperlink" Target="https://jsn.fi/wp-content/uploads/2025/03/JSN_vuosikertomus_2024.pdf" TargetMode="External"/><Relationship Id="rId37" Type="http://schemas.openxmlformats.org/officeDocument/2006/relationships/hyperlink" Target="https://journalistiliitto.fi/sv/regeringens-beslut-att-stodja-onm-ar-ratt/" TargetMode="External"/><Relationship Id="rId40" Type="http://schemas.openxmlformats.org/officeDocument/2006/relationships/hyperlink" Target="https://rm.coe.int/fifth-evaluation-round-preventing-corruption-and-promoting-integrity-i/1680796d12" TargetMode="External"/><Relationship Id="rId45" Type="http://schemas.openxmlformats.org/officeDocument/2006/relationships/hyperlink" Target="https://www.mfrr.eu/monitor/" TargetMode="External"/><Relationship Id="rId53" Type="http://schemas.openxmlformats.org/officeDocument/2006/relationships/hyperlink" Target="https://yle.fi/a/74-20120436" TargetMode="External"/><Relationship Id="rId58"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www.taike.fi/sv/taike-ja-kavi-valmistelevat-yhdistymista" TargetMode="External"/><Relationship Id="rId28" Type="http://schemas.openxmlformats.org/officeDocument/2006/relationships/hyperlink" Target="https://rm.coe.int/gbr-2001-18e-rapport-annuel-2024/1680b4d77d" TargetMode="External"/><Relationship Id="rId36" Type="http://schemas.openxmlformats.org/officeDocument/2006/relationships/hyperlink" Target="https://journalistiliitto.fi/sv/nya-journalistreglerna-trader-i-kraft-1-oktober/" TargetMode="External"/><Relationship Id="rId49" Type="http://schemas.openxmlformats.org/officeDocument/2006/relationships/hyperlink" Target="https://poliisi.fi/sv/polisens-antikorruptionspolicy" TargetMode="External"/><Relationship Id="rId57" Type="http://schemas.openxmlformats.org/officeDocument/2006/relationships/header" Target="header5.xml"/><Relationship Id="rId61" Type="http://schemas.openxmlformats.org/officeDocument/2006/relationships/footer" Target="footer6.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yperlink" Target="https://jsn.fi/sv/journalistreglerna-2/tillampningsguiden-for-journalistreglerna/" TargetMode="External"/><Relationship Id="rId44" Type="http://schemas.openxmlformats.org/officeDocument/2006/relationships/hyperlink" Target="https://journalisti.fi/artikkelit/2025/02/journalistit-kokevat-hairinnan-ja-painostuksen-aiempaa-voimakkaammiksi/" TargetMode="External"/><Relationship Id="rId52" Type="http://schemas.openxmlformats.org/officeDocument/2006/relationships/hyperlink" Target="https://www.traficom.fi/sv/aktuellt/transport-och-kommunikationsverket-traficoms-organisation-fornyas" TargetMode="External"/><Relationship Id="rId60"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commission.europa.eu/publications/2025-rule-law-report-targeted-stakeholder-consultation_en" TargetMode="External"/><Relationship Id="rId27" Type="http://schemas.openxmlformats.org/officeDocument/2006/relationships/hyperlink" Target="https://fom.coe.int/en/pays/detail/11709508" TargetMode="External"/><Relationship Id="rId30" Type="http://schemas.openxmlformats.org/officeDocument/2006/relationships/hyperlink" Target="https://jsn.fi/sv/journalistreglerna-2/" TargetMode="External"/><Relationship Id="rId35" Type="http://schemas.openxmlformats.org/officeDocument/2006/relationships/hyperlink" Target="https://www.medialiitto.fi/uutiset/yleisradion-rahoitus-tulee-ohjata-julkisen-palvelun-ydintehtavaan/" TargetMode="External"/><Relationship Id="rId43" Type="http://schemas.openxmlformats.org/officeDocument/2006/relationships/hyperlink" Target="https://rm.coe.int/fifth-evaluation-round-preventing-corruption-and-promoting-integrity-i/1680b27a85" TargetMode="External"/><Relationship Id="rId48" Type="http://schemas.openxmlformats.org/officeDocument/2006/relationships/hyperlink" Target="https://www.vtv.fi/uutiset/vaali-ja-puoluelakiin-ehdotetut-muutokset-parantavat-merkittavasti-avoimuutta/" TargetMode="External"/><Relationship Id="rId56" Type="http://schemas.openxmlformats.org/officeDocument/2006/relationships/header" Target="header4.xml"/><Relationship Id="rId64" Type="http://schemas.microsoft.com/office/2019/05/relationships/documenttasks" Target="documenttasks/documenttasks1.xml"/><Relationship Id="rId8" Type="http://schemas.openxmlformats.org/officeDocument/2006/relationships/customXml" Target="../customXml/item8.xml"/><Relationship Id="rId51" Type="http://schemas.openxmlformats.org/officeDocument/2006/relationships/hyperlink" Target="https://avoimuusrekisteri.fi/sv"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https://monitor.civicus.org/country/finland/." TargetMode="External"/><Relationship Id="rId33" Type="http://schemas.openxmlformats.org/officeDocument/2006/relationships/hyperlink" Target="https://julkaisut.valtioneuvosto.fi/handle/10024/165674" TargetMode="External"/><Relationship Id="rId38" Type="http://schemas.openxmlformats.org/officeDocument/2006/relationships/hyperlink" Target="https://journalistiliitto.fi/sv/journalistforbundet-yles-uppsagningar-har-betydande-inverkan-pa-inhemsk-informationsspridning-och-kultur/" TargetMode="External"/><Relationship Id="rId46" Type="http://schemas.openxmlformats.org/officeDocument/2006/relationships/hyperlink" Target="https://oikeusministerio.fi/sv/-/arbetsgrupp-foreslar-att-offentlighetslagen-revideras" TargetMode="External"/><Relationship Id="rId59"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coe.int/en/web/execution/the-supervision-process" TargetMode="External"/><Relationship Id="rId1" Type="http://schemas.openxmlformats.org/officeDocument/2006/relationships/hyperlink" Target="https://commission.europa.eu/document/a9e82a0f-29d8-4fef-ae14-31609cd50877_sv" TargetMode="External"/></Relationships>
</file>

<file path=word/documenttasks/documenttasks1.xml><?xml version="1.0" encoding="utf-8"?>
<t:Tasks xmlns:t="http://schemas.microsoft.com/office/tasks/2019/documenttasks" xmlns:oel="http://schemas.microsoft.com/office/2019/extlst">
  <t:Task id="{524D0421-63A5-4856-9679-60F5C301E379}">
    <t:Anchor>
      <t:Comment id="1394280392"/>
    </t:Anchor>
    <t:History>
      <t:Event id="{EC25BB7D-5A3B-4E88-9456-8D67D4B0BAED}" time="2025-06-17T13:51:32.048Z">
        <t:Attribution userId="S::anna.kacmarikova@ec.europa.eu::dde186d9-f468-4024-a9c6-e9e41f4b0e8f" userProvider="AD" userName="KACMARIKOVA Anna (JUST)"/>
        <t:Anchor>
          <t:Comment id="1394280392"/>
        </t:Anchor>
        <t:Create/>
      </t:Event>
      <t:Event id="{D90291DB-4C0F-4A2A-BDCF-36661CB65284}" time="2025-06-17T13:51:32.048Z">
        <t:Attribution userId="S::anna.kacmarikova@ec.europa.eu::dde186d9-f468-4024-a9c6-e9e41f4b0e8f" userProvider="AD" userName="KACMARIKOVA Anna (JUST)"/>
        <t:Anchor>
          <t:Comment id="1394280392"/>
        </t:Anchor>
        <t:Assign userId="S::Alexis.MICHOT@ext.ec.europa.eu::dec80fd0-5642-46b7-9894-84f0c8d1ea45" userProvider="AD" userName="MICHOT Alexis (JUST-EXT)"/>
      </t:Event>
      <t:Event id="{6581C278-2C9D-4236-ADD8-5962B33B9D3B}" time="2025-06-17T13:51:32.048Z">
        <t:Attribution userId="S::anna.kacmarikova@ec.europa.eu::dde186d9-f468-4024-a9c6-e9e41f4b0e8f" userProvider="AD" userName="KACMARIKOVA Anna (JUST)"/>
        <t:Anchor>
          <t:Comment id="1394280392"/>
        </t:Anchor>
        <t:SetTitle title="@MICHOT Alexis (JUST-EXT) please align the &quot;author&quot; description - fn 62."/>
      </t:Event>
    </t:History>
  </t:Task>
  <t:Task id="{8C94FCD2-3075-4449-97EE-36CDD408FE51}">
    <t:Anchor>
      <t:Comment id="72645259"/>
    </t:Anchor>
    <t:History>
      <t:Event id="{0BA85820-B054-4302-B3FF-EF3265848B18}" time="2025-06-17T13:49:48.42Z">
        <t:Attribution userId="S::anna.kacmarikova@ec.europa.eu::dde186d9-f468-4024-a9c6-e9e41f4b0e8f" userProvider="AD" userName="KACMARIKOVA Anna (JUST)"/>
        <t:Anchor>
          <t:Comment id="72645259"/>
        </t:Anchor>
        <t:Create/>
      </t:Event>
      <t:Event id="{EC00A814-B5CB-4BC6-B7B2-BF89BFDA4AB0}" time="2025-06-17T13:49:48.42Z">
        <t:Attribution userId="S::anna.kacmarikova@ec.europa.eu::dde186d9-f468-4024-a9c6-e9e41f4b0e8f" userProvider="AD" userName="KACMARIKOVA Anna (JUST)"/>
        <t:Anchor>
          <t:Comment id="72645259"/>
        </t:Anchor>
        <t:Assign userId="S::Alexis.MICHOT@ext.ec.europa.eu::dec80fd0-5642-46b7-9894-84f0c8d1ea45" userProvider="AD" userName="MICHOT Alexis (JUST-EXT)"/>
      </t:Event>
      <t:Event id="{EF9B7D31-FAA2-4245-B1B7-F7BDAC492337}" time="2025-06-17T13:49:48.42Z">
        <t:Attribution userId="S::anna.kacmarikova@ec.europa.eu::dde186d9-f468-4024-a9c6-e9e41f4b0e8f" userProvider="AD" userName="KACMARIKOVA Anna (JUST)"/>
        <t:Anchor>
          <t:Comment id="72645259"/>
        </t:Anchor>
        <t:SetTitle title="@MICHOT Alexis (JUST-EXT) can you please verify if mentioned in any fn - if not, please delete."/>
      </t:Event>
    </t:History>
  </t:Task>
  <t:Task id="{971A2DD0-4F7D-48DA-BF00-F83095A8A980}">
    <t:Anchor>
      <t:Comment id="268818865"/>
    </t:Anchor>
    <t:History>
      <t:Event id="{F577B3E0-4FC2-40EB-A1EA-244FDBB6A056}" time="2025-06-18T12:44:37.827Z">
        <t:Attribution userId="S::anna.kacmarikova@ec.europa.eu::dde186d9-f468-4024-a9c6-e9e41f4b0e8f" userProvider="AD" userName="KACMARIKOVA Anna (JUST)"/>
        <t:Anchor>
          <t:Comment id="268818865"/>
        </t:Anchor>
        <t:Create/>
      </t:Event>
      <t:Event id="{ABB46E87-DC92-4586-9FF5-CBF21CD8FCBE}" time="2025-06-18T12:44:37.827Z">
        <t:Attribution userId="S::anna.kacmarikova@ec.europa.eu::dde186d9-f468-4024-a9c6-e9e41f4b0e8f" userProvider="AD" userName="KACMARIKOVA Anna (JUST)"/>
        <t:Anchor>
          <t:Comment id="268818865"/>
        </t:Anchor>
        <t:Assign userId="S::Sofia.KARTTUNEN@ec.europa.eu::fe6c956c-2d12-490f-add4-ca575a2b33f6" userProvider="AD" userName="KARTTUNEN Sofia (CNECT)"/>
      </t:Event>
      <t:Event id="{42A4D841-F7BD-4C87-B7EF-7C8A7BD11704}" time="2025-06-18T12:44:37.827Z">
        <t:Attribution userId="S::anna.kacmarikova@ec.europa.eu::dde186d9-f468-4024-a9c6-e9e41f4b0e8f" userProvider="AD" userName="KACMARIKOVA Anna (JUST)"/>
        <t:Anchor>
          <t:Comment id="268818865"/>
        </t:Anchor>
        <t:SetTitle title="@KARTTUNEN Sofia (CNECT) could you please add the hyperlink? Not sure if that does not happen to be the same source as &quot;Centre for Media Pluralism and Media Freedom&quot;, could you please check and align the fn accordingly? Many thanks!"/>
      </t:Event>
    </t:History>
  </t:Task>
  <t:Task id="{CBA7357F-80EF-4666-A693-B8EF756CA0A2}">
    <t:Anchor>
      <t:Comment id="354883715"/>
    </t:Anchor>
    <t:History>
      <t:Event id="{BF412E65-5430-4C62-AC8F-5119D6D3F8E9}" time="2025-06-17T13:46:26.178Z">
        <t:Attribution userId="S::anna.kacmarikova@ec.europa.eu::dde186d9-f468-4024-a9c6-e9e41f4b0e8f" userProvider="AD" userName="KACMARIKOVA Anna (JUST)"/>
        <t:Anchor>
          <t:Comment id="354883715"/>
        </t:Anchor>
        <t:Create/>
      </t:Event>
      <t:Event id="{82B0CA70-B33D-4AAA-BABF-B967CDEAB8FD}" time="2025-06-17T13:46:26.178Z">
        <t:Attribution userId="S::anna.kacmarikova@ec.europa.eu::dde186d9-f468-4024-a9c6-e9e41f4b0e8f" userProvider="AD" userName="KACMARIKOVA Anna (JUST)"/>
        <t:Anchor>
          <t:Comment id="354883715"/>
        </t:Anchor>
        <t:Assign userId="S::Alexis.MICHOT@ext.ec.europa.eu::dec80fd0-5642-46b7-9894-84f0c8d1ea45" userProvider="AD" userName="MICHOT Alexis (JUST-EXT)"/>
      </t:Event>
      <t:Event id="{8071DA0F-08B1-49A0-AF6B-8C139C263720}" time="2025-06-17T13:46:26.178Z">
        <t:Attribution userId="S::anna.kacmarikova@ec.europa.eu::dde186d9-f468-4024-a9c6-e9e41f4b0e8f" userProvider="AD" userName="KACMARIKOVA Anna (JUST)"/>
        <t:Anchor>
          <t:Comment id="354883715"/>
        </t:Anchor>
        <t:SetTitle title="@MICHOT Alexis (JUST-EXT) The only reference I can see in footnotes is to GRECO (2023) - could you please verify and delete the references in this Annex that do not appear elsewhere in the report?"/>
      </t:Event>
    </t:History>
  </t:Task>
  <t:Task id="{3C5EA7C2-0F15-45EC-B026-E17DAF707542}">
    <t:Anchor>
      <t:Comment id="1612506328"/>
    </t:Anchor>
    <t:History>
      <t:Event id="{19003068-56C7-4F2B-B425-6363B838DB8B}" time="2025-06-17T13:51:54.012Z">
        <t:Attribution userId="S::anna.kacmarikova@ec.europa.eu::dde186d9-f468-4024-a9c6-e9e41f4b0e8f" userProvider="AD" userName="KACMARIKOVA Anna (JUST)"/>
        <t:Anchor>
          <t:Comment id="1612506328"/>
        </t:Anchor>
        <t:Create/>
      </t:Event>
      <t:Event id="{89282D63-D54B-46C2-B3CF-F41D0AA4FAE3}" time="2025-06-17T13:51:54.012Z">
        <t:Attribution userId="S::anna.kacmarikova@ec.europa.eu::dde186d9-f468-4024-a9c6-e9e41f4b0e8f" userProvider="AD" userName="KACMARIKOVA Anna (JUST)"/>
        <t:Anchor>
          <t:Comment id="1612506328"/>
        </t:Anchor>
        <t:Assign userId="S::Alexis.MICHOT@ext.ec.europa.eu::dec80fd0-5642-46b7-9894-84f0c8d1ea45" userProvider="AD" userName="MICHOT Alexis (JUST-EXT)"/>
      </t:Event>
      <t:Event id="{47B12A81-87AA-4B5E-BEDD-8115189883FF}" time="2025-06-17T13:51:54.012Z">
        <t:Attribution userId="S::anna.kacmarikova@ec.europa.eu::dde186d9-f468-4024-a9c6-e9e41f4b0e8f" userProvider="AD" userName="KACMARIKOVA Anna (JUST)"/>
        <t:Anchor>
          <t:Comment id="1612506328"/>
        </t:Anchor>
        <t:SetTitle title=" @MICHOT Alexis (JUST-EXT) please align the &quot;author&quot; description - fn 62."/>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92FCBF67B53A4EB1060DF04C43C986" ma:contentTypeVersion="3" ma:contentTypeDescription="Create a new document." ma:contentTypeScope="" ma:versionID="219e1d85b4109b747c60ddca40c1a83c">
  <xsd:schema xmlns:xsd="http://www.w3.org/2001/XMLSchema" xmlns:xs="http://www.w3.org/2001/XMLSchema" xmlns:p="http://schemas.microsoft.com/office/2006/metadata/properties" xmlns:ns2="ffa05dec-e383-4a36-a526-3e8014669239" targetNamespace="http://schemas.microsoft.com/office/2006/metadata/properties" ma:root="true" ma:fieldsID="8e32fdbff855f078a68691c39d7fbb7c" ns2:_="">
    <xsd:import namespace="ffa05dec-e383-4a36-a526-3e80146692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05dec-e383-4a36-a526-3e8014669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10.0.41212.0</Version>
    <Date>2020-11-24T17:06:29</Date>
    <Language>EN</Language>
    <Note/>
  </Created>
  <Edited>
    <Version>10.0.42447.0</Version>
    <Date>2021-06-17T15:00:18</Date>
  </Edited>
  <DocumentModel>
    <Id>0b054141-88b1-4efb-8c91-2905cb0bed6c</Id>
    <Name>Note</Name>
  </DocumentModel>
  <DocumentDate>2020-11-24T17:06:29</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6.xml><?xml version="1.0" encoding="utf-8"?>
<Author AuthorRoleName="Writer" AuthorRoleId="a4fbaff4-b07c-48b4-a21e-e7b9eedf3796">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BB7C-547C-4C15-B61E-BE0A69226E01}">
  <ds:schemaRefs/>
</ds:datastoreItem>
</file>

<file path=customXml/itemProps2.xml><?xml version="1.0" encoding="utf-8"?>
<ds:datastoreItem xmlns:ds="http://schemas.openxmlformats.org/officeDocument/2006/customXml" ds:itemID="{952D2DAB-AA9A-45BF-A093-811A57ABF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2EFD42-BC99-4C2D-8774-D4407956FD52}">
  <ds:schemaRefs>
    <ds:schemaRef ds:uri="http://schemas.microsoft.com/sharepoint/v3/contenttype/forms"/>
  </ds:schemaRefs>
</ds:datastoreItem>
</file>

<file path=customXml/itemProps4.xml><?xml version="1.0" encoding="utf-8"?>
<ds:datastoreItem xmlns:ds="http://schemas.openxmlformats.org/officeDocument/2006/customXml" ds:itemID="{848FDEF4-AB13-4811-9BB6-B7B59D54B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05dec-e383-4a36-a526-3e80146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85DEDC53-A93E-4ADB-9EC2-F69334C80BD2}">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AEABF736-EA60-4CEE-A851-E2276889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13</Pages>
  <Words>7469</Words>
  <Characters>42576</Characters>
  <Application>Microsoft Office Word</Application>
  <DocSecurity>0</DocSecurity>
  <PresentationFormat>Microsoft Word 14.0</PresentationFormat>
  <Lines>354</Lines>
  <Paragraphs>99</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49946</CharactersWithSpaces>
  <SharedDoc>false</SharedDoc>
  <HLinks>
    <vt:vector size="192" baseType="variant">
      <vt:variant>
        <vt:i4>4259851</vt:i4>
      </vt:variant>
      <vt:variant>
        <vt:i4>90</vt:i4>
      </vt:variant>
      <vt:variant>
        <vt:i4>0</vt:i4>
      </vt:variant>
      <vt:variant>
        <vt:i4>5</vt:i4>
      </vt:variant>
      <vt:variant>
        <vt:lpwstr>https://yle.fi/a/74-20156500</vt:lpwstr>
      </vt:variant>
      <vt:variant>
        <vt:lpwstr/>
      </vt:variant>
      <vt:variant>
        <vt:i4>4259854</vt:i4>
      </vt:variant>
      <vt:variant>
        <vt:i4>87</vt:i4>
      </vt:variant>
      <vt:variant>
        <vt:i4>0</vt:i4>
      </vt:variant>
      <vt:variant>
        <vt:i4>5</vt:i4>
      </vt:variant>
      <vt:variant>
        <vt:lpwstr>https://yle.fi/a/74-20120436</vt:lpwstr>
      </vt:variant>
      <vt:variant>
        <vt:lpwstr/>
      </vt:variant>
      <vt:variant>
        <vt:i4>2097249</vt:i4>
      </vt:variant>
      <vt:variant>
        <vt:i4>84</vt:i4>
      </vt:variant>
      <vt:variant>
        <vt:i4>0</vt:i4>
      </vt:variant>
      <vt:variant>
        <vt:i4>5</vt:i4>
      </vt:variant>
      <vt:variant>
        <vt:lpwstr>https://www.traficom.fi/fi/ajankohtaista/liikenne-ja-viestintavirasto-traficomin-organisaatio-uudistuu</vt:lpwstr>
      </vt:variant>
      <vt:variant>
        <vt:lpwstr/>
      </vt:variant>
      <vt:variant>
        <vt:i4>2097273</vt:i4>
      </vt:variant>
      <vt:variant>
        <vt:i4>81</vt:i4>
      </vt:variant>
      <vt:variant>
        <vt:i4>0</vt:i4>
      </vt:variant>
      <vt:variant>
        <vt:i4>5</vt:i4>
      </vt:variant>
      <vt:variant>
        <vt:lpwstr>https://avoimuusrekisteri.fi/en</vt:lpwstr>
      </vt:variant>
      <vt:variant>
        <vt:lpwstr/>
      </vt:variant>
      <vt:variant>
        <vt:i4>7274555</vt:i4>
      </vt:variant>
      <vt:variant>
        <vt:i4>78</vt:i4>
      </vt:variant>
      <vt:variant>
        <vt:i4>0</vt:i4>
      </vt:variant>
      <vt:variant>
        <vt:i4>5</vt:i4>
      </vt:variant>
      <vt:variant>
        <vt:lpwstr>https://www.publicmediaalliance.org/yle-faces-structural-changes-and-major-budget-cuts/</vt:lpwstr>
      </vt:variant>
      <vt:variant>
        <vt:lpwstr/>
      </vt:variant>
      <vt:variant>
        <vt:i4>3276859</vt:i4>
      </vt:variant>
      <vt:variant>
        <vt:i4>75</vt:i4>
      </vt:variant>
      <vt:variant>
        <vt:i4>0</vt:i4>
      </vt:variant>
      <vt:variant>
        <vt:i4>5</vt:i4>
      </vt:variant>
      <vt:variant>
        <vt:lpwstr>https://poliisi.fi/en/police-anticorruption-policy</vt:lpwstr>
      </vt:variant>
      <vt:variant>
        <vt:lpwstr/>
      </vt:variant>
      <vt:variant>
        <vt:i4>4587605</vt:i4>
      </vt:variant>
      <vt:variant>
        <vt:i4>72</vt:i4>
      </vt:variant>
      <vt:variant>
        <vt:i4>0</vt:i4>
      </vt:variant>
      <vt:variant>
        <vt:i4>5</vt:i4>
      </vt:variant>
      <vt:variant>
        <vt:lpwstr>https://www.vtv.fi/uutiset/vaali-ja-puoluelakiin-ehdotetut-muutokset-parantavat-merkittavasti-avoimuutta/</vt:lpwstr>
      </vt:variant>
      <vt:variant>
        <vt:lpwstr/>
      </vt:variant>
      <vt:variant>
        <vt:i4>7602280</vt:i4>
      </vt:variant>
      <vt:variant>
        <vt:i4>69</vt:i4>
      </vt:variant>
      <vt:variant>
        <vt:i4>0</vt:i4>
      </vt:variant>
      <vt:variant>
        <vt:i4>5</vt:i4>
      </vt:variant>
      <vt:variant>
        <vt:lpwstr>https://www.vtv.fi/app/uploads/2023/02/vtv-report-on-the-oversight-of-the-funding-of-political-parties-in-2022-.pdf</vt:lpwstr>
      </vt:variant>
      <vt:variant>
        <vt:lpwstr/>
      </vt:variant>
      <vt:variant>
        <vt:i4>2293812</vt:i4>
      </vt:variant>
      <vt:variant>
        <vt:i4>66</vt:i4>
      </vt:variant>
      <vt:variant>
        <vt:i4>0</vt:i4>
      </vt:variant>
      <vt:variant>
        <vt:i4>5</vt:i4>
      </vt:variant>
      <vt:variant>
        <vt:lpwstr>https://oikeusministerio.fi/-/tyoryhma-ehdottaa-julkisuuslakia-uudistettavaksi</vt:lpwstr>
      </vt:variant>
      <vt:variant>
        <vt:lpwstr/>
      </vt:variant>
      <vt:variant>
        <vt:i4>5242881</vt:i4>
      </vt:variant>
      <vt:variant>
        <vt:i4>63</vt:i4>
      </vt:variant>
      <vt:variant>
        <vt:i4>0</vt:i4>
      </vt:variant>
      <vt:variant>
        <vt:i4>5</vt:i4>
      </vt:variant>
      <vt:variant>
        <vt:lpwstr>https://www.mfrr.eu/monitor/</vt:lpwstr>
      </vt:variant>
      <vt:variant>
        <vt:lpwstr/>
      </vt:variant>
      <vt:variant>
        <vt:i4>5374033</vt:i4>
      </vt:variant>
      <vt:variant>
        <vt:i4>60</vt:i4>
      </vt:variant>
      <vt:variant>
        <vt:i4>0</vt:i4>
      </vt:variant>
      <vt:variant>
        <vt:i4>5</vt:i4>
      </vt:variant>
      <vt:variant>
        <vt:lpwstr>https://journalisti.fi/artikkelit/2025/02/journalistit-kokevat-hairinnan-ja-painostuksen-aiempaa-voimakkaammiksi/</vt:lpwstr>
      </vt:variant>
      <vt:variant>
        <vt:lpwstr/>
      </vt:variant>
      <vt:variant>
        <vt:i4>5636098</vt:i4>
      </vt:variant>
      <vt:variant>
        <vt:i4>57</vt:i4>
      </vt:variant>
      <vt:variant>
        <vt:i4>0</vt:i4>
      </vt:variant>
      <vt:variant>
        <vt:i4>5</vt:i4>
      </vt:variant>
      <vt:variant>
        <vt:lpwstr>https://rm.coe.int/fifth-evaluation-round-preventing-corruption-and-promoting-integrity-i/1680b27a85</vt:lpwstr>
      </vt:variant>
      <vt:variant>
        <vt:lpwstr/>
      </vt:variant>
      <vt:variant>
        <vt:i4>131081</vt:i4>
      </vt:variant>
      <vt:variant>
        <vt:i4>54</vt:i4>
      </vt:variant>
      <vt:variant>
        <vt:i4>0</vt:i4>
      </vt:variant>
      <vt:variant>
        <vt:i4>5</vt:i4>
      </vt:variant>
      <vt:variant>
        <vt:lpwstr>https://rm.coe.int/fifth-evaluation-round-preventing-corruption-and-promoting-integrity-i/1680a9f3a8</vt:lpwstr>
      </vt:variant>
      <vt:variant>
        <vt:lpwstr/>
      </vt:variant>
      <vt:variant>
        <vt:i4>5308431</vt:i4>
      </vt:variant>
      <vt:variant>
        <vt:i4>51</vt:i4>
      </vt:variant>
      <vt:variant>
        <vt:i4>0</vt:i4>
      </vt:variant>
      <vt:variant>
        <vt:i4>5</vt:i4>
      </vt:variant>
      <vt:variant>
        <vt:lpwstr>https://rm.coe.int/fifth-evaluation-round-preventing-corruption-and-promoting-integrity-i/1680a0b0ca</vt:lpwstr>
      </vt:variant>
      <vt:variant>
        <vt:lpwstr/>
      </vt:variant>
      <vt:variant>
        <vt:i4>6226015</vt:i4>
      </vt:variant>
      <vt:variant>
        <vt:i4>48</vt:i4>
      </vt:variant>
      <vt:variant>
        <vt:i4>0</vt:i4>
      </vt:variant>
      <vt:variant>
        <vt:i4>5</vt:i4>
      </vt:variant>
      <vt:variant>
        <vt:lpwstr>https://rm.coe.int/fifth-evaluation-round-preventing-corruption-and-promoting-integrity-i/1680796d12</vt:lpwstr>
      </vt:variant>
      <vt:variant>
        <vt:lpwstr/>
      </vt:variant>
      <vt:variant>
        <vt:i4>6750322</vt:i4>
      </vt:variant>
      <vt:variant>
        <vt:i4>45</vt:i4>
      </vt:variant>
      <vt:variant>
        <vt:i4>0</vt:i4>
      </vt:variant>
      <vt:variant>
        <vt:i4>5</vt:i4>
      </vt:variant>
      <vt:variant>
        <vt:lpwstr>https://julkaisut.valtioneuvosto.fi/handle/10024/163811</vt:lpwstr>
      </vt:variant>
      <vt:variant>
        <vt:lpwstr/>
      </vt:variant>
      <vt:variant>
        <vt:i4>7798884</vt:i4>
      </vt:variant>
      <vt:variant>
        <vt:i4>39</vt:i4>
      </vt:variant>
      <vt:variant>
        <vt:i4>0</vt:i4>
      </vt:variant>
      <vt:variant>
        <vt:i4>5</vt:i4>
      </vt:variant>
      <vt:variant>
        <vt:lpwstr>https://journalistiliitto.fi/fi/journalistiliitto-ylen-irtisanomisten-vaikutus-tiedonvalitykseen-ja-kotimaiseen-kulttuuriin-on-merkittava/</vt:lpwstr>
      </vt:variant>
      <vt:variant>
        <vt:lpwstr/>
      </vt:variant>
      <vt:variant>
        <vt:i4>5439572</vt:i4>
      </vt:variant>
      <vt:variant>
        <vt:i4>36</vt:i4>
      </vt:variant>
      <vt:variant>
        <vt:i4>0</vt:i4>
      </vt:variant>
      <vt:variant>
        <vt:i4>5</vt:i4>
      </vt:variant>
      <vt:variant>
        <vt:lpwstr>https://journalistiliitto.fi/fi/journalistiliitto-hallituksen-paatos-tukea-julkisen-sanan-neuvostoa-on-oikea/</vt:lpwstr>
      </vt:variant>
      <vt:variant>
        <vt:lpwstr/>
      </vt:variant>
      <vt:variant>
        <vt:i4>7209011</vt:i4>
      </vt:variant>
      <vt:variant>
        <vt:i4>33</vt:i4>
      </vt:variant>
      <vt:variant>
        <vt:i4>0</vt:i4>
      </vt:variant>
      <vt:variant>
        <vt:i4>5</vt:i4>
      </vt:variant>
      <vt:variant>
        <vt:lpwstr>https://journalistiliitto.fi/fi/uudistetut-journalistin-ohjeet-voimaan-lokakuun-alusta/</vt:lpwstr>
      </vt:variant>
      <vt:variant>
        <vt:lpwstr/>
      </vt:variant>
      <vt:variant>
        <vt:i4>5439506</vt:i4>
      </vt:variant>
      <vt:variant>
        <vt:i4>30</vt:i4>
      </vt:variant>
      <vt:variant>
        <vt:i4>0</vt:i4>
      </vt:variant>
      <vt:variant>
        <vt:i4>5</vt:i4>
      </vt:variant>
      <vt:variant>
        <vt:lpwstr>https://www.medialiitto.fi/uutiset/yleisradion-rahoitus-tulee-ohjata-julkisen-palvelun-ydintehtavaan/</vt:lpwstr>
      </vt:variant>
      <vt:variant>
        <vt:lpwstr/>
      </vt:variant>
      <vt:variant>
        <vt:i4>6619257</vt:i4>
      </vt:variant>
      <vt:variant>
        <vt:i4>27</vt:i4>
      </vt:variant>
      <vt:variant>
        <vt:i4>0</vt:i4>
      </vt:variant>
      <vt:variant>
        <vt:i4>5</vt:i4>
      </vt:variant>
      <vt:variant>
        <vt:lpwstr>https://julkaisut.valtioneuvosto.fi/handle/10024/166362</vt:lpwstr>
      </vt:variant>
      <vt:variant>
        <vt:lpwstr/>
      </vt:variant>
      <vt:variant>
        <vt:i4>6750332</vt:i4>
      </vt:variant>
      <vt:variant>
        <vt:i4>24</vt:i4>
      </vt:variant>
      <vt:variant>
        <vt:i4>0</vt:i4>
      </vt:variant>
      <vt:variant>
        <vt:i4>5</vt:i4>
      </vt:variant>
      <vt:variant>
        <vt:lpwstr>https://julkaisut.valtioneuvosto.fi/handle/10024/165674</vt:lpwstr>
      </vt:variant>
      <vt:variant>
        <vt:lpwstr/>
      </vt:variant>
      <vt:variant>
        <vt:i4>983111</vt:i4>
      </vt:variant>
      <vt:variant>
        <vt:i4>21</vt:i4>
      </vt:variant>
      <vt:variant>
        <vt:i4>0</vt:i4>
      </vt:variant>
      <vt:variant>
        <vt:i4>5</vt:i4>
      </vt:variant>
      <vt:variant>
        <vt:lpwstr>https://jsn.fi/wp-content/uploads/2025/03/JSN_vuosikertomus_2024.pdf</vt:lpwstr>
      </vt:variant>
      <vt:variant>
        <vt:lpwstr/>
      </vt:variant>
      <vt:variant>
        <vt:i4>3538990</vt:i4>
      </vt:variant>
      <vt:variant>
        <vt:i4>18</vt:i4>
      </vt:variant>
      <vt:variant>
        <vt:i4>0</vt:i4>
      </vt:variant>
      <vt:variant>
        <vt:i4>5</vt:i4>
      </vt:variant>
      <vt:variant>
        <vt:lpwstr>https://jsn.fi/journalistin-ohjeet/soveltamisopas/</vt:lpwstr>
      </vt:variant>
      <vt:variant>
        <vt:lpwstr/>
      </vt:variant>
      <vt:variant>
        <vt:i4>4390937</vt:i4>
      </vt:variant>
      <vt:variant>
        <vt:i4>15</vt:i4>
      </vt:variant>
      <vt:variant>
        <vt:i4>0</vt:i4>
      </vt:variant>
      <vt:variant>
        <vt:i4>5</vt:i4>
      </vt:variant>
      <vt:variant>
        <vt:lpwstr>https://jsn.fi/en/journalists-guidelines/</vt:lpwstr>
      </vt:variant>
      <vt:variant>
        <vt:lpwstr/>
      </vt:variant>
      <vt:variant>
        <vt:i4>4784173</vt:i4>
      </vt:variant>
      <vt:variant>
        <vt:i4>12</vt:i4>
      </vt:variant>
      <vt:variant>
        <vt:i4>0</vt:i4>
      </vt:variant>
      <vt:variant>
        <vt:i4>5</vt:i4>
      </vt:variant>
      <vt:variant>
        <vt:lpwstr>https://www.eppo.europa.eu/sites/default/files/2025-03/EPPO Annual Report 2024_2.pdf</vt:lpwstr>
      </vt:variant>
      <vt:variant>
        <vt:lpwstr/>
      </vt:variant>
      <vt:variant>
        <vt:i4>4128868</vt:i4>
      </vt:variant>
      <vt:variant>
        <vt:i4>9</vt:i4>
      </vt:variant>
      <vt:variant>
        <vt:i4>0</vt:i4>
      </vt:variant>
      <vt:variant>
        <vt:i4>5</vt:i4>
      </vt:variant>
      <vt:variant>
        <vt:lpwstr>https://rm.coe.int/gbr-2001-18e-rapport-annuel-2024/1680b4d77d</vt:lpwstr>
      </vt:variant>
      <vt:variant>
        <vt:lpwstr/>
      </vt:variant>
      <vt:variant>
        <vt:i4>4718686</vt:i4>
      </vt:variant>
      <vt:variant>
        <vt:i4>6</vt:i4>
      </vt:variant>
      <vt:variant>
        <vt:i4>0</vt:i4>
      </vt:variant>
      <vt:variant>
        <vt:i4>5</vt:i4>
      </vt:variant>
      <vt:variant>
        <vt:lpwstr>https://monitor.civicus.org/country/finland/</vt:lpwstr>
      </vt:variant>
      <vt:variant>
        <vt:lpwstr/>
      </vt:variant>
      <vt:variant>
        <vt:i4>196684</vt:i4>
      </vt:variant>
      <vt:variant>
        <vt:i4>3</vt:i4>
      </vt:variant>
      <vt:variant>
        <vt:i4>0</vt:i4>
      </vt:variant>
      <vt:variant>
        <vt:i4>5</vt:i4>
      </vt:variant>
      <vt:variant>
        <vt:lpwstr>https://www.taike.fi/fi/taike-ja-kavi-valmistelevat-yhdistymista</vt:lpwstr>
      </vt:variant>
      <vt:variant>
        <vt:lpwstr/>
      </vt:variant>
      <vt:variant>
        <vt:i4>6684701</vt:i4>
      </vt:variant>
      <vt:variant>
        <vt:i4>0</vt:i4>
      </vt:variant>
      <vt:variant>
        <vt:i4>0</vt:i4>
      </vt:variant>
      <vt:variant>
        <vt:i4>5</vt:i4>
      </vt:variant>
      <vt:variant>
        <vt:lpwstr>https://commission.europa.eu/publications/2025-rule-law-report-targeted-stakeholder-consultation_en</vt:lpwstr>
      </vt:variant>
      <vt:variant>
        <vt:lpwstr/>
      </vt:variant>
      <vt:variant>
        <vt:i4>4587524</vt:i4>
      </vt:variant>
      <vt:variant>
        <vt:i4>3</vt:i4>
      </vt:variant>
      <vt:variant>
        <vt:i4>0</vt:i4>
      </vt:variant>
      <vt:variant>
        <vt:i4>5</vt:i4>
      </vt:variant>
      <vt:variant>
        <vt:lpwstr>https://www.coe.int/en/web/execution/the-supervision-process</vt:lpwstr>
      </vt:variant>
      <vt:variant>
        <vt:lpwstr/>
      </vt:variant>
      <vt:variant>
        <vt:i4>5046312</vt:i4>
      </vt:variant>
      <vt:variant>
        <vt:i4>0</vt:i4>
      </vt:variant>
      <vt:variant>
        <vt:i4>0</vt:i4>
      </vt:variant>
      <vt:variant>
        <vt:i4>5</vt:i4>
      </vt:variant>
      <vt:variant>
        <vt:lpwstr>https://commission.europa.eu/document/a9e82a0f-29d8-4fef-ae14-31609cd50877_en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2025-06-30T18:15:00Z</dcterms:created>
  <dcterms:modified xsi:type="dcterms:W3CDTF">2025-07-08T12:43:00Z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9.1, Build 20240808</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ELDocType">
    <vt:lpwstr>not.dot</vt:lpwstr>
  </property>
  <property fmtid="{D5CDD505-2E9C-101B-9397-08002B2CF9AE}" pid="11" name="MSIP_Label_6bd9ddd1-4d20-43f6-abfa-fc3c07406f94_Enabled">
    <vt:lpwstr>true</vt:lpwstr>
  </property>
  <property fmtid="{D5CDD505-2E9C-101B-9397-08002B2CF9AE}" pid="12" name="MSIP_Label_6bd9ddd1-4d20-43f6-abfa-fc3c07406f94_SetDate">
    <vt:lpwstr>2025-05-05T11:50:19Z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e823f9cb-365b-49a6-9fdb-ba57f995eef9</vt:lpwstr>
  </property>
  <property fmtid="{D5CDD505-2E9C-101B-9397-08002B2CF9AE}" pid="17" name="MSIP_Label_6bd9ddd1-4d20-43f6-abfa-fc3c07406f94_ContentBits">
    <vt:lpwstr>0</vt:lpwstr>
  </property>
  <property fmtid="{D5CDD505-2E9C-101B-9397-08002B2CF9AE}" pid="18" name="ContentTypeId">
    <vt:lpwstr>0x010100CD92FCBF67B53A4EB1060DF04C43C986</vt:lpwstr>
  </property>
</Properties>
</file>