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F2" w:rsidRPr="005E5944" w:rsidRDefault="00186069" w:rsidP="0018606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BBF6F75-C823-437A-9CA9-5D029D0C0F4B" style="width:455.25pt;height:369.75pt">
            <v:imagedata r:id="rId11" o:title=""/>
          </v:shape>
        </w:pict>
      </w:r>
    </w:p>
    <w:p w:rsidR="00A93BF2" w:rsidRPr="005E5944" w:rsidRDefault="00A93BF2" w:rsidP="00A93BF2">
      <w:pPr>
        <w:rPr>
          <w:noProof/>
        </w:rPr>
        <w:sectPr w:rsidR="00A93BF2" w:rsidRPr="005E5944" w:rsidSect="00186069">
          <w:footerReference w:type="even" r:id="rId12"/>
          <w:footerReference w:type="default" r:id="rId13"/>
          <w:pgSz w:w="11907" w:h="16839"/>
          <w:pgMar w:top="1134" w:right="1417" w:bottom="1134" w:left="1417" w:header="709" w:footer="709" w:gutter="0"/>
          <w:pgNumType w:start="0"/>
          <w:cols w:space="720"/>
          <w:docGrid w:linePitch="360"/>
        </w:sectPr>
      </w:pPr>
    </w:p>
    <w:p w:rsidR="00A93BF2" w:rsidRPr="005E5944" w:rsidRDefault="00A93BF2" w:rsidP="0010030D">
      <w:pPr>
        <w:pStyle w:val="Exposdesmotifstitre"/>
        <w:rPr>
          <w:noProof/>
        </w:rPr>
      </w:pPr>
      <w:bookmarkStart w:id="0" w:name="_GoBack"/>
      <w:bookmarkEnd w:id="0"/>
      <w:r w:rsidRPr="005E5944">
        <w:rPr>
          <w:noProof/>
        </w:rPr>
        <w:lastRenderedPageBreak/>
        <w:t>MOTIVERING</w:t>
      </w:r>
    </w:p>
    <w:p w:rsidR="00A93BF2" w:rsidRPr="005E5944" w:rsidRDefault="008967E5" w:rsidP="008967E5">
      <w:pPr>
        <w:pStyle w:val="ManualHeading1"/>
        <w:rPr>
          <w:rFonts w:eastAsia="Arial Unicode MS"/>
          <w:noProof/>
        </w:rPr>
      </w:pPr>
      <w:r w:rsidRPr="008967E5">
        <w:rPr>
          <w:noProof/>
        </w:rPr>
        <w:t>1.</w:t>
      </w:r>
      <w:r w:rsidRPr="008967E5">
        <w:rPr>
          <w:noProof/>
        </w:rPr>
        <w:tab/>
      </w:r>
      <w:r w:rsidR="00A93BF2" w:rsidRPr="005E5944">
        <w:rPr>
          <w:noProof/>
        </w:rPr>
        <w:t>Fråga som behandlas i förslaget</w:t>
      </w:r>
    </w:p>
    <w:p w:rsidR="0048503B" w:rsidRPr="005E5944" w:rsidRDefault="0048503B" w:rsidP="0048503B">
      <w:pPr>
        <w:rPr>
          <w:rFonts w:eastAsia="Arial Unicode MS"/>
          <w:noProof/>
        </w:rPr>
      </w:pPr>
      <w:r w:rsidRPr="005E5944">
        <w:rPr>
          <w:noProof/>
        </w:rPr>
        <w:t xml:space="preserve">Detta förslag avser ett beslut om fastställande av den ståndpunkt som ska intas på unionens vägnar i Internationella spannmålsrådet i samband med den planerade förlängningen av </w:t>
      </w:r>
      <w:r w:rsidRPr="005E5944">
        <w:rPr>
          <w:b/>
          <w:noProof/>
        </w:rPr>
        <w:t>1995 års konvention om handel med spannmål</w:t>
      </w:r>
      <w:r w:rsidRPr="005E5944">
        <w:rPr>
          <w:noProof/>
        </w:rPr>
        <w:t xml:space="preserve"> till och med den 30 juni 2027.</w:t>
      </w:r>
    </w:p>
    <w:p w:rsidR="00A93BF2" w:rsidRPr="005E5944" w:rsidRDefault="008967E5" w:rsidP="008967E5">
      <w:pPr>
        <w:pStyle w:val="ManualHeading1"/>
        <w:rPr>
          <w:noProof/>
        </w:rPr>
      </w:pPr>
      <w:r w:rsidRPr="008967E5">
        <w:rPr>
          <w:noProof/>
        </w:rPr>
        <w:t>2.</w:t>
      </w:r>
      <w:r w:rsidRPr="008967E5">
        <w:rPr>
          <w:noProof/>
        </w:rPr>
        <w:tab/>
      </w:r>
      <w:r w:rsidR="00A93BF2" w:rsidRPr="005E5944">
        <w:rPr>
          <w:noProof/>
        </w:rPr>
        <w:t>Bakgrund till förslaget</w:t>
      </w:r>
    </w:p>
    <w:p w:rsidR="00A93BF2" w:rsidRPr="005E5944" w:rsidRDefault="008967E5" w:rsidP="008967E5">
      <w:pPr>
        <w:pStyle w:val="ManualHeading2"/>
        <w:rPr>
          <w:noProof/>
        </w:rPr>
      </w:pPr>
      <w:r w:rsidRPr="008967E5">
        <w:rPr>
          <w:noProof/>
        </w:rPr>
        <w:t>2.1.</w:t>
      </w:r>
      <w:r w:rsidRPr="008967E5">
        <w:rPr>
          <w:noProof/>
        </w:rPr>
        <w:tab/>
      </w:r>
      <w:r w:rsidR="00A93BF2" w:rsidRPr="005E5944">
        <w:rPr>
          <w:noProof/>
        </w:rPr>
        <w:t>1995 års konvention om handel med spannmål</w:t>
      </w:r>
    </w:p>
    <w:p w:rsidR="0048503B" w:rsidRPr="005E5944" w:rsidRDefault="0048503B" w:rsidP="0048503B">
      <w:pPr>
        <w:rPr>
          <w:rFonts w:eastAsia="Arial Unicode MS"/>
          <w:noProof/>
        </w:rPr>
      </w:pPr>
      <w:r w:rsidRPr="005E5944">
        <w:rPr>
          <w:noProof/>
        </w:rPr>
        <w:t>Syftet med 1995 års konvention om handel med spannmål (</w:t>
      </w:r>
      <w:r w:rsidRPr="005E5944">
        <w:rPr>
          <w:i/>
          <w:noProof/>
        </w:rPr>
        <w:t>konventionen</w:t>
      </w:r>
      <w:r w:rsidRPr="005E5944">
        <w:rPr>
          <w:noProof/>
        </w:rPr>
        <w:t>) är att främja internationellt samarbete i alla frågor som rör spannmålshandel, främja den internationella spannmålshandelns utveckling och säkerställa att denna handel sker så fritt som möjligt. Konventionen syftar också till att i största möjliga mån bidra till de internationella spannmålsmarknadernas stabilitet i alla medlemmars intresse, att förbättra livsmedelssituationen i världen och att tillhandahålla ett forum för informationsutbyte och diskussioner om medlemmarnas angelägenheter i samband med spannmålshandeln.</w:t>
      </w:r>
    </w:p>
    <w:p w:rsidR="0048503B" w:rsidRPr="005E5944" w:rsidRDefault="0048503B" w:rsidP="0048503B">
      <w:pPr>
        <w:rPr>
          <w:rFonts w:eastAsia="Arial Unicode MS"/>
          <w:noProof/>
        </w:rPr>
      </w:pPr>
      <w:r w:rsidRPr="005E5944">
        <w:rPr>
          <w:noProof/>
        </w:rPr>
        <w:t xml:space="preserve">Konventionen trädde i kraft den 1 juli 1995. </w:t>
      </w:r>
    </w:p>
    <w:p w:rsidR="0048503B" w:rsidRPr="005E5944" w:rsidRDefault="0048503B" w:rsidP="0048503B">
      <w:pPr>
        <w:rPr>
          <w:rFonts w:eastAsia="Arial Unicode MS"/>
          <w:noProof/>
        </w:rPr>
      </w:pPr>
      <w:r w:rsidRPr="005E5944">
        <w:rPr>
          <w:noProof/>
        </w:rPr>
        <w:t>Europeiska unionen är part i konventionen</w:t>
      </w:r>
      <w:r w:rsidRPr="005E5944">
        <w:rPr>
          <w:noProof/>
          <w:vertAlign w:val="superscript"/>
        </w:rPr>
        <w:t>3</w:t>
      </w:r>
      <w:r w:rsidRPr="005E5944">
        <w:rPr>
          <w:noProof/>
        </w:rPr>
        <w:t>.</w:t>
      </w:r>
    </w:p>
    <w:p w:rsidR="0048503B" w:rsidRPr="005E5944" w:rsidRDefault="0048503B" w:rsidP="0010030D">
      <w:pPr>
        <w:rPr>
          <w:rFonts w:eastAsia="Arial Unicode MS"/>
          <w:noProof/>
        </w:rPr>
      </w:pPr>
    </w:p>
    <w:p w:rsidR="00A93BF2" w:rsidRPr="005E5944" w:rsidRDefault="008967E5" w:rsidP="008967E5">
      <w:pPr>
        <w:pStyle w:val="ManualHeading2"/>
        <w:rPr>
          <w:noProof/>
        </w:rPr>
      </w:pPr>
      <w:r w:rsidRPr="008967E5">
        <w:rPr>
          <w:noProof/>
        </w:rPr>
        <w:t>2.2.</w:t>
      </w:r>
      <w:r w:rsidRPr="008967E5">
        <w:rPr>
          <w:noProof/>
        </w:rPr>
        <w:tab/>
      </w:r>
      <w:r w:rsidR="00A93BF2" w:rsidRPr="005E5944">
        <w:rPr>
          <w:noProof/>
        </w:rPr>
        <w:t>Internationella spannmålsrådet</w:t>
      </w:r>
    </w:p>
    <w:p w:rsidR="0048503B" w:rsidRPr="005E5944" w:rsidRDefault="0048503B" w:rsidP="0048503B">
      <w:pPr>
        <w:rPr>
          <w:rFonts w:eastAsia="Arial Unicode MS"/>
          <w:noProof/>
        </w:rPr>
      </w:pPr>
      <w:r w:rsidRPr="005E5944">
        <w:rPr>
          <w:noProof/>
        </w:rPr>
        <w:t>Internationella spannmålsrådet är en mellanstatlig organisation som strävar efter att uppnå målen i artikel 1 i konventionen. Målen är särskilt att</w:t>
      </w:r>
    </w:p>
    <w:p w:rsidR="0048503B" w:rsidRPr="005E5944" w:rsidRDefault="0048503B" w:rsidP="00177738">
      <w:pPr>
        <w:pStyle w:val="Bullet0"/>
        <w:numPr>
          <w:ilvl w:val="0"/>
          <w:numId w:val="20"/>
        </w:numPr>
        <w:rPr>
          <w:noProof/>
        </w:rPr>
      </w:pPr>
      <w:r w:rsidRPr="005E5944">
        <w:rPr>
          <w:noProof/>
        </w:rPr>
        <w:t>främja internationellt samarbete beträffande spannmålshandel,</w:t>
      </w:r>
    </w:p>
    <w:p w:rsidR="0048503B" w:rsidRPr="005E5944" w:rsidRDefault="0048503B" w:rsidP="004A3B30">
      <w:pPr>
        <w:pStyle w:val="Bullet0"/>
        <w:rPr>
          <w:noProof/>
        </w:rPr>
      </w:pPr>
      <w:r w:rsidRPr="005E5944">
        <w:rPr>
          <w:noProof/>
        </w:rPr>
        <w:t>främja utveckling, öppenhet och rättvisa när det gäller den internationella spannmålshandeln,</w:t>
      </w:r>
    </w:p>
    <w:p w:rsidR="0048503B" w:rsidRPr="005E5944" w:rsidRDefault="0048503B" w:rsidP="004A3B30">
      <w:pPr>
        <w:pStyle w:val="Bullet0"/>
        <w:rPr>
          <w:noProof/>
        </w:rPr>
      </w:pPr>
      <w:r w:rsidRPr="005E5944">
        <w:rPr>
          <w:noProof/>
        </w:rPr>
        <w:t>bidra till de internationella spannmålsmarknadernas stabilitet, förbättra livsmedelssituationen i världen och bidra till utvecklingen i länder vars ekonomi är beroende av kommersiell försäljning av spannmål.</w:t>
      </w:r>
    </w:p>
    <w:p w:rsidR="0048503B" w:rsidRPr="005E5944" w:rsidRDefault="0048503B" w:rsidP="0048503B">
      <w:pPr>
        <w:rPr>
          <w:rFonts w:eastAsia="Arial Unicode MS"/>
          <w:noProof/>
        </w:rPr>
      </w:pPr>
      <w:r w:rsidRPr="005E5944">
        <w:rPr>
          <w:noProof/>
        </w:rPr>
        <w:t>För att nå dessa mål vill man öka öppenheten på marknaden genom informationsutbyte, analyser och samråd om marknadsutvecklingen och den politiska utvecklingen.</w:t>
      </w:r>
    </w:p>
    <w:p w:rsidR="0048503B" w:rsidRPr="005E5944" w:rsidRDefault="0048503B" w:rsidP="0048503B">
      <w:pPr>
        <w:rPr>
          <w:rFonts w:eastAsia="Arial Unicode MS"/>
          <w:noProof/>
        </w:rPr>
      </w:pPr>
      <w:r w:rsidRPr="005E5944">
        <w:rPr>
          <w:noProof/>
        </w:rPr>
        <w:t xml:space="preserve">Spannmålsrådet har 30 medlemmar, bland annat många av världens största producenter och importörer av spannmål. Utöver Europeiska unionen är medlemmarna bland annat Argentina, Australien, Kanada, Indien, Japan, Ryssland, Ukraina, Förenade kungariket och Förenta staterna. Kina och Brasilien är dock inte medlemmar. </w:t>
      </w:r>
    </w:p>
    <w:p w:rsidR="0048503B" w:rsidRPr="005E5944" w:rsidRDefault="0048503B" w:rsidP="0048503B">
      <w:pPr>
        <w:rPr>
          <w:rFonts w:eastAsia="Arial Unicode MS"/>
          <w:noProof/>
        </w:rPr>
      </w:pPr>
      <w:r w:rsidRPr="005E5944">
        <w:rPr>
          <w:noProof/>
        </w:rPr>
        <w:t xml:space="preserve">De 30 medlemmarna i Internationella spannmålsrådet har sammanlagt 2 000 röster. </w:t>
      </w:r>
    </w:p>
    <w:p w:rsidR="0048503B" w:rsidRPr="005E5944" w:rsidRDefault="0048503B" w:rsidP="0048503B">
      <w:pPr>
        <w:rPr>
          <w:rFonts w:eastAsia="Arial Unicode MS"/>
          <w:noProof/>
        </w:rPr>
      </w:pPr>
      <w:r w:rsidRPr="005E5944">
        <w:rPr>
          <w:noProof/>
        </w:rPr>
        <w:t>För budgetförfaranden (se artikel 11 i konventionen), dvs. för fastställande av medlemmarnas årliga ekonomiska bidrag, har unionen 375 röster under 2024–2025</w:t>
      </w:r>
      <w:r w:rsidRPr="005E5944">
        <w:rPr>
          <w:noProof/>
          <w:vertAlign w:val="superscript"/>
        </w:rPr>
        <w:t>4</w:t>
      </w:r>
      <w:r w:rsidRPr="005E5944">
        <w:rPr>
          <w:noProof/>
        </w:rPr>
        <w:t xml:space="preserve">. </w:t>
      </w:r>
    </w:p>
    <w:p w:rsidR="0048503B" w:rsidRPr="005E5944" w:rsidRDefault="0048503B" w:rsidP="0048503B">
      <w:pPr>
        <w:rPr>
          <w:rFonts w:eastAsia="Arial Unicode MS"/>
          <w:noProof/>
        </w:rPr>
      </w:pPr>
      <w:r w:rsidRPr="005E5944">
        <w:rPr>
          <w:noProof/>
        </w:rPr>
        <w:t>Vid omröstningar (se artikel 12 i konventionen) fördelas 1 000 röster till de elva exporterande medlemmarna (bland annat unionen med 240 röster) och 1 000 röster till de 19 importerande medlemmarna. Det bör framhållas att besluten i Internationella spannmålsrådet i princip grundar sig på samförstånd och att det är mycket sällsynt att omröstningar faktiskt hålls.</w:t>
      </w:r>
    </w:p>
    <w:p w:rsidR="0048503B" w:rsidRPr="005E5944" w:rsidRDefault="0048503B" w:rsidP="0010030D">
      <w:pPr>
        <w:rPr>
          <w:noProof/>
        </w:rPr>
      </w:pPr>
    </w:p>
    <w:p w:rsidR="0048503B" w:rsidRPr="005E5944" w:rsidRDefault="0048503B" w:rsidP="0048503B">
      <w:pPr>
        <w:rPr>
          <w:rFonts w:eastAsia="Arial Unicode MS"/>
          <w:noProof/>
        </w:rPr>
      </w:pPr>
      <w:r w:rsidRPr="005E5944">
        <w:rPr>
          <w:noProof/>
        </w:rPr>
        <w:t>Vid Internationella spannmålsrådets möten företräds Europeiska unionen av Europeiska kommissionen. Medlemsstaterna kan delta i Internationella spannmålsrådets möten, framför allt i dess rådssammanträden.</w:t>
      </w:r>
    </w:p>
    <w:p w:rsidR="0048503B" w:rsidRPr="005E5944" w:rsidRDefault="0048503B" w:rsidP="0010030D">
      <w:pPr>
        <w:rPr>
          <w:noProof/>
        </w:rPr>
      </w:pPr>
    </w:p>
    <w:p w:rsidR="00A93BF2" w:rsidRPr="005E5944" w:rsidRDefault="008967E5" w:rsidP="008967E5">
      <w:pPr>
        <w:pStyle w:val="ManualHeading2"/>
        <w:rPr>
          <w:noProof/>
        </w:rPr>
      </w:pPr>
      <w:r w:rsidRPr="008967E5">
        <w:rPr>
          <w:noProof/>
        </w:rPr>
        <w:t>2.3.</w:t>
      </w:r>
      <w:r w:rsidRPr="008967E5">
        <w:rPr>
          <w:noProof/>
        </w:rPr>
        <w:tab/>
      </w:r>
      <w:r w:rsidR="00A93BF2" w:rsidRPr="005E5944">
        <w:rPr>
          <w:noProof/>
        </w:rPr>
        <w:t>Akt som planeras av Internationella spannmålsrådet</w:t>
      </w:r>
    </w:p>
    <w:p w:rsidR="00A93BF2" w:rsidRPr="005E5944" w:rsidRDefault="00A93BF2" w:rsidP="0010030D">
      <w:pPr>
        <w:rPr>
          <w:rFonts w:eastAsia="Arial Unicode MS"/>
          <w:noProof/>
        </w:rPr>
      </w:pPr>
    </w:p>
    <w:p w:rsidR="0048503B" w:rsidRPr="005E5944" w:rsidRDefault="0048503B" w:rsidP="0048503B">
      <w:pPr>
        <w:rPr>
          <w:rFonts w:eastAsia="Arial Unicode MS"/>
          <w:noProof/>
        </w:rPr>
      </w:pPr>
      <w:r w:rsidRPr="005E5944">
        <w:rPr>
          <w:noProof/>
        </w:rPr>
        <w:t>Den 12 juni 2025 ska Internationella spannmålsrådet under sitt 62:a sammanträde anta ett beslut om förlängning av konventionen med två år (</w:t>
      </w:r>
      <w:r w:rsidRPr="005E5944">
        <w:rPr>
          <w:i/>
          <w:noProof/>
        </w:rPr>
        <w:t>den planerade akten</w:t>
      </w:r>
      <w:r w:rsidRPr="005E5944">
        <w:rPr>
          <w:noProof/>
        </w:rPr>
        <w:t>).</w:t>
      </w:r>
    </w:p>
    <w:p w:rsidR="0048503B" w:rsidRPr="005E5944" w:rsidRDefault="0048503B" w:rsidP="0048503B">
      <w:pPr>
        <w:rPr>
          <w:rFonts w:eastAsia="Arial Unicode MS"/>
          <w:noProof/>
        </w:rPr>
      </w:pPr>
      <w:r w:rsidRPr="005E5944">
        <w:rPr>
          <w:noProof/>
        </w:rPr>
        <w:t>Syftet med den planerade akten, som grundar sig på artikel 33 i konventionen, är att göra det möjligt för Internationella spannmålsrådet att fortsätta sitt arbete.</w:t>
      </w:r>
    </w:p>
    <w:p w:rsidR="0048503B" w:rsidRPr="005E5944" w:rsidRDefault="0048503B" w:rsidP="0048503B">
      <w:pPr>
        <w:rPr>
          <w:rFonts w:eastAsia="Arial Unicode MS"/>
          <w:noProof/>
        </w:rPr>
      </w:pPr>
      <w:r w:rsidRPr="005E5944">
        <w:rPr>
          <w:noProof/>
        </w:rPr>
        <w:t>Förlängningen av konventionen kommer att omfatta perioden 1 juli 2025–30 juni 2027.</w:t>
      </w:r>
    </w:p>
    <w:p w:rsidR="00A93BF2" w:rsidRPr="005E5944" w:rsidRDefault="008967E5" w:rsidP="008967E5">
      <w:pPr>
        <w:pStyle w:val="ManualHeading1"/>
        <w:rPr>
          <w:rFonts w:eastAsia="Arial Unicode MS"/>
          <w:noProof/>
        </w:rPr>
      </w:pPr>
      <w:r w:rsidRPr="008967E5">
        <w:rPr>
          <w:noProof/>
        </w:rPr>
        <w:t>3.</w:t>
      </w:r>
      <w:r w:rsidRPr="008967E5">
        <w:rPr>
          <w:noProof/>
        </w:rPr>
        <w:tab/>
      </w:r>
      <w:r w:rsidR="00A93BF2" w:rsidRPr="005E5944">
        <w:rPr>
          <w:noProof/>
        </w:rPr>
        <w:t>Den ståndpunkt som ska intas på unionens vägnar</w:t>
      </w:r>
    </w:p>
    <w:p w:rsidR="00A93BF2" w:rsidRPr="005E5944" w:rsidRDefault="00A93BF2" w:rsidP="0010030D">
      <w:pPr>
        <w:rPr>
          <w:rFonts w:eastAsia="Arial Unicode MS"/>
          <w:noProof/>
        </w:rPr>
      </w:pPr>
    </w:p>
    <w:p w:rsidR="002C3E05" w:rsidRPr="005E5944" w:rsidRDefault="002C3E05" w:rsidP="00B6133D">
      <w:pPr>
        <w:pStyle w:val="Bullet0"/>
        <w:numPr>
          <w:ilvl w:val="0"/>
          <w:numId w:val="18"/>
        </w:numPr>
        <w:rPr>
          <w:noProof/>
        </w:rPr>
      </w:pPr>
      <w:r w:rsidRPr="005E5944">
        <w:rPr>
          <w:noProof/>
        </w:rPr>
        <w:t>Konventionen ingicks av Europeiska unionen genom rådets beslut 96/88/EG</w:t>
      </w:r>
      <w:r w:rsidRPr="005E5944">
        <w:rPr>
          <w:noProof/>
          <w:vertAlign w:val="superscript"/>
        </w:rPr>
        <w:t>5</w:t>
      </w:r>
      <w:r w:rsidRPr="005E5944">
        <w:rPr>
          <w:noProof/>
        </w:rPr>
        <w:t xml:space="preserve"> med verkan till och med den 30 juni 1998. Konventionen har sedan dess förlängts regelbundet. Konventionen har varje gång förlängts med en period på högst två år, i enlighet med artikel 33 i konventionen. Den förlängdes senast genom spannmålsrådets beslut av den 14 juni 2023 och är i kraft till och med den 30 juni 2025. </w:t>
      </w:r>
    </w:p>
    <w:p w:rsidR="002C3E05" w:rsidRPr="005E5944" w:rsidRDefault="002C3E05" w:rsidP="00291C68">
      <w:pPr>
        <w:pStyle w:val="Bullet0"/>
        <w:rPr>
          <w:noProof/>
        </w:rPr>
      </w:pPr>
      <w:r w:rsidRPr="005E5944">
        <w:rPr>
          <w:noProof/>
        </w:rPr>
        <w:t xml:space="preserve">Europeiska unionen har alltid varit en aktiv medlem i Internationella spannmålsrådet, och det ligger i unionens intresse att konventionen ännu en gång förlängs med upp till två år. Unionen är en stor spannmålsproducent och en ledande exportör av vete och korn, samtidigt som den är den största importören av majs. </w:t>
      </w:r>
      <w:r w:rsidRPr="005E5944">
        <w:rPr>
          <w:noProof/>
        </w:rPr>
        <w:tab/>
      </w:r>
    </w:p>
    <w:p w:rsidR="002C3E05" w:rsidRPr="005E5944" w:rsidRDefault="002C3E05" w:rsidP="00291C68">
      <w:pPr>
        <w:pStyle w:val="Bullet0"/>
        <w:rPr>
          <w:noProof/>
        </w:rPr>
      </w:pPr>
      <w:r w:rsidRPr="005E5944">
        <w:rPr>
          <w:noProof/>
        </w:rPr>
        <w:t>Syftet med detta förslag är att erhålla rådets bemyndigande för kommissionen att, på Europeiska unionens vägnar, inom Internationella spannmålsrådet rösta för en förlängning av konventionen till och med den 30 juni 2027. Det formella beslutet om förlängning av konventionen kommer att antas vid Internationella spannmålsrådets 62:a sammanträde den 12 juni 2025.</w:t>
      </w:r>
    </w:p>
    <w:p w:rsidR="00A93BF2" w:rsidRPr="005E5944" w:rsidRDefault="008967E5" w:rsidP="008967E5">
      <w:pPr>
        <w:pStyle w:val="ManualHeading1"/>
        <w:rPr>
          <w:noProof/>
        </w:rPr>
      </w:pPr>
      <w:r w:rsidRPr="008967E5">
        <w:rPr>
          <w:noProof/>
        </w:rPr>
        <w:t>4.</w:t>
      </w:r>
      <w:r w:rsidRPr="008967E5">
        <w:rPr>
          <w:noProof/>
        </w:rPr>
        <w:tab/>
      </w:r>
      <w:r w:rsidR="00A93BF2" w:rsidRPr="005E5944">
        <w:rPr>
          <w:noProof/>
        </w:rPr>
        <w:t>Rättslig grund</w:t>
      </w:r>
    </w:p>
    <w:p w:rsidR="00A93BF2" w:rsidRPr="005E5944" w:rsidRDefault="008967E5" w:rsidP="008967E5">
      <w:pPr>
        <w:pStyle w:val="ManualHeading2"/>
        <w:rPr>
          <w:noProof/>
        </w:rPr>
      </w:pPr>
      <w:r w:rsidRPr="008967E5">
        <w:rPr>
          <w:noProof/>
        </w:rPr>
        <w:t>4.1.</w:t>
      </w:r>
      <w:r w:rsidRPr="008967E5">
        <w:rPr>
          <w:noProof/>
        </w:rPr>
        <w:tab/>
      </w:r>
      <w:r w:rsidR="00A93BF2" w:rsidRPr="005E5944">
        <w:rPr>
          <w:noProof/>
        </w:rPr>
        <w:t>Förfarandemässig rättslig grund</w:t>
      </w:r>
    </w:p>
    <w:p w:rsidR="00A93BF2" w:rsidRPr="005E5944" w:rsidRDefault="008967E5" w:rsidP="008967E5">
      <w:pPr>
        <w:pStyle w:val="ManualHeading3"/>
        <w:rPr>
          <w:noProof/>
        </w:rPr>
      </w:pPr>
      <w:r w:rsidRPr="008967E5">
        <w:rPr>
          <w:noProof/>
        </w:rPr>
        <w:t>4.1.1.</w:t>
      </w:r>
      <w:r w:rsidRPr="008967E5">
        <w:rPr>
          <w:noProof/>
        </w:rPr>
        <w:tab/>
      </w:r>
      <w:r w:rsidR="00242C67" w:rsidRPr="005E5944">
        <w:rPr>
          <w:noProof/>
        </w:rPr>
        <w:t xml:space="preserve"> Principer</w:t>
      </w:r>
    </w:p>
    <w:p w:rsidR="0084330F" w:rsidRPr="005E5944" w:rsidRDefault="0084330F" w:rsidP="0084330F">
      <w:pPr>
        <w:rPr>
          <w:noProof/>
        </w:rPr>
      </w:pPr>
      <w:r w:rsidRPr="005E5944">
        <w:rPr>
          <w:noProof/>
        </w:rPr>
        <w:t>I artikel 218.9 i fördraget om Europeiska unionens funktionssätt (</w:t>
      </w:r>
      <w:r w:rsidRPr="005E5944">
        <w:rPr>
          <w:i/>
          <w:iCs/>
          <w:noProof/>
        </w:rPr>
        <w:t>EUF-fördraget</w:t>
      </w:r>
      <w:r w:rsidRPr="005E5944">
        <w:rPr>
          <w:noProof/>
        </w:rPr>
        <w:t>) föreskrivs att beslut ska antas ”om fastställande av vilka ståndpunkter som på unionens vägnar ska intas i ett organ som inrättas genom ett avtal, om detta organ ska anta akter med rättslig verkan, med undantag av sådana akter som kompletterar eller ändrar avtalets institutionella ram”.</w:t>
      </w:r>
    </w:p>
    <w:p w:rsidR="0084330F" w:rsidRPr="005E5944" w:rsidRDefault="0084330F" w:rsidP="0084330F">
      <w:pPr>
        <w:rPr>
          <w:noProof/>
        </w:rPr>
      </w:pPr>
      <w:r w:rsidRPr="005E5944">
        <w:rPr>
          <w:noProof/>
        </w:rPr>
        <w:t>Begreppet akter med rättslig verkan omfattar akter som har rättslig verkan med stöd av de regler i internationell rätt som tillämpas på organet i fråga. Det omfattar även instrument som inte har bindande verkan enligt internationell rätt, men som är ”ägnade att på ett avgörande sätt påverka innehållet i de bestämmelser som antas av unionslagstiftaren”.</w:t>
      </w:r>
      <w:r w:rsidRPr="005E5944">
        <w:rPr>
          <w:noProof/>
          <w:vertAlign w:val="superscript"/>
        </w:rPr>
        <w:t>6</w:t>
      </w:r>
    </w:p>
    <w:p w:rsidR="00A93BF2" w:rsidRPr="005E5944" w:rsidRDefault="008967E5" w:rsidP="008967E5">
      <w:pPr>
        <w:pStyle w:val="ManualHeading3"/>
        <w:rPr>
          <w:noProof/>
        </w:rPr>
      </w:pPr>
      <w:r w:rsidRPr="008967E5">
        <w:rPr>
          <w:noProof/>
        </w:rPr>
        <w:t>4.1.2.</w:t>
      </w:r>
      <w:r w:rsidRPr="008967E5">
        <w:rPr>
          <w:noProof/>
        </w:rPr>
        <w:tab/>
      </w:r>
      <w:r w:rsidR="00242C67" w:rsidRPr="005E5944">
        <w:rPr>
          <w:noProof/>
        </w:rPr>
        <w:t xml:space="preserve"> Tillämpning i det aktuella fallet</w:t>
      </w:r>
    </w:p>
    <w:p w:rsidR="0084330F" w:rsidRPr="005E5944" w:rsidRDefault="0084330F" w:rsidP="0010030D">
      <w:pPr>
        <w:rPr>
          <w:noProof/>
        </w:rPr>
      </w:pPr>
      <w:r w:rsidRPr="005E5944">
        <w:rPr>
          <w:noProof/>
        </w:rPr>
        <w:t>Internationella spannmålsrådet är ett organ som inrättades genom 1995 års konvention om handel med spannmål.</w:t>
      </w:r>
    </w:p>
    <w:p w:rsidR="0084330F" w:rsidRPr="005E5944" w:rsidRDefault="0084330F" w:rsidP="0084330F">
      <w:pPr>
        <w:rPr>
          <w:noProof/>
        </w:rPr>
      </w:pPr>
      <w:r w:rsidRPr="005E5944">
        <w:rPr>
          <w:noProof/>
        </w:rPr>
        <w:t xml:space="preserve">Internationella spannmålsrådets planerade akt kommer att förlänga giltigheten för konventionen, som är ett internationellt avtal som är bindande för unionen. Den planerade akten har därför rättslig verkan. </w:t>
      </w:r>
    </w:p>
    <w:p w:rsidR="0084330F" w:rsidRPr="005E5944" w:rsidRDefault="0084330F" w:rsidP="0084330F">
      <w:pPr>
        <w:rPr>
          <w:noProof/>
        </w:rPr>
      </w:pPr>
      <w:r w:rsidRPr="005E5944">
        <w:rPr>
          <w:noProof/>
        </w:rPr>
        <w:t>Den planerade akten varken kompletterar eller ändrar avtalets institutionella ram.</w:t>
      </w:r>
    </w:p>
    <w:p w:rsidR="0084330F" w:rsidRPr="005E5944" w:rsidRDefault="0084330F" w:rsidP="0084330F">
      <w:pPr>
        <w:rPr>
          <w:noProof/>
        </w:rPr>
      </w:pPr>
      <w:r w:rsidRPr="005E5944">
        <w:rPr>
          <w:noProof/>
        </w:rPr>
        <w:t>Den förfarandemässiga rättsliga grunden för det föreslagna beslutet är därför artikel 218.9 i EUF-fördraget.</w:t>
      </w:r>
    </w:p>
    <w:p w:rsidR="0084330F" w:rsidRPr="005E5944" w:rsidRDefault="0084330F" w:rsidP="0010030D">
      <w:pPr>
        <w:rPr>
          <w:noProof/>
        </w:rPr>
      </w:pPr>
    </w:p>
    <w:p w:rsidR="00A93BF2" w:rsidRPr="005E5944" w:rsidRDefault="008967E5" w:rsidP="008967E5">
      <w:pPr>
        <w:pStyle w:val="ManualHeading2"/>
        <w:rPr>
          <w:noProof/>
        </w:rPr>
      </w:pPr>
      <w:r w:rsidRPr="008967E5">
        <w:rPr>
          <w:noProof/>
        </w:rPr>
        <w:t>4.2.</w:t>
      </w:r>
      <w:r w:rsidRPr="008967E5">
        <w:rPr>
          <w:noProof/>
        </w:rPr>
        <w:tab/>
      </w:r>
      <w:r w:rsidR="00A93BF2" w:rsidRPr="005E5944">
        <w:rPr>
          <w:noProof/>
        </w:rPr>
        <w:t>Materiell rättslig grund</w:t>
      </w:r>
    </w:p>
    <w:p w:rsidR="00A93BF2" w:rsidRPr="005E5944" w:rsidRDefault="008967E5" w:rsidP="008967E5">
      <w:pPr>
        <w:pStyle w:val="ManualHeading3"/>
        <w:rPr>
          <w:noProof/>
        </w:rPr>
      </w:pPr>
      <w:r w:rsidRPr="008967E5">
        <w:rPr>
          <w:noProof/>
        </w:rPr>
        <w:t>4.2.1.</w:t>
      </w:r>
      <w:r w:rsidRPr="008967E5">
        <w:rPr>
          <w:noProof/>
        </w:rPr>
        <w:tab/>
      </w:r>
      <w:r w:rsidR="00A93BF2" w:rsidRPr="005E5944">
        <w:rPr>
          <w:noProof/>
        </w:rPr>
        <w:t>Principer</w:t>
      </w:r>
    </w:p>
    <w:p w:rsidR="0084330F" w:rsidRPr="005E5944" w:rsidRDefault="0084330F" w:rsidP="0084330F">
      <w:pPr>
        <w:rPr>
          <w:noProof/>
        </w:rPr>
      </w:pPr>
      <w:r w:rsidRPr="005E5944">
        <w:rPr>
          <w:noProof/>
        </w:rPr>
        <w:t>Den materiella rättsliga grunden för ett beslut enligt artikel 218.9 i EUF-fördraget är främst beroende av syftet med och innehållet i den planerade akt avseende vilken en ståndpunkt intas på Europeiska unionens vägnar. Om den planerade akten har två syften eller två beståndsdelar av vilka det ena syftet eller den ena beståndsdelen kan identifieras som det eller den huvudsakliga, medan det eller den andra endast är av underordnad betydelse, måste det beslut som antas enligt artikel 218.9 i EUF-fördraget ha en enda materiell rättslig grund, nämligen den som krävs med hänsyn till det huvudsakliga eller avgörande syftet eller den huvudsakliga eller avgörande beståndsdelen.</w:t>
      </w:r>
    </w:p>
    <w:p w:rsidR="0084330F" w:rsidRPr="005E5944" w:rsidRDefault="0084330F" w:rsidP="0010030D">
      <w:pPr>
        <w:rPr>
          <w:noProof/>
        </w:rPr>
      </w:pPr>
    </w:p>
    <w:p w:rsidR="00A93BF2" w:rsidRPr="005E5944" w:rsidRDefault="008967E5" w:rsidP="008967E5">
      <w:pPr>
        <w:pStyle w:val="ManualHeading3"/>
        <w:rPr>
          <w:noProof/>
        </w:rPr>
      </w:pPr>
      <w:r w:rsidRPr="008967E5">
        <w:rPr>
          <w:noProof/>
        </w:rPr>
        <w:t>4.2.2.</w:t>
      </w:r>
      <w:r w:rsidRPr="008967E5">
        <w:rPr>
          <w:noProof/>
        </w:rPr>
        <w:tab/>
      </w:r>
      <w:r w:rsidR="00A93BF2" w:rsidRPr="005E5944">
        <w:rPr>
          <w:noProof/>
        </w:rPr>
        <w:t>Tillämpning i det aktuella fallet</w:t>
      </w:r>
    </w:p>
    <w:p w:rsidR="0084330F" w:rsidRPr="005E5944" w:rsidRDefault="0084330F" w:rsidP="0084330F">
      <w:pPr>
        <w:rPr>
          <w:noProof/>
        </w:rPr>
      </w:pPr>
      <w:r w:rsidRPr="005E5944">
        <w:rPr>
          <w:noProof/>
        </w:rPr>
        <w:t xml:space="preserve">Det huvudsakliga syftet med och innehållet i den planerade akten rör handel med jordbruksprodukter. </w:t>
      </w:r>
    </w:p>
    <w:p w:rsidR="0084330F" w:rsidRPr="005E5944" w:rsidRDefault="0084330F" w:rsidP="0084330F">
      <w:pPr>
        <w:rPr>
          <w:noProof/>
        </w:rPr>
      </w:pPr>
      <w:r w:rsidRPr="005E5944">
        <w:rPr>
          <w:noProof/>
        </w:rPr>
        <w:t>Den materiella rättsliga grunden för det föreslagna beslutet är därför artikel 207.4 första stycket i EUF-fördraget.</w:t>
      </w:r>
    </w:p>
    <w:p w:rsidR="0084330F" w:rsidRPr="005E5944" w:rsidRDefault="0084330F" w:rsidP="0010030D">
      <w:pPr>
        <w:rPr>
          <w:noProof/>
        </w:rPr>
      </w:pPr>
    </w:p>
    <w:p w:rsidR="00A93BF2" w:rsidRPr="005E5944" w:rsidRDefault="008967E5" w:rsidP="008967E5">
      <w:pPr>
        <w:pStyle w:val="ManualHeading2"/>
        <w:rPr>
          <w:noProof/>
        </w:rPr>
      </w:pPr>
      <w:r w:rsidRPr="008967E5">
        <w:rPr>
          <w:noProof/>
        </w:rPr>
        <w:t>4.3.</w:t>
      </w:r>
      <w:r w:rsidRPr="008967E5">
        <w:rPr>
          <w:noProof/>
        </w:rPr>
        <w:tab/>
      </w:r>
      <w:r w:rsidR="00A93BF2" w:rsidRPr="005E5944">
        <w:rPr>
          <w:noProof/>
        </w:rPr>
        <w:t>Slutsats</w:t>
      </w:r>
    </w:p>
    <w:p w:rsidR="0084330F" w:rsidRPr="005E5944" w:rsidRDefault="0084330F" w:rsidP="0084330F">
      <w:pPr>
        <w:rPr>
          <w:noProof/>
        </w:rPr>
      </w:pPr>
      <w:r w:rsidRPr="005E5944">
        <w:rPr>
          <w:noProof/>
        </w:rPr>
        <w:t>Den rättsliga grunden för förslaget till beslut bör vara artikel 207.4 första stycket jämförd med artikel 218.9 i EUF-fördraget.</w:t>
      </w:r>
    </w:p>
    <w:p w:rsidR="0084330F" w:rsidRPr="005E5944" w:rsidRDefault="008967E5" w:rsidP="008967E5">
      <w:pPr>
        <w:pStyle w:val="ManualHeading1"/>
        <w:rPr>
          <w:noProof/>
        </w:rPr>
      </w:pPr>
      <w:r w:rsidRPr="008967E5">
        <w:rPr>
          <w:noProof/>
        </w:rPr>
        <w:t>5.</w:t>
      </w:r>
      <w:r w:rsidRPr="008967E5">
        <w:rPr>
          <w:noProof/>
        </w:rPr>
        <w:tab/>
      </w:r>
      <w:r w:rsidR="0084330F" w:rsidRPr="005E5944">
        <w:rPr>
          <w:noProof/>
        </w:rPr>
        <w:t>Efterlevnad av principen om digitalt som standard</w:t>
      </w:r>
    </w:p>
    <w:p w:rsidR="0084330F" w:rsidRPr="005E5944" w:rsidRDefault="0084330F" w:rsidP="0084330F">
      <w:pPr>
        <w:pStyle w:val="Text1"/>
        <w:ind w:left="0"/>
        <w:rPr>
          <w:noProof/>
        </w:rPr>
      </w:pPr>
      <w:r w:rsidRPr="005E5944">
        <w:rPr>
          <w:noProof/>
        </w:rPr>
        <w:t xml:space="preserve">Enligt den digitala bedömning som gjorts har det aktuella förslaget inga digitala dimensioner eftersom det inte har någon digital relevans. </w:t>
      </w:r>
    </w:p>
    <w:p w:rsidR="0084330F" w:rsidRPr="005E5944" w:rsidRDefault="0084330F" w:rsidP="0084330F">
      <w:pPr>
        <w:pStyle w:val="Text1"/>
        <w:ind w:left="0"/>
        <w:rPr>
          <w:noProof/>
        </w:rPr>
      </w:pPr>
      <w:r w:rsidRPr="005E5944">
        <w:rPr>
          <w:noProof/>
        </w:rPr>
        <w:t>I förslaget fastställs EU:s ståndpunkt när det gäller att förlänga 1995 års internationella avtal, konventionen om handel med spannmål, med två år till och med den 30 juni 2027.</w:t>
      </w:r>
    </w:p>
    <w:p w:rsidR="0084330F" w:rsidRPr="005E5944" w:rsidRDefault="0084330F" w:rsidP="0084330F">
      <w:pPr>
        <w:pStyle w:val="Text1"/>
        <w:ind w:left="0"/>
        <w:rPr>
          <w:noProof/>
        </w:rPr>
      </w:pPr>
      <w:r w:rsidRPr="005E5944">
        <w:rPr>
          <w:noProof/>
        </w:rPr>
        <w:t>Digitala medel eller datautbyte omfattas inte av förslaget.</w:t>
      </w:r>
    </w:p>
    <w:p w:rsidR="00D01CAF" w:rsidRPr="005E5944" w:rsidRDefault="00D01CAF" w:rsidP="0084330F">
      <w:pPr>
        <w:pStyle w:val="Text1"/>
        <w:ind w:left="0"/>
        <w:rPr>
          <w:noProof/>
        </w:rPr>
      </w:pPr>
    </w:p>
    <w:p w:rsidR="00A93BF2" w:rsidRPr="005E5944" w:rsidRDefault="008967E5" w:rsidP="008967E5">
      <w:pPr>
        <w:pStyle w:val="ManualHeading1"/>
        <w:rPr>
          <w:noProof/>
        </w:rPr>
      </w:pPr>
      <w:r w:rsidRPr="008967E5">
        <w:rPr>
          <w:noProof/>
        </w:rPr>
        <w:t>6.</w:t>
      </w:r>
      <w:r w:rsidRPr="008967E5">
        <w:rPr>
          <w:noProof/>
        </w:rPr>
        <w:tab/>
      </w:r>
      <w:r w:rsidR="00A93BF2" w:rsidRPr="005E5944">
        <w:rPr>
          <w:noProof/>
        </w:rPr>
        <w:t>Offentliggörande av den planerade akten</w:t>
      </w:r>
    </w:p>
    <w:p w:rsidR="0084330F" w:rsidRPr="005E5944" w:rsidRDefault="0084330F" w:rsidP="0010030D">
      <w:pPr>
        <w:rPr>
          <w:noProof/>
        </w:rPr>
      </w:pPr>
    </w:p>
    <w:p w:rsidR="00502F54" w:rsidRPr="005E5944" w:rsidRDefault="00502F54" w:rsidP="00502F54">
      <w:pPr>
        <w:rPr>
          <w:noProof/>
        </w:rPr>
      </w:pPr>
      <w:r w:rsidRPr="005E5944">
        <w:rPr>
          <w:noProof/>
        </w:rPr>
        <w:t xml:space="preserve">Eftersom Internationella spannmålsrådets akt kommer att förlänga konventionens löptid kommer den att offentliggöras på spannmålsrådets webbplats. </w:t>
      </w:r>
    </w:p>
    <w:p w:rsidR="0084330F" w:rsidRPr="005E5944" w:rsidRDefault="0084330F" w:rsidP="0010030D">
      <w:pPr>
        <w:rPr>
          <w:noProof/>
        </w:rPr>
      </w:pPr>
    </w:p>
    <w:p w:rsidR="0084330F" w:rsidRPr="005E5944" w:rsidRDefault="0084330F" w:rsidP="0010030D">
      <w:pPr>
        <w:rPr>
          <w:noProof/>
        </w:rPr>
      </w:pPr>
    </w:p>
    <w:p w:rsidR="0084330F" w:rsidRPr="005E5944" w:rsidRDefault="0084330F" w:rsidP="0010030D">
      <w:pPr>
        <w:rPr>
          <w:noProof/>
        </w:rPr>
        <w:sectPr w:rsidR="0084330F" w:rsidRPr="005E5944" w:rsidSect="00186069">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2A06C0" w:rsidRDefault="0015594A">
      <w:pPr>
        <w:pStyle w:val="Rfrenceinterinstitutionnelle"/>
        <w:rPr>
          <w:noProof/>
        </w:rPr>
      </w:pPr>
      <w:r>
        <w:rPr>
          <w:noProof/>
        </w:rPr>
        <w:t>2025/0087 (NLE)</w:t>
      </w:r>
    </w:p>
    <w:p w:rsidR="00A93BF2" w:rsidRPr="005E5944" w:rsidRDefault="005E5944" w:rsidP="005E5944">
      <w:pPr>
        <w:pStyle w:val="Statut"/>
        <w:rPr>
          <w:noProof/>
        </w:rPr>
      </w:pPr>
      <w:r w:rsidRPr="005E5944">
        <w:rPr>
          <w:noProof/>
        </w:rPr>
        <w:t>Förslag till</w:t>
      </w:r>
    </w:p>
    <w:p w:rsidR="00A93BF2" w:rsidRPr="005E5944" w:rsidRDefault="005E5944" w:rsidP="005E5944">
      <w:pPr>
        <w:pStyle w:val="Typedudocument"/>
        <w:rPr>
          <w:noProof/>
        </w:rPr>
      </w:pPr>
      <w:r w:rsidRPr="005E5944">
        <w:rPr>
          <w:noProof/>
        </w:rPr>
        <w:t>RÅDETS BESLUT</w:t>
      </w:r>
    </w:p>
    <w:p w:rsidR="00A93BF2" w:rsidRPr="005E5944" w:rsidRDefault="005E5944" w:rsidP="005E5944">
      <w:pPr>
        <w:pStyle w:val="Titreobjet"/>
        <w:rPr>
          <w:noProof/>
        </w:rPr>
      </w:pPr>
      <w:r w:rsidRPr="005E5944">
        <w:rPr>
          <w:noProof/>
        </w:rPr>
        <w:t>om den ståndpunkt som ska intas på Europeiska unionens vägnar i Internationella spannmålsrådet vad gäller förlängning av 1995 års konvention om handel med spannmål</w:t>
      </w:r>
    </w:p>
    <w:p w:rsidR="00A93BF2" w:rsidRPr="005E5944" w:rsidRDefault="005E5944" w:rsidP="0010030D">
      <w:pPr>
        <w:pStyle w:val="Institutionquiagit"/>
        <w:rPr>
          <w:noProof/>
        </w:rPr>
      </w:pPr>
      <w:r>
        <w:rPr>
          <w:noProof/>
        </w:rPr>
        <w:t>EUROPEISKA UNIONENS RÅD HAR ANTAGIT DETTA BESLUT</w:t>
      </w:r>
    </w:p>
    <w:p w:rsidR="00A93BF2" w:rsidRPr="005E5944" w:rsidRDefault="00A93BF2" w:rsidP="0010030D">
      <w:pPr>
        <w:rPr>
          <w:noProof/>
        </w:rPr>
      </w:pPr>
      <w:r w:rsidRPr="005E5944">
        <w:rPr>
          <w:noProof/>
        </w:rPr>
        <w:t>med beaktande av fördraget om Europeiska unionens funktionssätt, särskilt artikel 207.4 första stycket jämförd med artikel 218.9,</w:t>
      </w:r>
    </w:p>
    <w:p w:rsidR="00A93BF2" w:rsidRPr="005E5944" w:rsidRDefault="00A93BF2" w:rsidP="0010030D">
      <w:pPr>
        <w:rPr>
          <w:noProof/>
        </w:rPr>
      </w:pPr>
      <w:r w:rsidRPr="005E5944">
        <w:rPr>
          <w:noProof/>
        </w:rPr>
        <w:t>med beaktande av Europeiska kommissionens förslag, och</w:t>
      </w:r>
    </w:p>
    <w:p w:rsidR="00A93BF2" w:rsidRPr="005E5944" w:rsidRDefault="00A93BF2" w:rsidP="0010030D">
      <w:pPr>
        <w:rPr>
          <w:noProof/>
        </w:rPr>
      </w:pPr>
      <w:r w:rsidRPr="005E5944">
        <w:rPr>
          <w:noProof/>
        </w:rPr>
        <w:t>av följande skäl:</w:t>
      </w:r>
    </w:p>
    <w:p w:rsidR="00FF2D02" w:rsidRPr="005E5944" w:rsidRDefault="008967E5" w:rsidP="008967E5">
      <w:pPr>
        <w:pStyle w:val="ManualConsidrant"/>
        <w:rPr>
          <w:noProof/>
        </w:rPr>
      </w:pPr>
      <w:r w:rsidRPr="008967E5">
        <w:rPr>
          <w:noProof/>
        </w:rPr>
        <w:t>(1)</w:t>
      </w:r>
      <w:r w:rsidRPr="008967E5">
        <w:rPr>
          <w:noProof/>
        </w:rPr>
        <w:tab/>
      </w:r>
      <w:r w:rsidR="635724BD" w:rsidRPr="005E5944">
        <w:rPr>
          <w:noProof/>
        </w:rPr>
        <w:t>1995 års konvention om handel med spannmål (</w:t>
      </w:r>
      <w:r w:rsidR="635724BD" w:rsidRPr="005E5944">
        <w:rPr>
          <w:i/>
          <w:iCs/>
          <w:noProof/>
        </w:rPr>
        <w:t>konventionen</w:t>
      </w:r>
      <w:r w:rsidR="635724BD" w:rsidRPr="005E5944">
        <w:rPr>
          <w:noProof/>
        </w:rPr>
        <w:t>) ingicks av unionen genom rådets beslut 96/88/EG</w:t>
      </w:r>
      <w:r w:rsidR="00001419" w:rsidRPr="005E5944">
        <w:rPr>
          <w:rStyle w:val="FootnoteReference"/>
          <w:iCs/>
          <w:noProof/>
        </w:rPr>
        <w:footnoteReference w:id="2"/>
      </w:r>
      <w:r w:rsidR="635724BD" w:rsidRPr="005E5944">
        <w:rPr>
          <w:noProof/>
        </w:rPr>
        <w:t xml:space="preserve"> och trädde i kraft den 1 juli 1995. Konventionen ingicks för en period på tre år</w:t>
      </w:r>
      <w:r w:rsidR="007A5E85" w:rsidRPr="005E5944">
        <w:rPr>
          <w:rStyle w:val="FootnoteReference"/>
          <w:noProof/>
        </w:rPr>
        <w:footnoteReference w:id="3"/>
      </w:r>
      <w:r w:rsidR="635724BD" w:rsidRPr="005E5944">
        <w:rPr>
          <w:noProof/>
        </w:rPr>
        <w:t>.</w:t>
      </w:r>
    </w:p>
    <w:p w:rsidR="00A93BF2" w:rsidRPr="005E5944" w:rsidRDefault="008967E5" w:rsidP="008967E5">
      <w:pPr>
        <w:pStyle w:val="ManualConsidrant"/>
        <w:rPr>
          <w:noProof/>
        </w:rPr>
      </w:pPr>
      <w:r w:rsidRPr="008967E5">
        <w:rPr>
          <w:noProof/>
        </w:rPr>
        <w:t>(2)</w:t>
      </w:r>
      <w:r w:rsidRPr="008967E5">
        <w:rPr>
          <w:noProof/>
        </w:rPr>
        <w:tab/>
      </w:r>
      <w:r w:rsidR="3191433F" w:rsidRPr="005E5944">
        <w:rPr>
          <w:noProof/>
        </w:rPr>
        <w:t xml:space="preserve">Enligt artikel </w:t>
      </w:r>
      <w:r w:rsidR="006D4276" w:rsidRPr="005E5944">
        <w:rPr>
          <w:noProof/>
        </w:rPr>
        <w:t>33 i</w:t>
      </w:r>
      <w:r w:rsidR="3191433F" w:rsidRPr="005E5944">
        <w:rPr>
          <w:noProof/>
        </w:rPr>
        <w:t xml:space="preserve"> konventionen får Internationella spannmålsrådet förlänga löptiden för konventionen med högst två år per förlängning. Sedan dess ingående har konventionen regelbundet förlängts med perioder om två år. konventionen förlängdes senast genom Internationella spannmålsrådets beslut av den 14 juni 2023</w:t>
      </w:r>
      <w:r w:rsidR="3191433F" w:rsidRPr="005E5944">
        <w:rPr>
          <w:noProof/>
          <w:vertAlign w:val="superscript"/>
        </w:rPr>
        <w:t>2</w:t>
      </w:r>
      <w:r w:rsidR="3191433F" w:rsidRPr="005E5944">
        <w:rPr>
          <w:noProof/>
        </w:rPr>
        <w:t xml:space="preserve"> och är i kraft till och med den 30 juni 2025.</w:t>
      </w:r>
    </w:p>
    <w:p w:rsidR="00A93BF2" w:rsidRPr="005E5944" w:rsidRDefault="008967E5" w:rsidP="008967E5">
      <w:pPr>
        <w:pStyle w:val="ManualConsidrant"/>
        <w:rPr>
          <w:noProof/>
        </w:rPr>
      </w:pPr>
      <w:r w:rsidRPr="008967E5">
        <w:rPr>
          <w:noProof/>
        </w:rPr>
        <w:t>(3)</w:t>
      </w:r>
      <w:r w:rsidRPr="008967E5">
        <w:rPr>
          <w:noProof/>
        </w:rPr>
        <w:tab/>
      </w:r>
      <w:r w:rsidR="00A93BF2" w:rsidRPr="005E5944">
        <w:rPr>
          <w:noProof/>
        </w:rPr>
        <w:t xml:space="preserve">Internationella </w:t>
      </w:r>
      <w:r w:rsidR="006D4276" w:rsidRPr="005E5944">
        <w:rPr>
          <w:noProof/>
        </w:rPr>
        <w:t>spannmålsrådet ska</w:t>
      </w:r>
      <w:r w:rsidR="00A93BF2" w:rsidRPr="005E5944">
        <w:rPr>
          <w:noProof/>
        </w:rPr>
        <w:t xml:space="preserve"> under sitt 62:a sammanträde den 12 juni 2025 besluta om en förlängning av sockeravtalet med en ytterligare period på högst två år, från och med den 1 juli 2025 till och med den 30 juni 2027.</w:t>
      </w:r>
    </w:p>
    <w:p w:rsidR="00A93BF2" w:rsidRPr="005E5944" w:rsidRDefault="008967E5" w:rsidP="008967E5">
      <w:pPr>
        <w:pStyle w:val="ManualConsidrant"/>
        <w:rPr>
          <w:noProof/>
        </w:rPr>
      </w:pPr>
      <w:r w:rsidRPr="008967E5">
        <w:rPr>
          <w:noProof/>
        </w:rPr>
        <w:t>(4)</w:t>
      </w:r>
      <w:r w:rsidRPr="008967E5">
        <w:rPr>
          <w:noProof/>
        </w:rPr>
        <w:tab/>
      </w:r>
      <w:r w:rsidR="00A93BF2" w:rsidRPr="005E5944">
        <w:rPr>
          <w:noProof/>
        </w:rPr>
        <w:t>Det är lämpligt att fastställa den ståndpunkt som ska intas på unionens vägnar under Internationella spannmålsrådets 62:a sammanträde med avseende på en förlängning av konventionen.</w:t>
      </w:r>
    </w:p>
    <w:p w:rsidR="004F6A93" w:rsidRPr="005E5944" w:rsidRDefault="008967E5" w:rsidP="008967E5">
      <w:pPr>
        <w:pStyle w:val="ManualConsidrant"/>
        <w:rPr>
          <w:noProof/>
        </w:rPr>
      </w:pPr>
      <w:r w:rsidRPr="008967E5">
        <w:rPr>
          <w:noProof/>
        </w:rPr>
        <w:t>(5)</w:t>
      </w:r>
      <w:r w:rsidRPr="008967E5">
        <w:rPr>
          <w:noProof/>
        </w:rPr>
        <w:tab/>
      </w:r>
      <w:r w:rsidR="00B036BE" w:rsidRPr="005E5944">
        <w:rPr>
          <w:noProof/>
        </w:rPr>
        <w:t>Unionen är en stor spannmålsproducent och en ledande exportör av vete och korn, samtidigt som den är en av de största importörerna av majs. Unionen har alltid varit en aktiv medlem i Internationella spannmålsrådet som spelar en viktig roll för att stabilisera de internationella spannmålsmarknaderna och förbättra livsmedelssituationen i världen. Det ligger därför i unionens intresse att förlänga konventionen.</w:t>
      </w:r>
    </w:p>
    <w:p w:rsidR="00A93BF2" w:rsidRPr="005E5944" w:rsidRDefault="005E5944" w:rsidP="0010030D">
      <w:pPr>
        <w:pStyle w:val="Formuledadoption"/>
        <w:rPr>
          <w:noProof/>
        </w:rPr>
      </w:pPr>
      <w:r>
        <w:rPr>
          <w:noProof/>
        </w:rPr>
        <w:t>HÄRIGENOM FÖRESKRIVS FÖLJANDE.</w:t>
      </w:r>
    </w:p>
    <w:p w:rsidR="00A93BF2" w:rsidRPr="005E5944" w:rsidRDefault="00A93BF2" w:rsidP="0010030D">
      <w:pPr>
        <w:pStyle w:val="Titrearticle"/>
        <w:rPr>
          <w:noProof/>
        </w:rPr>
      </w:pPr>
      <w:r w:rsidRPr="005E5944">
        <w:rPr>
          <w:noProof/>
        </w:rPr>
        <w:t>Artikel 1</w:t>
      </w:r>
    </w:p>
    <w:p w:rsidR="00A93BF2" w:rsidRPr="005E5944" w:rsidRDefault="004F6A93" w:rsidP="0010030D">
      <w:pPr>
        <w:rPr>
          <w:noProof/>
        </w:rPr>
      </w:pPr>
      <w:r w:rsidRPr="005E5944">
        <w:rPr>
          <w:noProof/>
        </w:rPr>
        <w:t>Den ståndpunkt som ska intas på unionens vägnar under Internationella spannmålsrådets 62:a sammanträde ska vara att rösta för att 1995 års konvention om handel med spannmål förlängs med ytterligare en period på högst två år från och med den 1 juli 2025 till och med den 30 juni 2027.</w:t>
      </w:r>
    </w:p>
    <w:p w:rsidR="00A93BF2" w:rsidRPr="005E5944" w:rsidRDefault="00A93BF2" w:rsidP="00B2475A">
      <w:pPr>
        <w:pStyle w:val="Titrearticle"/>
        <w:rPr>
          <w:noProof/>
        </w:rPr>
      </w:pPr>
      <w:r w:rsidRPr="005E5944">
        <w:rPr>
          <w:noProof/>
        </w:rPr>
        <w:t>Artikel 2</w:t>
      </w:r>
    </w:p>
    <w:p w:rsidR="00A93BF2" w:rsidRPr="005E5944" w:rsidRDefault="00A93BF2" w:rsidP="00B2475A">
      <w:pPr>
        <w:keepNext/>
        <w:keepLines/>
        <w:rPr>
          <w:noProof/>
        </w:rPr>
      </w:pPr>
      <w:r w:rsidRPr="005E5944">
        <w:rPr>
          <w:noProof/>
        </w:rPr>
        <w:t>Detta beslut riktar sig till kommissionen.</w:t>
      </w:r>
    </w:p>
    <w:p w:rsidR="00A93BF2" w:rsidRPr="005E5944" w:rsidRDefault="005E5944" w:rsidP="00B2475A">
      <w:pPr>
        <w:pStyle w:val="Fait"/>
        <w:rPr>
          <w:noProof/>
        </w:rPr>
      </w:pPr>
      <w:r>
        <w:rPr>
          <w:noProof/>
        </w:rPr>
        <w:t>Utfärdat i Bryssel den</w:t>
      </w:r>
    </w:p>
    <w:p w:rsidR="00A93BF2" w:rsidRPr="005E5944" w:rsidRDefault="005E5944" w:rsidP="00B2475A">
      <w:pPr>
        <w:pStyle w:val="Institutionquisigne"/>
        <w:rPr>
          <w:noProof/>
        </w:rPr>
      </w:pPr>
      <w:r>
        <w:rPr>
          <w:noProof/>
        </w:rPr>
        <w:tab/>
        <w:t>På rådets vägnar</w:t>
      </w:r>
    </w:p>
    <w:p w:rsidR="00C64B40" w:rsidRPr="005E5944" w:rsidRDefault="00A93BF2" w:rsidP="00B2475A">
      <w:pPr>
        <w:pStyle w:val="Personnequisigne"/>
        <w:keepNext/>
        <w:rPr>
          <w:noProof/>
        </w:rPr>
      </w:pPr>
      <w:r w:rsidRPr="005E5944">
        <w:rPr>
          <w:noProof/>
        </w:rPr>
        <w:tab/>
      </w:r>
      <w:r w:rsidR="005E5944">
        <w:rPr>
          <w:noProof/>
        </w:rPr>
        <w:t>Ordförande</w:t>
      </w:r>
    </w:p>
    <w:p w:rsidR="00C64B40" w:rsidRPr="005E5944" w:rsidRDefault="00C64B40" w:rsidP="00B2475A">
      <w:pPr>
        <w:keepNext/>
        <w:spacing w:before="0" w:after="200" w:line="276" w:lineRule="auto"/>
        <w:jc w:val="left"/>
        <w:rPr>
          <w:i/>
          <w:noProof/>
        </w:rPr>
      </w:pPr>
      <w:r w:rsidRPr="005E5944">
        <w:rPr>
          <w:noProof/>
        </w:rPr>
        <w:br w:type="page"/>
      </w:r>
    </w:p>
    <w:p w:rsidR="00C64B40" w:rsidRPr="005E5944" w:rsidRDefault="00C64B40" w:rsidP="00B2475A">
      <w:pPr>
        <w:pStyle w:val="Personnequisigne"/>
        <w:keepNext/>
        <w:rPr>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884"/>
        <w:gridCol w:w="1417"/>
        <w:gridCol w:w="1276"/>
        <w:gridCol w:w="283"/>
        <w:gridCol w:w="851"/>
        <w:gridCol w:w="850"/>
      </w:tblGrid>
      <w:tr w:rsidR="00156A44" w:rsidRPr="005E5944" w:rsidTr="00F252A0">
        <w:trPr>
          <w:trHeight w:val="355"/>
        </w:trPr>
        <w:tc>
          <w:tcPr>
            <w:tcW w:w="7144" w:type="dxa"/>
            <w:gridSpan w:val="4"/>
            <w:vMerge w:val="restart"/>
          </w:tcPr>
          <w:p w:rsidR="00156A44" w:rsidRPr="005E5944" w:rsidRDefault="00156A44" w:rsidP="00B2475A">
            <w:pPr>
              <w:pStyle w:val="Fichefinanciretitretable"/>
              <w:keepNext/>
              <w:rPr>
                <w:noProof/>
              </w:rPr>
            </w:pPr>
            <w:r w:rsidRPr="005E5944">
              <w:rPr>
                <w:noProof/>
              </w:rPr>
              <w:t>FINANSIERINGSÖVERSIKT</w:t>
            </w:r>
          </w:p>
        </w:tc>
        <w:tc>
          <w:tcPr>
            <w:tcW w:w="1984" w:type="dxa"/>
            <w:gridSpan w:val="3"/>
          </w:tcPr>
          <w:p w:rsidR="00156A44" w:rsidRPr="005E5944" w:rsidRDefault="00156A44" w:rsidP="00B2475A">
            <w:pPr>
              <w:pStyle w:val="Fichefinanciretextetable"/>
              <w:keepNext/>
              <w:rPr>
                <w:noProof/>
              </w:rPr>
            </w:pPr>
            <w:r w:rsidRPr="005E5944">
              <w:rPr>
                <w:noProof/>
              </w:rPr>
              <w:t>FinancSt/10/</w:t>
            </w:r>
            <w:r w:rsidRPr="005E5944">
              <w:rPr>
                <w:noProof/>
              </w:rPr>
              <w:br/>
              <w:t>PS/nd/</w:t>
            </w:r>
            <w:hyperlink r:id="rId19" w:history="1">
              <w:r w:rsidRPr="005E5944">
                <w:rPr>
                  <w:rStyle w:val="Hyperlink"/>
                  <w:noProof/>
                </w:rPr>
                <w:t>Ares(2025)1094676</w:t>
              </w:r>
            </w:hyperlink>
          </w:p>
          <w:p w:rsidR="00156A44" w:rsidRPr="005E5944" w:rsidRDefault="00156A44" w:rsidP="00B2475A">
            <w:pPr>
              <w:pStyle w:val="Fichefinanciretextetable"/>
              <w:keepNext/>
              <w:rPr>
                <w:noProof/>
              </w:rPr>
            </w:pPr>
          </w:p>
        </w:tc>
      </w:tr>
      <w:tr w:rsidR="00156A44" w:rsidRPr="005E5944" w:rsidTr="00F252A0">
        <w:trPr>
          <w:trHeight w:val="355"/>
        </w:trPr>
        <w:tc>
          <w:tcPr>
            <w:tcW w:w="7144" w:type="dxa"/>
            <w:gridSpan w:val="4"/>
            <w:vMerge/>
            <w:tcBorders>
              <w:bottom w:val="nil"/>
            </w:tcBorders>
          </w:tcPr>
          <w:p w:rsidR="00156A44" w:rsidRPr="005E5944" w:rsidRDefault="00156A44" w:rsidP="00B2475A">
            <w:pPr>
              <w:pStyle w:val="Fichefinanciretitretable"/>
              <w:keepNext/>
              <w:rPr>
                <w:noProof/>
              </w:rPr>
            </w:pPr>
          </w:p>
        </w:tc>
        <w:tc>
          <w:tcPr>
            <w:tcW w:w="1984" w:type="dxa"/>
            <w:gridSpan w:val="3"/>
          </w:tcPr>
          <w:p w:rsidR="00156A44" w:rsidRPr="005E5944" w:rsidRDefault="00156A44" w:rsidP="00B2475A">
            <w:pPr>
              <w:pStyle w:val="Fichefinanciretextetable"/>
              <w:keepNext/>
              <w:rPr>
                <w:noProof/>
              </w:rPr>
            </w:pPr>
            <w:r w:rsidRPr="005E5944">
              <w:rPr>
                <w:noProof/>
              </w:rPr>
              <w:t>6.221.2025.1</w:t>
            </w:r>
          </w:p>
        </w:tc>
      </w:tr>
      <w:tr w:rsidR="00156A44" w:rsidRPr="005E5944" w:rsidTr="00F252A0">
        <w:tc>
          <w:tcPr>
            <w:tcW w:w="7144" w:type="dxa"/>
            <w:gridSpan w:val="4"/>
            <w:tcBorders>
              <w:top w:val="nil"/>
            </w:tcBorders>
          </w:tcPr>
          <w:p w:rsidR="00156A44" w:rsidRPr="005E5944" w:rsidRDefault="00156A44" w:rsidP="00B2475A">
            <w:pPr>
              <w:pStyle w:val="Fichefinanciretextetable"/>
              <w:keepNext/>
              <w:rPr>
                <w:noProof/>
              </w:rPr>
            </w:pPr>
          </w:p>
        </w:tc>
        <w:tc>
          <w:tcPr>
            <w:tcW w:w="1984" w:type="dxa"/>
            <w:gridSpan w:val="3"/>
          </w:tcPr>
          <w:p w:rsidR="00156A44" w:rsidRPr="005E5944" w:rsidRDefault="00156A44" w:rsidP="00B2475A">
            <w:pPr>
              <w:pStyle w:val="Fichefinanciretextetable"/>
              <w:keepNext/>
              <w:rPr>
                <w:noProof/>
              </w:rPr>
            </w:pPr>
            <w:r w:rsidRPr="005E5944">
              <w:rPr>
                <w:noProof/>
              </w:rPr>
              <w:t>DATUM: 24.2.2025</w:t>
            </w:r>
          </w:p>
          <w:p w:rsidR="00156A44" w:rsidRPr="005E5944" w:rsidRDefault="00156A44" w:rsidP="00B2475A">
            <w:pPr>
              <w:pStyle w:val="Fichefinanciretextetable"/>
              <w:keepNext/>
              <w:rPr>
                <w:noProof/>
              </w:rPr>
            </w:pPr>
          </w:p>
        </w:tc>
      </w:tr>
      <w:tr w:rsidR="00156A44" w:rsidRPr="005E5944" w:rsidTr="00F252A0">
        <w:tc>
          <w:tcPr>
            <w:tcW w:w="567" w:type="dxa"/>
            <w:tcBorders>
              <w:right w:val="nil"/>
            </w:tcBorders>
          </w:tcPr>
          <w:p w:rsidR="00156A44" w:rsidRPr="005E5944" w:rsidRDefault="00156A44" w:rsidP="00B2475A">
            <w:pPr>
              <w:pStyle w:val="Fichefinanciretextetable"/>
              <w:keepNext/>
              <w:rPr>
                <w:noProof/>
              </w:rPr>
            </w:pPr>
            <w:r w:rsidRPr="005E5944">
              <w:rPr>
                <w:noProof/>
              </w:rPr>
              <w:t>1</w:t>
            </w:r>
          </w:p>
        </w:tc>
        <w:tc>
          <w:tcPr>
            <w:tcW w:w="6577" w:type="dxa"/>
            <w:gridSpan w:val="3"/>
            <w:tcBorders>
              <w:left w:val="nil"/>
              <w:right w:val="nil"/>
            </w:tcBorders>
          </w:tcPr>
          <w:p w:rsidR="00156A44" w:rsidRPr="005E5944" w:rsidRDefault="00156A44" w:rsidP="00B2475A">
            <w:pPr>
              <w:pStyle w:val="Fichefinanciretextetable"/>
              <w:keepNext/>
              <w:rPr>
                <w:noProof/>
              </w:rPr>
            </w:pPr>
            <w:r w:rsidRPr="005E5944">
              <w:rPr>
                <w:noProof/>
              </w:rPr>
              <w:t>BUDGETRUBRIK:</w:t>
            </w:r>
          </w:p>
          <w:p w:rsidR="00156A44" w:rsidRPr="005E5944" w:rsidRDefault="00156A44" w:rsidP="00B2475A">
            <w:pPr>
              <w:pStyle w:val="Fichefinanciretextetable"/>
              <w:keepNext/>
              <w:rPr>
                <w:noProof/>
              </w:rPr>
            </w:pPr>
            <w:r w:rsidRPr="005E5944">
              <w:rPr>
                <w:noProof/>
              </w:rPr>
              <w:t>14 20 03 06 Internationella organisationer och avtal</w:t>
            </w:r>
          </w:p>
          <w:p w:rsidR="00156A44" w:rsidRPr="005E5944" w:rsidRDefault="00156A44" w:rsidP="00B2475A">
            <w:pPr>
              <w:pStyle w:val="Fichefinanciretextetable"/>
              <w:keepNext/>
              <w:rPr>
                <w:noProof/>
              </w:rPr>
            </w:pPr>
          </w:p>
        </w:tc>
        <w:tc>
          <w:tcPr>
            <w:tcW w:w="1984" w:type="dxa"/>
            <w:gridSpan w:val="3"/>
            <w:tcBorders>
              <w:left w:val="nil"/>
            </w:tcBorders>
          </w:tcPr>
          <w:p w:rsidR="00156A44" w:rsidRPr="005E5944" w:rsidRDefault="00156A44" w:rsidP="00B2475A">
            <w:pPr>
              <w:pStyle w:val="Fichefinanciretextetable"/>
              <w:keepNext/>
              <w:rPr>
                <w:noProof/>
              </w:rPr>
            </w:pPr>
            <w:r w:rsidRPr="005E5944">
              <w:rPr>
                <w:noProof/>
              </w:rPr>
              <w:t>ANSLAG:</w:t>
            </w:r>
          </w:p>
          <w:p w:rsidR="00156A44" w:rsidRPr="005E5944" w:rsidRDefault="00156A44" w:rsidP="00B2475A">
            <w:pPr>
              <w:pStyle w:val="Fichefinanciretextetable"/>
              <w:keepNext/>
              <w:rPr>
                <w:noProof/>
              </w:rPr>
            </w:pPr>
            <w:r w:rsidRPr="005E5944">
              <w:rPr>
                <w:noProof/>
              </w:rPr>
              <w:t>B2025 5 277 000 EUR</w:t>
            </w:r>
          </w:p>
        </w:tc>
      </w:tr>
      <w:tr w:rsidR="00156A44" w:rsidRPr="005E5944" w:rsidTr="00F252A0">
        <w:tc>
          <w:tcPr>
            <w:tcW w:w="567" w:type="dxa"/>
            <w:tcBorders>
              <w:bottom w:val="nil"/>
              <w:right w:val="nil"/>
            </w:tcBorders>
          </w:tcPr>
          <w:p w:rsidR="00156A44" w:rsidRPr="005E5944" w:rsidRDefault="00156A44" w:rsidP="00B2475A">
            <w:pPr>
              <w:pStyle w:val="Fichefinanciretextetable"/>
              <w:keepNext/>
              <w:rPr>
                <w:noProof/>
              </w:rPr>
            </w:pPr>
            <w:r w:rsidRPr="005E5944">
              <w:rPr>
                <w:noProof/>
              </w:rPr>
              <w:t>2</w:t>
            </w:r>
          </w:p>
        </w:tc>
        <w:tc>
          <w:tcPr>
            <w:tcW w:w="8561" w:type="dxa"/>
            <w:gridSpan w:val="6"/>
            <w:tcBorders>
              <w:left w:val="nil"/>
            </w:tcBorders>
          </w:tcPr>
          <w:p w:rsidR="00156A44" w:rsidRPr="005E5944" w:rsidRDefault="00156A44" w:rsidP="00B2475A">
            <w:pPr>
              <w:pStyle w:val="Fichefinanciretextetable"/>
              <w:keepNext/>
              <w:rPr>
                <w:noProof/>
              </w:rPr>
            </w:pPr>
            <w:r w:rsidRPr="005E5944">
              <w:rPr>
                <w:noProof/>
              </w:rPr>
              <w:t>TITEL:</w:t>
            </w:r>
          </w:p>
          <w:p w:rsidR="00156A44" w:rsidRPr="005E5944" w:rsidRDefault="00156A44" w:rsidP="00B2475A">
            <w:pPr>
              <w:pStyle w:val="Fichefinanciretextetable"/>
              <w:keepNext/>
              <w:spacing w:after="120"/>
              <w:rPr>
                <w:noProof/>
              </w:rPr>
            </w:pPr>
            <w:r w:rsidRPr="005E5944">
              <w:rPr>
                <w:noProof/>
              </w:rPr>
              <w:t>Förslag till rådets beslut om den ståndpunkt som på Europeiska unionens vägnar ska intas i Internationella spannmålsrådet med avseende på förlängningen av 1995 års konvention om handel med spannmål.</w:t>
            </w:r>
          </w:p>
        </w:tc>
      </w:tr>
      <w:tr w:rsidR="00156A44" w:rsidRPr="005E5944" w:rsidTr="00F252A0">
        <w:tc>
          <w:tcPr>
            <w:tcW w:w="567" w:type="dxa"/>
            <w:tcBorders>
              <w:bottom w:val="nil"/>
              <w:right w:val="nil"/>
            </w:tcBorders>
          </w:tcPr>
          <w:p w:rsidR="00156A44" w:rsidRPr="005E5944" w:rsidRDefault="00156A44" w:rsidP="00B2475A">
            <w:pPr>
              <w:pStyle w:val="Fichefinanciretextetable"/>
              <w:keepNext/>
              <w:rPr>
                <w:noProof/>
              </w:rPr>
            </w:pPr>
            <w:r w:rsidRPr="005E5944">
              <w:rPr>
                <w:noProof/>
              </w:rPr>
              <w:t>3</w:t>
            </w:r>
          </w:p>
        </w:tc>
        <w:tc>
          <w:tcPr>
            <w:tcW w:w="8561" w:type="dxa"/>
            <w:gridSpan w:val="6"/>
            <w:tcBorders>
              <w:left w:val="nil"/>
            </w:tcBorders>
          </w:tcPr>
          <w:p w:rsidR="00156A44" w:rsidRPr="005E5944" w:rsidRDefault="00156A44" w:rsidP="00B2475A">
            <w:pPr>
              <w:pStyle w:val="Fichefinanciretextetable"/>
              <w:keepNext/>
              <w:spacing w:after="120"/>
              <w:rPr>
                <w:noProof/>
              </w:rPr>
            </w:pPr>
            <w:r w:rsidRPr="005E5944">
              <w:rPr>
                <w:noProof/>
              </w:rPr>
              <w:t>RÄTTSLIG GRUND: Den rättsliga grunden för förslaget till beslut bör vara artikel 207.4 första stycket jämförd med artikel 218.9 i EUF-fördraget.</w:t>
            </w:r>
          </w:p>
        </w:tc>
      </w:tr>
      <w:tr w:rsidR="00156A44" w:rsidRPr="005E5944" w:rsidTr="00F252A0">
        <w:tc>
          <w:tcPr>
            <w:tcW w:w="567" w:type="dxa"/>
            <w:tcBorders>
              <w:right w:val="nil"/>
            </w:tcBorders>
          </w:tcPr>
          <w:p w:rsidR="00156A44" w:rsidRPr="005E5944" w:rsidRDefault="00156A44" w:rsidP="00B2475A">
            <w:pPr>
              <w:pStyle w:val="Fichefinanciretextetable"/>
              <w:keepNext/>
              <w:rPr>
                <w:noProof/>
              </w:rPr>
            </w:pPr>
            <w:r w:rsidRPr="005E5944">
              <w:rPr>
                <w:noProof/>
              </w:rPr>
              <w:t>4</w:t>
            </w:r>
          </w:p>
        </w:tc>
        <w:tc>
          <w:tcPr>
            <w:tcW w:w="8561" w:type="dxa"/>
            <w:gridSpan w:val="6"/>
            <w:tcBorders>
              <w:left w:val="nil"/>
            </w:tcBorders>
          </w:tcPr>
          <w:p w:rsidR="00156A44" w:rsidRPr="005E5944" w:rsidRDefault="00156A44" w:rsidP="00B2475A">
            <w:pPr>
              <w:pStyle w:val="Fichefinanciretextetable"/>
              <w:keepNext/>
              <w:rPr>
                <w:noProof/>
              </w:rPr>
            </w:pPr>
            <w:r w:rsidRPr="005E5944">
              <w:rPr>
                <w:noProof/>
              </w:rPr>
              <w:t>SYFTE:</w:t>
            </w:r>
          </w:p>
          <w:p w:rsidR="00156A44" w:rsidRPr="005E5944" w:rsidRDefault="00156A44" w:rsidP="00B2475A">
            <w:pPr>
              <w:pStyle w:val="Fichefinanciretextetable"/>
              <w:keepNext/>
              <w:rPr>
                <w:noProof/>
              </w:rPr>
            </w:pPr>
            <w:r w:rsidRPr="005E5944">
              <w:rPr>
                <w:noProof/>
              </w:rPr>
              <w:t>Förlängning av den befintliga konventionen om handel med spannmål med ytterligare två år (fr.o.m. 1.7.2025 t.o.m. 30.6.2027).</w:t>
            </w:r>
          </w:p>
          <w:p w:rsidR="00156A44" w:rsidRPr="005E5944" w:rsidRDefault="00156A44" w:rsidP="00B2475A">
            <w:pPr>
              <w:pStyle w:val="Fichefinanciretextetable"/>
              <w:keepNext/>
              <w:rPr>
                <w:noProof/>
              </w:rPr>
            </w:pPr>
          </w:p>
        </w:tc>
      </w:tr>
      <w:tr w:rsidR="00156A44" w:rsidRPr="005E5944" w:rsidTr="00F252A0">
        <w:tc>
          <w:tcPr>
            <w:tcW w:w="567" w:type="dxa"/>
            <w:tcBorders>
              <w:bottom w:val="nil"/>
              <w:right w:val="nil"/>
            </w:tcBorders>
          </w:tcPr>
          <w:p w:rsidR="00156A44" w:rsidRPr="005E5944" w:rsidRDefault="00156A44" w:rsidP="00B2475A">
            <w:pPr>
              <w:pStyle w:val="Fichefinanciretextetable"/>
              <w:keepNext/>
              <w:rPr>
                <w:noProof/>
              </w:rPr>
            </w:pPr>
            <w:r w:rsidRPr="005E5944">
              <w:rPr>
                <w:noProof/>
              </w:rPr>
              <w:t>5</w:t>
            </w:r>
          </w:p>
        </w:tc>
        <w:tc>
          <w:tcPr>
            <w:tcW w:w="3884" w:type="dxa"/>
            <w:tcBorders>
              <w:left w:val="nil"/>
            </w:tcBorders>
          </w:tcPr>
          <w:p w:rsidR="00156A44" w:rsidRPr="005E5944" w:rsidRDefault="00156A44" w:rsidP="00B2475A">
            <w:pPr>
              <w:pStyle w:val="Fichefinanciretextetable"/>
              <w:keepNext/>
              <w:rPr>
                <w:noProof/>
              </w:rPr>
            </w:pPr>
            <w:r w:rsidRPr="005E5944">
              <w:rPr>
                <w:noProof/>
              </w:rPr>
              <w:t>BUDGETKONSEKVENSER</w:t>
            </w:r>
          </w:p>
        </w:tc>
        <w:tc>
          <w:tcPr>
            <w:tcW w:w="1417" w:type="dxa"/>
          </w:tcPr>
          <w:p w:rsidR="00156A44" w:rsidRPr="005E5944" w:rsidRDefault="00156A44" w:rsidP="00B2475A">
            <w:pPr>
              <w:pStyle w:val="Fichefinanciretextetable"/>
              <w:keepNext/>
              <w:jc w:val="center"/>
              <w:rPr>
                <w:noProof/>
              </w:rPr>
            </w:pPr>
            <w:r w:rsidRPr="005E5944">
              <w:rPr>
                <w:noProof/>
              </w:rPr>
              <w:t>TOLVMÅNADERSPERIOD</w:t>
            </w:r>
            <w:r w:rsidRPr="005E5944">
              <w:rPr>
                <w:noProof/>
              </w:rPr>
              <w:br/>
            </w:r>
            <w:r w:rsidRPr="005E5944">
              <w:rPr>
                <w:noProof/>
              </w:rPr>
              <w:br/>
            </w:r>
            <w:r w:rsidRPr="005E5944">
              <w:rPr>
                <w:noProof/>
              </w:rPr>
              <w:br/>
              <w:t>(miljoner EUR)</w:t>
            </w:r>
          </w:p>
        </w:tc>
        <w:tc>
          <w:tcPr>
            <w:tcW w:w="1559" w:type="dxa"/>
            <w:gridSpan w:val="2"/>
          </w:tcPr>
          <w:p w:rsidR="00156A44" w:rsidRPr="005E5944" w:rsidRDefault="00156A44" w:rsidP="00B2475A">
            <w:pPr>
              <w:pStyle w:val="Fichefinanciretextetable"/>
              <w:keepNext/>
              <w:jc w:val="center"/>
              <w:rPr>
                <w:noProof/>
              </w:rPr>
            </w:pPr>
            <w:r w:rsidRPr="005E5944">
              <w:rPr>
                <w:noProof/>
              </w:rPr>
              <w:t>INNEVARANDE BUDGETÅR</w:t>
            </w:r>
          </w:p>
          <w:p w:rsidR="00156A44" w:rsidRPr="005E5944" w:rsidRDefault="00156A44" w:rsidP="00B2475A">
            <w:pPr>
              <w:pStyle w:val="Fichefinanciretextetable"/>
              <w:keepNext/>
              <w:jc w:val="center"/>
              <w:rPr>
                <w:noProof/>
              </w:rPr>
            </w:pPr>
            <w:r w:rsidRPr="005E5944">
              <w:rPr>
                <w:noProof/>
              </w:rPr>
              <w:t>2025</w:t>
            </w:r>
          </w:p>
          <w:p w:rsidR="00156A44" w:rsidRPr="005E5944" w:rsidRDefault="00156A44" w:rsidP="00B2475A">
            <w:pPr>
              <w:pStyle w:val="Fichefinanciretextetable"/>
              <w:keepNext/>
              <w:jc w:val="center"/>
              <w:rPr>
                <w:noProof/>
              </w:rPr>
            </w:pPr>
            <w:r w:rsidRPr="005E5944">
              <w:rPr>
                <w:noProof/>
              </w:rPr>
              <w:t>(miljoner EUR)</w:t>
            </w:r>
          </w:p>
        </w:tc>
        <w:tc>
          <w:tcPr>
            <w:tcW w:w="1701" w:type="dxa"/>
            <w:gridSpan w:val="2"/>
          </w:tcPr>
          <w:p w:rsidR="00156A44" w:rsidRPr="005E5944" w:rsidRDefault="00156A44" w:rsidP="00B2475A">
            <w:pPr>
              <w:pStyle w:val="Fichefinanciretextetable"/>
              <w:keepNext/>
              <w:jc w:val="center"/>
              <w:rPr>
                <w:noProof/>
              </w:rPr>
            </w:pPr>
            <w:r w:rsidRPr="005E5944">
              <w:rPr>
                <w:noProof/>
              </w:rPr>
              <w:t>FÖLJANDE BUDGETÅR</w:t>
            </w:r>
          </w:p>
          <w:p w:rsidR="00156A44" w:rsidRPr="005E5944" w:rsidRDefault="00156A44" w:rsidP="00B2475A">
            <w:pPr>
              <w:pStyle w:val="Fichefinanciretextetable"/>
              <w:keepNext/>
              <w:jc w:val="center"/>
              <w:rPr>
                <w:noProof/>
              </w:rPr>
            </w:pPr>
            <w:r w:rsidRPr="005E5944">
              <w:rPr>
                <w:noProof/>
              </w:rPr>
              <w:t>DB2026</w:t>
            </w:r>
          </w:p>
          <w:p w:rsidR="00156A44" w:rsidRPr="005E5944" w:rsidRDefault="00156A44" w:rsidP="00B2475A">
            <w:pPr>
              <w:pStyle w:val="Fichefinanciretextetable"/>
              <w:keepNext/>
              <w:jc w:val="center"/>
              <w:rPr>
                <w:noProof/>
              </w:rPr>
            </w:pPr>
            <w:r w:rsidRPr="005E5944">
              <w:rPr>
                <w:noProof/>
              </w:rPr>
              <w:t>(miljoner EUR)</w:t>
            </w:r>
          </w:p>
        </w:tc>
      </w:tr>
      <w:tr w:rsidR="00156A44" w:rsidRPr="005E5944" w:rsidTr="00F252A0">
        <w:tc>
          <w:tcPr>
            <w:tcW w:w="567" w:type="dxa"/>
            <w:tcBorders>
              <w:bottom w:val="nil"/>
              <w:right w:val="nil"/>
            </w:tcBorders>
          </w:tcPr>
          <w:p w:rsidR="00156A44" w:rsidRPr="005E5944" w:rsidRDefault="00156A44" w:rsidP="00B2475A">
            <w:pPr>
              <w:pStyle w:val="Fichefinanciretextetable"/>
              <w:keepNext/>
              <w:rPr>
                <w:noProof/>
              </w:rPr>
            </w:pPr>
            <w:r w:rsidRPr="005E5944">
              <w:rPr>
                <w:noProof/>
              </w:rPr>
              <w:t>5.0</w:t>
            </w:r>
          </w:p>
        </w:tc>
        <w:tc>
          <w:tcPr>
            <w:tcW w:w="3884" w:type="dxa"/>
            <w:tcBorders>
              <w:left w:val="nil"/>
            </w:tcBorders>
          </w:tcPr>
          <w:p w:rsidR="00156A44" w:rsidRPr="005E5944" w:rsidRDefault="00156A44" w:rsidP="00B2475A">
            <w:pPr>
              <w:pStyle w:val="Fichefinanciretextetable"/>
              <w:keepNext/>
              <w:rPr>
                <w:noProof/>
              </w:rPr>
            </w:pPr>
            <w:r w:rsidRPr="005E5944">
              <w:rPr>
                <w:noProof/>
              </w:rPr>
              <w:t>UTGIFTER</w:t>
            </w:r>
          </w:p>
          <w:p w:rsidR="00156A44" w:rsidRPr="005E5944" w:rsidRDefault="00156A44" w:rsidP="00B2475A">
            <w:pPr>
              <w:pStyle w:val="Fichefinanciretextetable"/>
              <w:keepNext/>
              <w:rPr>
                <w:noProof/>
              </w:rPr>
            </w:pPr>
            <w:r w:rsidRPr="005E5944">
              <w:rPr>
                <w:noProof/>
              </w:rPr>
              <w:t>-</w:t>
            </w:r>
            <w:r w:rsidRPr="005E5944">
              <w:rPr>
                <w:noProof/>
              </w:rPr>
              <w:tab/>
              <w:t>SOM BELASTAR EU:S BUDGET</w:t>
            </w:r>
            <w:r w:rsidRPr="005E5944">
              <w:rPr>
                <w:noProof/>
              </w:rPr>
              <w:br/>
              <w:t>(BIDRAG/STÖD)</w:t>
            </w:r>
          </w:p>
          <w:p w:rsidR="00156A44" w:rsidRPr="005E5944" w:rsidRDefault="00156A44" w:rsidP="00B2475A">
            <w:pPr>
              <w:pStyle w:val="Fichefinanciretextetable"/>
              <w:keepNext/>
              <w:rPr>
                <w:noProof/>
              </w:rPr>
            </w:pPr>
            <w:r w:rsidRPr="005E5944">
              <w:rPr>
                <w:noProof/>
              </w:rPr>
              <w:t>-</w:t>
            </w:r>
            <w:r w:rsidRPr="005E5944">
              <w:rPr>
                <w:noProof/>
              </w:rPr>
              <w:tab/>
              <w:t>NATIONELLA MYNDIGHETER</w:t>
            </w:r>
          </w:p>
          <w:p w:rsidR="00156A44" w:rsidRPr="005E5944" w:rsidRDefault="00156A44" w:rsidP="00B2475A">
            <w:pPr>
              <w:pStyle w:val="Fichefinanciretextetable"/>
              <w:keepNext/>
              <w:rPr>
                <w:noProof/>
              </w:rPr>
            </w:pPr>
            <w:r w:rsidRPr="005E5944">
              <w:rPr>
                <w:noProof/>
              </w:rPr>
              <w:t>-</w:t>
            </w:r>
            <w:r w:rsidRPr="005E5944">
              <w:rPr>
                <w:noProof/>
              </w:rPr>
              <w:tab/>
              <w:t>ÖVRIGA</w:t>
            </w:r>
          </w:p>
        </w:tc>
        <w:tc>
          <w:tcPr>
            <w:tcW w:w="1417" w:type="dxa"/>
          </w:tcPr>
          <w:p w:rsidR="00156A44" w:rsidRPr="005E5944" w:rsidRDefault="00156A44" w:rsidP="00B2475A">
            <w:pPr>
              <w:pStyle w:val="Fichefinanciretextetable"/>
              <w:keepNext/>
              <w:jc w:val="center"/>
              <w:rPr>
                <w:noProof/>
              </w:rPr>
            </w:pPr>
          </w:p>
        </w:tc>
        <w:tc>
          <w:tcPr>
            <w:tcW w:w="1559" w:type="dxa"/>
            <w:gridSpan w:val="2"/>
          </w:tcPr>
          <w:p w:rsidR="00156A44" w:rsidRPr="005E5944" w:rsidRDefault="00156A44" w:rsidP="00B2475A">
            <w:pPr>
              <w:pStyle w:val="Fichefinanciretextetable"/>
              <w:keepNext/>
              <w:jc w:val="center"/>
              <w:rPr>
                <w:noProof/>
              </w:rPr>
            </w:pPr>
            <w:r w:rsidRPr="005E5944">
              <w:rPr>
                <w:noProof/>
              </w:rPr>
              <w:t>4,2</w:t>
            </w:r>
          </w:p>
        </w:tc>
        <w:tc>
          <w:tcPr>
            <w:tcW w:w="1701" w:type="dxa"/>
            <w:gridSpan w:val="2"/>
          </w:tcPr>
          <w:p w:rsidR="00156A44" w:rsidRPr="005E5944" w:rsidRDefault="00156A44" w:rsidP="00B2475A">
            <w:pPr>
              <w:pStyle w:val="Fichefinanciretextetable"/>
              <w:keepNext/>
              <w:jc w:val="center"/>
              <w:rPr>
                <w:noProof/>
              </w:rPr>
            </w:pPr>
            <w:r w:rsidRPr="005E5944">
              <w:rPr>
                <w:noProof/>
              </w:rPr>
              <w:t>4,45</w:t>
            </w:r>
          </w:p>
        </w:tc>
      </w:tr>
      <w:tr w:rsidR="00156A44" w:rsidRPr="005E5944" w:rsidTr="00F252A0">
        <w:tc>
          <w:tcPr>
            <w:tcW w:w="567" w:type="dxa"/>
            <w:tcBorders>
              <w:right w:val="nil"/>
            </w:tcBorders>
          </w:tcPr>
          <w:p w:rsidR="00156A44" w:rsidRPr="005E5944" w:rsidRDefault="00156A44" w:rsidP="00B2475A">
            <w:pPr>
              <w:pStyle w:val="Fichefinanciretextetable"/>
              <w:keepNext/>
              <w:rPr>
                <w:noProof/>
              </w:rPr>
            </w:pPr>
            <w:r w:rsidRPr="005E5944">
              <w:rPr>
                <w:noProof/>
              </w:rPr>
              <w:t>5.1</w:t>
            </w:r>
          </w:p>
        </w:tc>
        <w:tc>
          <w:tcPr>
            <w:tcW w:w="3884" w:type="dxa"/>
            <w:tcBorders>
              <w:left w:val="nil"/>
            </w:tcBorders>
          </w:tcPr>
          <w:p w:rsidR="00156A44" w:rsidRPr="005E5944" w:rsidRDefault="00156A44" w:rsidP="00B2475A">
            <w:pPr>
              <w:pStyle w:val="Fichefinanciretextetable"/>
              <w:keepNext/>
              <w:rPr>
                <w:noProof/>
              </w:rPr>
            </w:pPr>
            <w:r w:rsidRPr="005E5944">
              <w:rPr>
                <w:noProof/>
              </w:rPr>
              <w:t>INKOMSTER</w:t>
            </w:r>
          </w:p>
          <w:p w:rsidR="00156A44" w:rsidRPr="005E5944" w:rsidRDefault="00156A44" w:rsidP="00B2475A">
            <w:pPr>
              <w:pStyle w:val="Fichefinanciretextetable"/>
              <w:keepNext/>
              <w:rPr>
                <w:noProof/>
              </w:rPr>
            </w:pPr>
            <w:r w:rsidRPr="005E5944">
              <w:rPr>
                <w:noProof/>
              </w:rPr>
              <w:t>-</w:t>
            </w:r>
            <w:r w:rsidRPr="005E5944">
              <w:rPr>
                <w:noProof/>
              </w:rPr>
              <w:tab/>
              <w:t xml:space="preserve">EU:S EGNA MEDEL (AVGIFTER/TULLAR) </w:t>
            </w:r>
            <w:r w:rsidRPr="005E5944">
              <w:rPr>
                <w:noProof/>
              </w:rPr>
              <w:br/>
              <w:t>NATIONELLA MEDEL</w:t>
            </w:r>
          </w:p>
          <w:p w:rsidR="00156A44" w:rsidRPr="005E5944" w:rsidRDefault="00156A44" w:rsidP="00B2475A">
            <w:pPr>
              <w:pStyle w:val="Fichefinanciretextetable"/>
              <w:keepNext/>
              <w:rPr>
                <w:noProof/>
              </w:rPr>
            </w:pPr>
            <w:r w:rsidRPr="005E5944">
              <w:rPr>
                <w:noProof/>
              </w:rPr>
              <w:t>-</w:t>
            </w:r>
            <w:r w:rsidRPr="005E5944">
              <w:rPr>
                <w:noProof/>
              </w:rPr>
              <w:tab/>
              <w:t>NATIONELLA MEDEL</w:t>
            </w:r>
          </w:p>
        </w:tc>
        <w:tc>
          <w:tcPr>
            <w:tcW w:w="1417" w:type="dxa"/>
          </w:tcPr>
          <w:p w:rsidR="00156A44" w:rsidRPr="005E5944" w:rsidRDefault="00156A44" w:rsidP="00B2475A">
            <w:pPr>
              <w:pStyle w:val="Fichefinanciretextetable"/>
              <w:keepNext/>
              <w:jc w:val="center"/>
              <w:rPr>
                <w:noProof/>
              </w:rPr>
            </w:pPr>
          </w:p>
        </w:tc>
        <w:tc>
          <w:tcPr>
            <w:tcW w:w="1559" w:type="dxa"/>
            <w:gridSpan w:val="2"/>
          </w:tcPr>
          <w:p w:rsidR="00156A44" w:rsidRPr="005E5944" w:rsidRDefault="00156A44" w:rsidP="00B2475A">
            <w:pPr>
              <w:pStyle w:val="Fichefinanciretextetable"/>
              <w:keepNext/>
              <w:jc w:val="center"/>
              <w:rPr>
                <w:noProof/>
              </w:rPr>
            </w:pPr>
          </w:p>
        </w:tc>
        <w:tc>
          <w:tcPr>
            <w:tcW w:w="1701" w:type="dxa"/>
            <w:gridSpan w:val="2"/>
          </w:tcPr>
          <w:p w:rsidR="00156A44" w:rsidRPr="005E5944" w:rsidRDefault="00156A44" w:rsidP="00B2475A">
            <w:pPr>
              <w:pStyle w:val="Fichefinanciretextetable"/>
              <w:keepNext/>
              <w:jc w:val="center"/>
              <w:rPr>
                <w:noProof/>
              </w:rPr>
            </w:pPr>
          </w:p>
        </w:tc>
      </w:tr>
      <w:tr w:rsidR="00156A44" w:rsidRPr="005E5944" w:rsidTr="00F252A0">
        <w:tc>
          <w:tcPr>
            <w:tcW w:w="567" w:type="dxa"/>
            <w:tcBorders>
              <w:bottom w:val="nil"/>
              <w:right w:val="nil"/>
            </w:tcBorders>
          </w:tcPr>
          <w:p w:rsidR="00156A44" w:rsidRPr="005E5944" w:rsidRDefault="00156A44" w:rsidP="00B2475A">
            <w:pPr>
              <w:pStyle w:val="Fichefinanciretextetable"/>
              <w:keepNext/>
              <w:rPr>
                <w:noProof/>
              </w:rPr>
            </w:pPr>
          </w:p>
        </w:tc>
        <w:tc>
          <w:tcPr>
            <w:tcW w:w="3884" w:type="dxa"/>
            <w:tcBorders>
              <w:left w:val="nil"/>
              <w:bottom w:val="nil"/>
            </w:tcBorders>
          </w:tcPr>
          <w:p w:rsidR="00156A44" w:rsidRPr="005E5944" w:rsidRDefault="00156A44" w:rsidP="00B2475A">
            <w:pPr>
              <w:pStyle w:val="Fichefinanciretextetable"/>
              <w:keepNext/>
              <w:rPr>
                <w:noProof/>
              </w:rPr>
            </w:pPr>
          </w:p>
        </w:tc>
        <w:tc>
          <w:tcPr>
            <w:tcW w:w="1417" w:type="dxa"/>
            <w:tcBorders>
              <w:bottom w:val="nil"/>
            </w:tcBorders>
          </w:tcPr>
          <w:p w:rsidR="00156A44" w:rsidRPr="005E5944" w:rsidRDefault="00156A44" w:rsidP="00B2475A">
            <w:pPr>
              <w:pStyle w:val="Fichefinanciretextetable"/>
              <w:keepNext/>
              <w:jc w:val="center"/>
              <w:rPr>
                <w:noProof/>
              </w:rPr>
            </w:pPr>
            <w:r w:rsidRPr="005E5944">
              <w:rPr>
                <w:noProof/>
              </w:rPr>
              <w:t>2025</w:t>
            </w:r>
          </w:p>
        </w:tc>
        <w:tc>
          <w:tcPr>
            <w:tcW w:w="1559" w:type="dxa"/>
            <w:gridSpan w:val="2"/>
            <w:tcBorders>
              <w:bottom w:val="nil"/>
            </w:tcBorders>
          </w:tcPr>
          <w:p w:rsidR="00156A44" w:rsidRPr="005E5944" w:rsidRDefault="00156A44" w:rsidP="00B2475A">
            <w:pPr>
              <w:pStyle w:val="Fichefinanciretextetable"/>
              <w:keepNext/>
              <w:jc w:val="center"/>
              <w:rPr>
                <w:noProof/>
              </w:rPr>
            </w:pPr>
          </w:p>
        </w:tc>
        <w:tc>
          <w:tcPr>
            <w:tcW w:w="1701" w:type="dxa"/>
            <w:gridSpan w:val="2"/>
            <w:tcBorders>
              <w:bottom w:val="nil"/>
            </w:tcBorders>
          </w:tcPr>
          <w:p w:rsidR="00156A44" w:rsidRPr="005E5944" w:rsidRDefault="00156A44" w:rsidP="00B2475A">
            <w:pPr>
              <w:pStyle w:val="Fichefinanciretextetable"/>
              <w:keepNext/>
              <w:jc w:val="center"/>
              <w:rPr>
                <w:noProof/>
              </w:rPr>
            </w:pPr>
          </w:p>
        </w:tc>
      </w:tr>
      <w:tr w:rsidR="00156A44" w:rsidRPr="005E5944" w:rsidTr="00F252A0">
        <w:tc>
          <w:tcPr>
            <w:tcW w:w="567" w:type="dxa"/>
            <w:tcBorders>
              <w:top w:val="nil"/>
              <w:bottom w:val="nil"/>
              <w:right w:val="nil"/>
            </w:tcBorders>
          </w:tcPr>
          <w:p w:rsidR="00156A44" w:rsidRPr="005E5944" w:rsidRDefault="00156A44" w:rsidP="00B2475A">
            <w:pPr>
              <w:pStyle w:val="Fichefinanciretextetable"/>
              <w:keepNext/>
              <w:rPr>
                <w:noProof/>
              </w:rPr>
            </w:pPr>
            <w:r w:rsidRPr="005E5944">
              <w:rPr>
                <w:noProof/>
              </w:rPr>
              <w:t>5.0.1</w:t>
            </w:r>
          </w:p>
        </w:tc>
        <w:tc>
          <w:tcPr>
            <w:tcW w:w="3884" w:type="dxa"/>
            <w:tcBorders>
              <w:top w:val="nil"/>
              <w:left w:val="nil"/>
              <w:bottom w:val="nil"/>
            </w:tcBorders>
          </w:tcPr>
          <w:p w:rsidR="00156A44" w:rsidRPr="005E5944" w:rsidRDefault="00156A44" w:rsidP="00B2475A">
            <w:pPr>
              <w:pStyle w:val="Fichefinanciretextetable"/>
              <w:keepNext/>
              <w:rPr>
                <w:noProof/>
              </w:rPr>
            </w:pPr>
            <w:r w:rsidRPr="005E5944">
              <w:rPr>
                <w:noProof/>
              </w:rPr>
              <w:t>BERÄKNADE UTGIFTER</w:t>
            </w:r>
          </w:p>
        </w:tc>
        <w:tc>
          <w:tcPr>
            <w:tcW w:w="1417" w:type="dxa"/>
            <w:tcBorders>
              <w:bottom w:val="nil"/>
            </w:tcBorders>
          </w:tcPr>
          <w:p w:rsidR="00156A44" w:rsidRPr="005E5944" w:rsidRDefault="00156A44" w:rsidP="00B2475A">
            <w:pPr>
              <w:pStyle w:val="Fichefinanciretextetable"/>
              <w:keepNext/>
              <w:jc w:val="center"/>
              <w:rPr>
                <w:noProof/>
              </w:rPr>
            </w:pPr>
            <w:r w:rsidRPr="005E5944">
              <w:rPr>
                <w:noProof/>
              </w:rPr>
              <w:t>-</w:t>
            </w:r>
          </w:p>
        </w:tc>
        <w:tc>
          <w:tcPr>
            <w:tcW w:w="1559" w:type="dxa"/>
            <w:gridSpan w:val="2"/>
            <w:tcBorders>
              <w:bottom w:val="nil"/>
            </w:tcBorders>
          </w:tcPr>
          <w:p w:rsidR="00156A44" w:rsidRPr="005E5944" w:rsidRDefault="00156A44" w:rsidP="00B2475A">
            <w:pPr>
              <w:pStyle w:val="Fichefinanciretextetable"/>
              <w:keepNext/>
              <w:jc w:val="center"/>
              <w:rPr>
                <w:noProof/>
              </w:rPr>
            </w:pPr>
          </w:p>
        </w:tc>
        <w:tc>
          <w:tcPr>
            <w:tcW w:w="1701" w:type="dxa"/>
            <w:gridSpan w:val="2"/>
            <w:tcBorders>
              <w:bottom w:val="nil"/>
            </w:tcBorders>
          </w:tcPr>
          <w:p w:rsidR="00156A44" w:rsidRPr="005E5944" w:rsidRDefault="00156A44" w:rsidP="00B2475A">
            <w:pPr>
              <w:pStyle w:val="Fichefinanciretextetable"/>
              <w:keepNext/>
              <w:jc w:val="center"/>
              <w:rPr>
                <w:noProof/>
              </w:rPr>
            </w:pPr>
          </w:p>
        </w:tc>
      </w:tr>
      <w:tr w:rsidR="00156A44" w:rsidRPr="005E5944" w:rsidTr="00F252A0">
        <w:tc>
          <w:tcPr>
            <w:tcW w:w="567" w:type="dxa"/>
            <w:tcBorders>
              <w:top w:val="nil"/>
              <w:right w:val="nil"/>
            </w:tcBorders>
          </w:tcPr>
          <w:p w:rsidR="00156A44" w:rsidRPr="005E5944" w:rsidRDefault="00156A44" w:rsidP="00B2475A">
            <w:pPr>
              <w:pStyle w:val="Fichefinanciretextetable"/>
              <w:keepNext/>
              <w:rPr>
                <w:noProof/>
              </w:rPr>
            </w:pPr>
            <w:r w:rsidRPr="005E5944">
              <w:rPr>
                <w:noProof/>
              </w:rPr>
              <w:t>5.1.1</w:t>
            </w:r>
          </w:p>
        </w:tc>
        <w:tc>
          <w:tcPr>
            <w:tcW w:w="3884" w:type="dxa"/>
            <w:tcBorders>
              <w:top w:val="nil"/>
              <w:left w:val="nil"/>
            </w:tcBorders>
          </w:tcPr>
          <w:p w:rsidR="00156A44" w:rsidRPr="005E5944" w:rsidRDefault="00156A44" w:rsidP="00B2475A">
            <w:pPr>
              <w:pStyle w:val="Fichefinanciretextetable"/>
              <w:keepNext/>
              <w:rPr>
                <w:noProof/>
              </w:rPr>
            </w:pPr>
            <w:r w:rsidRPr="005E5944">
              <w:rPr>
                <w:noProof/>
              </w:rPr>
              <w:t>BERÄKNADE INKOMSTER</w:t>
            </w:r>
          </w:p>
        </w:tc>
        <w:tc>
          <w:tcPr>
            <w:tcW w:w="1417" w:type="dxa"/>
            <w:tcBorders>
              <w:top w:val="nil"/>
            </w:tcBorders>
          </w:tcPr>
          <w:p w:rsidR="00156A44" w:rsidRPr="005E5944" w:rsidRDefault="00156A44" w:rsidP="00B2475A">
            <w:pPr>
              <w:pStyle w:val="Fichefinanciretextetable"/>
              <w:keepNext/>
              <w:jc w:val="center"/>
              <w:rPr>
                <w:noProof/>
              </w:rPr>
            </w:pPr>
          </w:p>
        </w:tc>
        <w:tc>
          <w:tcPr>
            <w:tcW w:w="1559" w:type="dxa"/>
            <w:gridSpan w:val="2"/>
            <w:tcBorders>
              <w:top w:val="nil"/>
            </w:tcBorders>
          </w:tcPr>
          <w:p w:rsidR="00156A44" w:rsidRPr="005E5944" w:rsidRDefault="00156A44" w:rsidP="00B2475A">
            <w:pPr>
              <w:pStyle w:val="Fichefinanciretextetable"/>
              <w:keepNext/>
              <w:jc w:val="center"/>
              <w:rPr>
                <w:noProof/>
              </w:rPr>
            </w:pPr>
          </w:p>
        </w:tc>
        <w:tc>
          <w:tcPr>
            <w:tcW w:w="1701" w:type="dxa"/>
            <w:gridSpan w:val="2"/>
            <w:tcBorders>
              <w:top w:val="nil"/>
            </w:tcBorders>
          </w:tcPr>
          <w:p w:rsidR="00156A44" w:rsidRPr="005E5944" w:rsidRDefault="00156A44" w:rsidP="00B2475A">
            <w:pPr>
              <w:pStyle w:val="Fichefinanciretextetable"/>
              <w:keepNext/>
              <w:jc w:val="center"/>
              <w:rPr>
                <w:noProof/>
              </w:rPr>
            </w:pPr>
          </w:p>
        </w:tc>
      </w:tr>
      <w:tr w:rsidR="00156A44" w:rsidRPr="005E5944" w:rsidTr="00F252A0">
        <w:tc>
          <w:tcPr>
            <w:tcW w:w="567" w:type="dxa"/>
            <w:tcBorders>
              <w:right w:val="nil"/>
            </w:tcBorders>
          </w:tcPr>
          <w:p w:rsidR="00156A44" w:rsidRPr="005E5944" w:rsidRDefault="00156A44" w:rsidP="00B2475A">
            <w:pPr>
              <w:pStyle w:val="Fichefinanciretextetable"/>
              <w:keepNext/>
              <w:rPr>
                <w:noProof/>
              </w:rPr>
            </w:pPr>
            <w:r w:rsidRPr="005E5944">
              <w:rPr>
                <w:noProof/>
              </w:rPr>
              <w:t>5.2</w:t>
            </w:r>
          </w:p>
        </w:tc>
        <w:tc>
          <w:tcPr>
            <w:tcW w:w="8561" w:type="dxa"/>
            <w:gridSpan w:val="6"/>
            <w:tcBorders>
              <w:left w:val="nil"/>
            </w:tcBorders>
          </w:tcPr>
          <w:p w:rsidR="00156A44" w:rsidRPr="005E5944" w:rsidRDefault="00156A44" w:rsidP="00B2475A">
            <w:pPr>
              <w:pStyle w:val="Fichefinanciretextetable"/>
              <w:keepNext/>
              <w:spacing w:before="60" w:after="60"/>
              <w:rPr>
                <w:noProof/>
              </w:rPr>
            </w:pPr>
            <w:r w:rsidRPr="005E5944">
              <w:rPr>
                <w:noProof/>
              </w:rPr>
              <w:t>BERÄKNINGSMETOD: Utifrån en beräkning av det preliminära antalet röster som EU har (vilket varierar varje år) och det preliminära belopp som ska erläggas per röst (i GBP).</w:t>
            </w:r>
          </w:p>
        </w:tc>
      </w:tr>
      <w:tr w:rsidR="00156A44" w:rsidRPr="005E5944" w:rsidTr="00F252A0">
        <w:tc>
          <w:tcPr>
            <w:tcW w:w="567" w:type="dxa"/>
            <w:tcBorders>
              <w:bottom w:val="nil"/>
              <w:right w:val="nil"/>
            </w:tcBorders>
          </w:tcPr>
          <w:p w:rsidR="00156A44" w:rsidRPr="005E5944" w:rsidRDefault="00156A44" w:rsidP="00B2475A">
            <w:pPr>
              <w:pStyle w:val="Fichefinanciretextetable"/>
              <w:keepNext/>
              <w:rPr>
                <w:noProof/>
              </w:rPr>
            </w:pPr>
            <w:r w:rsidRPr="005E5944">
              <w:rPr>
                <w:noProof/>
              </w:rPr>
              <w:t>6.0</w:t>
            </w:r>
          </w:p>
        </w:tc>
        <w:tc>
          <w:tcPr>
            <w:tcW w:w="7711" w:type="dxa"/>
            <w:gridSpan w:val="5"/>
            <w:tcBorders>
              <w:left w:val="nil"/>
              <w:right w:val="nil"/>
            </w:tcBorders>
          </w:tcPr>
          <w:p w:rsidR="00156A44" w:rsidRPr="005E5944" w:rsidRDefault="00156A44" w:rsidP="00B2475A">
            <w:pPr>
              <w:pStyle w:val="Fichefinanciretextetable"/>
              <w:keepNext/>
              <w:spacing w:before="60" w:after="60"/>
              <w:rPr>
                <w:noProof/>
              </w:rPr>
            </w:pPr>
            <w:r w:rsidRPr="005E5944">
              <w:rPr>
                <w:noProof/>
              </w:rPr>
              <w:t>KAN PROJEKTET FINANSIERAS MED DE MEDEL SOM ANSLAGITS UNDER DET BERÖRDA KAPITLET I BUDGETEN FÖR INNEVARANDE ÅR?</w:t>
            </w:r>
          </w:p>
        </w:tc>
        <w:tc>
          <w:tcPr>
            <w:tcW w:w="850" w:type="dxa"/>
            <w:tcBorders>
              <w:left w:val="nil"/>
              <w:bottom w:val="nil"/>
            </w:tcBorders>
          </w:tcPr>
          <w:p w:rsidR="00156A44" w:rsidRPr="005E5944" w:rsidRDefault="00156A44" w:rsidP="00B2475A">
            <w:pPr>
              <w:pStyle w:val="Fichefinanciretextetable"/>
              <w:keepNext/>
              <w:jc w:val="center"/>
              <w:rPr>
                <w:noProof/>
              </w:rPr>
            </w:pPr>
            <w:r w:rsidRPr="005E5944">
              <w:rPr>
                <w:noProof/>
              </w:rPr>
              <w:t xml:space="preserve">JA </w:t>
            </w:r>
          </w:p>
        </w:tc>
      </w:tr>
      <w:tr w:rsidR="00156A44" w:rsidRPr="005E5944" w:rsidTr="00F252A0">
        <w:tc>
          <w:tcPr>
            <w:tcW w:w="567" w:type="dxa"/>
            <w:tcBorders>
              <w:bottom w:val="nil"/>
              <w:right w:val="nil"/>
            </w:tcBorders>
          </w:tcPr>
          <w:p w:rsidR="00156A44" w:rsidRPr="005E5944" w:rsidRDefault="00156A44" w:rsidP="00B2475A">
            <w:pPr>
              <w:pStyle w:val="Fichefinanciretextetable"/>
              <w:keepNext/>
              <w:rPr>
                <w:noProof/>
              </w:rPr>
            </w:pPr>
            <w:r w:rsidRPr="005E5944">
              <w:rPr>
                <w:noProof/>
              </w:rPr>
              <w:t>6.1</w:t>
            </w:r>
          </w:p>
        </w:tc>
        <w:tc>
          <w:tcPr>
            <w:tcW w:w="7711" w:type="dxa"/>
            <w:gridSpan w:val="5"/>
            <w:tcBorders>
              <w:left w:val="nil"/>
              <w:right w:val="nil"/>
            </w:tcBorders>
          </w:tcPr>
          <w:p w:rsidR="00156A44" w:rsidRPr="005E5944" w:rsidRDefault="00156A44" w:rsidP="00B2475A">
            <w:pPr>
              <w:pStyle w:val="Fichefinanciretextetable"/>
              <w:keepNext/>
              <w:spacing w:before="60" w:after="60"/>
              <w:rPr>
                <w:noProof/>
              </w:rPr>
            </w:pPr>
            <w:r w:rsidRPr="005E5944">
              <w:rPr>
                <w:noProof/>
              </w:rPr>
              <w:t>KAN PROJEKTET FINANSIERAS GENOM ÖVERFÖRING MELLAN KAPITEL I DEN GÄLLANDE BUDGETEN?</w:t>
            </w:r>
          </w:p>
        </w:tc>
        <w:tc>
          <w:tcPr>
            <w:tcW w:w="850" w:type="dxa"/>
            <w:tcBorders>
              <w:left w:val="nil"/>
              <w:bottom w:val="nil"/>
            </w:tcBorders>
          </w:tcPr>
          <w:p w:rsidR="00156A44" w:rsidRPr="005E5944" w:rsidRDefault="00156A44" w:rsidP="00B2475A">
            <w:pPr>
              <w:pStyle w:val="Fichefinanciretextetable"/>
              <w:keepNext/>
              <w:jc w:val="center"/>
              <w:rPr>
                <w:noProof/>
              </w:rPr>
            </w:pPr>
            <w:r w:rsidRPr="005E5944">
              <w:rPr>
                <w:noProof/>
              </w:rPr>
              <w:t>-</w:t>
            </w:r>
          </w:p>
        </w:tc>
      </w:tr>
      <w:tr w:rsidR="00156A44" w:rsidRPr="005E5944" w:rsidTr="00F252A0">
        <w:tc>
          <w:tcPr>
            <w:tcW w:w="567" w:type="dxa"/>
            <w:tcBorders>
              <w:bottom w:val="nil"/>
              <w:right w:val="nil"/>
            </w:tcBorders>
          </w:tcPr>
          <w:p w:rsidR="00156A44" w:rsidRPr="005E5944" w:rsidRDefault="00156A44" w:rsidP="00B2475A">
            <w:pPr>
              <w:pStyle w:val="Fichefinanciretextetable"/>
              <w:keepNext/>
              <w:rPr>
                <w:noProof/>
              </w:rPr>
            </w:pPr>
            <w:r w:rsidRPr="005E5944">
              <w:rPr>
                <w:noProof/>
              </w:rPr>
              <w:t>6.2</w:t>
            </w:r>
          </w:p>
        </w:tc>
        <w:tc>
          <w:tcPr>
            <w:tcW w:w="7711" w:type="dxa"/>
            <w:gridSpan w:val="5"/>
            <w:tcBorders>
              <w:left w:val="nil"/>
              <w:right w:val="nil"/>
            </w:tcBorders>
          </w:tcPr>
          <w:p w:rsidR="00156A44" w:rsidRPr="005E5944" w:rsidRDefault="00156A44" w:rsidP="00B2475A">
            <w:pPr>
              <w:pStyle w:val="Fichefinanciretextetable"/>
              <w:keepNext/>
              <w:spacing w:before="60" w:after="60"/>
              <w:rPr>
                <w:noProof/>
              </w:rPr>
            </w:pPr>
            <w:r w:rsidRPr="005E5944">
              <w:rPr>
                <w:noProof/>
              </w:rPr>
              <w:t>KOMMER DET ATT BEHÖVAS EN TILLÄGGSBUDGET?</w:t>
            </w:r>
          </w:p>
        </w:tc>
        <w:tc>
          <w:tcPr>
            <w:tcW w:w="850" w:type="dxa"/>
            <w:tcBorders>
              <w:left w:val="nil"/>
              <w:bottom w:val="nil"/>
            </w:tcBorders>
          </w:tcPr>
          <w:p w:rsidR="00156A44" w:rsidRPr="005E5944" w:rsidRDefault="00156A44" w:rsidP="00B2475A">
            <w:pPr>
              <w:pStyle w:val="Fichefinanciretextetable"/>
              <w:keepNext/>
              <w:jc w:val="center"/>
              <w:rPr>
                <w:noProof/>
              </w:rPr>
            </w:pPr>
            <w:r w:rsidRPr="005E5944">
              <w:rPr>
                <w:noProof/>
              </w:rPr>
              <w:t>-</w:t>
            </w:r>
          </w:p>
        </w:tc>
      </w:tr>
      <w:tr w:rsidR="00156A44" w:rsidRPr="005E5944" w:rsidTr="00F252A0">
        <w:tc>
          <w:tcPr>
            <w:tcW w:w="567" w:type="dxa"/>
            <w:tcBorders>
              <w:right w:val="nil"/>
            </w:tcBorders>
          </w:tcPr>
          <w:p w:rsidR="00156A44" w:rsidRPr="005E5944" w:rsidRDefault="00156A44" w:rsidP="00B2475A">
            <w:pPr>
              <w:pStyle w:val="Fichefinanciretextetable"/>
              <w:keepNext/>
              <w:rPr>
                <w:noProof/>
              </w:rPr>
            </w:pPr>
            <w:r w:rsidRPr="005E5944">
              <w:rPr>
                <w:noProof/>
              </w:rPr>
              <w:t>6.3</w:t>
            </w:r>
          </w:p>
        </w:tc>
        <w:tc>
          <w:tcPr>
            <w:tcW w:w="7711" w:type="dxa"/>
            <w:gridSpan w:val="5"/>
            <w:tcBorders>
              <w:left w:val="nil"/>
              <w:right w:val="nil"/>
            </w:tcBorders>
          </w:tcPr>
          <w:p w:rsidR="00156A44" w:rsidRPr="005E5944" w:rsidRDefault="00156A44" w:rsidP="00B2475A">
            <w:pPr>
              <w:pStyle w:val="Fichefinanciretextetable"/>
              <w:keepNext/>
              <w:spacing w:before="60" w:after="60"/>
              <w:rPr>
                <w:noProof/>
              </w:rPr>
            </w:pPr>
            <w:r w:rsidRPr="005E5944">
              <w:rPr>
                <w:noProof/>
              </w:rPr>
              <w:t>KOMMER DET ATT BEHÖVAS ANSLAG I KOMMANDE BUDGETAR?</w:t>
            </w:r>
          </w:p>
        </w:tc>
        <w:tc>
          <w:tcPr>
            <w:tcW w:w="850" w:type="dxa"/>
            <w:tcBorders>
              <w:left w:val="nil"/>
            </w:tcBorders>
          </w:tcPr>
          <w:p w:rsidR="00156A44" w:rsidRPr="005E5944" w:rsidRDefault="00156A44" w:rsidP="00B2475A">
            <w:pPr>
              <w:pStyle w:val="Fichefinanciretextetable"/>
              <w:keepNext/>
              <w:jc w:val="center"/>
              <w:rPr>
                <w:noProof/>
              </w:rPr>
            </w:pPr>
            <w:r w:rsidRPr="005E5944">
              <w:rPr>
                <w:noProof/>
              </w:rPr>
              <w:t xml:space="preserve">JA </w:t>
            </w:r>
          </w:p>
        </w:tc>
      </w:tr>
      <w:tr w:rsidR="00156A44" w:rsidRPr="005E5944" w:rsidTr="00F252A0">
        <w:tc>
          <w:tcPr>
            <w:tcW w:w="9128" w:type="dxa"/>
            <w:gridSpan w:val="7"/>
          </w:tcPr>
          <w:p w:rsidR="00156A44" w:rsidRPr="005E5944" w:rsidRDefault="00156A44" w:rsidP="00B2475A">
            <w:pPr>
              <w:pStyle w:val="Fichefinanciretextetable"/>
              <w:keepNext/>
              <w:rPr>
                <w:noProof/>
              </w:rPr>
            </w:pPr>
            <w:r w:rsidRPr="005E5944">
              <w:rPr>
                <w:noProof/>
              </w:rPr>
              <w:t>ANMÄRKNINGAR:</w:t>
            </w:r>
          </w:p>
          <w:p w:rsidR="00156A44" w:rsidRPr="005E5944" w:rsidRDefault="00156A44" w:rsidP="00B2475A">
            <w:pPr>
              <w:keepNext/>
              <w:autoSpaceDE w:val="0"/>
              <w:autoSpaceDN w:val="0"/>
              <w:adjustRightInd w:val="0"/>
              <w:rPr>
                <w:noProof/>
                <w:sz w:val="20"/>
              </w:rPr>
            </w:pPr>
            <w:r w:rsidRPr="005E5944">
              <w:rPr>
                <w:noProof/>
                <w:sz w:val="20"/>
              </w:rPr>
              <w:t>Beloppen för 2026 och 2027 är beroende av tillgängliga budgetmedel.</w:t>
            </w:r>
          </w:p>
          <w:p w:rsidR="00156A44" w:rsidRPr="005E5944" w:rsidRDefault="00156A44" w:rsidP="00B2475A">
            <w:pPr>
              <w:keepNext/>
              <w:autoSpaceDE w:val="0"/>
              <w:autoSpaceDN w:val="0"/>
              <w:adjustRightInd w:val="0"/>
              <w:rPr>
                <w:noProof/>
                <w:sz w:val="20"/>
              </w:rPr>
            </w:pPr>
            <w:r w:rsidRPr="005E5944">
              <w:rPr>
                <w:noProof/>
                <w:sz w:val="20"/>
              </w:rPr>
              <w:t xml:space="preserve">EU:s årliga bidrag betalas i GBP. Det belopp som faktiskt ska erläggas kan variera beroende på det slutliga antal röster som EU har, det belopp som ska erläggas per röst och växelkursen för EUR i förhållande till GBP. </w:t>
            </w:r>
          </w:p>
          <w:p w:rsidR="00156A44" w:rsidRPr="005E5944" w:rsidRDefault="00156A44" w:rsidP="00F252A0">
            <w:pPr>
              <w:autoSpaceDE w:val="0"/>
              <w:autoSpaceDN w:val="0"/>
              <w:adjustRightInd w:val="0"/>
              <w:rPr>
                <w:noProof/>
              </w:rPr>
            </w:pPr>
            <w:r w:rsidRPr="005E5944">
              <w:rPr>
                <w:noProof/>
                <w:sz w:val="20"/>
              </w:rPr>
              <w:t>Beloppet för 2025–2026 och 2026–2027 kan öka något om den höga inflationen håller i sig.</w:t>
            </w:r>
          </w:p>
        </w:tc>
      </w:tr>
    </w:tbl>
    <w:p w:rsidR="00A93BF2" w:rsidRPr="005E5944" w:rsidRDefault="00A93BF2" w:rsidP="000365D9">
      <w:pPr>
        <w:rPr>
          <w:noProof/>
        </w:rPr>
      </w:pPr>
    </w:p>
    <w:sectPr w:rsidR="00A93BF2" w:rsidRPr="005E5944" w:rsidSect="00186069">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DD3" w:rsidRDefault="00555DD3" w:rsidP="00A93BF2">
      <w:pPr>
        <w:spacing w:before="0" w:after="0"/>
      </w:pPr>
      <w:r>
        <w:separator/>
      </w:r>
    </w:p>
  </w:endnote>
  <w:endnote w:type="continuationSeparator" w:id="0">
    <w:p w:rsidR="00555DD3" w:rsidRDefault="00555DD3" w:rsidP="00A93BF2">
      <w:pPr>
        <w:spacing w:before="0" w:after="0"/>
      </w:pPr>
      <w:r>
        <w:continuationSeparator/>
      </w:r>
    </w:p>
  </w:endnote>
  <w:endnote w:type="continuationNotice" w:id="1">
    <w:p w:rsidR="00555DD3" w:rsidRDefault="00555D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69" w:rsidRPr="00186069" w:rsidRDefault="00186069" w:rsidP="00186069">
    <w:pPr>
      <w:pStyle w:val="Footer"/>
      <w:rPr>
        <w:rFonts w:ascii="Arial" w:hAnsi="Arial" w:cs="Arial"/>
        <w:b/>
        <w:sz w:val="48"/>
      </w:rPr>
    </w:pPr>
    <w:r w:rsidRPr="00186069">
      <w:rPr>
        <w:rFonts w:ascii="Arial" w:hAnsi="Arial" w:cs="Arial"/>
        <w:b/>
        <w:sz w:val="48"/>
      </w:rPr>
      <w:t>SV</w:t>
    </w:r>
    <w:r w:rsidRPr="00186069">
      <w:rPr>
        <w:rFonts w:ascii="Arial" w:hAnsi="Arial" w:cs="Arial"/>
        <w:b/>
        <w:sz w:val="48"/>
      </w:rPr>
      <w:tab/>
    </w:r>
    <w:r w:rsidRPr="00186069">
      <w:rPr>
        <w:rFonts w:ascii="Arial" w:hAnsi="Arial" w:cs="Arial"/>
        <w:b/>
        <w:sz w:val="48"/>
      </w:rPr>
      <w:tab/>
    </w:r>
    <w:r w:rsidRPr="00186069">
      <w:tab/>
    </w:r>
    <w:r w:rsidRPr="00186069">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69" w:rsidRPr="00186069" w:rsidRDefault="00186069" w:rsidP="00186069">
    <w:pPr>
      <w:pStyle w:val="Footer"/>
      <w:rPr>
        <w:rFonts w:ascii="Arial" w:hAnsi="Arial" w:cs="Arial"/>
        <w:b/>
        <w:sz w:val="48"/>
      </w:rPr>
    </w:pPr>
    <w:r w:rsidRPr="00186069">
      <w:rPr>
        <w:rFonts w:ascii="Arial" w:hAnsi="Arial" w:cs="Arial"/>
        <w:b/>
        <w:sz w:val="48"/>
      </w:rPr>
      <w:t>SV</w:t>
    </w:r>
    <w:r w:rsidRPr="00186069">
      <w:rPr>
        <w:rFonts w:ascii="Arial" w:hAnsi="Arial" w:cs="Arial"/>
        <w:b/>
        <w:sz w:val="48"/>
      </w:rPr>
      <w:tab/>
    </w:r>
    <w:r w:rsidRPr="00186069">
      <w:rPr>
        <w:rFonts w:ascii="Arial" w:hAnsi="Arial" w:cs="Arial"/>
        <w:b/>
        <w:sz w:val="48"/>
      </w:rPr>
      <w:tab/>
    </w:r>
    <w:r w:rsidRPr="00186069">
      <w:tab/>
    </w:r>
    <w:r w:rsidRPr="00186069">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69" w:rsidRDefault="001860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69" w:rsidRPr="00186069" w:rsidRDefault="00186069" w:rsidP="00186069">
    <w:pPr>
      <w:pStyle w:val="Footer"/>
      <w:rPr>
        <w:rFonts w:ascii="Arial" w:hAnsi="Arial" w:cs="Arial"/>
        <w:b/>
        <w:sz w:val="48"/>
      </w:rPr>
    </w:pPr>
    <w:r w:rsidRPr="00186069">
      <w:rPr>
        <w:rFonts w:ascii="Arial" w:hAnsi="Arial" w:cs="Arial"/>
        <w:b/>
        <w:sz w:val="48"/>
      </w:rPr>
      <w:t>SV</w:t>
    </w:r>
    <w:r w:rsidRPr="00186069">
      <w:rPr>
        <w:rFonts w:ascii="Arial" w:hAnsi="Arial" w:cs="Arial"/>
        <w:b/>
        <w:sz w:val="48"/>
      </w:rPr>
      <w:tab/>
    </w:r>
    <w:r>
      <w:fldChar w:fldCharType="begin"/>
    </w:r>
    <w:r>
      <w:instrText xml:space="preserve"> PAGE  \* MERGEFORMAT </w:instrText>
    </w:r>
    <w:r>
      <w:fldChar w:fldCharType="separate"/>
    </w:r>
    <w:r w:rsidR="00B2475A">
      <w:rPr>
        <w:noProof/>
      </w:rPr>
      <w:t>6</w:t>
    </w:r>
    <w:r>
      <w:fldChar w:fldCharType="end"/>
    </w:r>
    <w:r>
      <w:tab/>
    </w:r>
    <w:r w:rsidRPr="00186069">
      <w:tab/>
    </w:r>
    <w:r w:rsidRPr="00186069">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69" w:rsidRDefault="00186069" w:rsidP="0018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DD3" w:rsidRDefault="00555DD3" w:rsidP="00A93BF2">
      <w:pPr>
        <w:spacing w:before="0" w:after="0"/>
      </w:pPr>
      <w:r>
        <w:separator/>
      </w:r>
    </w:p>
  </w:footnote>
  <w:footnote w:type="continuationSeparator" w:id="0">
    <w:p w:rsidR="00555DD3" w:rsidRDefault="00555DD3" w:rsidP="00A93BF2">
      <w:pPr>
        <w:spacing w:before="0" w:after="0"/>
      </w:pPr>
      <w:r>
        <w:continuationSeparator/>
      </w:r>
    </w:p>
  </w:footnote>
  <w:footnote w:type="continuationNotice" w:id="1">
    <w:p w:rsidR="00555DD3" w:rsidRDefault="00555DD3">
      <w:pPr>
        <w:spacing w:before="0" w:after="0"/>
      </w:pPr>
    </w:p>
  </w:footnote>
  <w:footnote w:id="2">
    <w:p w:rsidR="00001419" w:rsidRPr="005E5944" w:rsidRDefault="00001419">
      <w:pPr>
        <w:pStyle w:val="FootnoteText"/>
      </w:pPr>
      <w:r>
        <w:rPr>
          <w:rStyle w:val="FootnoteReference"/>
        </w:rPr>
        <w:footnoteRef/>
      </w:r>
      <w:r w:rsidRPr="005E5944">
        <w:tab/>
        <w:t>Rådets beslut 96/88/EG av den 19 december 1995 om Europeiska gemenskapens godkännande av konventionen om handel med spannmål och konventionen om livsmedelsbistånd, vilka utgör 1995 års internationella spannmålsavtal (EGT L 21, 27.1.1996, s. 47).</w:t>
      </w:r>
    </w:p>
  </w:footnote>
  <w:footnote w:id="3">
    <w:p w:rsidR="007A5E85" w:rsidRPr="005E5944" w:rsidRDefault="007A5E85">
      <w:pPr>
        <w:pStyle w:val="FootnoteText"/>
      </w:pPr>
      <w:r>
        <w:rPr>
          <w:rStyle w:val="FootnoteReference"/>
        </w:rPr>
        <w:footnoteRef/>
      </w:r>
      <w:r w:rsidRPr="005E5944">
        <w:rPr>
          <w:vertAlign w:val="superscript"/>
        </w:rPr>
        <w:tab/>
      </w:r>
      <w:r w:rsidRPr="005E5944">
        <w:t xml:space="preserve">Rådets beslut (EU) 2023/991 av den 15 maj 2023 om den ståndpunkt som ska intas på Europeiska unionens vägnar i Internationella spannmålsrådet vad gäller förlängning av 1995 års konvention om handel med spannmål (EUT L 135, 23.5.2023, s. 114). </w:t>
      </w:r>
      <w:hyperlink r:id="rId1" w:history="1">
        <w:r w:rsidRPr="005E5944">
          <w:rPr>
            <w:rStyle w:val="Hyperlink"/>
          </w:rPr>
          <w:t>http://data.europa.eu/eli/dec/2023/991/oj</w:t>
        </w:r>
      </w:hyperlink>
      <w:r w:rsidRPr="005E5944">
        <w:t>).</w:t>
      </w:r>
    </w:p>
    <w:p w:rsidR="00262CEE" w:rsidRPr="005E5944" w:rsidRDefault="00262CEE">
      <w:pPr>
        <w:pStyle w:val="FootnoteText"/>
      </w:pPr>
      <w:r w:rsidRPr="005E5944">
        <w:t xml:space="preserve">3 </w:t>
      </w:r>
      <w:r w:rsidRPr="005E5944">
        <w:tab/>
        <w:t>EGT L 21, 27.1.1996, s. 47.</w:t>
      </w:r>
    </w:p>
    <w:p w:rsidR="003C134C" w:rsidRPr="005E5944" w:rsidRDefault="003C134C">
      <w:pPr>
        <w:pStyle w:val="FootnoteText"/>
      </w:pPr>
      <w:r w:rsidRPr="005E5944">
        <w:t xml:space="preserve">4 </w:t>
      </w:r>
      <w:r w:rsidRPr="005E5944">
        <w:tab/>
        <w:t>Internationella spannmålsrådet verkar på grundval av räkenskapsår som löper den 1 juli–30 juni.</w:t>
      </w:r>
    </w:p>
    <w:p w:rsidR="003C134C" w:rsidRPr="005E5944" w:rsidRDefault="003C134C">
      <w:pPr>
        <w:pStyle w:val="FootnoteText"/>
      </w:pPr>
      <w:r w:rsidRPr="005E5944">
        <w:t xml:space="preserve">5 </w:t>
      </w:r>
      <w:r w:rsidRPr="005E5944">
        <w:tab/>
        <w:t>EGT L 21, 27.1.1996, s. 47.</w:t>
      </w:r>
    </w:p>
    <w:p w:rsidR="003C134C" w:rsidRPr="005E5944" w:rsidRDefault="003C134C">
      <w:pPr>
        <w:pStyle w:val="FootnoteText"/>
      </w:pPr>
      <w:r w:rsidRPr="005E5944">
        <w:rPr>
          <w:vertAlign w:val="superscript"/>
        </w:rPr>
        <w:t>6</w:t>
      </w:r>
      <w:r w:rsidRPr="005E5944">
        <w:tab/>
        <w:t>Domstolens dom av den 7 oktober 2014, Tyskland/rådet, C-399/12, ECLI:EU:C:2014:2258, punkterna 63 och 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69" w:rsidRDefault="00186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69" w:rsidRDefault="0018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num>
  <w:num w:numId="19">
    <w:abstractNumId w:val="30"/>
    <w:lvlOverride w:ilvl="0">
      <w:startOverride w:val="1"/>
    </w:lvlOverride>
  </w:num>
  <w:num w:numId="20">
    <w:abstractNumId w:val="15"/>
    <w:lvlOverride w:ilvl="0">
      <w:startOverride w:val="1"/>
    </w:lvlOverride>
  </w:num>
  <w:num w:numId="21">
    <w:abstractNumId w:val="23"/>
  </w:num>
  <w:num w:numId="22">
    <w:abstractNumId w:val="12"/>
  </w:num>
  <w:num w:numId="23">
    <w:abstractNumId w:val="26"/>
  </w:num>
  <w:num w:numId="24">
    <w:abstractNumId w:val="6"/>
  </w:num>
  <w:num w:numId="25">
    <w:abstractNumId w:val="13"/>
  </w:num>
  <w:num w:numId="26">
    <w:abstractNumId w:val="14"/>
  </w:num>
  <w:num w:numId="27">
    <w:abstractNumId w:val="4"/>
  </w:num>
  <w:num w:numId="28">
    <w:abstractNumId w:val="25"/>
  </w:num>
  <w:num w:numId="29">
    <w:abstractNumId w:val="3"/>
  </w:num>
  <w:num w:numId="30">
    <w:abstractNumId w:val="15"/>
  </w:num>
  <w:num w:numId="31">
    <w:abstractNumId w:val="21"/>
  </w:num>
  <w:num w:numId="32">
    <w:abstractNumId w:val="22"/>
  </w:num>
  <w:num w:numId="33">
    <w:abstractNumId w:val="5"/>
  </w:num>
  <w:num w:numId="34">
    <w:abstractNumId w:val="19"/>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4-09 10:53: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BBF6F75-C823-437A-9CA9-5D029D0C0F4B"/>
    <w:docVar w:name="LW_COVERPAGE_TYPE" w:val="1"/>
    <w:docVar w:name="LW_CreatedUtc" w:val="2025-01-28T15:33:47.3362563Z"/>
    <w:docVar w:name="LW_CROSSREFERENCE" w:val="&lt;UNUSED&gt;"/>
    <w:docVar w:name="LW_DocType" w:val="COM"/>
    <w:docVar w:name="LW_EMISSION" w:val="9.4.2025"/>
    <w:docVar w:name="LW_EMISSION_ISODATE" w:val="2025-04-09"/>
    <w:docVar w:name="LW_EMISSION_LOCATION" w:val="BRX"/>
    <w:docVar w:name="LW_EMISSION_PREFIX" w:val="Bryssel den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087"/>
    <w:docVar w:name="LW_REF.II.NEW.CP_YEAR" w:val="2025"/>
    <w:docVar w:name="LW_REF.INST.NEW" w:val="COM"/>
    <w:docVar w:name="LW_REF.INST.NEW_ADOPTED" w:val="final"/>
    <w:docVar w:name="LW_REF.INST.NEW_TEXT" w:val="(2025) 16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den ståndpunkt som ska intas på Europeiska unionens vägnar i Internationella spannmålsrådet vad gäller förlängning av 1995 års konvention om handel med spannmål"/>
    <w:docVar w:name="LW_TYPE.DOC.CP" w:val="RÅDETS BESLUT"/>
    <w:docVar w:name="LwApiVersions" w:val="LW4CoDe 1.24.5.0; LW 9.0, Build 20240221"/>
  </w:docVars>
  <w:rsids>
    <w:rsidRoot w:val="00A93BF2"/>
    <w:rsid w:val="00001419"/>
    <w:rsid w:val="0000171C"/>
    <w:rsid w:val="00005BC6"/>
    <w:rsid w:val="00010744"/>
    <w:rsid w:val="00017CE2"/>
    <w:rsid w:val="000276E3"/>
    <w:rsid w:val="000365D9"/>
    <w:rsid w:val="000369CB"/>
    <w:rsid w:val="000517C5"/>
    <w:rsid w:val="000518A1"/>
    <w:rsid w:val="00061191"/>
    <w:rsid w:val="000823C7"/>
    <w:rsid w:val="000835E0"/>
    <w:rsid w:val="00083F17"/>
    <w:rsid w:val="000942FD"/>
    <w:rsid w:val="00094742"/>
    <w:rsid w:val="000B46A7"/>
    <w:rsid w:val="000B67C8"/>
    <w:rsid w:val="000C1332"/>
    <w:rsid w:val="000D0F3F"/>
    <w:rsid w:val="000D55B5"/>
    <w:rsid w:val="000E2AF2"/>
    <w:rsid w:val="0010030D"/>
    <w:rsid w:val="001030E0"/>
    <w:rsid w:val="00105D00"/>
    <w:rsid w:val="001065F5"/>
    <w:rsid w:val="00106A3B"/>
    <w:rsid w:val="0010774C"/>
    <w:rsid w:val="00110746"/>
    <w:rsid w:val="00112C68"/>
    <w:rsid w:val="00117389"/>
    <w:rsid w:val="001238EF"/>
    <w:rsid w:val="0012535A"/>
    <w:rsid w:val="00142389"/>
    <w:rsid w:val="00156A44"/>
    <w:rsid w:val="00170E41"/>
    <w:rsid w:val="00174487"/>
    <w:rsid w:val="00174E92"/>
    <w:rsid w:val="00177738"/>
    <w:rsid w:val="00181C14"/>
    <w:rsid w:val="00182391"/>
    <w:rsid w:val="001823A5"/>
    <w:rsid w:val="001858C7"/>
    <w:rsid w:val="00186069"/>
    <w:rsid w:val="0019099F"/>
    <w:rsid w:val="00192608"/>
    <w:rsid w:val="00197613"/>
    <w:rsid w:val="001A02E4"/>
    <w:rsid w:val="001A34D4"/>
    <w:rsid w:val="001A3A40"/>
    <w:rsid w:val="001B145D"/>
    <w:rsid w:val="001B47E5"/>
    <w:rsid w:val="001B5C7C"/>
    <w:rsid w:val="001B65A6"/>
    <w:rsid w:val="001C6B17"/>
    <w:rsid w:val="001D3504"/>
    <w:rsid w:val="001D503A"/>
    <w:rsid w:val="0020037D"/>
    <w:rsid w:val="00204F03"/>
    <w:rsid w:val="00217EB0"/>
    <w:rsid w:val="00233DC7"/>
    <w:rsid w:val="0024268D"/>
    <w:rsid w:val="00242C67"/>
    <w:rsid w:val="00247779"/>
    <w:rsid w:val="00256803"/>
    <w:rsid w:val="00262CEE"/>
    <w:rsid w:val="002803BD"/>
    <w:rsid w:val="0028071E"/>
    <w:rsid w:val="00285BEE"/>
    <w:rsid w:val="00291C68"/>
    <w:rsid w:val="0029533F"/>
    <w:rsid w:val="002A06C0"/>
    <w:rsid w:val="002A2524"/>
    <w:rsid w:val="002B2165"/>
    <w:rsid w:val="002B30AF"/>
    <w:rsid w:val="002C0858"/>
    <w:rsid w:val="002C3E05"/>
    <w:rsid w:val="002E34D3"/>
    <w:rsid w:val="002E481E"/>
    <w:rsid w:val="002E73CA"/>
    <w:rsid w:val="002F242E"/>
    <w:rsid w:val="002F3E8F"/>
    <w:rsid w:val="002F7493"/>
    <w:rsid w:val="003164B8"/>
    <w:rsid w:val="0033344A"/>
    <w:rsid w:val="0035560B"/>
    <w:rsid w:val="00356E42"/>
    <w:rsid w:val="00375BFB"/>
    <w:rsid w:val="00391E16"/>
    <w:rsid w:val="003C134C"/>
    <w:rsid w:val="003D24B0"/>
    <w:rsid w:val="003D308E"/>
    <w:rsid w:val="003D67D7"/>
    <w:rsid w:val="003D709F"/>
    <w:rsid w:val="003E4774"/>
    <w:rsid w:val="003F6C9A"/>
    <w:rsid w:val="00407FDA"/>
    <w:rsid w:val="0042648E"/>
    <w:rsid w:val="00432522"/>
    <w:rsid w:val="0043559B"/>
    <w:rsid w:val="00442050"/>
    <w:rsid w:val="0044287B"/>
    <w:rsid w:val="0044591A"/>
    <w:rsid w:val="00445A51"/>
    <w:rsid w:val="00450F51"/>
    <w:rsid w:val="00451A6E"/>
    <w:rsid w:val="0048066A"/>
    <w:rsid w:val="0048503B"/>
    <w:rsid w:val="00485422"/>
    <w:rsid w:val="004936D2"/>
    <w:rsid w:val="00493B3C"/>
    <w:rsid w:val="004A1B54"/>
    <w:rsid w:val="004A34B2"/>
    <w:rsid w:val="004A3B30"/>
    <w:rsid w:val="004B21AA"/>
    <w:rsid w:val="004C0E20"/>
    <w:rsid w:val="004D11B6"/>
    <w:rsid w:val="004D26A0"/>
    <w:rsid w:val="004D3F72"/>
    <w:rsid w:val="004D586C"/>
    <w:rsid w:val="004D7817"/>
    <w:rsid w:val="004F28EF"/>
    <w:rsid w:val="004F6A93"/>
    <w:rsid w:val="00502F54"/>
    <w:rsid w:val="00521314"/>
    <w:rsid w:val="005228AB"/>
    <w:rsid w:val="00524EA0"/>
    <w:rsid w:val="005264A3"/>
    <w:rsid w:val="00534F49"/>
    <w:rsid w:val="00536E99"/>
    <w:rsid w:val="0053735E"/>
    <w:rsid w:val="00542962"/>
    <w:rsid w:val="0054566D"/>
    <w:rsid w:val="00555DD3"/>
    <w:rsid w:val="005827BF"/>
    <w:rsid w:val="005A1242"/>
    <w:rsid w:val="005A178C"/>
    <w:rsid w:val="005A5949"/>
    <w:rsid w:val="005B1EB6"/>
    <w:rsid w:val="005B3B4B"/>
    <w:rsid w:val="005B591A"/>
    <w:rsid w:val="005C2EF0"/>
    <w:rsid w:val="005E2A3E"/>
    <w:rsid w:val="005E3596"/>
    <w:rsid w:val="005E40F2"/>
    <w:rsid w:val="005E5944"/>
    <w:rsid w:val="005F534D"/>
    <w:rsid w:val="005F5AA2"/>
    <w:rsid w:val="00610C5A"/>
    <w:rsid w:val="00620EC3"/>
    <w:rsid w:val="006219ED"/>
    <w:rsid w:val="00623618"/>
    <w:rsid w:val="006252C1"/>
    <w:rsid w:val="006379B4"/>
    <w:rsid w:val="006405C5"/>
    <w:rsid w:val="006441C8"/>
    <w:rsid w:val="0065367C"/>
    <w:rsid w:val="00655C3D"/>
    <w:rsid w:val="00681687"/>
    <w:rsid w:val="00682A23"/>
    <w:rsid w:val="006A425A"/>
    <w:rsid w:val="006D048C"/>
    <w:rsid w:val="006D218C"/>
    <w:rsid w:val="006D4276"/>
    <w:rsid w:val="006F5ACD"/>
    <w:rsid w:val="0072484C"/>
    <w:rsid w:val="00726A09"/>
    <w:rsid w:val="00730ABC"/>
    <w:rsid w:val="00730B98"/>
    <w:rsid w:val="00735FA5"/>
    <w:rsid w:val="00740969"/>
    <w:rsid w:val="00741BDB"/>
    <w:rsid w:val="00763562"/>
    <w:rsid w:val="00767998"/>
    <w:rsid w:val="007709F7"/>
    <w:rsid w:val="007716ED"/>
    <w:rsid w:val="00773331"/>
    <w:rsid w:val="00774158"/>
    <w:rsid w:val="007831DC"/>
    <w:rsid w:val="007932EF"/>
    <w:rsid w:val="00793641"/>
    <w:rsid w:val="007A4888"/>
    <w:rsid w:val="007A5E7F"/>
    <w:rsid w:val="007A5E85"/>
    <w:rsid w:val="007D6871"/>
    <w:rsid w:val="007E00BD"/>
    <w:rsid w:val="007E05B0"/>
    <w:rsid w:val="007E27A6"/>
    <w:rsid w:val="007E3307"/>
    <w:rsid w:val="0080510B"/>
    <w:rsid w:val="0084330F"/>
    <w:rsid w:val="008478CD"/>
    <w:rsid w:val="00856D25"/>
    <w:rsid w:val="00870AC2"/>
    <w:rsid w:val="00872629"/>
    <w:rsid w:val="00874C55"/>
    <w:rsid w:val="00874D22"/>
    <w:rsid w:val="00881AA6"/>
    <w:rsid w:val="008873AC"/>
    <w:rsid w:val="008967E5"/>
    <w:rsid w:val="008A2914"/>
    <w:rsid w:val="008A2F9E"/>
    <w:rsid w:val="008A6E7F"/>
    <w:rsid w:val="008B1727"/>
    <w:rsid w:val="008E0771"/>
    <w:rsid w:val="008E4D8E"/>
    <w:rsid w:val="008F6773"/>
    <w:rsid w:val="00902675"/>
    <w:rsid w:val="00906EB0"/>
    <w:rsid w:val="00921C35"/>
    <w:rsid w:val="009268DD"/>
    <w:rsid w:val="00926C96"/>
    <w:rsid w:val="009277B2"/>
    <w:rsid w:val="009319C7"/>
    <w:rsid w:val="00932CFA"/>
    <w:rsid w:val="00935790"/>
    <w:rsid w:val="0096176C"/>
    <w:rsid w:val="00973D1D"/>
    <w:rsid w:val="00984B8A"/>
    <w:rsid w:val="00993EE5"/>
    <w:rsid w:val="00994FBF"/>
    <w:rsid w:val="009961A9"/>
    <w:rsid w:val="009A28B7"/>
    <w:rsid w:val="009A6F17"/>
    <w:rsid w:val="009B256B"/>
    <w:rsid w:val="009C2A6F"/>
    <w:rsid w:val="009C3C26"/>
    <w:rsid w:val="009C716A"/>
    <w:rsid w:val="009D0F43"/>
    <w:rsid w:val="00A1038D"/>
    <w:rsid w:val="00A13AF8"/>
    <w:rsid w:val="00A2485A"/>
    <w:rsid w:val="00A54C7B"/>
    <w:rsid w:val="00A579A4"/>
    <w:rsid w:val="00A739DF"/>
    <w:rsid w:val="00A7547E"/>
    <w:rsid w:val="00A806DD"/>
    <w:rsid w:val="00A80FF9"/>
    <w:rsid w:val="00A8371A"/>
    <w:rsid w:val="00A8735B"/>
    <w:rsid w:val="00A93BF2"/>
    <w:rsid w:val="00AA19E4"/>
    <w:rsid w:val="00AB285E"/>
    <w:rsid w:val="00AB32EC"/>
    <w:rsid w:val="00AB3B30"/>
    <w:rsid w:val="00AB79EA"/>
    <w:rsid w:val="00AD13F8"/>
    <w:rsid w:val="00AD7A09"/>
    <w:rsid w:val="00B02311"/>
    <w:rsid w:val="00B036BE"/>
    <w:rsid w:val="00B0608F"/>
    <w:rsid w:val="00B166FC"/>
    <w:rsid w:val="00B2475A"/>
    <w:rsid w:val="00B3375F"/>
    <w:rsid w:val="00B44023"/>
    <w:rsid w:val="00B546A6"/>
    <w:rsid w:val="00B6133D"/>
    <w:rsid w:val="00B6366E"/>
    <w:rsid w:val="00B857F3"/>
    <w:rsid w:val="00B878C4"/>
    <w:rsid w:val="00B9210A"/>
    <w:rsid w:val="00B96955"/>
    <w:rsid w:val="00BA1E21"/>
    <w:rsid w:val="00BA2A6D"/>
    <w:rsid w:val="00BA51F1"/>
    <w:rsid w:val="00BB676C"/>
    <w:rsid w:val="00BB7BCF"/>
    <w:rsid w:val="00BC3976"/>
    <w:rsid w:val="00BC6E2C"/>
    <w:rsid w:val="00BC7897"/>
    <w:rsid w:val="00BD705F"/>
    <w:rsid w:val="00BE0CC7"/>
    <w:rsid w:val="00C0366A"/>
    <w:rsid w:val="00C116AD"/>
    <w:rsid w:val="00C12301"/>
    <w:rsid w:val="00C12486"/>
    <w:rsid w:val="00C17250"/>
    <w:rsid w:val="00C24EC1"/>
    <w:rsid w:val="00C31D11"/>
    <w:rsid w:val="00C3782D"/>
    <w:rsid w:val="00C511C8"/>
    <w:rsid w:val="00C560D3"/>
    <w:rsid w:val="00C64B40"/>
    <w:rsid w:val="00C76B1D"/>
    <w:rsid w:val="00C84E3D"/>
    <w:rsid w:val="00C91EED"/>
    <w:rsid w:val="00CB7003"/>
    <w:rsid w:val="00CC2074"/>
    <w:rsid w:val="00CE7422"/>
    <w:rsid w:val="00D01CAF"/>
    <w:rsid w:val="00D121A1"/>
    <w:rsid w:val="00D149D6"/>
    <w:rsid w:val="00D17516"/>
    <w:rsid w:val="00D20381"/>
    <w:rsid w:val="00D23EA0"/>
    <w:rsid w:val="00D37D77"/>
    <w:rsid w:val="00D51253"/>
    <w:rsid w:val="00D55282"/>
    <w:rsid w:val="00D875AE"/>
    <w:rsid w:val="00D93C20"/>
    <w:rsid w:val="00D95E23"/>
    <w:rsid w:val="00D97C13"/>
    <w:rsid w:val="00DB0664"/>
    <w:rsid w:val="00DB41F0"/>
    <w:rsid w:val="00DB73AC"/>
    <w:rsid w:val="00DC205F"/>
    <w:rsid w:val="00DC5196"/>
    <w:rsid w:val="00DD2FF9"/>
    <w:rsid w:val="00DD44C8"/>
    <w:rsid w:val="00DD5DDD"/>
    <w:rsid w:val="00DD691D"/>
    <w:rsid w:val="00DD7AC0"/>
    <w:rsid w:val="00DF6B83"/>
    <w:rsid w:val="00E0011A"/>
    <w:rsid w:val="00E01B4C"/>
    <w:rsid w:val="00E04B08"/>
    <w:rsid w:val="00E127F6"/>
    <w:rsid w:val="00E17DBC"/>
    <w:rsid w:val="00E2494E"/>
    <w:rsid w:val="00E36E64"/>
    <w:rsid w:val="00E625C3"/>
    <w:rsid w:val="00E71A7B"/>
    <w:rsid w:val="00E8152D"/>
    <w:rsid w:val="00EA1C7B"/>
    <w:rsid w:val="00EE6365"/>
    <w:rsid w:val="00EE7A09"/>
    <w:rsid w:val="00EF20B9"/>
    <w:rsid w:val="00F02A97"/>
    <w:rsid w:val="00F16827"/>
    <w:rsid w:val="00F2330B"/>
    <w:rsid w:val="00F26ACB"/>
    <w:rsid w:val="00F41550"/>
    <w:rsid w:val="00F50FA3"/>
    <w:rsid w:val="00F72C80"/>
    <w:rsid w:val="00F73F5F"/>
    <w:rsid w:val="00F8208F"/>
    <w:rsid w:val="00F864EC"/>
    <w:rsid w:val="00FC38F8"/>
    <w:rsid w:val="00FD3831"/>
    <w:rsid w:val="00FE2705"/>
    <w:rsid w:val="00FF18D4"/>
    <w:rsid w:val="00FF2D02"/>
    <w:rsid w:val="02DD19C6"/>
    <w:rsid w:val="0A677C34"/>
    <w:rsid w:val="12FA1FED"/>
    <w:rsid w:val="1B6537B9"/>
    <w:rsid w:val="1EDE5E2E"/>
    <w:rsid w:val="1F216F90"/>
    <w:rsid w:val="2191CDD7"/>
    <w:rsid w:val="3191433F"/>
    <w:rsid w:val="32452739"/>
    <w:rsid w:val="36F6D138"/>
    <w:rsid w:val="393C11FF"/>
    <w:rsid w:val="49B92305"/>
    <w:rsid w:val="4C30CCC0"/>
    <w:rsid w:val="5F28C26A"/>
    <w:rsid w:val="635724BD"/>
    <w:rsid w:val="69297CB6"/>
    <w:rsid w:val="7D32F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08D35E60-35FE-4368-AD50-7F234955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93BF2"/>
    <w:pPr>
      <w:numPr>
        <w:numId w:val="2"/>
      </w:numPr>
      <w:tabs>
        <w:tab w:val="num" w:pos="360"/>
      </w:tabs>
      <w:ind w:left="0" w:firstLine="0"/>
    </w:pPr>
    <w:rPr>
      <w:rFonts w:eastAsia="Times New Roman"/>
      <w:lang w:eastAsia="de-DE"/>
    </w:rPr>
  </w:style>
  <w:style w:type="paragraph" w:styleId="ListNumber">
    <w:name w:val="List Number"/>
    <w:basedOn w:val="Normal"/>
    <w:rsid w:val="00A93BF2"/>
    <w:pPr>
      <w:numPr>
        <w:numId w:val="6"/>
      </w:numPr>
    </w:pPr>
    <w:rPr>
      <w:rFonts w:eastAsia="Times New Roman"/>
      <w:lang w:eastAsia="de-DE"/>
    </w:rPr>
  </w:style>
  <w:style w:type="paragraph" w:customStyle="1" w:styleId="ListBullet1">
    <w:name w:val="List Bullet 1"/>
    <w:basedOn w:val="Normal"/>
    <w:rsid w:val="00A93BF2"/>
    <w:pPr>
      <w:numPr>
        <w:numId w:val="1"/>
      </w:numPr>
    </w:pPr>
    <w:rPr>
      <w:rFonts w:eastAsia="Times New Roman"/>
      <w:lang w:eastAsia="de-DE"/>
    </w:rPr>
  </w:style>
  <w:style w:type="paragraph" w:customStyle="1" w:styleId="ListDash">
    <w:name w:val="List Dash"/>
    <w:basedOn w:val="Normal"/>
    <w:rsid w:val="00A93BF2"/>
    <w:pPr>
      <w:numPr>
        <w:numId w:val="3"/>
      </w:numPr>
    </w:pPr>
    <w:rPr>
      <w:rFonts w:eastAsia="Times New Roman"/>
      <w:lang w:eastAsia="de-DE"/>
    </w:rPr>
  </w:style>
  <w:style w:type="paragraph" w:customStyle="1" w:styleId="ListDash1">
    <w:name w:val="List Dash 1"/>
    <w:basedOn w:val="Normal"/>
    <w:rsid w:val="00A93BF2"/>
    <w:pPr>
      <w:numPr>
        <w:numId w:val="4"/>
      </w:numPr>
    </w:pPr>
    <w:rPr>
      <w:rFonts w:eastAsia="Times New Roman"/>
      <w:lang w:eastAsia="de-DE"/>
    </w:rPr>
  </w:style>
  <w:style w:type="paragraph" w:customStyle="1" w:styleId="ListDash2">
    <w:name w:val="List Dash 2"/>
    <w:basedOn w:val="Normal"/>
    <w:rsid w:val="00A93BF2"/>
    <w:pPr>
      <w:numPr>
        <w:numId w:val="5"/>
      </w:numPr>
    </w:pPr>
    <w:rPr>
      <w:rFonts w:eastAsia="Times New Roman"/>
      <w:lang w:eastAsia="de-DE"/>
    </w:rPr>
  </w:style>
  <w:style w:type="paragraph" w:customStyle="1" w:styleId="ListNumberLevel2">
    <w:name w:val="List Number (Level 2)"/>
    <w:basedOn w:val="Normal"/>
    <w:rsid w:val="00A93BF2"/>
    <w:pPr>
      <w:numPr>
        <w:ilvl w:val="1"/>
        <w:numId w:val="6"/>
      </w:numPr>
    </w:pPr>
    <w:rPr>
      <w:rFonts w:eastAsia="Times New Roman"/>
      <w:lang w:eastAsia="de-DE"/>
    </w:rPr>
  </w:style>
  <w:style w:type="paragraph" w:customStyle="1" w:styleId="ListNumberLevel3">
    <w:name w:val="List Number (Level 3)"/>
    <w:basedOn w:val="Normal"/>
    <w:rsid w:val="00A93BF2"/>
    <w:pPr>
      <w:numPr>
        <w:ilvl w:val="2"/>
        <w:numId w:val="6"/>
      </w:numPr>
    </w:pPr>
    <w:rPr>
      <w:rFonts w:eastAsia="Times New Roman"/>
      <w:lang w:eastAsia="de-DE"/>
    </w:rPr>
  </w:style>
  <w:style w:type="paragraph" w:customStyle="1" w:styleId="ListNumberLevel4">
    <w:name w:val="List Number (Level 4)"/>
    <w:basedOn w:val="Normal"/>
    <w:rsid w:val="00A93BF2"/>
    <w:pPr>
      <w:numPr>
        <w:ilvl w:val="3"/>
        <w:numId w:val="6"/>
      </w:numPr>
    </w:pPr>
    <w:rPr>
      <w:rFonts w:eastAsia="Times New Roman"/>
      <w:lang w:eastAsia="de-DE"/>
    </w:rPr>
  </w:style>
  <w:style w:type="table" w:styleId="TableGrid">
    <w:name w:val="Table Grid"/>
    <w:basedOn w:val="TableNormal"/>
    <w:rsid w:val="00A93BF2"/>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93BF2"/>
    <w:rPr>
      <w:color w:val="0000FF"/>
      <w:u w:val="single"/>
    </w:rPr>
  </w:style>
  <w:style w:type="paragraph" w:styleId="ListBullet">
    <w:name w:val="List Bullet"/>
    <w:basedOn w:val="Normal"/>
    <w:rsid w:val="00A93BF2"/>
    <w:pPr>
      <w:numPr>
        <w:numId w:val="7"/>
      </w:numPr>
    </w:pPr>
    <w:rPr>
      <w:rFonts w:eastAsia="Times New Roman"/>
      <w:lang w:eastAsia="en-GB"/>
    </w:rPr>
  </w:style>
  <w:style w:type="paragraph" w:styleId="ListBullet2">
    <w:name w:val="List Bullet 2"/>
    <w:basedOn w:val="Normal"/>
    <w:rsid w:val="00A93BF2"/>
    <w:pPr>
      <w:numPr>
        <w:numId w:val="8"/>
      </w:numPr>
    </w:pPr>
    <w:rPr>
      <w:rFonts w:eastAsia="Times New Roman"/>
      <w:lang w:eastAsia="en-GB"/>
    </w:rPr>
  </w:style>
  <w:style w:type="paragraph" w:styleId="ListBullet3">
    <w:name w:val="List Bullet 3"/>
    <w:basedOn w:val="Normal"/>
    <w:rsid w:val="00A93BF2"/>
    <w:pPr>
      <w:numPr>
        <w:numId w:val="9"/>
      </w:numPr>
    </w:pPr>
    <w:rPr>
      <w:rFonts w:eastAsia="Times New Roman"/>
      <w:lang w:eastAsia="en-GB"/>
    </w:rPr>
  </w:style>
  <w:style w:type="paragraph" w:styleId="ListNumber2">
    <w:name w:val="List Number 2"/>
    <w:basedOn w:val="Normal"/>
    <w:rsid w:val="00A93BF2"/>
    <w:pPr>
      <w:numPr>
        <w:numId w:val="13"/>
      </w:numPr>
    </w:pPr>
    <w:rPr>
      <w:rFonts w:eastAsia="Times New Roman"/>
      <w:lang w:eastAsia="en-GB"/>
    </w:rPr>
  </w:style>
  <w:style w:type="paragraph" w:styleId="ListNumber3">
    <w:name w:val="List Number 3"/>
    <w:basedOn w:val="Normal"/>
    <w:rsid w:val="00A93BF2"/>
    <w:pPr>
      <w:numPr>
        <w:numId w:val="14"/>
      </w:numPr>
    </w:pPr>
    <w:rPr>
      <w:rFonts w:eastAsia="Times New Roman"/>
      <w:lang w:eastAsia="en-GB"/>
    </w:rPr>
  </w:style>
  <w:style w:type="paragraph" w:styleId="ListNumber4">
    <w:name w:val="List Number 4"/>
    <w:basedOn w:val="Normal"/>
    <w:rsid w:val="00A93BF2"/>
    <w:pPr>
      <w:numPr>
        <w:numId w:val="15"/>
      </w:numPr>
    </w:pPr>
    <w:rPr>
      <w:rFonts w:eastAsia="Times New Roman"/>
      <w:lang w:eastAsia="en-GB"/>
    </w:rPr>
  </w:style>
  <w:style w:type="paragraph" w:customStyle="1" w:styleId="ListDash3">
    <w:name w:val="List Dash 3"/>
    <w:basedOn w:val="Normal"/>
    <w:rsid w:val="00A93BF2"/>
    <w:pPr>
      <w:numPr>
        <w:numId w:val="10"/>
      </w:numPr>
    </w:pPr>
    <w:rPr>
      <w:rFonts w:eastAsia="Times New Roman"/>
      <w:lang w:eastAsia="en-GB"/>
    </w:rPr>
  </w:style>
  <w:style w:type="paragraph" w:customStyle="1" w:styleId="ListDash4">
    <w:name w:val="List Dash 4"/>
    <w:basedOn w:val="Normal"/>
    <w:rsid w:val="00A93BF2"/>
    <w:pPr>
      <w:numPr>
        <w:numId w:val="11"/>
      </w:numPr>
    </w:pPr>
    <w:rPr>
      <w:rFonts w:eastAsia="Times New Roman"/>
      <w:lang w:eastAsia="en-GB"/>
    </w:rPr>
  </w:style>
  <w:style w:type="paragraph" w:customStyle="1" w:styleId="ListNumber1">
    <w:name w:val="List Number 1"/>
    <w:basedOn w:val="Text1"/>
    <w:rsid w:val="00A93BF2"/>
    <w:pPr>
      <w:numPr>
        <w:numId w:val="12"/>
      </w:numPr>
    </w:pPr>
    <w:rPr>
      <w:rFonts w:eastAsia="Times New Roman"/>
      <w:lang w:eastAsia="en-GB"/>
    </w:rPr>
  </w:style>
  <w:style w:type="paragraph" w:customStyle="1" w:styleId="ListNumber1Level2">
    <w:name w:val="List Number 1 (Level 2)"/>
    <w:basedOn w:val="Text1"/>
    <w:rsid w:val="00A93BF2"/>
    <w:pPr>
      <w:numPr>
        <w:ilvl w:val="1"/>
        <w:numId w:val="12"/>
      </w:numPr>
    </w:pPr>
    <w:rPr>
      <w:rFonts w:eastAsia="Times New Roman"/>
      <w:lang w:eastAsia="en-GB"/>
    </w:rPr>
  </w:style>
  <w:style w:type="paragraph" w:customStyle="1" w:styleId="ListNumber2Level2">
    <w:name w:val="List Number 2 (Level 2)"/>
    <w:basedOn w:val="Text2"/>
    <w:rsid w:val="00A93BF2"/>
    <w:pPr>
      <w:numPr>
        <w:ilvl w:val="1"/>
        <w:numId w:val="13"/>
      </w:numPr>
    </w:pPr>
    <w:rPr>
      <w:rFonts w:eastAsia="Times New Roman"/>
      <w:lang w:eastAsia="en-GB"/>
    </w:rPr>
  </w:style>
  <w:style w:type="paragraph" w:customStyle="1" w:styleId="ListNumber3Level2">
    <w:name w:val="List Number 3 (Level 2)"/>
    <w:basedOn w:val="Text3"/>
    <w:rsid w:val="00A93BF2"/>
    <w:pPr>
      <w:numPr>
        <w:ilvl w:val="1"/>
        <w:numId w:val="14"/>
      </w:numPr>
    </w:pPr>
    <w:rPr>
      <w:rFonts w:eastAsia="Times New Roman"/>
      <w:lang w:eastAsia="en-GB"/>
    </w:rPr>
  </w:style>
  <w:style w:type="paragraph" w:customStyle="1" w:styleId="ListNumber4Level2">
    <w:name w:val="List Number 4 (Level 2)"/>
    <w:basedOn w:val="Text4"/>
    <w:rsid w:val="00A93BF2"/>
    <w:pPr>
      <w:numPr>
        <w:ilvl w:val="1"/>
        <w:numId w:val="15"/>
      </w:numPr>
    </w:pPr>
    <w:rPr>
      <w:rFonts w:eastAsia="Times New Roman"/>
      <w:lang w:eastAsia="en-GB"/>
    </w:rPr>
  </w:style>
  <w:style w:type="paragraph" w:customStyle="1" w:styleId="ListNumber1Level3">
    <w:name w:val="List Number 1 (Level 3)"/>
    <w:basedOn w:val="Text1"/>
    <w:rsid w:val="00A93BF2"/>
    <w:pPr>
      <w:numPr>
        <w:ilvl w:val="2"/>
        <w:numId w:val="12"/>
      </w:numPr>
    </w:pPr>
    <w:rPr>
      <w:rFonts w:eastAsia="Times New Roman"/>
      <w:lang w:eastAsia="en-GB"/>
    </w:rPr>
  </w:style>
  <w:style w:type="paragraph" w:customStyle="1" w:styleId="ListNumber2Level3">
    <w:name w:val="List Number 2 (Level 3)"/>
    <w:basedOn w:val="Text2"/>
    <w:rsid w:val="00A93BF2"/>
    <w:pPr>
      <w:numPr>
        <w:ilvl w:val="2"/>
        <w:numId w:val="13"/>
      </w:numPr>
    </w:pPr>
    <w:rPr>
      <w:rFonts w:eastAsia="Times New Roman"/>
      <w:lang w:eastAsia="en-GB"/>
    </w:rPr>
  </w:style>
  <w:style w:type="paragraph" w:customStyle="1" w:styleId="ListNumber3Level3">
    <w:name w:val="List Number 3 (Level 3)"/>
    <w:basedOn w:val="Text3"/>
    <w:rsid w:val="00A93BF2"/>
    <w:pPr>
      <w:numPr>
        <w:ilvl w:val="2"/>
        <w:numId w:val="14"/>
      </w:numPr>
    </w:pPr>
    <w:rPr>
      <w:rFonts w:eastAsia="Times New Roman"/>
      <w:lang w:eastAsia="en-GB"/>
    </w:rPr>
  </w:style>
  <w:style w:type="paragraph" w:customStyle="1" w:styleId="ListNumber4Level3">
    <w:name w:val="List Number 4 (Level 3)"/>
    <w:basedOn w:val="Text4"/>
    <w:rsid w:val="00A93BF2"/>
    <w:pPr>
      <w:numPr>
        <w:ilvl w:val="2"/>
        <w:numId w:val="15"/>
      </w:numPr>
    </w:pPr>
    <w:rPr>
      <w:rFonts w:eastAsia="Times New Roman"/>
      <w:lang w:eastAsia="en-GB"/>
    </w:rPr>
  </w:style>
  <w:style w:type="paragraph" w:customStyle="1" w:styleId="ListNumber1Level4">
    <w:name w:val="List Number 1 (Level 4)"/>
    <w:basedOn w:val="Text1"/>
    <w:rsid w:val="00A93BF2"/>
    <w:pPr>
      <w:numPr>
        <w:ilvl w:val="3"/>
        <w:numId w:val="12"/>
      </w:numPr>
    </w:pPr>
    <w:rPr>
      <w:rFonts w:eastAsia="Times New Roman"/>
      <w:lang w:eastAsia="en-GB"/>
    </w:rPr>
  </w:style>
  <w:style w:type="paragraph" w:customStyle="1" w:styleId="ListNumber2Level4">
    <w:name w:val="List Number 2 (Level 4)"/>
    <w:basedOn w:val="Text2"/>
    <w:rsid w:val="00A93BF2"/>
    <w:pPr>
      <w:numPr>
        <w:ilvl w:val="3"/>
        <w:numId w:val="13"/>
      </w:numPr>
    </w:pPr>
    <w:rPr>
      <w:rFonts w:eastAsia="Times New Roman"/>
      <w:lang w:eastAsia="en-GB"/>
    </w:rPr>
  </w:style>
  <w:style w:type="paragraph" w:customStyle="1" w:styleId="ListNumber3Level4">
    <w:name w:val="List Number 3 (Level 4)"/>
    <w:basedOn w:val="Text3"/>
    <w:rsid w:val="00A93BF2"/>
    <w:pPr>
      <w:numPr>
        <w:ilvl w:val="3"/>
        <w:numId w:val="14"/>
      </w:numPr>
    </w:pPr>
    <w:rPr>
      <w:rFonts w:eastAsia="Times New Roman"/>
      <w:lang w:eastAsia="en-GB"/>
    </w:rPr>
  </w:style>
  <w:style w:type="paragraph" w:customStyle="1" w:styleId="ListNumber4Level4">
    <w:name w:val="List Number 4 (Level 4)"/>
    <w:basedOn w:val="Text4"/>
    <w:rsid w:val="00A93BF2"/>
    <w:pPr>
      <w:numPr>
        <w:ilvl w:val="3"/>
        <w:numId w:val="15"/>
      </w:numPr>
    </w:pPr>
    <w:rPr>
      <w:rFonts w:eastAsia="Times New Roman"/>
      <w:lang w:eastAsia="en-GB"/>
    </w:rPr>
  </w:style>
  <w:style w:type="paragraph" w:customStyle="1" w:styleId="Annexetitreacte">
    <w:name w:val="Annexe titre (acte)"/>
    <w:basedOn w:val="Normal"/>
    <w:next w:val="Normal"/>
    <w:rsid w:val="00A93BF2"/>
    <w:pPr>
      <w:jc w:val="center"/>
    </w:pPr>
    <w:rPr>
      <w:rFonts w:eastAsia="Times New Roman"/>
      <w:b/>
      <w:u w:val="single"/>
      <w:lang w:eastAsia="en-GB"/>
    </w:rPr>
  </w:style>
  <w:style w:type="paragraph" w:customStyle="1" w:styleId="Annexetitreexposglobal">
    <w:name w:val="Annexe titre (exposé global)"/>
    <w:basedOn w:val="Normal"/>
    <w:next w:val="Normal"/>
    <w:rsid w:val="00A93BF2"/>
    <w:pPr>
      <w:jc w:val="center"/>
    </w:pPr>
    <w:rPr>
      <w:rFonts w:eastAsia="Times New Roman"/>
      <w:b/>
      <w:u w:val="single"/>
      <w:lang w:eastAsia="en-GB"/>
    </w:rPr>
  </w:style>
  <w:style w:type="paragraph" w:customStyle="1" w:styleId="Annexetitrefichefinacte">
    <w:name w:val="Annexe titre (fiche fin. acte)"/>
    <w:basedOn w:val="Normal"/>
    <w:next w:val="Normal"/>
    <w:rsid w:val="00A93BF2"/>
    <w:pPr>
      <w:jc w:val="center"/>
    </w:pPr>
    <w:rPr>
      <w:rFonts w:eastAsia="Times New Roman"/>
      <w:b/>
      <w:u w:val="single"/>
      <w:lang w:eastAsia="en-GB"/>
    </w:rPr>
  </w:style>
  <w:style w:type="paragraph" w:customStyle="1" w:styleId="Annexetitrefichefinglobale">
    <w:name w:val="Annexe titre (fiche fin. globale)"/>
    <w:basedOn w:val="Normal"/>
    <w:next w:val="Normal"/>
    <w:rsid w:val="00A93BF2"/>
    <w:pPr>
      <w:jc w:val="center"/>
    </w:pPr>
    <w:rPr>
      <w:rFonts w:eastAsia="Times New Roman"/>
      <w:b/>
      <w:u w:val="single"/>
      <w:lang w:eastAsia="en-GB"/>
    </w:rPr>
  </w:style>
  <w:style w:type="paragraph" w:customStyle="1" w:styleId="Annexetitreglobale">
    <w:name w:val="Annexe titre (globale)"/>
    <w:basedOn w:val="Normal"/>
    <w:next w:val="Normal"/>
    <w:rsid w:val="00A93BF2"/>
    <w:pPr>
      <w:jc w:val="center"/>
    </w:pPr>
    <w:rPr>
      <w:rFonts w:eastAsia="Times New Roman"/>
      <w:b/>
      <w:u w:val="single"/>
      <w:lang w:eastAsia="en-GB"/>
    </w:rPr>
  </w:style>
  <w:style w:type="paragraph" w:customStyle="1" w:styleId="Exposdesmotifstitreglobal">
    <w:name w:val="Exposé des motifs titre (global)"/>
    <w:basedOn w:val="Normal"/>
    <w:next w:val="Normal"/>
    <w:rsid w:val="00A93BF2"/>
    <w:pPr>
      <w:jc w:val="center"/>
    </w:pPr>
    <w:rPr>
      <w:rFonts w:eastAsia="Times New Roman"/>
      <w:b/>
      <w:u w:val="single"/>
      <w:lang w:eastAsia="en-GB"/>
    </w:rPr>
  </w:style>
  <w:style w:type="paragraph" w:customStyle="1" w:styleId="Langueoriginale">
    <w:name w:val="Langue originale"/>
    <w:basedOn w:val="Normal"/>
    <w:rsid w:val="00A93BF2"/>
    <w:pPr>
      <w:spacing w:before="360"/>
      <w:jc w:val="center"/>
    </w:pPr>
    <w:rPr>
      <w:rFonts w:eastAsia="Times New Roman"/>
      <w:caps/>
      <w:lang w:eastAsia="en-GB"/>
    </w:rPr>
  </w:style>
  <w:style w:type="paragraph" w:customStyle="1" w:styleId="Phrasefinale">
    <w:name w:val="Phrase finale"/>
    <w:basedOn w:val="Normal"/>
    <w:next w:val="Normal"/>
    <w:rsid w:val="00A93BF2"/>
    <w:pPr>
      <w:spacing w:before="360" w:after="0"/>
      <w:jc w:val="center"/>
    </w:pPr>
    <w:rPr>
      <w:rFonts w:eastAsia="Times New Roman"/>
      <w:lang w:eastAsia="en-GB"/>
    </w:rPr>
  </w:style>
  <w:style w:type="paragraph" w:customStyle="1" w:styleId="Prliminairetitre">
    <w:name w:val="Préliminaire titre"/>
    <w:basedOn w:val="Normal"/>
    <w:next w:val="Normal"/>
    <w:rsid w:val="00A93BF2"/>
    <w:pPr>
      <w:spacing w:before="360" w:after="360"/>
      <w:jc w:val="center"/>
    </w:pPr>
    <w:rPr>
      <w:rFonts w:eastAsia="Times New Roman"/>
      <w:b/>
      <w:lang w:eastAsia="en-GB"/>
    </w:rPr>
  </w:style>
  <w:style w:type="paragraph" w:customStyle="1" w:styleId="Prliminairetype">
    <w:name w:val="Préliminaire type"/>
    <w:basedOn w:val="Normal"/>
    <w:next w:val="Normal"/>
    <w:rsid w:val="00A93BF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93BF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93BF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93BF2"/>
    <w:pPr>
      <w:spacing w:before="0" w:after="0"/>
      <w:ind w:left="5103"/>
      <w:jc w:val="left"/>
    </w:pPr>
    <w:rPr>
      <w:rFonts w:eastAsia="Times New Roman"/>
      <w:lang w:eastAsia="en-GB"/>
    </w:rPr>
  </w:style>
  <w:style w:type="paragraph" w:customStyle="1" w:styleId="Sous-titreobjetprliminaire">
    <w:name w:val="Sous-titre objet (préliminaire)"/>
    <w:basedOn w:val="Normal"/>
    <w:rsid w:val="00A93BF2"/>
    <w:pPr>
      <w:spacing w:before="0" w:after="0"/>
      <w:jc w:val="center"/>
    </w:pPr>
    <w:rPr>
      <w:rFonts w:eastAsia="Times New Roman"/>
      <w:b/>
      <w:lang w:eastAsia="en-GB"/>
    </w:rPr>
  </w:style>
  <w:style w:type="paragraph" w:customStyle="1" w:styleId="Statutprliminaire">
    <w:name w:val="Statut (préliminaire)"/>
    <w:basedOn w:val="Normal"/>
    <w:next w:val="Normal"/>
    <w:rsid w:val="00A93BF2"/>
    <w:pPr>
      <w:spacing w:before="360" w:after="0"/>
      <w:jc w:val="center"/>
    </w:pPr>
    <w:rPr>
      <w:rFonts w:eastAsia="Times New Roman"/>
      <w:lang w:eastAsia="en-GB"/>
    </w:rPr>
  </w:style>
  <w:style w:type="paragraph" w:customStyle="1" w:styleId="Titreobjetprliminaire">
    <w:name w:val="Titre objet (préliminaire)"/>
    <w:basedOn w:val="Normal"/>
    <w:next w:val="Normal"/>
    <w:rsid w:val="00A93BF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93BF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93BF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93BF2"/>
    <w:pPr>
      <w:jc w:val="center"/>
    </w:pPr>
    <w:rPr>
      <w:rFonts w:eastAsia="Times New Roman"/>
      <w:b/>
      <w:u w:val="single"/>
      <w:lang w:eastAsia="en-GB"/>
    </w:rPr>
  </w:style>
  <w:style w:type="paragraph" w:customStyle="1" w:styleId="Fichefinanciretravailtitre">
    <w:name w:val="Fiche financière (travail) titre"/>
    <w:basedOn w:val="Normal"/>
    <w:next w:val="Normal"/>
    <w:rsid w:val="00A93BF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93BF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93BF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93BF2"/>
    <w:pPr>
      <w:jc w:val="center"/>
    </w:pPr>
    <w:rPr>
      <w:rFonts w:eastAsia="Times New Roman"/>
      <w:b/>
      <w:u w:val="single"/>
      <w:lang w:eastAsia="en-GB"/>
    </w:rPr>
  </w:style>
  <w:style w:type="character" w:styleId="CommentReference">
    <w:name w:val="annotation reference"/>
    <w:rsid w:val="00A93BF2"/>
    <w:rPr>
      <w:rFonts w:cs="Times New Roman"/>
      <w:sz w:val="16"/>
      <w:szCs w:val="16"/>
    </w:rPr>
  </w:style>
  <w:style w:type="paragraph" w:styleId="CommentText">
    <w:name w:val="annotation text"/>
    <w:basedOn w:val="Normal"/>
    <w:link w:val="CommentTextChar"/>
    <w:rsid w:val="00A93BF2"/>
    <w:rPr>
      <w:rFonts w:eastAsia="Times New Roman"/>
      <w:sz w:val="20"/>
      <w:szCs w:val="20"/>
      <w:lang w:eastAsia="en-GB"/>
    </w:rPr>
  </w:style>
  <w:style w:type="character" w:customStyle="1" w:styleId="CommentTextChar">
    <w:name w:val="Comment Text Char"/>
    <w:basedOn w:val="DefaultParagraphFont"/>
    <w:link w:val="CommentText"/>
    <w:rsid w:val="00A93BF2"/>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rsid w:val="00A93BF2"/>
    <w:rPr>
      <w:b/>
      <w:bCs/>
    </w:rPr>
  </w:style>
  <w:style w:type="character" w:customStyle="1" w:styleId="CommentSubjectChar">
    <w:name w:val="Comment Subject Char"/>
    <w:basedOn w:val="CommentTextChar"/>
    <w:link w:val="CommentSubject"/>
    <w:rsid w:val="00A93BF2"/>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sid w:val="00A93BF2"/>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93BF2"/>
    <w:rPr>
      <w:rFonts w:ascii="Tahoma" w:eastAsia="Times New Roman" w:hAnsi="Tahoma" w:cs="Tahoma"/>
      <w:sz w:val="16"/>
      <w:szCs w:val="16"/>
      <w:lang w:val="sv-SE" w:eastAsia="en-GB"/>
    </w:rPr>
  </w:style>
  <w:style w:type="paragraph" w:styleId="Caption">
    <w:name w:val="caption"/>
    <w:basedOn w:val="Normal"/>
    <w:next w:val="Normal"/>
    <w:qFormat/>
    <w:rsid w:val="00A93BF2"/>
    <w:rPr>
      <w:rFonts w:eastAsia="Times New Roman"/>
      <w:b/>
      <w:bCs/>
      <w:sz w:val="20"/>
      <w:szCs w:val="20"/>
      <w:lang w:eastAsia="en-GB"/>
    </w:rPr>
  </w:style>
  <w:style w:type="paragraph" w:styleId="TableofFigures">
    <w:name w:val="table of figures"/>
    <w:basedOn w:val="Normal"/>
    <w:next w:val="Normal"/>
    <w:rsid w:val="00A93BF2"/>
    <w:rPr>
      <w:rFonts w:eastAsia="Times New Roman"/>
      <w:lang w:eastAsia="en-GB"/>
    </w:rPr>
  </w:style>
  <w:style w:type="character" w:styleId="PageNumber">
    <w:name w:val="page number"/>
    <w:rsid w:val="00A93BF2"/>
  </w:style>
  <w:style w:type="character" w:customStyle="1" w:styleId="tw4winMark">
    <w:name w:val="tw4winMark"/>
    <w:rsid w:val="00A93BF2"/>
    <w:rPr>
      <w:vanish/>
      <w:color w:val="800080"/>
      <w:vertAlign w:val="subscript"/>
    </w:rPr>
  </w:style>
  <w:style w:type="character" w:styleId="FollowedHyperlink">
    <w:name w:val="FollowedHyperlink"/>
    <w:rsid w:val="00A93BF2"/>
    <w:rPr>
      <w:color w:val="800080"/>
      <w:u w:val="single"/>
    </w:rPr>
  </w:style>
  <w:style w:type="paragraph" w:customStyle="1" w:styleId="Sous-titreobjet">
    <w:name w:val="Sous-titre objet"/>
    <w:basedOn w:val="Normal"/>
    <w:rsid w:val="00A93BF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93BF2"/>
  </w:style>
  <w:style w:type="paragraph" w:styleId="Revision">
    <w:name w:val="Revision"/>
    <w:hidden/>
    <w:uiPriority w:val="99"/>
    <w:semiHidden/>
    <w:rsid w:val="00A93BF2"/>
    <w:rPr>
      <w:rFonts w:ascii="Calibri" w:eastAsia="Calibri" w:hAnsi="Calibri" w:cs="Times New Roman"/>
      <w:sz w:val="24"/>
      <w:lang w:eastAsia="en-GB"/>
    </w:rPr>
  </w:style>
  <w:style w:type="paragraph" w:customStyle="1" w:styleId="FooterCoverPage">
    <w:name w:val="Footer Cover Page"/>
    <w:basedOn w:val="Normal"/>
    <w:link w:val="FooterCoverPageChar"/>
    <w:rsid w:val="00A93BF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93BF2"/>
    <w:rPr>
      <w:rFonts w:ascii="Times New Roman" w:hAnsi="Times New Roman" w:cs="Times New Roman"/>
      <w:b/>
      <w:sz w:val="28"/>
      <w:lang w:val="sv-SE"/>
    </w:rPr>
  </w:style>
  <w:style w:type="character" w:customStyle="1" w:styleId="FooterCoverPageChar">
    <w:name w:val="Footer Cover Page Char"/>
    <w:link w:val="FooterCoverPage"/>
    <w:rsid w:val="00A93BF2"/>
    <w:rPr>
      <w:rFonts w:ascii="Times New Roman" w:eastAsia="Calibri" w:hAnsi="Times New Roman" w:cs="Times New Roman"/>
      <w:sz w:val="24"/>
      <w:lang w:val="sv-SE" w:eastAsia="en-GB"/>
    </w:rPr>
  </w:style>
  <w:style w:type="paragraph" w:customStyle="1" w:styleId="HeaderCoverPage">
    <w:name w:val="Header Cover Page"/>
    <w:basedOn w:val="Normal"/>
    <w:link w:val="HeaderCoverPageChar"/>
    <w:rsid w:val="00A93BF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93BF2"/>
    <w:rPr>
      <w:rFonts w:ascii="Times New Roman" w:eastAsia="Calibri" w:hAnsi="Times New Roman" w:cs="Times New Roman"/>
      <w:sz w:val="24"/>
      <w:lang w:val="sv-SE" w:eastAsia="en-GB"/>
    </w:rPr>
  </w:style>
  <w:style w:type="character" w:customStyle="1" w:styleId="FooterSensitivityChar">
    <w:name w:val="Footer Sensitivity Char"/>
    <w:rsid w:val="00A93BF2"/>
    <w:rPr>
      <w:rFonts w:ascii="Times New Roman" w:hAnsi="Times New Roman" w:cs="Times New Roman"/>
      <w:b/>
      <w:sz w:val="32"/>
      <w:lang w:val="sv-SE"/>
    </w:rPr>
  </w:style>
  <w:style w:type="character" w:customStyle="1" w:styleId="HeaderSensitivityChar">
    <w:name w:val="Header Sensitivity Char"/>
    <w:rsid w:val="00A93BF2"/>
    <w:rPr>
      <w:rFonts w:ascii="Times New Roman" w:hAnsi="Times New Roman" w:cs="Times New Roman"/>
      <w:b/>
      <w:sz w:val="32"/>
      <w:lang w:val="sv-SE"/>
    </w:rPr>
  </w:style>
  <w:style w:type="character" w:customStyle="1" w:styleId="HeaderSensitivityRightChar">
    <w:name w:val="Header Sensitivity Right Char"/>
    <w:rsid w:val="00A93BF2"/>
    <w:rPr>
      <w:rFonts w:ascii="Times New Roman" w:hAnsi="Times New Roman" w:cs="Times New Roman"/>
      <w:sz w:val="28"/>
      <w:lang w:val="sv-SE"/>
    </w:rPr>
  </w:style>
  <w:style w:type="paragraph" w:customStyle="1" w:styleId="LegalNumPar">
    <w:name w:val="LegalNumPar"/>
    <w:basedOn w:val="Normal"/>
    <w:rsid w:val="00A93BF2"/>
    <w:pPr>
      <w:numPr>
        <w:numId w:val="16"/>
      </w:numPr>
      <w:spacing w:line="360" w:lineRule="auto"/>
    </w:pPr>
    <w:rPr>
      <w:rFonts w:eastAsia="Times New Roman"/>
      <w:lang w:eastAsia="en-GB"/>
    </w:rPr>
  </w:style>
  <w:style w:type="paragraph" w:customStyle="1" w:styleId="LegalNumPar2">
    <w:name w:val="LegalNumPar2"/>
    <w:basedOn w:val="Normal"/>
    <w:rsid w:val="00A93BF2"/>
    <w:pPr>
      <w:numPr>
        <w:ilvl w:val="1"/>
        <w:numId w:val="16"/>
      </w:numPr>
      <w:spacing w:line="360" w:lineRule="auto"/>
    </w:pPr>
    <w:rPr>
      <w:rFonts w:eastAsia="Times New Roman"/>
      <w:lang w:eastAsia="en-GB"/>
    </w:rPr>
  </w:style>
  <w:style w:type="paragraph" w:customStyle="1" w:styleId="LegalNumPar3">
    <w:name w:val="LegalNumPar3"/>
    <w:basedOn w:val="Normal"/>
    <w:rsid w:val="00A93BF2"/>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A93BF2"/>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A93BF2"/>
    <w:rPr>
      <w:color w:val="605E5C"/>
      <w:shd w:val="clear" w:color="auto" w:fill="E1DFDD"/>
    </w:rPr>
  </w:style>
  <w:style w:type="character" w:styleId="Strong">
    <w:name w:val="Strong"/>
    <w:basedOn w:val="DefaultParagraphFont"/>
    <w:qFormat/>
    <w:rsid w:val="00A93BF2"/>
    <w:rPr>
      <w:b/>
      <w:bCs/>
    </w:rPr>
  </w:style>
  <w:style w:type="character" w:styleId="Emphasis">
    <w:name w:val="Emphasis"/>
    <w:basedOn w:val="DefaultParagraphFont"/>
    <w:qFormat/>
    <w:rsid w:val="00A93BF2"/>
    <w:rPr>
      <w:i/>
      <w:iCs/>
    </w:rPr>
  </w:style>
  <w:style w:type="character" w:customStyle="1" w:styleId="Mention">
    <w:name w:val="Mention"/>
    <w:basedOn w:val="DefaultParagraphFont"/>
    <w:uiPriority w:val="99"/>
    <w:unhideWhenUsed/>
    <w:rsid w:val="00A93BF2"/>
    <w:rPr>
      <w:color w:val="2B579A"/>
      <w:shd w:val="clear" w:color="auto" w:fill="E1DFDD"/>
    </w:rPr>
  </w:style>
  <w:style w:type="character" w:customStyle="1" w:styleId="normaltextrun">
    <w:name w:val="normaltextrun"/>
    <w:basedOn w:val="DefaultParagraphFont"/>
    <w:rsid w:val="00A93BF2"/>
  </w:style>
  <w:style w:type="character" w:customStyle="1" w:styleId="eop">
    <w:name w:val="eop"/>
    <w:basedOn w:val="DefaultParagraphFont"/>
    <w:rsid w:val="00A93BF2"/>
  </w:style>
  <w:style w:type="paragraph" w:customStyle="1" w:styleId="Fichefinanciretextetable">
    <w:name w:val="Fiche financière texte (table)"/>
    <w:basedOn w:val="Normal"/>
    <w:rsid w:val="003D24B0"/>
    <w:pPr>
      <w:spacing w:before="0" w:after="0"/>
      <w:jc w:val="left"/>
    </w:pPr>
    <w:rPr>
      <w:rFonts w:eastAsia="Times New Roman"/>
      <w:sz w:val="20"/>
      <w:szCs w:val="20"/>
      <w:lang w:eastAsia="en-GB"/>
    </w:rPr>
  </w:style>
  <w:style w:type="paragraph" w:customStyle="1" w:styleId="Fichefinanciretitretable">
    <w:name w:val="Fiche financière titre (table)"/>
    <w:basedOn w:val="Normal"/>
    <w:rsid w:val="003D24B0"/>
    <w:pPr>
      <w:jc w:val="center"/>
    </w:pPr>
    <w:rPr>
      <w:rFonts w:eastAsia="Times New Roman"/>
      <w:b/>
      <w:sz w:val="40"/>
      <w:szCs w:val="20"/>
      <w:lang w:eastAsia="en-GB"/>
    </w:rPr>
  </w:style>
  <w:style w:type="character" w:customStyle="1" w:styleId="HeaderChar">
    <w:name w:val="Header Char"/>
    <w:basedOn w:val="DefaultParagraphFont"/>
    <w:link w:val="Header"/>
    <w:uiPriority w:val="99"/>
    <w:rsid w:val="00186069"/>
    <w:rPr>
      <w:rFonts w:ascii="Times New Roman" w:hAnsi="Times New Roman" w:cs="Times New Roman"/>
      <w:sz w:val="24"/>
      <w:lang w:val="sv-SE"/>
    </w:rPr>
  </w:style>
  <w:style w:type="character" w:customStyle="1" w:styleId="FooterChar">
    <w:name w:val="Footer Char"/>
    <w:basedOn w:val="DefaultParagraphFont"/>
    <w:link w:val="Footer"/>
    <w:uiPriority w:val="99"/>
    <w:rsid w:val="0018606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8606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86069"/>
    <w:pPr>
      <w:spacing w:before="0"/>
      <w:jc w:val="right"/>
    </w:pPr>
    <w:rPr>
      <w:sz w:val="28"/>
    </w:rPr>
  </w:style>
  <w:style w:type="paragraph" w:customStyle="1" w:styleId="FooterSensitivity">
    <w:name w:val="Footer Sensitivity"/>
    <w:basedOn w:val="Normal"/>
    <w:rsid w:val="0018606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86069"/>
    <w:pPr>
      <w:tabs>
        <w:tab w:val="center" w:pos="4535"/>
        <w:tab w:val="right" w:pos="9071"/>
      </w:tabs>
      <w:spacing w:before="0"/>
    </w:pPr>
  </w:style>
  <w:style w:type="paragraph" w:customStyle="1" w:styleId="HeaderLandscape">
    <w:name w:val="HeaderLandscape"/>
    <w:basedOn w:val="Normal"/>
    <w:rsid w:val="00186069"/>
    <w:pPr>
      <w:tabs>
        <w:tab w:val="center" w:pos="7285"/>
        <w:tab w:val="right" w:pos="14003"/>
      </w:tabs>
      <w:spacing w:before="0"/>
    </w:pPr>
  </w:style>
  <w:style w:type="paragraph" w:styleId="Footer">
    <w:name w:val="footer"/>
    <w:basedOn w:val="Normal"/>
    <w:link w:val="FooterChar"/>
    <w:uiPriority w:val="99"/>
    <w:unhideWhenUsed/>
    <w:rsid w:val="0018606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8606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ebgate.ec.testa.eu/Ares/document/show.do?documentId=080166e517a5d51a&amp;timestamp=17403874462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dec/2023/99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4CD9-5A2B-4A9F-A07E-20BB6E8CB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0BDDE-8BE7-4168-9D23-D2A2F5C81C63}">
  <ds:schemaRefs>
    <ds:schemaRef ds:uri="http://schemas.microsoft.com/office/2006/documentManagement/types"/>
    <ds:schemaRef ds:uri="http://schemas.microsoft.com/sharepoint/v3/field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f7bb8512-91eb-4bfd-be42-d6f021407e9a"/>
    <ds:schemaRef ds:uri="144c03d0-0f03-451f-9d46-5279004462a4"/>
  </ds:schemaRefs>
</ds:datastoreItem>
</file>

<file path=customXml/itemProps3.xml><?xml version="1.0" encoding="utf-8"?>
<ds:datastoreItem xmlns:ds="http://schemas.openxmlformats.org/officeDocument/2006/customXml" ds:itemID="{79996B29-BDCC-485B-8AD0-657EFD2D9F88}">
  <ds:schemaRefs>
    <ds:schemaRef ds:uri="http://schemas.microsoft.com/sharepoint/v3/contenttype/forms"/>
  </ds:schemaRefs>
</ds:datastoreItem>
</file>

<file path=customXml/itemProps4.xml><?xml version="1.0" encoding="utf-8"?>
<ds:datastoreItem xmlns:ds="http://schemas.openxmlformats.org/officeDocument/2006/customXml" ds:itemID="{DAC4626E-6E1E-425A-AE37-44FD7C36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7</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2025-03-18T16:35:00Z</dcterms:created>
  <dcterms:modified xsi:type="dcterms:W3CDTF">2025-04-09T08:53:00Z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2025-01-28T15:39:56Z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31759a29-e370-43df-8786-2b7ff5f4fc86</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