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7DC2" w:rsidRPr="00924D65" w:rsidRDefault="00DF5AE4" w:rsidP="00DF5AE4">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146FB39C-F221-476B-83C3-EE625CFAAFBA" style="width:455.25pt;height:369.75pt">
            <v:imagedata r:id="rId11" o:title=""/>
          </v:shape>
        </w:pict>
      </w:r>
    </w:p>
    <w:p w:rsidR="000F7DC2" w:rsidRPr="00924D65" w:rsidRDefault="000F7DC2" w:rsidP="000F7DC2">
      <w:pPr>
        <w:rPr>
          <w:noProof/>
        </w:rPr>
        <w:sectPr w:rsidR="000F7DC2" w:rsidRPr="00924D65" w:rsidSect="00DF5AE4">
          <w:footerReference w:type="even" r:id="rId12"/>
          <w:footerReference w:type="default" r:id="rId13"/>
          <w:pgSz w:w="11907" w:h="16839"/>
          <w:pgMar w:top="1134" w:right="1417" w:bottom="1134" w:left="1417" w:header="709" w:footer="709" w:gutter="0"/>
          <w:pgNumType w:start="0"/>
          <w:cols w:space="720"/>
          <w:docGrid w:linePitch="360"/>
        </w:sectPr>
      </w:pPr>
    </w:p>
    <w:p w:rsidR="000F7DC2" w:rsidRPr="00924D65" w:rsidRDefault="000F7DC2" w:rsidP="00BB6B30">
      <w:pPr>
        <w:pStyle w:val="Exposdesmotifstitre"/>
        <w:rPr>
          <w:noProof/>
        </w:rPr>
      </w:pPr>
      <w:bookmarkStart w:id="0" w:name="_GoBack"/>
      <w:bookmarkEnd w:id="0"/>
      <w:r w:rsidRPr="00924D65">
        <w:rPr>
          <w:noProof/>
        </w:rPr>
        <w:lastRenderedPageBreak/>
        <w:t>MOTIVERING</w:t>
      </w:r>
    </w:p>
    <w:p w:rsidR="000F7DC2" w:rsidRPr="00924D65" w:rsidRDefault="000F7DC2" w:rsidP="000F7DC2">
      <w:pPr>
        <w:rPr>
          <w:noProof/>
        </w:rPr>
      </w:pPr>
      <w:r w:rsidRPr="00924D65">
        <w:rPr>
          <w:noProof/>
        </w:rPr>
        <w:t>Enligt artikel 395.1 i rådets direktiv 2006/112/EG av den 28 november 2006 om ett gemensamt system för mervärdesskatt</w:t>
      </w:r>
      <w:r w:rsidRPr="00924D65">
        <w:rPr>
          <w:rStyle w:val="FootnoteReference"/>
          <w:noProof/>
        </w:rPr>
        <w:footnoteReference w:id="1"/>
      </w:r>
      <w:r w:rsidRPr="00924D65">
        <w:rPr>
          <w:noProof/>
        </w:rPr>
        <w:t xml:space="preserve"> (</w:t>
      </w:r>
      <w:r w:rsidRPr="00924D65">
        <w:rPr>
          <w:i/>
          <w:iCs/>
          <w:noProof/>
        </w:rPr>
        <w:t>mervärdesskattedirektivet</w:t>
      </w:r>
      <w:r w:rsidRPr="00924D65">
        <w:rPr>
          <w:noProof/>
        </w:rPr>
        <w:t>) får rådet enhälligt på kommissionens förslag bemyndiga varje medlemsstat att tillämpa särskilda åtgärder som avviker från bestämmelserna i det direktivet, för att förenkla uppbörden av skatt eller för att förhindra vissa slag av skatteundandragande eller skatteflykt.</w:t>
      </w:r>
    </w:p>
    <w:p w:rsidR="000F7DC2" w:rsidRPr="00924D65" w:rsidRDefault="000F7DC2" w:rsidP="000F7DC2">
      <w:pPr>
        <w:rPr>
          <w:noProof/>
        </w:rPr>
      </w:pPr>
      <w:r w:rsidRPr="00924D65">
        <w:rPr>
          <w:noProof/>
        </w:rPr>
        <w:t xml:space="preserve">Genom en skrivelse som registrerades hos kommissionen den 26 mars 2024 ansökte Ungern om bemyndigande att få fortsätta att tillämpa en åtgärd som avviker från artiklarna 26.1 a, 168 och 168a i direktiv 2006/112/EG, och att begränsa rätten att dra av mervärdesskatt på leasing av vissa personbilar som inte uteslutande används för yrkesmässigt bruk samt att befria beskattningsbara personer från skyldigheten att likställa privat användning av sådana fordon med tillhandahållande av tjänster mot ersättning. Ansökan åtföljdes av en rapport med en översyn av den procentsats som föreskrivs för begränsningen av avdragsrätten. </w:t>
      </w:r>
    </w:p>
    <w:p w:rsidR="000F7DC2" w:rsidRPr="00924D65" w:rsidRDefault="000F7DC2" w:rsidP="000F7DC2">
      <w:pPr>
        <w:rPr>
          <w:noProof/>
        </w:rPr>
      </w:pPr>
      <w:r w:rsidRPr="00924D65">
        <w:rPr>
          <w:noProof/>
        </w:rPr>
        <w:t>Genom en skrivelse av den 29 maj 2024 underrättade kommissionen, i enlighet med artikel 395.2 i mervärdesskattedirektivet, övriga medlemsstater om Ungerns ansökan. Genom en skrivelse av den 30 maj 2024 underrättade kommissionen Ungern om att den hade alla uppgifter som den ansåg sig behöva för att kunna behandla ärendet.</w:t>
      </w:r>
    </w:p>
    <w:p w:rsidR="000F7DC2" w:rsidRPr="00924D65" w:rsidRDefault="000F7DC2" w:rsidP="00BB6B30">
      <w:pPr>
        <w:pStyle w:val="ManualHeading1"/>
        <w:rPr>
          <w:noProof/>
        </w:rPr>
      </w:pPr>
      <w:r w:rsidRPr="00924D65">
        <w:rPr>
          <w:noProof/>
        </w:rPr>
        <w:t>1.</w:t>
      </w:r>
      <w:r w:rsidRPr="00924D65">
        <w:rPr>
          <w:noProof/>
        </w:rPr>
        <w:tab/>
        <w:t>BAKGRUND TILL FÖRSLAGET</w:t>
      </w:r>
    </w:p>
    <w:p w:rsidR="000F7DC2" w:rsidRPr="00924D65" w:rsidRDefault="000F7DC2" w:rsidP="00044058">
      <w:pPr>
        <w:pStyle w:val="ManualHeading2"/>
        <w:rPr>
          <w:rFonts w:eastAsia="Arial Unicode MS"/>
          <w:noProof/>
        </w:rPr>
      </w:pPr>
      <w:r w:rsidRPr="00924D65">
        <w:rPr>
          <w:noProof/>
          <w:color w:val="000000"/>
          <w:u w:color="000000"/>
          <w:bdr w:val="nil"/>
        </w:rPr>
        <w:t>•</w:t>
      </w:r>
      <w:r w:rsidRPr="00924D65">
        <w:rPr>
          <w:noProof/>
        </w:rPr>
        <w:tab/>
        <w:t>Motiv och syfte med förslaget</w:t>
      </w:r>
    </w:p>
    <w:p w:rsidR="002F7206" w:rsidRPr="00924D65" w:rsidRDefault="002F7206" w:rsidP="002F7206">
      <w:pPr>
        <w:rPr>
          <w:noProof/>
        </w:rPr>
      </w:pPr>
      <w:r w:rsidRPr="00924D65">
        <w:rPr>
          <w:noProof/>
        </w:rPr>
        <w:t>Enligt artikel 168 i mervärdesskattedirektivet får en beskattningsbar person dra av mervärdesskatt för inköp av varor och tjänster som används för hans eller hennes beskattade transaktioner. Enligt artikel 168a.1 i mervärdesskattedirektivet ska mervärdesskatten på utgifter i samband med fast egendom som ingår i en beskattningsbar persons rörelsetillgångar och som används för både rörelsens verksamhet och rörelsefrämmande ändamål vara avdragsgill endast i proportion till den beskattningsbara personens användning för rörelsens verksamhet. Enligt artikel 168a.2 i mervärdesskattedirektivet får medlemsstaterna också tillämpa denna bestämmelse på utgifter i samband med andra varor som ingår i en rörelses tillgångar enligt egna angivelser.  I artikel 26.1 a i samma direktiv föreskrivs att användning för privat bruk av en vara som ingår i en rörelses tillgångar ska likställas med tillhandahållande av tjänster mot ersättning om avdragsrätt förelegat för mervärdesskatten på dessa varor. Denna ordning möjliggör återkrav av mervärdesskatt som ursprungligen dragits av i samband med privat bruk.</w:t>
      </w:r>
    </w:p>
    <w:p w:rsidR="002F7206" w:rsidRPr="00924D65" w:rsidRDefault="002F7206" w:rsidP="002F7206">
      <w:pPr>
        <w:rPr>
          <w:noProof/>
        </w:rPr>
      </w:pPr>
      <w:r w:rsidRPr="00924D65">
        <w:rPr>
          <w:noProof/>
        </w:rPr>
        <w:t xml:space="preserve">När det gäller personbilar är detta system svårt att tillämpa, främst eftersom det är svårt att fastställa fördelningen mellan privat och yrkesmässigt bruk. I de fall redovisning sker medför detta en extra börda för både rörelsen och förvaltningen för att upprätthålla och kontrollera denna redovisning. </w:t>
      </w:r>
    </w:p>
    <w:p w:rsidR="002F7206" w:rsidRPr="00924D65" w:rsidRDefault="002F7206" w:rsidP="002F7206">
      <w:pPr>
        <w:rPr>
          <w:noProof/>
        </w:rPr>
      </w:pPr>
      <w:r w:rsidRPr="00924D65">
        <w:rPr>
          <w:noProof/>
        </w:rPr>
        <w:t>Enligt artikel 395 i mervärdesskattedirektivet får medlemsstaterna, om de bemyndigats av rådet, genomföra åtgärder som avviker från bestämmelserna i direktivet, för att förenkla uppbörden av mervärdesskatt eller för att förhindra vissa slag av skatteundandragande eller skatteflykt.</w:t>
      </w:r>
    </w:p>
    <w:p w:rsidR="002F7206" w:rsidRPr="00924D65" w:rsidRDefault="002F7206" w:rsidP="002F7206">
      <w:pPr>
        <w:pBdr>
          <w:top w:val="nil"/>
          <w:left w:val="nil"/>
          <w:bottom w:val="nil"/>
          <w:right w:val="nil"/>
          <w:between w:val="nil"/>
          <w:bar w:val="nil"/>
        </w:pBdr>
        <w:spacing w:before="0" w:after="240"/>
        <w:rPr>
          <w:rFonts w:eastAsia="Arial Unicode MS"/>
          <w:noProof/>
        </w:rPr>
      </w:pPr>
      <w:r w:rsidRPr="00924D65">
        <w:rPr>
          <w:noProof/>
        </w:rPr>
        <w:t>För närvarande är Ungern, på grundval av rådets genomförandebeslut (EU) 2018/1493</w:t>
      </w:r>
      <w:r w:rsidRPr="00924D65">
        <w:rPr>
          <w:rStyle w:val="FootnoteReference"/>
          <w:noProof/>
        </w:rPr>
        <w:footnoteReference w:id="2"/>
      </w:r>
      <w:r w:rsidRPr="00924D65">
        <w:rPr>
          <w:noProof/>
        </w:rPr>
        <w:t>, bemyndigat att upp till 50 % begränsa rätten till avdrag av mervärdesskatt som betalats för utgifter som är avdragsgilla med avseende på leasing av personbilar som inte uteslutande används för yrkesmässigt bruk och att befria beskattningsbara personer från skyldigheten att likställa icke-yrkesmässigt bruk av sådana fordon med tillhandahållande av tjänster mot ersättning. Personbilar som omfattas av den särskilda åtgärden är motorfordon huvudsakligen konstruerade för transport av högst nio personer och med en totalvikt av högst fem ton. Fordon som är konstruerade för transport av varor, fordon för särskilda ändamål (dvs. kranbilar, brandbilar, rotertransportbilar), fordon som är konstruerade för transport av minst tio personer, traktorer och släpfordon undantas från begränsningen av avdragsrätten för mervärdesskatt och behandlas enligt de normala reglerna. Beskattningsbara personer som inte önskar tillämpa avdragsbegränsningen på 50 %, och som vill göra avdrag för mervärdesskatt endast i proportion till den faktiska yrkesmässiga användningen, tillåts göra detta förutsatt att de har tillgång till detaljerad bevisning för den yrkesmässiga användningen av leasade personbilar. Giltighetstiden för denna särskilda åtgärd löper ut den 31 december 2024, efter en förlängning som godkändes genom rådets genomförandebeslut (EU) 2021/1774</w:t>
      </w:r>
      <w:r w:rsidRPr="00924D65">
        <w:rPr>
          <w:rStyle w:val="FootnoteReference"/>
          <w:noProof/>
        </w:rPr>
        <w:footnoteReference w:id="3"/>
      </w:r>
      <w:r w:rsidRPr="00924D65">
        <w:rPr>
          <w:noProof/>
        </w:rPr>
        <w:t>.</w:t>
      </w:r>
    </w:p>
    <w:p w:rsidR="00702416" w:rsidRPr="00924D65" w:rsidRDefault="002F7206" w:rsidP="002F7206">
      <w:pPr>
        <w:pBdr>
          <w:top w:val="nil"/>
          <w:left w:val="nil"/>
          <w:bottom w:val="nil"/>
          <w:right w:val="nil"/>
          <w:between w:val="nil"/>
          <w:bar w:val="nil"/>
        </w:pBdr>
        <w:spacing w:before="0" w:after="240"/>
        <w:rPr>
          <w:rFonts w:eastAsia="Arial Unicode MS"/>
          <w:noProof/>
        </w:rPr>
      </w:pPr>
      <w:r w:rsidRPr="00924D65">
        <w:rPr>
          <w:noProof/>
        </w:rPr>
        <w:t xml:space="preserve">Ungern har begärt att få förlänga bemyndigandet att begränsa avdragsrätten till en fastställd fast procentsats och att i gengäld befria rörelsen från skyldigheten att redovisa skatt för den privata användningen. Ungern har informerat kommissionen om att </w:t>
      </w:r>
      <w:bookmarkStart w:id="1" w:name="_Hlk166091278"/>
      <w:r w:rsidRPr="00924D65">
        <w:rPr>
          <w:noProof/>
        </w:rPr>
        <w:t>de skäl som låg till grund för den förra ansökan om förlängning i huvudsak fortfarande föreligger</w:t>
      </w:r>
      <w:bookmarkEnd w:id="1"/>
      <w:r w:rsidRPr="00924D65">
        <w:rPr>
          <w:noProof/>
        </w:rPr>
        <w:t>. Ungern bekräftar att den särskilda åtgärden har gynnat både företag och skattemyndigheter, och att motiveringen till undantaget fortfarande gäller. I enlighet med artikel 5 i rådets genomförandebeslut 2018/1493 har Ungern också lagt fram en rapport om den procentsats som fastställts för avdragsgill mervärdesskatt. Ungern anser att den procentuella begränsningen på 50 % fortsatt är lämplig. Enligt inlämnade uppgifter uppskattades den beräknade omfattningen av privatanvändningen av leasade företagsbilar ligga mellan 32 % och 53 % under perioden 2016–2022. Eftersom beräkningen bygger på indirekta belägg och antaganden och därför skulle kunna innehålla en överskattning, anser Ungern att en gräns för avdrag av ingående mervärdesskatt på 50 % är den lämpligaste. Vidare visar skattemyndigheternas inspektioner, vilket även var fallet under 2021, att de flesta beskattningsbara personer – omkring 90–95 % – som blivit föremål för inspektion tillämpar den nivå på 50 % som lagstiftningen medger. Enligt Ungern är skälet fortsatt att den procentsats som lagstiftningen medger uppenbart befriar beskattningsbara personer från kravet på specificerad redovisning och att satsen 50 % för privat bruk ligger tillräckligt nära den faktiska situationen.</w:t>
      </w:r>
    </w:p>
    <w:p w:rsidR="002F7206" w:rsidRPr="00924D65" w:rsidRDefault="002F7206" w:rsidP="002F7206">
      <w:pPr>
        <w:pBdr>
          <w:top w:val="nil"/>
          <w:left w:val="nil"/>
          <w:bottom w:val="nil"/>
          <w:right w:val="nil"/>
          <w:between w:val="nil"/>
          <w:bar w:val="nil"/>
        </w:pBdr>
        <w:spacing w:before="0" w:after="240"/>
        <w:rPr>
          <w:rFonts w:eastAsia="Arial Unicode MS"/>
          <w:noProof/>
        </w:rPr>
      </w:pPr>
      <w:r w:rsidRPr="00924D65">
        <w:rPr>
          <w:noProof/>
        </w:rPr>
        <w:t>Mot bakgrund av att den särskilda åtgärden minskar såväl skattebetalarnas som skattemyndigheternas administrativa börda, föreslås det att förlängningen av den nuvarande särskilda åtgärden beviljas. Förlängningen bör gälla under ytterligare en begränsad period, nämligen till och med den 31 december 2027, för att möjliggöra en översyn av huruvida den särskilda åtgärden är verkningsfull och huruvida begränsningen på 50 % fortfarande är en korrekt återspegling av den allmänna fördelningen mellan yrkesmässigt och privat bruk. En eventuell ansökan om förlängning bör åtföljas av en rapport som innehåller en översyn av den procentuella begränsning som tillämpas, och lämnas in till kommissionen senast den 31 mars 2027.</w:t>
      </w:r>
    </w:p>
    <w:p w:rsidR="000F7DC2" w:rsidRPr="00924D65" w:rsidRDefault="000F7DC2" w:rsidP="00044058">
      <w:pPr>
        <w:pStyle w:val="ManualHeading2"/>
        <w:rPr>
          <w:rFonts w:eastAsia="Arial Unicode MS"/>
          <w:noProof/>
          <w:color w:val="000000"/>
          <w:u w:color="000000"/>
          <w:bdr w:val="nil"/>
        </w:rPr>
      </w:pPr>
      <w:r w:rsidRPr="00924D65">
        <w:rPr>
          <w:noProof/>
          <w:color w:val="000000"/>
          <w:u w:color="000000"/>
          <w:bdr w:val="nil"/>
        </w:rPr>
        <w:t>•</w:t>
      </w:r>
      <w:r w:rsidRPr="00924D65">
        <w:rPr>
          <w:noProof/>
        </w:rPr>
        <w:tab/>
        <w:t>Förenlighet med befintliga bestämmelser inom området</w:t>
      </w:r>
    </w:p>
    <w:p w:rsidR="00F76596" w:rsidRPr="00924D65" w:rsidRDefault="00F76596" w:rsidP="00F76596">
      <w:pPr>
        <w:rPr>
          <w:noProof/>
        </w:rPr>
      </w:pPr>
      <w:r w:rsidRPr="00924D65">
        <w:rPr>
          <w:noProof/>
        </w:rPr>
        <w:t>Liknande undantag i fråga om avdragsrätten har beviljats andra medlemsstater (Estland</w:t>
      </w:r>
      <w:r w:rsidRPr="00924D65">
        <w:rPr>
          <w:rStyle w:val="FootnoteReference"/>
          <w:noProof/>
        </w:rPr>
        <w:footnoteReference w:id="4"/>
      </w:r>
      <w:r w:rsidRPr="00924D65">
        <w:rPr>
          <w:noProof/>
        </w:rPr>
        <w:t>, Lettland</w:t>
      </w:r>
      <w:r w:rsidRPr="00924D65">
        <w:rPr>
          <w:rStyle w:val="FootnoteReference"/>
          <w:noProof/>
        </w:rPr>
        <w:footnoteReference w:id="5"/>
      </w:r>
      <w:r w:rsidRPr="00924D65">
        <w:rPr>
          <w:noProof/>
        </w:rPr>
        <w:t>, Kroatien</w:t>
      </w:r>
      <w:r w:rsidRPr="00924D65">
        <w:rPr>
          <w:rStyle w:val="FootnoteReference"/>
          <w:noProof/>
        </w:rPr>
        <w:footnoteReference w:id="6"/>
      </w:r>
      <w:r w:rsidRPr="00924D65">
        <w:rPr>
          <w:noProof/>
        </w:rPr>
        <w:t>, Polen</w:t>
      </w:r>
      <w:r w:rsidRPr="00924D65">
        <w:rPr>
          <w:rStyle w:val="FootnoteReference"/>
          <w:noProof/>
        </w:rPr>
        <w:footnoteReference w:id="7"/>
      </w:r>
      <w:r w:rsidRPr="00924D65">
        <w:rPr>
          <w:noProof/>
        </w:rPr>
        <w:t>, Italien</w:t>
      </w:r>
      <w:r w:rsidRPr="00924D65">
        <w:rPr>
          <w:rStyle w:val="FootnoteReference"/>
          <w:noProof/>
        </w:rPr>
        <w:footnoteReference w:id="8"/>
      </w:r>
      <w:r w:rsidRPr="00924D65">
        <w:rPr>
          <w:noProof/>
        </w:rPr>
        <w:t xml:space="preserve"> och Rumänien</w:t>
      </w:r>
      <w:r w:rsidRPr="00924D65">
        <w:rPr>
          <w:rStyle w:val="FootnoteReference"/>
          <w:noProof/>
        </w:rPr>
        <w:footnoteReference w:id="9"/>
      </w:r>
      <w:r w:rsidRPr="00924D65">
        <w:rPr>
          <w:noProof/>
        </w:rPr>
        <w:t xml:space="preserve">). </w:t>
      </w:r>
    </w:p>
    <w:p w:rsidR="00F76596" w:rsidRPr="00924D65" w:rsidRDefault="00F76596" w:rsidP="00F76596">
      <w:pPr>
        <w:rPr>
          <w:noProof/>
        </w:rPr>
      </w:pPr>
      <w:r w:rsidRPr="00924D65">
        <w:rPr>
          <w:noProof/>
        </w:rPr>
        <w:t xml:space="preserve">I artikel 176 i mervärdesskattedirektivet föreskrivs att rådet ska besluta vilka utgifter som inte ska medföra rätt till avdrag av mervärdesskatt. Fram till dess ger direktivet medlemsstaterna rätt att behålla de avvikelser som gällde den 1 januari 1979. Det finns därför ett antal standstill-klausuler som begränsar rätten till avdrag av mervärdesskatt i fråga om personbilar. </w:t>
      </w:r>
    </w:p>
    <w:p w:rsidR="00F76596" w:rsidRPr="00924D65" w:rsidRDefault="00F76596" w:rsidP="00F76596">
      <w:pPr>
        <w:pBdr>
          <w:top w:val="nil"/>
          <w:left w:val="nil"/>
          <w:bottom w:val="nil"/>
          <w:right w:val="nil"/>
          <w:between w:val="nil"/>
          <w:bar w:val="nil"/>
        </w:pBdr>
        <w:spacing w:before="0" w:after="240"/>
        <w:rPr>
          <w:noProof/>
        </w:rPr>
      </w:pPr>
      <w:r w:rsidRPr="00924D65">
        <w:rPr>
          <w:noProof/>
        </w:rPr>
        <w:t>Trots tidigare initiativ för att fastställa regler för vilka kategorier av utgifter som kan omfattas av en begränsning av avdragsrätten</w:t>
      </w:r>
      <w:r w:rsidRPr="00924D65">
        <w:rPr>
          <w:rStyle w:val="FootnoteReference"/>
          <w:rFonts w:eastAsia="Arial Unicode MS"/>
          <w:noProof/>
        </w:rPr>
        <w:footnoteReference w:id="10"/>
      </w:r>
      <w:r w:rsidRPr="00924D65">
        <w:rPr>
          <w:noProof/>
        </w:rPr>
        <w:t xml:space="preserve"> är en sådan avvikelse lämplig i avvaktan på en harmonisering av dessa regler på EU-nivå. </w:t>
      </w:r>
    </w:p>
    <w:p w:rsidR="000F7DC2" w:rsidRPr="00924D65" w:rsidRDefault="000F7DC2" w:rsidP="00550536">
      <w:pPr>
        <w:pStyle w:val="ManualHeading1"/>
        <w:rPr>
          <w:noProof/>
        </w:rPr>
      </w:pPr>
      <w:r w:rsidRPr="00924D65">
        <w:rPr>
          <w:noProof/>
        </w:rPr>
        <w:t>2.</w:t>
      </w:r>
      <w:r w:rsidRPr="00924D65">
        <w:rPr>
          <w:noProof/>
        </w:rPr>
        <w:tab/>
        <w:t>RÄTTSLIG GRUND, SUBSIDIARITETSPRINCIPEN OCH PROPORTIONALITETSPRINCIPEN</w:t>
      </w:r>
    </w:p>
    <w:p w:rsidR="000F7DC2" w:rsidRPr="00924D65" w:rsidRDefault="000F7DC2" w:rsidP="00A4693B">
      <w:pPr>
        <w:pStyle w:val="ManualHeading2"/>
        <w:rPr>
          <w:rFonts w:eastAsia="Arial Unicode MS"/>
          <w:noProof/>
          <w:u w:color="000000"/>
          <w:bdr w:val="nil"/>
        </w:rPr>
      </w:pPr>
      <w:r w:rsidRPr="00924D65">
        <w:rPr>
          <w:noProof/>
          <w:u w:color="000000"/>
          <w:bdr w:val="nil"/>
        </w:rPr>
        <w:t>•</w:t>
      </w:r>
      <w:r w:rsidRPr="00924D65">
        <w:rPr>
          <w:noProof/>
        </w:rPr>
        <w:tab/>
      </w:r>
      <w:r w:rsidRPr="00924D65">
        <w:rPr>
          <w:noProof/>
          <w:u w:color="000000"/>
          <w:bdr w:val="nil"/>
        </w:rPr>
        <w:t>Rättslig grund</w:t>
      </w:r>
    </w:p>
    <w:p w:rsidR="00F76596" w:rsidRPr="00924D65" w:rsidRDefault="00F76596" w:rsidP="00F76596">
      <w:pPr>
        <w:rPr>
          <w:rFonts w:eastAsia="Arial Unicode MS"/>
          <w:noProof/>
        </w:rPr>
      </w:pPr>
      <w:r w:rsidRPr="00924D65">
        <w:rPr>
          <w:noProof/>
        </w:rPr>
        <w:t xml:space="preserve">Artikel 395 i mervärdesskattedirektivet. </w:t>
      </w:r>
    </w:p>
    <w:p w:rsidR="000F7DC2" w:rsidRPr="00924D65" w:rsidRDefault="000F7DC2" w:rsidP="00A4693B">
      <w:pPr>
        <w:pStyle w:val="ManualHeading2"/>
        <w:rPr>
          <w:rFonts w:eastAsia="Arial Unicode MS"/>
          <w:noProof/>
          <w:u w:color="000000"/>
          <w:bdr w:val="nil"/>
        </w:rPr>
      </w:pPr>
      <w:r w:rsidRPr="00924D65">
        <w:rPr>
          <w:noProof/>
          <w:u w:color="000000"/>
          <w:bdr w:val="nil"/>
        </w:rPr>
        <w:t>•</w:t>
      </w:r>
      <w:r w:rsidRPr="00924D65">
        <w:rPr>
          <w:noProof/>
        </w:rPr>
        <w:tab/>
      </w:r>
      <w:r w:rsidRPr="00924D65">
        <w:rPr>
          <w:noProof/>
          <w:u w:color="000000"/>
          <w:bdr w:val="nil"/>
        </w:rPr>
        <w:t xml:space="preserve">Subsidiaritetsprincipen (för icke-exklusiv befogenhet) </w:t>
      </w:r>
    </w:p>
    <w:p w:rsidR="00F76596" w:rsidRPr="00924D65" w:rsidRDefault="00F76596" w:rsidP="00F76596">
      <w:pPr>
        <w:pBdr>
          <w:top w:val="nil"/>
          <w:left w:val="nil"/>
          <w:bottom w:val="nil"/>
          <w:right w:val="nil"/>
          <w:between w:val="nil"/>
          <w:bar w:val="nil"/>
        </w:pBdr>
        <w:spacing w:before="0" w:after="240"/>
        <w:rPr>
          <w:rFonts w:eastAsia="Arial Unicode MS"/>
          <w:noProof/>
        </w:rPr>
      </w:pPr>
      <w:r w:rsidRPr="00924D65">
        <w:rPr>
          <w:noProof/>
        </w:rPr>
        <w:t>Mot bakgrund av den bestämmelse i mervärdesskattedirektivet som ligger till grund för förslaget är subsidiaritetsprincipen inte tillämplig.</w:t>
      </w:r>
    </w:p>
    <w:p w:rsidR="000F7DC2" w:rsidRPr="00924D65" w:rsidRDefault="000F7DC2" w:rsidP="00A4693B">
      <w:pPr>
        <w:pStyle w:val="ManualHeading2"/>
        <w:rPr>
          <w:rFonts w:eastAsia="Arial Unicode MS"/>
          <w:noProof/>
          <w:u w:color="000000"/>
          <w:bdr w:val="nil"/>
        </w:rPr>
      </w:pPr>
      <w:r w:rsidRPr="00924D65">
        <w:rPr>
          <w:noProof/>
          <w:u w:color="000000"/>
          <w:bdr w:val="nil"/>
        </w:rPr>
        <w:t>•</w:t>
      </w:r>
      <w:r w:rsidRPr="00924D65">
        <w:rPr>
          <w:noProof/>
        </w:rPr>
        <w:tab/>
      </w:r>
      <w:r w:rsidRPr="00924D65">
        <w:rPr>
          <w:noProof/>
          <w:u w:color="000000"/>
          <w:bdr w:val="nil"/>
        </w:rPr>
        <w:t>Proportionalitetsprincipen</w:t>
      </w:r>
    </w:p>
    <w:p w:rsidR="00F76596" w:rsidRPr="00924D65" w:rsidRDefault="00F76596" w:rsidP="00F76596">
      <w:pPr>
        <w:rPr>
          <w:noProof/>
        </w:rPr>
      </w:pPr>
      <w:r w:rsidRPr="00924D65">
        <w:rPr>
          <w:noProof/>
        </w:rPr>
        <w:t>Beslutet avser ett bemyndigande som beviljas en medlemsstat på dess egen begäran och utgör därför ingen förpliktelse.</w:t>
      </w:r>
    </w:p>
    <w:p w:rsidR="00F76596" w:rsidRPr="00924D65" w:rsidRDefault="00F76596" w:rsidP="00F76596">
      <w:pPr>
        <w:pBdr>
          <w:top w:val="nil"/>
          <w:left w:val="nil"/>
          <w:bottom w:val="nil"/>
          <w:right w:val="nil"/>
          <w:between w:val="nil"/>
          <w:bar w:val="nil"/>
        </w:pBdr>
        <w:spacing w:before="0" w:after="240"/>
        <w:rPr>
          <w:rFonts w:eastAsia="Arial Unicode MS"/>
          <w:noProof/>
        </w:rPr>
      </w:pPr>
      <w:r w:rsidRPr="00924D65">
        <w:rPr>
          <w:noProof/>
        </w:rPr>
        <w:t>På grund av avvikelsens begränsade omfattning står den särskilda åtgärden i proportion till det mål som eftersträvas, nämligen att förenkla mervärdesskatteuppbörden och förhindra vissa slag av skatteundandragande eller skatteflykt. Med tanke på företagens möjligheter att redovisa för låga belopp, och den betungande kontrollen av körsträckor för skattemyndigheterna, skulle begränsningen på 50 % förenkla förfarandet för uppbörd av mervärdesskatt och förhindra skatteundandragande genom bland annat felaktig redovisning.</w:t>
      </w:r>
    </w:p>
    <w:p w:rsidR="000F7DC2" w:rsidRPr="00924D65" w:rsidRDefault="000F7DC2" w:rsidP="00A4693B">
      <w:pPr>
        <w:pStyle w:val="ManualHeading2"/>
        <w:rPr>
          <w:rFonts w:eastAsia="Arial Unicode MS"/>
          <w:noProof/>
          <w:u w:color="000000"/>
          <w:bdr w:val="nil"/>
        </w:rPr>
      </w:pPr>
      <w:r w:rsidRPr="00924D65">
        <w:rPr>
          <w:noProof/>
          <w:u w:color="000000"/>
          <w:bdr w:val="nil"/>
        </w:rPr>
        <w:t>•</w:t>
      </w:r>
      <w:r w:rsidRPr="00924D65">
        <w:rPr>
          <w:noProof/>
        </w:rPr>
        <w:tab/>
      </w:r>
      <w:r w:rsidRPr="00924D65">
        <w:rPr>
          <w:noProof/>
          <w:u w:color="000000"/>
          <w:bdr w:val="nil"/>
        </w:rPr>
        <w:t>Val av instrument</w:t>
      </w:r>
    </w:p>
    <w:p w:rsidR="00F76596" w:rsidRPr="00924D65" w:rsidRDefault="00F76596" w:rsidP="00F76596">
      <w:pPr>
        <w:spacing w:before="0" w:after="240"/>
        <w:rPr>
          <w:rFonts w:eastAsia="Arial Unicode MS"/>
          <w:noProof/>
        </w:rPr>
      </w:pPr>
      <w:r w:rsidRPr="00924D65">
        <w:rPr>
          <w:noProof/>
        </w:rPr>
        <w:t>Föreslaget instrument: rådets genomförandebeslut.</w:t>
      </w:r>
    </w:p>
    <w:p w:rsidR="00F76596" w:rsidRPr="00924D65" w:rsidRDefault="00F76596" w:rsidP="00F76596">
      <w:pPr>
        <w:spacing w:before="0" w:after="240"/>
        <w:rPr>
          <w:rFonts w:eastAsia="Arial Unicode MS"/>
          <w:noProof/>
        </w:rPr>
      </w:pPr>
      <w:r w:rsidRPr="00924D65">
        <w:rPr>
          <w:noProof/>
        </w:rPr>
        <w:t>I enlighet med artikel 395 i mervärdesskattedirektivet är en avvikelse från de gemensamma mervärdesskattereglerna bara möjlig om rådet ger ett enhälligt bemyndigande på grundval av ett förslag från kommissionen. Ett rådets genomförandebeslut är det lämpligaste instrumentet, eftersom det kan riktas till en enskild medlemsstat.</w:t>
      </w:r>
    </w:p>
    <w:p w:rsidR="000F7DC2" w:rsidRPr="00924D65" w:rsidRDefault="000F7DC2" w:rsidP="00550536">
      <w:pPr>
        <w:pStyle w:val="ManualHeading1"/>
        <w:rPr>
          <w:noProof/>
        </w:rPr>
      </w:pPr>
      <w:r w:rsidRPr="00924D65">
        <w:rPr>
          <w:noProof/>
        </w:rPr>
        <w:t>3.</w:t>
      </w:r>
      <w:r w:rsidRPr="00924D65">
        <w:rPr>
          <w:noProof/>
        </w:rPr>
        <w:tab/>
        <w:t>RESULTAT AV EFTERHANDSUTVÄRDERINGAR, SAMRÅD MED BERÖRDA PARTER OCH KONSEKVENSBEDÖMNINGAR</w:t>
      </w:r>
    </w:p>
    <w:p w:rsidR="000F7DC2" w:rsidRPr="00924D65" w:rsidRDefault="000F7DC2" w:rsidP="00A4693B">
      <w:pPr>
        <w:pStyle w:val="ManualHeading2"/>
        <w:rPr>
          <w:rFonts w:eastAsia="Arial Unicode MS"/>
          <w:noProof/>
          <w:u w:color="000000"/>
          <w:bdr w:val="nil"/>
        </w:rPr>
      </w:pPr>
      <w:r w:rsidRPr="00924D65">
        <w:rPr>
          <w:noProof/>
          <w:u w:color="000000"/>
          <w:bdr w:val="nil"/>
        </w:rPr>
        <w:t>•</w:t>
      </w:r>
      <w:r w:rsidRPr="00924D65">
        <w:rPr>
          <w:noProof/>
        </w:rPr>
        <w:tab/>
      </w:r>
      <w:r w:rsidRPr="00924D65">
        <w:rPr>
          <w:noProof/>
          <w:u w:color="000000"/>
          <w:bdr w:val="nil"/>
        </w:rPr>
        <w:t>Samråd med berörda parter</w:t>
      </w:r>
    </w:p>
    <w:p w:rsidR="00F76596" w:rsidRPr="00924D65" w:rsidRDefault="00052924" w:rsidP="00F76596">
      <w:pPr>
        <w:pBdr>
          <w:top w:val="nil"/>
          <w:left w:val="nil"/>
          <w:bottom w:val="nil"/>
          <w:right w:val="nil"/>
          <w:between w:val="nil"/>
          <w:bar w:val="nil"/>
        </w:pBdr>
        <w:spacing w:before="0" w:after="240"/>
        <w:rPr>
          <w:rFonts w:eastAsia="Arial Unicode MS"/>
          <w:noProof/>
        </w:rPr>
      </w:pPr>
      <w:r w:rsidRPr="00924D65">
        <w:rPr>
          <w:noProof/>
        </w:rPr>
        <w:t xml:space="preserve">Det har inte genomförts något samråd med berörda parter. Detta förslag grundas på en ansökan av Ungern och berör bara denna medlemsstat. </w:t>
      </w:r>
    </w:p>
    <w:p w:rsidR="000F7DC2" w:rsidRPr="00924D65" w:rsidRDefault="000F7DC2" w:rsidP="00A4693B">
      <w:pPr>
        <w:pStyle w:val="ManualHeading2"/>
        <w:rPr>
          <w:rFonts w:eastAsia="Arial Unicode MS"/>
          <w:noProof/>
          <w:u w:color="000000"/>
          <w:bdr w:val="nil"/>
        </w:rPr>
      </w:pPr>
      <w:r w:rsidRPr="00924D65">
        <w:rPr>
          <w:noProof/>
          <w:u w:color="000000"/>
          <w:bdr w:val="nil"/>
        </w:rPr>
        <w:t>•</w:t>
      </w:r>
      <w:r w:rsidRPr="00924D65">
        <w:rPr>
          <w:noProof/>
        </w:rPr>
        <w:tab/>
      </w:r>
      <w:r w:rsidRPr="00924D65">
        <w:rPr>
          <w:noProof/>
          <w:u w:color="000000"/>
          <w:bdr w:val="nil"/>
        </w:rPr>
        <w:t>Insamling och användning av sakkunnigutlåtanden</w:t>
      </w:r>
    </w:p>
    <w:p w:rsidR="00F76596" w:rsidRPr="00924D65" w:rsidRDefault="00F76596" w:rsidP="00F76596">
      <w:pPr>
        <w:pBdr>
          <w:top w:val="nil"/>
          <w:left w:val="nil"/>
          <w:bottom w:val="nil"/>
          <w:right w:val="nil"/>
          <w:between w:val="nil"/>
          <w:bar w:val="nil"/>
        </w:pBdr>
        <w:spacing w:before="0" w:after="240"/>
        <w:rPr>
          <w:rFonts w:eastAsia="Arial Unicode MS"/>
          <w:noProof/>
        </w:rPr>
      </w:pPr>
      <w:r w:rsidRPr="00924D65">
        <w:rPr>
          <w:noProof/>
        </w:rPr>
        <w:t>Det har inte behövts några externa sakkunnigutlåtanden.</w:t>
      </w:r>
    </w:p>
    <w:p w:rsidR="000F7DC2" w:rsidRPr="00924D65" w:rsidRDefault="000F7DC2" w:rsidP="00A4693B">
      <w:pPr>
        <w:pStyle w:val="ManualHeading2"/>
        <w:rPr>
          <w:rFonts w:eastAsia="Arial Unicode MS"/>
          <w:noProof/>
          <w:u w:color="000000"/>
          <w:bdr w:val="nil"/>
        </w:rPr>
      </w:pPr>
      <w:r w:rsidRPr="00924D65">
        <w:rPr>
          <w:noProof/>
          <w:u w:color="000000"/>
          <w:bdr w:val="nil"/>
        </w:rPr>
        <w:t>•</w:t>
      </w:r>
      <w:r w:rsidRPr="00924D65">
        <w:rPr>
          <w:noProof/>
        </w:rPr>
        <w:tab/>
      </w:r>
      <w:r w:rsidRPr="00924D65">
        <w:rPr>
          <w:noProof/>
          <w:u w:color="000000"/>
          <w:bdr w:val="nil"/>
        </w:rPr>
        <w:t>Konsekvensbedömning</w:t>
      </w:r>
    </w:p>
    <w:p w:rsidR="00F76596" w:rsidRPr="00924D65" w:rsidRDefault="00F76596" w:rsidP="00F76596">
      <w:pPr>
        <w:pBdr>
          <w:top w:val="nil"/>
          <w:left w:val="nil"/>
          <w:bottom w:val="nil"/>
          <w:right w:val="nil"/>
          <w:between w:val="nil"/>
          <w:bar w:val="nil"/>
        </w:pBdr>
        <w:spacing w:before="0" w:after="240"/>
        <w:rPr>
          <w:rFonts w:eastAsia="Arial Unicode MS"/>
          <w:noProof/>
        </w:rPr>
      </w:pPr>
      <w:r w:rsidRPr="00924D65">
        <w:rPr>
          <w:noProof/>
        </w:rPr>
        <w:t>Förslaget är utformat för att förenkla förfarandet för skatteuppbörd genom att privat användning av leasade företagsbilar inte längre behöver redovisas och en viss form av skatteundandragande genom felaktig redovisning samtidigt förhindras. Förslaget kan därför potentiellt gynna både företag och skatteförvaltning. Ungern anser att det är fråga om en lämplig åtgärd som är jämförbar med både tidigare och nu gällande avvikelser.</w:t>
      </w:r>
    </w:p>
    <w:p w:rsidR="000F7DC2" w:rsidRPr="00924D65" w:rsidRDefault="000F7DC2" w:rsidP="00550536">
      <w:pPr>
        <w:pStyle w:val="ManualHeading1"/>
        <w:rPr>
          <w:noProof/>
        </w:rPr>
      </w:pPr>
      <w:r w:rsidRPr="00924D65">
        <w:rPr>
          <w:noProof/>
        </w:rPr>
        <w:t>4.</w:t>
      </w:r>
      <w:r w:rsidRPr="00924D65">
        <w:rPr>
          <w:noProof/>
        </w:rPr>
        <w:tab/>
        <w:t>BUDGETKONSEKVENSER</w:t>
      </w:r>
    </w:p>
    <w:p w:rsidR="00F76596" w:rsidRPr="00924D65" w:rsidRDefault="00F76596" w:rsidP="00F76596">
      <w:pPr>
        <w:rPr>
          <w:noProof/>
        </w:rPr>
      </w:pPr>
      <w:r w:rsidRPr="00924D65">
        <w:rPr>
          <w:noProof/>
        </w:rPr>
        <w:t>Förslaget kommer inte att negativt påverka de av unionens egna medel som härrör från mervärdesskatt.</w:t>
      </w:r>
    </w:p>
    <w:p w:rsidR="000F7DC2" w:rsidRPr="00924D65" w:rsidRDefault="000F7DC2" w:rsidP="00550536">
      <w:pPr>
        <w:pStyle w:val="ManualHeading1"/>
        <w:rPr>
          <w:noProof/>
        </w:rPr>
      </w:pPr>
      <w:r w:rsidRPr="00924D65">
        <w:rPr>
          <w:noProof/>
        </w:rPr>
        <w:t>5.</w:t>
      </w:r>
      <w:r w:rsidRPr="00924D65">
        <w:rPr>
          <w:noProof/>
        </w:rPr>
        <w:tab/>
        <w:t>ÖVRIGA INSLAG</w:t>
      </w:r>
    </w:p>
    <w:p w:rsidR="00972E43" w:rsidRPr="00924D65" w:rsidRDefault="00972E43" w:rsidP="00972E43">
      <w:pPr>
        <w:pBdr>
          <w:top w:val="nil"/>
          <w:left w:val="nil"/>
          <w:bottom w:val="nil"/>
          <w:right w:val="nil"/>
          <w:between w:val="nil"/>
          <w:bar w:val="nil"/>
        </w:pBdr>
        <w:spacing w:before="0" w:after="240"/>
        <w:rPr>
          <w:noProof/>
        </w:rPr>
      </w:pPr>
      <w:r w:rsidRPr="00924D65">
        <w:rPr>
          <w:noProof/>
        </w:rPr>
        <w:t xml:space="preserve">Förslaget är tidsbegränsat och innehåller en bestämmelse om tidsbegränsning satt till den 31 december 2027. </w:t>
      </w:r>
    </w:p>
    <w:p w:rsidR="00972E43" w:rsidRPr="00924D65" w:rsidRDefault="00972E43" w:rsidP="00972E43">
      <w:pPr>
        <w:pBdr>
          <w:top w:val="nil"/>
          <w:left w:val="nil"/>
          <w:bottom w:val="nil"/>
          <w:right w:val="nil"/>
          <w:between w:val="nil"/>
          <w:bar w:val="nil"/>
        </w:pBdr>
        <w:spacing w:before="0" w:after="240"/>
        <w:rPr>
          <w:rFonts w:eastAsia="Arial Unicode MS"/>
          <w:noProof/>
        </w:rPr>
      </w:pPr>
      <w:r w:rsidRPr="00924D65">
        <w:rPr>
          <w:noProof/>
        </w:rPr>
        <w:t>Om Ungern skulle överväga ytterligare en förlängning av den särskilda åtgärden efter 2027, bör en ny utvärderingsrapport lämnas in till kommissionen tillsammans med ansökan om förlängning senast den 31 mars 2027.</w:t>
      </w:r>
    </w:p>
    <w:p w:rsidR="000F7DC2" w:rsidRPr="00924D65" w:rsidRDefault="000F7DC2" w:rsidP="00D8676A">
      <w:pPr>
        <w:rPr>
          <w:noProof/>
        </w:rPr>
        <w:sectPr w:rsidR="000F7DC2" w:rsidRPr="00924D65" w:rsidSect="00DF5AE4">
          <w:headerReference w:type="even" r:id="rId14"/>
          <w:footerReference w:type="even" r:id="rId15"/>
          <w:footerReference w:type="default" r:id="rId16"/>
          <w:headerReference w:type="first" r:id="rId17"/>
          <w:footerReference w:type="first" r:id="rId18"/>
          <w:pgSz w:w="11907" w:h="16839"/>
          <w:pgMar w:top="1134" w:right="1417" w:bottom="1134" w:left="1417" w:header="709" w:footer="709" w:gutter="0"/>
          <w:cols w:space="708"/>
          <w:docGrid w:linePitch="360"/>
        </w:sectPr>
      </w:pPr>
    </w:p>
    <w:p w:rsidR="00E074FF" w:rsidRDefault="00DA1BC2">
      <w:pPr>
        <w:pStyle w:val="Rfrenceinterinstitutionnelle"/>
        <w:rPr>
          <w:noProof/>
        </w:rPr>
      </w:pPr>
      <w:r>
        <w:rPr>
          <w:noProof/>
        </w:rPr>
        <w:t>2024/0273 (NLE)</w:t>
      </w:r>
    </w:p>
    <w:p w:rsidR="000F7DC2" w:rsidRPr="00924D65" w:rsidRDefault="00924D65" w:rsidP="00924D65">
      <w:pPr>
        <w:pStyle w:val="Statut"/>
        <w:rPr>
          <w:noProof/>
        </w:rPr>
      </w:pPr>
      <w:r w:rsidRPr="00924D65">
        <w:rPr>
          <w:noProof/>
        </w:rPr>
        <w:t>Förslag till</w:t>
      </w:r>
    </w:p>
    <w:p w:rsidR="000F7DC2" w:rsidRPr="00924D65" w:rsidRDefault="00924D65" w:rsidP="00924D65">
      <w:pPr>
        <w:pStyle w:val="Typedudocument"/>
        <w:rPr>
          <w:noProof/>
        </w:rPr>
      </w:pPr>
      <w:r w:rsidRPr="00924D65">
        <w:rPr>
          <w:noProof/>
        </w:rPr>
        <w:t>RÅDETS GENOMFÖRANDEBESLUT</w:t>
      </w:r>
    </w:p>
    <w:p w:rsidR="000F7DC2" w:rsidRPr="00924D65" w:rsidRDefault="00924D65" w:rsidP="00924D65">
      <w:pPr>
        <w:pStyle w:val="Titreobjet"/>
        <w:rPr>
          <w:noProof/>
        </w:rPr>
      </w:pPr>
      <w:r w:rsidRPr="00924D65">
        <w:rPr>
          <w:noProof/>
        </w:rPr>
        <w:t>om ändring av genomförandebeslut (EU) 2018/1493 om bemyndigande för Ungern att införa en särskild åtgärd som avviker från artiklarna 26.1 a, 168 och 168a i direktiv 2006/112/EG om ett gemensamt system för mervärdesskatt</w:t>
      </w:r>
    </w:p>
    <w:p w:rsidR="000F7DC2" w:rsidRPr="00924D65" w:rsidRDefault="000F7DC2" w:rsidP="00CE1658">
      <w:pPr>
        <w:pStyle w:val="Institutionquiagit"/>
        <w:rPr>
          <w:noProof/>
        </w:rPr>
      </w:pPr>
      <w:r w:rsidRPr="00924D65">
        <w:rPr>
          <w:noProof/>
        </w:rPr>
        <w:t>EUROPEISKA UNIONENS RÅD HAR ANTAGIT DETTA BESLUT</w:t>
      </w:r>
    </w:p>
    <w:p w:rsidR="000F7DC2" w:rsidRPr="00924D65" w:rsidRDefault="000F7DC2" w:rsidP="00CE1658">
      <w:pPr>
        <w:rPr>
          <w:noProof/>
        </w:rPr>
      </w:pPr>
      <w:r w:rsidRPr="00924D65">
        <w:rPr>
          <w:noProof/>
        </w:rPr>
        <w:t xml:space="preserve">med beaktande av fördraget om Europeiska unionens funktionssätt, </w:t>
      </w:r>
    </w:p>
    <w:p w:rsidR="000F7DC2" w:rsidRPr="00924D65" w:rsidRDefault="000F7DC2" w:rsidP="00CE1658">
      <w:pPr>
        <w:rPr>
          <w:noProof/>
        </w:rPr>
      </w:pPr>
      <w:r w:rsidRPr="00924D65">
        <w:rPr>
          <w:noProof/>
        </w:rPr>
        <w:t>med beaktande av rådets direktiv 2006/112/EG av den 28 november 2006 om ett gemensamt system för mervärdesskatt</w:t>
      </w:r>
      <w:r w:rsidRPr="00924D65">
        <w:rPr>
          <w:rStyle w:val="FootnoteReference"/>
          <w:noProof/>
        </w:rPr>
        <w:footnoteReference w:id="11"/>
      </w:r>
      <w:r w:rsidRPr="00924D65">
        <w:rPr>
          <w:noProof/>
        </w:rPr>
        <w:t>, särskilt artikel 395.1 första stycket,</w:t>
      </w:r>
    </w:p>
    <w:p w:rsidR="000F7DC2" w:rsidRPr="00924D65" w:rsidRDefault="000F7DC2" w:rsidP="00CE1658">
      <w:pPr>
        <w:rPr>
          <w:noProof/>
        </w:rPr>
      </w:pPr>
      <w:r w:rsidRPr="00924D65">
        <w:rPr>
          <w:noProof/>
        </w:rPr>
        <w:t>med beaktande av Europeiska kommissionens förslag, och</w:t>
      </w:r>
    </w:p>
    <w:p w:rsidR="000F7DC2" w:rsidRPr="00924D65" w:rsidRDefault="000F7DC2" w:rsidP="00CE1658">
      <w:pPr>
        <w:rPr>
          <w:noProof/>
        </w:rPr>
      </w:pPr>
      <w:r w:rsidRPr="00924D65">
        <w:rPr>
          <w:noProof/>
        </w:rPr>
        <w:t>av följande skäl:</w:t>
      </w:r>
    </w:p>
    <w:p w:rsidR="00E601BA" w:rsidRPr="00924D65" w:rsidRDefault="00DF27F3" w:rsidP="00DF27F3">
      <w:pPr>
        <w:pStyle w:val="ManualConsidrant"/>
        <w:rPr>
          <w:noProof/>
        </w:rPr>
      </w:pPr>
      <w:r w:rsidRPr="00DF27F3">
        <w:rPr>
          <w:noProof/>
        </w:rPr>
        <w:t>(1)</w:t>
      </w:r>
      <w:r w:rsidRPr="00DF27F3">
        <w:rPr>
          <w:noProof/>
        </w:rPr>
        <w:tab/>
      </w:r>
      <w:r w:rsidR="00E601BA" w:rsidRPr="00924D65">
        <w:rPr>
          <w:noProof/>
        </w:rPr>
        <w:t>I artiklarna 168 och 168a i direktiv 2006/112/EG fastställs en beskattningsbar persons rätt att dra av mervärdesskatt som tas ut för varor som levererats till honom eller henne eller för tjänster som tillhandahållits honom eller henne för användning i hans eller hennes beskattningsbara transaktioner. Artikel 26.1 a i det direktivet innehåller krav på redovisning av mervärdesskatt när en rörelses tillgångar används för den beskattningsbara personens eget eller personalens privata bruk, eller mer generellt användning för andra ändamål än den egna rörelsen.</w:t>
      </w:r>
    </w:p>
    <w:p w:rsidR="00D17A73" w:rsidRPr="00924D65" w:rsidRDefault="00DF27F3" w:rsidP="00DF27F3">
      <w:pPr>
        <w:pStyle w:val="ManualConsidrant"/>
        <w:rPr>
          <w:noProof/>
        </w:rPr>
      </w:pPr>
      <w:r w:rsidRPr="00DF27F3">
        <w:rPr>
          <w:noProof/>
        </w:rPr>
        <w:t>(2)</w:t>
      </w:r>
      <w:r w:rsidRPr="00DF27F3">
        <w:rPr>
          <w:noProof/>
        </w:rPr>
        <w:tab/>
      </w:r>
      <w:r w:rsidR="00972E43" w:rsidRPr="00924D65">
        <w:rPr>
          <w:noProof/>
        </w:rPr>
        <w:t>Genom rådets genomförandebeslut (EU) 2018/1493</w:t>
      </w:r>
      <w:r w:rsidR="00972E43" w:rsidRPr="00924D65">
        <w:rPr>
          <w:rStyle w:val="FootnoteReference"/>
          <w:noProof/>
        </w:rPr>
        <w:footnoteReference w:id="12"/>
      </w:r>
      <w:r w:rsidR="00972E43" w:rsidRPr="00924D65">
        <w:rPr>
          <w:noProof/>
        </w:rPr>
        <w:t>, i dess ändrade lydelse enligt rådets genomförandebeslut (EU) 2021/1774</w:t>
      </w:r>
      <w:r w:rsidR="00972E43" w:rsidRPr="00924D65">
        <w:rPr>
          <w:rStyle w:val="FootnoteReference"/>
          <w:noProof/>
        </w:rPr>
        <w:footnoteReference w:id="13"/>
      </w:r>
      <w:r w:rsidR="00972E43" w:rsidRPr="00924D65">
        <w:rPr>
          <w:noProof/>
        </w:rPr>
        <w:t>, bemyndigas Ungern att till och med den 31 december 2024 tillämpa en särskild åtgärd som består i att dels till 50 % begränsa rätten att dra av mervärdesskatt som påförts utgifter med avseende på personbilar som inte uteslutande används för yrkesmässigt bruk, med avvikelse från artiklarna 168 och 168a i direktiv 2006/112/EG, dels inte likställa användningen för icke-yrkesmässigt bruk av en personbil som ingår i tillgångarna i en beskattningsbar persons rörelse med tillhandahållande av tjänster mot ersättning, om bilen har omfattats av en begränsning enligt artikel 1 i genomförandebeslut (EU) 2018/1493, med avvikelse från artikel 26.1 a i det direktivet (</w:t>
      </w:r>
      <w:r w:rsidR="00972E43" w:rsidRPr="00924D65">
        <w:rPr>
          <w:i/>
          <w:iCs/>
          <w:noProof/>
        </w:rPr>
        <w:t>den särskilda åtgärden</w:t>
      </w:r>
      <w:r w:rsidR="00972E43" w:rsidRPr="00924D65">
        <w:rPr>
          <w:noProof/>
        </w:rPr>
        <w:t xml:space="preserve">). </w:t>
      </w:r>
    </w:p>
    <w:p w:rsidR="0040031D" w:rsidRPr="00924D65" w:rsidRDefault="00DF27F3" w:rsidP="00DF27F3">
      <w:pPr>
        <w:pStyle w:val="ManualConsidrant"/>
        <w:rPr>
          <w:noProof/>
        </w:rPr>
      </w:pPr>
      <w:r w:rsidRPr="00DF27F3">
        <w:rPr>
          <w:noProof/>
        </w:rPr>
        <w:t>(3)</w:t>
      </w:r>
      <w:r w:rsidRPr="00DF27F3">
        <w:rPr>
          <w:noProof/>
        </w:rPr>
        <w:tab/>
      </w:r>
      <w:r w:rsidR="00972E43" w:rsidRPr="00924D65">
        <w:rPr>
          <w:noProof/>
        </w:rPr>
        <w:t>Genom en skrivelse som registrerades hos kommissionen den 26 mars 2024 ansökte Ungern om bemyndigande, i enlighet med artikel 395.2 första stycket i direktiv 2006/112/EG, att få fortsätta att tillämpa den särskilda åtgärden (</w:t>
      </w:r>
      <w:r w:rsidR="00972E43" w:rsidRPr="00924D65">
        <w:rPr>
          <w:i/>
          <w:iCs/>
          <w:noProof/>
        </w:rPr>
        <w:t>ansökan om förlängning</w:t>
      </w:r>
      <w:r w:rsidR="00972E43" w:rsidRPr="00924D65">
        <w:rPr>
          <w:noProof/>
        </w:rPr>
        <w:t>).</w:t>
      </w:r>
    </w:p>
    <w:p w:rsidR="00972E43" w:rsidRPr="00924D65" w:rsidRDefault="00DF27F3" w:rsidP="00DF27F3">
      <w:pPr>
        <w:pStyle w:val="ManualConsidrant"/>
        <w:rPr>
          <w:noProof/>
        </w:rPr>
      </w:pPr>
      <w:r w:rsidRPr="00DF27F3">
        <w:rPr>
          <w:noProof/>
        </w:rPr>
        <w:t>(4)</w:t>
      </w:r>
      <w:r w:rsidRPr="00DF27F3">
        <w:rPr>
          <w:noProof/>
        </w:rPr>
        <w:tab/>
      </w:r>
      <w:r w:rsidR="0062039B" w:rsidRPr="00924D65">
        <w:rPr>
          <w:noProof/>
        </w:rPr>
        <w:t>Genom skrivelser av den 29 maj 2024 överlämnade kommissionen, i enlighet med artikel 395.2 andra stycket i direktiv 2006/112/EG, ansökan om förlängning till de andra medlemsstaterna. Genom en skrivelse av den 30 maj 2024 underrättade kommissionen Ungern om att den hade alla nödvändiga uppgifter för behandling av ansökan om förlängning.</w:t>
      </w:r>
    </w:p>
    <w:p w:rsidR="00C043A5" w:rsidRPr="00924D65" w:rsidRDefault="00DF27F3" w:rsidP="00DF27F3">
      <w:pPr>
        <w:pStyle w:val="ManualConsidrant"/>
        <w:rPr>
          <w:noProof/>
        </w:rPr>
      </w:pPr>
      <w:r w:rsidRPr="00DF27F3">
        <w:rPr>
          <w:noProof/>
        </w:rPr>
        <w:t>(5)</w:t>
      </w:r>
      <w:r w:rsidRPr="00DF27F3">
        <w:rPr>
          <w:noProof/>
        </w:rPr>
        <w:tab/>
      </w:r>
      <w:r w:rsidR="00CC367C" w:rsidRPr="00924D65">
        <w:rPr>
          <w:noProof/>
        </w:rPr>
        <w:t xml:space="preserve">I enlighet med artikel 5 andra stycket i genomförandebeslut (EU) 2018/1493 lämnade Ungern tillsammans med ansökan om förlängning in en rapport som innehåller en översyn av den procentsats som föreskrivs för begränsningen av avdragsrätten och som avses i artikel 1 i det genomförandebeslutet. På grundval av tillgängliga uppgifter, nämligen information från skatterevisioner och statistiska uppgifter rörande privat bruk av personbilar, bekräftar Ungern att begränsningen till 50 % fortfarande kan motiveras och alltjämt är lämplig. </w:t>
      </w:r>
    </w:p>
    <w:p w:rsidR="003C2EE7" w:rsidRPr="00924D65" w:rsidRDefault="00DF27F3" w:rsidP="00DF27F3">
      <w:pPr>
        <w:pStyle w:val="ManualConsidrant"/>
        <w:rPr>
          <w:noProof/>
        </w:rPr>
      </w:pPr>
      <w:r w:rsidRPr="00DF27F3">
        <w:rPr>
          <w:noProof/>
        </w:rPr>
        <w:t>(6)</w:t>
      </w:r>
      <w:r w:rsidRPr="00DF27F3">
        <w:rPr>
          <w:noProof/>
        </w:rPr>
        <w:tab/>
      </w:r>
      <w:r w:rsidR="003C2EE7" w:rsidRPr="00924D65">
        <w:rPr>
          <w:noProof/>
        </w:rPr>
        <w:t>Mot bakgrund av att den särskilda åtgärden minskat den administrativa bördan för såväl skattebetalare som skattemyndigheter genom att uppbörden av mervärdesskatt förenklas och skatteundandragande genom felaktig redovisning förhindras, anser kommissionen att det är lämpligt att bemyndiga Ungern att fortsätta att tillämpa den särskilda åtgärden.</w:t>
      </w:r>
    </w:p>
    <w:p w:rsidR="008F3664" w:rsidRPr="00924D65" w:rsidRDefault="00DF27F3" w:rsidP="00DF27F3">
      <w:pPr>
        <w:pStyle w:val="ManualConsidrant"/>
        <w:rPr>
          <w:noProof/>
        </w:rPr>
      </w:pPr>
      <w:r w:rsidRPr="00DF27F3">
        <w:rPr>
          <w:noProof/>
        </w:rPr>
        <w:t>(7)</w:t>
      </w:r>
      <w:r w:rsidRPr="00DF27F3">
        <w:rPr>
          <w:noProof/>
        </w:rPr>
        <w:tab/>
      </w:r>
      <w:r w:rsidR="009373CC" w:rsidRPr="00924D65">
        <w:rPr>
          <w:noProof/>
        </w:rPr>
        <w:t>Det är lämpligt att tidsbegränsa förlängningen av den särskilda åtgärden för att möjliggöra en utvärdering av huruvida åtgärden är verkningsfull och procentsatsen lämplig. Ungern bör därför bemyndigas att fortsätta att tillämpa den särskilda åtgärden till och med den 31 december 2027.</w:t>
      </w:r>
    </w:p>
    <w:p w:rsidR="0062039B" w:rsidRPr="00924D65" w:rsidRDefault="00DF27F3" w:rsidP="00DF27F3">
      <w:pPr>
        <w:pStyle w:val="ManualConsidrant"/>
        <w:rPr>
          <w:noProof/>
        </w:rPr>
      </w:pPr>
      <w:r w:rsidRPr="00DF27F3">
        <w:rPr>
          <w:noProof/>
        </w:rPr>
        <w:t>(8)</w:t>
      </w:r>
      <w:r w:rsidRPr="00DF27F3">
        <w:rPr>
          <w:noProof/>
        </w:rPr>
        <w:tab/>
      </w:r>
      <w:r w:rsidR="0062039B" w:rsidRPr="00924D65">
        <w:rPr>
          <w:noProof/>
        </w:rPr>
        <w:t>Eftersom den särskilda åtgärden är begränsad i tid och omfattning står den i proportion till de eftersträvade målen, nämligen att förenkla uppbörden av mervärdesskatt och förhindra vissa former av skatteundandragande eller skatteflykt. Den särskilda åtgärden leder heller inte till någon risk för att bedrägeri skulle flyttas över till andra sektorer eller andra medlemsstater.</w:t>
      </w:r>
    </w:p>
    <w:p w:rsidR="003C2EE7" w:rsidRPr="00924D65" w:rsidRDefault="00DF27F3" w:rsidP="00DF27F3">
      <w:pPr>
        <w:pStyle w:val="ManualConsidrant"/>
        <w:rPr>
          <w:noProof/>
        </w:rPr>
      </w:pPr>
      <w:r w:rsidRPr="00DF27F3">
        <w:rPr>
          <w:noProof/>
        </w:rPr>
        <w:t>(9)</w:t>
      </w:r>
      <w:r w:rsidRPr="00DF27F3">
        <w:rPr>
          <w:noProof/>
        </w:rPr>
        <w:tab/>
      </w:r>
      <w:r w:rsidR="008F3664" w:rsidRPr="00924D65">
        <w:rPr>
          <w:noProof/>
        </w:rPr>
        <w:t>Om Ungern anser att en förlängning av bemyndigandet efter 2027 är nödvändig bör Ungern senast den 31 mars 2027, tillsammans med ansökan om förlängning, till kommissionen överlämna en rapport som innehåller en översyn av den tillämpade procentuella begränsningen.</w:t>
      </w:r>
    </w:p>
    <w:p w:rsidR="008F3664" w:rsidRPr="00924D65" w:rsidRDefault="00DF27F3" w:rsidP="00DF27F3">
      <w:pPr>
        <w:pStyle w:val="ManualConsidrant"/>
        <w:rPr>
          <w:noProof/>
        </w:rPr>
      </w:pPr>
      <w:r w:rsidRPr="00DF27F3">
        <w:rPr>
          <w:noProof/>
        </w:rPr>
        <w:t>(10)</w:t>
      </w:r>
      <w:r w:rsidRPr="00DF27F3">
        <w:rPr>
          <w:noProof/>
        </w:rPr>
        <w:tab/>
      </w:r>
      <w:r w:rsidR="008F3664" w:rsidRPr="00924D65">
        <w:rPr>
          <w:noProof/>
        </w:rPr>
        <w:t>Den särskilda åtgärden kommer endast i ringa utsträckning att påverka den samlade skatteintäkt som uppbärs i det sista konsumtionsledet och kommer inte att ha någon negativ inverkan på de delar av unionens egna medel som härrör från mervärdesskatt.</w:t>
      </w:r>
    </w:p>
    <w:p w:rsidR="000F7DC2" w:rsidRPr="00924D65" w:rsidRDefault="00DF27F3" w:rsidP="00DF27F3">
      <w:pPr>
        <w:pStyle w:val="ManualConsidrant"/>
        <w:rPr>
          <w:noProof/>
        </w:rPr>
      </w:pPr>
      <w:r w:rsidRPr="00DF27F3">
        <w:rPr>
          <w:noProof/>
        </w:rPr>
        <w:t>(11)</w:t>
      </w:r>
      <w:r w:rsidRPr="00DF27F3">
        <w:rPr>
          <w:noProof/>
        </w:rPr>
        <w:tab/>
      </w:r>
      <w:r w:rsidR="008F3664" w:rsidRPr="00924D65">
        <w:rPr>
          <w:noProof/>
        </w:rPr>
        <w:t>Genomförandebeslut (EU) 2018/1493 bör därför ändras i enlighet med detta.</w:t>
      </w:r>
    </w:p>
    <w:p w:rsidR="000F7DC2" w:rsidRPr="00924D65" w:rsidRDefault="000F7DC2" w:rsidP="00CE1658">
      <w:pPr>
        <w:pStyle w:val="Formuledadoption"/>
        <w:rPr>
          <w:noProof/>
        </w:rPr>
      </w:pPr>
      <w:r w:rsidRPr="00924D65">
        <w:rPr>
          <w:noProof/>
        </w:rPr>
        <w:t xml:space="preserve">HÄRIGENOM FÖRESKRIVS FÖLJANDE. </w:t>
      </w:r>
    </w:p>
    <w:p w:rsidR="000F7DC2" w:rsidRPr="00924D65" w:rsidRDefault="000F7DC2" w:rsidP="00CE1658">
      <w:pPr>
        <w:pStyle w:val="Titrearticle"/>
        <w:rPr>
          <w:noProof/>
        </w:rPr>
      </w:pPr>
      <w:r w:rsidRPr="00924D65">
        <w:rPr>
          <w:noProof/>
        </w:rPr>
        <w:t>Artikel 1</w:t>
      </w:r>
    </w:p>
    <w:p w:rsidR="008F3664" w:rsidRPr="00924D65" w:rsidRDefault="008F3664" w:rsidP="008F3664">
      <w:pPr>
        <w:rPr>
          <w:noProof/>
        </w:rPr>
      </w:pPr>
      <w:r w:rsidRPr="00924D65">
        <w:rPr>
          <w:noProof/>
        </w:rPr>
        <w:t>Artikel 5 i genomförandebeslut (EU) 2018/1493 ska ersättas med följande:</w:t>
      </w:r>
    </w:p>
    <w:p w:rsidR="008F3664" w:rsidRPr="00924D65" w:rsidRDefault="008F3664" w:rsidP="008F3664">
      <w:pPr>
        <w:jc w:val="center"/>
        <w:rPr>
          <w:i/>
          <w:noProof/>
        </w:rPr>
      </w:pPr>
      <w:r w:rsidRPr="00924D65">
        <w:rPr>
          <w:noProof/>
        </w:rPr>
        <w:t>”</w:t>
      </w:r>
      <w:r w:rsidRPr="00924D65">
        <w:rPr>
          <w:i/>
          <w:noProof/>
        </w:rPr>
        <w:t>Artikel 5</w:t>
      </w:r>
    </w:p>
    <w:p w:rsidR="008F3664" w:rsidRPr="00924D65" w:rsidRDefault="008F3664" w:rsidP="008F3664">
      <w:pPr>
        <w:rPr>
          <w:noProof/>
        </w:rPr>
      </w:pPr>
      <w:r w:rsidRPr="00924D65">
        <w:rPr>
          <w:noProof/>
        </w:rPr>
        <w:t>Detta beslut upphör att gälla den 31 december 2027.</w:t>
      </w:r>
    </w:p>
    <w:p w:rsidR="008F3664" w:rsidRPr="00924D65" w:rsidRDefault="008F3664" w:rsidP="008F3664">
      <w:pPr>
        <w:rPr>
          <w:noProof/>
        </w:rPr>
      </w:pPr>
      <w:r w:rsidRPr="00924D65">
        <w:rPr>
          <w:noProof/>
        </w:rPr>
        <w:t>En eventuell ansökan om förlängning av det bemyndigande som ges i detta beslut ska överlämnas till kommissionen senast den 31 mars 2027 och ska åtföljas av en rapport som innehåller en översyn av den procentsats som anges i artikel 1.”</w:t>
      </w:r>
    </w:p>
    <w:p w:rsidR="008F3664" w:rsidRPr="00924D65" w:rsidRDefault="008F3664" w:rsidP="00D145B0">
      <w:pPr>
        <w:pStyle w:val="Titrearticle"/>
        <w:rPr>
          <w:noProof/>
        </w:rPr>
      </w:pPr>
      <w:r w:rsidRPr="00924D65">
        <w:rPr>
          <w:noProof/>
        </w:rPr>
        <w:t>Artikel 2</w:t>
      </w:r>
    </w:p>
    <w:p w:rsidR="000F7DC2" w:rsidRPr="00924D65" w:rsidRDefault="000F7DC2" w:rsidP="008F3664">
      <w:pPr>
        <w:rPr>
          <w:noProof/>
        </w:rPr>
      </w:pPr>
      <w:r w:rsidRPr="00924D65">
        <w:rPr>
          <w:noProof/>
        </w:rPr>
        <w:t>Detta beslut riktar sig till Ungern.</w:t>
      </w:r>
    </w:p>
    <w:p w:rsidR="000F7DC2" w:rsidRPr="00924D65" w:rsidRDefault="00924D65" w:rsidP="00D145B0">
      <w:pPr>
        <w:pStyle w:val="Fait"/>
        <w:rPr>
          <w:noProof/>
        </w:rPr>
      </w:pPr>
      <w:r>
        <w:rPr>
          <w:noProof/>
        </w:rPr>
        <w:t>Utfärdat i Bryssel den</w:t>
      </w:r>
    </w:p>
    <w:p w:rsidR="000F7DC2" w:rsidRPr="00924D65" w:rsidRDefault="000F7DC2" w:rsidP="00D145B0">
      <w:pPr>
        <w:pStyle w:val="Institutionquisigne"/>
        <w:rPr>
          <w:noProof/>
        </w:rPr>
      </w:pPr>
      <w:r w:rsidRPr="00924D65">
        <w:rPr>
          <w:noProof/>
        </w:rPr>
        <w:tab/>
        <w:t>På rådets vägnar</w:t>
      </w:r>
    </w:p>
    <w:p w:rsidR="000F7DC2" w:rsidRPr="00924D65" w:rsidRDefault="000F7DC2" w:rsidP="000F7DC2">
      <w:pPr>
        <w:pStyle w:val="Personnequisigne"/>
        <w:rPr>
          <w:noProof/>
        </w:rPr>
      </w:pPr>
      <w:r w:rsidRPr="00924D65">
        <w:rPr>
          <w:noProof/>
        </w:rPr>
        <w:tab/>
        <w:t>Ordförande</w:t>
      </w:r>
    </w:p>
    <w:sectPr w:rsidR="000F7DC2" w:rsidRPr="00924D65" w:rsidSect="00DF5AE4">
      <w:footnotePr>
        <w:numRestart w:val="eachSect"/>
      </w:footnotePr>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28B4" w:rsidRDefault="006E28B4" w:rsidP="000F7DC2">
      <w:pPr>
        <w:spacing w:before="0" w:after="0"/>
      </w:pPr>
      <w:r>
        <w:separator/>
      </w:r>
    </w:p>
  </w:endnote>
  <w:endnote w:type="continuationSeparator" w:id="0">
    <w:p w:rsidR="006E28B4" w:rsidRDefault="006E28B4" w:rsidP="000F7DC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AE4" w:rsidRPr="00DF5AE4" w:rsidRDefault="00DF5AE4" w:rsidP="00DF5AE4">
    <w:pPr>
      <w:pStyle w:val="Footer"/>
      <w:rPr>
        <w:rFonts w:ascii="Arial" w:hAnsi="Arial" w:cs="Arial"/>
        <w:b/>
        <w:sz w:val="48"/>
      </w:rPr>
    </w:pPr>
    <w:r w:rsidRPr="00DF5AE4">
      <w:rPr>
        <w:rFonts w:ascii="Arial" w:hAnsi="Arial" w:cs="Arial"/>
        <w:b/>
        <w:sz w:val="48"/>
      </w:rPr>
      <w:t>SV</w:t>
    </w:r>
    <w:r w:rsidRPr="00DF5AE4">
      <w:rPr>
        <w:rFonts w:ascii="Arial" w:hAnsi="Arial" w:cs="Arial"/>
        <w:b/>
        <w:sz w:val="48"/>
      </w:rPr>
      <w:tab/>
    </w:r>
    <w:r w:rsidRPr="00DF5AE4">
      <w:rPr>
        <w:rFonts w:ascii="Arial" w:hAnsi="Arial" w:cs="Arial"/>
        <w:b/>
        <w:sz w:val="48"/>
      </w:rPr>
      <w:tab/>
    </w:r>
    <w:r w:rsidRPr="00DF5AE4">
      <w:tab/>
    </w:r>
    <w:r w:rsidRPr="00DF5AE4">
      <w:rPr>
        <w:rFonts w:ascii="Arial" w:hAnsi="Arial" w:cs="Arial"/>
        <w:b/>
        <w:sz w:val="48"/>
      </w:rPr>
      <w:t>SV</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AE4" w:rsidRPr="00DF5AE4" w:rsidRDefault="00DF5AE4" w:rsidP="00DF5AE4">
    <w:pPr>
      <w:pStyle w:val="Footer"/>
      <w:rPr>
        <w:rFonts w:ascii="Arial" w:hAnsi="Arial" w:cs="Arial"/>
        <w:b/>
        <w:sz w:val="48"/>
      </w:rPr>
    </w:pPr>
    <w:r w:rsidRPr="00DF5AE4">
      <w:rPr>
        <w:rFonts w:ascii="Arial" w:hAnsi="Arial" w:cs="Arial"/>
        <w:b/>
        <w:sz w:val="48"/>
      </w:rPr>
      <w:t>SV</w:t>
    </w:r>
    <w:r w:rsidRPr="00DF5AE4">
      <w:rPr>
        <w:rFonts w:ascii="Arial" w:hAnsi="Arial" w:cs="Arial"/>
        <w:b/>
        <w:sz w:val="48"/>
      </w:rPr>
      <w:tab/>
    </w:r>
    <w:r w:rsidRPr="00DF5AE4">
      <w:rPr>
        <w:rFonts w:ascii="Arial" w:hAnsi="Arial" w:cs="Arial"/>
        <w:b/>
        <w:sz w:val="48"/>
      </w:rPr>
      <w:tab/>
    </w:r>
    <w:r w:rsidRPr="00DF5AE4">
      <w:tab/>
    </w:r>
    <w:r w:rsidRPr="00DF5AE4">
      <w:rPr>
        <w:rFonts w:ascii="Arial" w:hAnsi="Arial" w:cs="Arial"/>
        <w:b/>
        <w:sz w:val="48"/>
      </w:rPr>
      <w:t>SV</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AE4" w:rsidRDefault="00DF5AE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AE4" w:rsidRPr="00DF5AE4" w:rsidRDefault="00DF5AE4" w:rsidP="00DF5AE4">
    <w:pPr>
      <w:pStyle w:val="Footer"/>
      <w:rPr>
        <w:rFonts w:ascii="Arial" w:hAnsi="Arial" w:cs="Arial"/>
        <w:b/>
        <w:sz w:val="48"/>
      </w:rPr>
    </w:pPr>
    <w:r w:rsidRPr="00DF5AE4">
      <w:rPr>
        <w:rFonts w:ascii="Arial" w:hAnsi="Arial" w:cs="Arial"/>
        <w:b/>
        <w:sz w:val="48"/>
      </w:rPr>
      <w:t>SV</w:t>
    </w:r>
    <w:r w:rsidRPr="00DF5AE4">
      <w:rPr>
        <w:rFonts w:ascii="Arial" w:hAnsi="Arial" w:cs="Arial"/>
        <w:b/>
        <w:sz w:val="48"/>
      </w:rPr>
      <w:tab/>
    </w:r>
    <w:r>
      <w:fldChar w:fldCharType="begin"/>
    </w:r>
    <w:r>
      <w:instrText xml:space="preserve"> PAGE  \* MERGEFORMAT </w:instrText>
    </w:r>
    <w:r>
      <w:fldChar w:fldCharType="separate"/>
    </w:r>
    <w:r w:rsidR="00D145B0">
      <w:rPr>
        <w:noProof/>
      </w:rPr>
      <w:t>7</w:t>
    </w:r>
    <w:r>
      <w:fldChar w:fldCharType="end"/>
    </w:r>
    <w:r>
      <w:tab/>
    </w:r>
    <w:r w:rsidRPr="00DF5AE4">
      <w:tab/>
    </w:r>
    <w:r w:rsidRPr="00DF5AE4">
      <w:rPr>
        <w:rFonts w:ascii="Arial" w:hAnsi="Arial" w:cs="Arial"/>
        <w:b/>
        <w:sz w:val="48"/>
      </w:rPr>
      <w:t>SV</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AE4" w:rsidRDefault="00DF5AE4" w:rsidP="00DF5A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28B4" w:rsidRDefault="006E28B4" w:rsidP="000F7DC2">
      <w:pPr>
        <w:spacing w:before="0" w:after="0"/>
      </w:pPr>
      <w:r>
        <w:separator/>
      </w:r>
    </w:p>
  </w:footnote>
  <w:footnote w:type="continuationSeparator" w:id="0">
    <w:p w:rsidR="006E28B4" w:rsidRDefault="006E28B4" w:rsidP="000F7DC2">
      <w:pPr>
        <w:spacing w:before="0" w:after="0"/>
      </w:pPr>
      <w:r>
        <w:continuationSeparator/>
      </w:r>
    </w:p>
  </w:footnote>
  <w:footnote w:id="1">
    <w:p w:rsidR="000F7DC2" w:rsidRPr="00924D65" w:rsidRDefault="000F7DC2" w:rsidP="000F7DC2">
      <w:pPr>
        <w:pStyle w:val="FootnoteText"/>
      </w:pPr>
      <w:r>
        <w:rPr>
          <w:rStyle w:val="FootnoteReference"/>
        </w:rPr>
        <w:footnoteRef/>
      </w:r>
      <w:r w:rsidRPr="00924D65">
        <w:tab/>
        <w:t xml:space="preserve">EUT 347, 11.12.2006, s. 1. </w:t>
      </w:r>
    </w:p>
  </w:footnote>
  <w:footnote w:id="2">
    <w:p w:rsidR="002F7206" w:rsidRPr="00924D65" w:rsidRDefault="002F7206" w:rsidP="002F7206">
      <w:pPr>
        <w:pStyle w:val="FootnoteText"/>
      </w:pPr>
      <w:r>
        <w:rPr>
          <w:rStyle w:val="FootnoteReference"/>
        </w:rPr>
        <w:footnoteRef/>
      </w:r>
      <w:r w:rsidRPr="00924D65">
        <w:tab/>
        <w:t>Rådets genomförandebeslut (EU) 2018/1493 av den 2 oktober 2018 om bemyndigande för Ungern att införa en särskild åtgärd som avviker från artiklarna 26.1 a, 168 och 168a i direktiv 2006/112/EG om ett gemensamt system för mervärdesskatt, EUT L 252/46, 8.10.2018, s. 44.</w:t>
      </w:r>
    </w:p>
  </w:footnote>
  <w:footnote w:id="3">
    <w:p w:rsidR="004A5A52" w:rsidRPr="00924D65" w:rsidRDefault="004A5A52" w:rsidP="004A5A52">
      <w:pPr>
        <w:pStyle w:val="FootnoteText"/>
      </w:pPr>
      <w:r>
        <w:rPr>
          <w:rStyle w:val="FootnoteReference"/>
        </w:rPr>
        <w:footnoteRef/>
      </w:r>
      <w:r w:rsidRPr="00924D65">
        <w:tab/>
        <w:t>Rådets genomförandebeslut (EU) 2021/1774 av den 5 oktober 2021 om ändring av genomförandebeslut (EU) 2018/1493 om bemyndigande för Ungern att införa en särskild åtgärd som avviker från artiklarna 26.1 a, 168 och 168a i direktiv 2006/112/EG om ett gemensamt system för mervärdesskatt, EUT L 360, 11.10.2021, s. 108.</w:t>
      </w:r>
    </w:p>
  </w:footnote>
  <w:footnote w:id="4">
    <w:p w:rsidR="00F76596" w:rsidRPr="00924D65" w:rsidRDefault="00F76596" w:rsidP="00DE4FE5">
      <w:pPr>
        <w:pStyle w:val="FootnoteText"/>
      </w:pPr>
      <w:r>
        <w:rPr>
          <w:rStyle w:val="FootnoteReference"/>
        </w:rPr>
        <w:footnoteRef/>
      </w:r>
      <w:r w:rsidRPr="00924D65">
        <w:tab/>
        <w:t>Rådets genomförandebeslut (EU) 2021/1998 av den 15 november 2021 om bemyndigande för Estland att införa en särskild åtgärd som avviker från artiklarna 26.1 a, 168 och 168a i direktiv 2006/112/EG om ett gemensamt system för mervärdesskatt, EUT L 408, 17.11.2021, s. 3.</w:t>
      </w:r>
    </w:p>
  </w:footnote>
  <w:footnote w:id="5">
    <w:p w:rsidR="00F76596" w:rsidRPr="00924D65" w:rsidRDefault="00F76596" w:rsidP="00DE4FE5">
      <w:pPr>
        <w:pStyle w:val="FootnoteText"/>
      </w:pPr>
      <w:r>
        <w:rPr>
          <w:rStyle w:val="FootnoteReference"/>
        </w:rPr>
        <w:footnoteRef/>
      </w:r>
      <w:r w:rsidRPr="00924D65">
        <w:tab/>
        <w:t>Rådets genomförandebeslut (EU) 2021/1968 av den 9 november 2021 om ändring av genomförandebeslut (EU) 2015/2429 om bemyndigande för Lettland att införa en särskild åtgärd som avviker från artiklarna 26.1 a, 168 och 168a i direktiv 2006/112/EG om ett gemensamt system för mervärdesskatt, EUT L 401, 12.11.2021, s. 1.</w:t>
      </w:r>
    </w:p>
  </w:footnote>
  <w:footnote w:id="6">
    <w:p w:rsidR="00F76596" w:rsidRPr="00924D65" w:rsidRDefault="00F76596" w:rsidP="00F76596">
      <w:pPr>
        <w:pStyle w:val="FootnoteText"/>
      </w:pPr>
      <w:r>
        <w:rPr>
          <w:rStyle w:val="FootnoteReference"/>
        </w:rPr>
        <w:footnoteRef/>
      </w:r>
      <w:r w:rsidRPr="00924D65">
        <w:tab/>
        <w:t>Rådets genomförandebeslut (EU) 2021/1997 av den 15 november 2021 om ändring av genomförandebeslut (EU) 2018/1994 om bemyndigande för Kroatien att införa en särskild åtgärd som avviker från artiklarna 26.1 a och 168 i direktiv 2006/112/EG om ett gemensamt system för mervärdesskatt, EUT L 408, 17.11.2021, s. 1.</w:t>
      </w:r>
    </w:p>
  </w:footnote>
  <w:footnote w:id="7">
    <w:p w:rsidR="00F76596" w:rsidRPr="00924D65" w:rsidRDefault="00F76596" w:rsidP="00DE4FE5">
      <w:pPr>
        <w:pStyle w:val="FootnoteText"/>
      </w:pPr>
      <w:r>
        <w:rPr>
          <w:rStyle w:val="FootnoteReference"/>
        </w:rPr>
        <w:footnoteRef/>
      </w:r>
      <w:r w:rsidRPr="00924D65">
        <w:tab/>
        <w:t>Rådets genomförandebeslut (EU) 2022/2385 av den 6 december 2022 om ändring av genomförandebeslut 2013/805/EU om bemyndigande för Republiken Polen att införa åtgärder som avviker från artikel 26.1 a och artikel 168 i direktiv 2006/112/EG om ett gemensamt system för mervärdesskatt, EUT L 315, 7.12.2022, s. 87.</w:t>
      </w:r>
    </w:p>
  </w:footnote>
  <w:footnote w:id="8">
    <w:p w:rsidR="00F76596" w:rsidRPr="00924D65" w:rsidRDefault="00F76596" w:rsidP="00DE4FE5">
      <w:pPr>
        <w:pStyle w:val="FootnoteText"/>
      </w:pPr>
      <w:r>
        <w:rPr>
          <w:rStyle w:val="FootnoteReference"/>
        </w:rPr>
        <w:footnoteRef/>
      </w:r>
      <w:r w:rsidRPr="00924D65">
        <w:tab/>
        <w:t>Rådets genomförandebeslut (EU) 2022/2411 av den 6 december 2022 om ändring av beslut 2007/441/EG om bemyndigande för Republiken Italien att tillämpa åtgärder som avviker från artikel 26.1 a och artikel 168 i direktiv 2006/112/EG om det gemensamma systemet för mervärdesskatt, EUT L 317, 9.12.2022, s. 120.</w:t>
      </w:r>
    </w:p>
  </w:footnote>
  <w:footnote w:id="9">
    <w:p w:rsidR="00F76596" w:rsidRPr="00924D65" w:rsidRDefault="00F76596" w:rsidP="00F76596">
      <w:pPr>
        <w:pStyle w:val="FootnoteText"/>
      </w:pPr>
      <w:r>
        <w:rPr>
          <w:rStyle w:val="FootnoteReference"/>
        </w:rPr>
        <w:footnoteRef/>
      </w:r>
      <w:r w:rsidRPr="00924D65">
        <w:tab/>
        <w:t>Rådets genomförandebeslut (EU) 2024/1641 av den 24 maj 2024 om bemyndigande för Rumänien att tillämpa särskilda åtgärder som avviker från artiklarna 26.1 a och 168 i direktiv 2006/112/EG om ett gemensamt system för mervärdesskatt, EUT L 2024/1641, 6.6.2024.</w:t>
      </w:r>
    </w:p>
  </w:footnote>
  <w:footnote w:id="10">
    <w:p w:rsidR="00F76596" w:rsidRPr="00924D65" w:rsidRDefault="00F76596" w:rsidP="00F76596">
      <w:pPr>
        <w:pStyle w:val="FootnoteText"/>
        <w:jc w:val="left"/>
      </w:pPr>
      <w:r>
        <w:rPr>
          <w:rStyle w:val="FootnoteReference"/>
        </w:rPr>
        <w:footnoteRef/>
      </w:r>
      <w:r w:rsidRPr="00924D65">
        <w:tab/>
        <w:t xml:space="preserve">KOM(2004) 728 slutlig – Förslag till rådets direktiv om ändring av direktiv 77/388/EEG i syfte att förenkla skyldigheterna på mervärdesskatteområdet (EUT C 24, 29.1.2005, s. 10), återkallat den 21 maj 2014, </w:t>
      </w:r>
      <w:r w:rsidRPr="00924D65">
        <w:rPr>
          <w:rStyle w:val="Hyperlink"/>
        </w:rPr>
        <w:t>EUT C 153, 21.5.2014, s. 3</w:t>
      </w:r>
      <w:r w:rsidRPr="00924D65">
        <w:t xml:space="preserve">. </w:t>
      </w:r>
    </w:p>
  </w:footnote>
  <w:footnote w:id="11">
    <w:p w:rsidR="00972E43" w:rsidRPr="00924D65" w:rsidRDefault="00972E43" w:rsidP="00972E43">
      <w:pPr>
        <w:pStyle w:val="FootnoteText"/>
        <w:rPr>
          <w:lang w:val="fr-BE"/>
        </w:rPr>
      </w:pPr>
      <w:r>
        <w:rPr>
          <w:rStyle w:val="FootnoteReference"/>
        </w:rPr>
        <w:footnoteRef/>
      </w:r>
      <w:r w:rsidRPr="00924D65">
        <w:rPr>
          <w:lang w:val="fr-BE"/>
        </w:rPr>
        <w:tab/>
        <w:t xml:space="preserve">EUT L 347, 11.12.2006, s. 1, </w:t>
      </w:r>
      <w:r w:rsidRPr="00924D65">
        <w:rPr>
          <w:color w:val="333333"/>
          <w:shd w:val="clear" w:color="auto" w:fill="FFFFFF"/>
          <w:lang w:val="fr-BE"/>
        </w:rPr>
        <w:t>ELI: </w:t>
      </w:r>
      <w:hyperlink r:id="rId1" w:tooltip="Ger tillgång till detta dokument via dess ELI-adress." w:history="1">
        <w:r w:rsidRPr="00924D65">
          <w:rPr>
            <w:color w:val="337AB7"/>
            <w:u w:val="single"/>
            <w:shd w:val="clear" w:color="auto" w:fill="FFFFFF"/>
            <w:lang w:val="fr-BE"/>
          </w:rPr>
          <w:t>http://data.europa.eu/eli/dir/2006/112/oj</w:t>
        </w:r>
      </w:hyperlink>
      <w:r w:rsidRPr="00924D65">
        <w:rPr>
          <w:sz w:val="24"/>
          <w:lang w:val="fr-BE"/>
        </w:rPr>
        <w:t>.</w:t>
      </w:r>
    </w:p>
  </w:footnote>
  <w:footnote w:id="12">
    <w:p w:rsidR="00972E43" w:rsidRPr="0042409F" w:rsidRDefault="00972E43" w:rsidP="2647EB02">
      <w:pPr>
        <w:pStyle w:val="NormalWeb"/>
        <w:shd w:val="clear" w:color="auto" w:fill="FFFFFF" w:themeFill="background1"/>
        <w:spacing w:before="0" w:beforeAutospacing="0" w:after="75" w:afterAutospacing="0"/>
        <w:ind w:left="720" w:hanging="720"/>
        <w:jc w:val="both"/>
        <w:rPr>
          <w:rFonts w:ascii="Segoe UI" w:hAnsi="Segoe UI" w:cs="Segoe UI"/>
          <w:color w:val="444444"/>
          <w:sz w:val="21"/>
          <w:szCs w:val="21"/>
        </w:rPr>
      </w:pPr>
      <w:r>
        <w:rPr>
          <w:rStyle w:val="FootnoteReference"/>
        </w:rPr>
        <w:footnoteRef/>
      </w:r>
      <w:r>
        <w:tab/>
      </w:r>
      <w:r>
        <w:rPr>
          <w:sz w:val="20"/>
        </w:rPr>
        <w:t xml:space="preserve">Rådets genomförandebeslut (EU) 2018/1493 av den 2 oktober 2018 om bemyndigande för Ungern att införa en särskild åtgärd som avviker från artiklarna 26.1 a, 168 och 168a i direktiv 2006/112/EG om ett gemensamt system för mervärdesskatt (EUT L 252, 8.10.2018, s. 44, </w:t>
      </w:r>
      <w:r>
        <w:rPr>
          <w:color w:val="333333"/>
          <w:sz w:val="20"/>
          <w:shd w:val="clear" w:color="auto" w:fill="FFFFFF"/>
        </w:rPr>
        <w:t>ELI: </w:t>
      </w:r>
      <w:hyperlink r:id="rId2" w:tooltip="Ger tillgång till detta dokument via dess ELI-adress." w:history="1">
        <w:r>
          <w:rPr>
            <w:color w:val="337AB7"/>
            <w:sz w:val="20"/>
            <w:u w:val="single"/>
            <w:shd w:val="clear" w:color="auto" w:fill="FFFFFF"/>
          </w:rPr>
          <w:t>http://data.europa.eu/eli/dec_impl/2018/1493/oj</w:t>
        </w:r>
      </w:hyperlink>
      <w:r>
        <w:t>).</w:t>
      </w:r>
    </w:p>
  </w:footnote>
  <w:footnote w:id="13">
    <w:p w:rsidR="00972E43" w:rsidRPr="00924D65" w:rsidRDefault="00972E43" w:rsidP="00972E43">
      <w:pPr>
        <w:pStyle w:val="FootnoteText"/>
      </w:pPr>
      <w:r>
        <w:rPr>
          <w:rStyle w:val="FootnoteReference"/>
        </w:rPr>
        <w:footnoteRef/>
      </w:r>
      <w:r w:rsidRPr="00924D65">
        <w:tab/>
        <w:t xml:space="preserve">Rådets genomförandebeslut (EU) 2021/1774 av den 5 oktober 2021 om ändring av genomförandebeslut (EU) 2018/1493 om bemyndigande för Ungern att införa en särskild åtgärd som avviker från artiklarna 26.1 a, 168 och 168a i direktiv 2006/112/EG om ett gemensamt system för mervärdesskatt (EUT L 360, 11.10.2021, s. 108, </w:t>
      </w:r>
      <w:r w:rsidRPr="00924D65">
        <w:rPr>
          <w:color w:val="333333"/>
          <w:shd w:val="clear" w:color="auto" w:fill="FFFFFF"/>
        </w:rPr>
        <w:t>ELI: </w:t>
      </w:r>
      <w:hyperlink r:id="rId3" w:tooltip="Ger tillgång till detta dokument via dess ELI-adress." w:history="1">
        <w:r w:rsidRPr="00924D65">
          <w:rPr>
            <w:color w:val="337AB7"/>
            <w:u w:val="single"/>
            <w:shd w:val="clear" w:color="auto" w:fill="FFFFFF"/>
          </w:rPr>
          <w:t>http://data.europa.eu/eli/dec_impl/2021/1774/oj</w:t>
        </w:r>
      </w:hyperlink>
      <w:r w:rsidRPr="00924D65">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AE4" w:rsidRDefault="00DF5A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AE4" w:rsidRDefault="00DF5A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CB9A5798"/>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E77E8088"/>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EC12F4E8"/>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538C9B00"/>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5"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7"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9"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0"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1"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2"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3"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4"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8"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3"/>
  </w:num>
  <w:num w:numId="2">
    <w:abstractNumId w:val="2"/>
  </w:num>
  <w:num w:numId="3">
    <w:abstractNumId w:val="1"/>
  </w:num>
  <w:num w:numId="4">
    <w:abstractNumId w:val="0"/>
  </w:num>
  <w:num w:numId="5">
    <w:abstractNumId w:val="18"/>
    <w:lvlOverride w:ilvl="0">
      <w:startOverride w:val="1"/>
    </w:lvlOverride>
  </w:num>
  <w:num w:numId="6">
    <w:abstractNumId w:val="15"/>
  </w:num>
  <w:num w:numId="7">
    <w:abstractNumId w:val="8"/>
  </w:num>
  <w:num w:numId="8">
    <w:abstractNumId w:val="17"/>
  </w:num>
  <w:num w:numId="9">
    <w:abstractNumId w:val="7"/>
  </w:num>
  <w:num w:numId="10">
    <w:abstractNumId w:val="9"/>
  </w:num>
  <w:num w:numId="11">
    <w:abstractNumId w:val="10"/>
  </w:num>
  <w:num w:numId="12">
    <w:abstractNumId w:val="5"/>
  </w:num>
  <w:num w:numId="13">
    <w:abstractNumId w:val="16"/>
  </w:num>
  <w:num w:numId="14">
    <w:abstractNumId w:val="4"/>
  </w:num>
  <w:num w:numId="15">
    <w:abstractNumId w:val="11"/>
  </w:num>
  <w:num w:numId="16">
    <w:abstractNumId w:val="13"/>
  </w:num>
  <w:num w:numId="17">
    <w:abstractNumId w:val="14"/>
  </w:num>
  <w:num w:numId="18">
    <w:abstractNumId w:val="6"/>
  </w:num>
  <w:num w:numId="19">
    <w:abstractNumId w:val="12"/>
  </w:num>
  <w:num w:numId="20">
    <w:abstractNumId w:val="18"/>
  </w:num>
  <w:num w:numId="21">
    <w:abstractNumId w:val="15"/>
  </w:num>
  <w:num w:numId="22">
    <w:abstractNumId w:val="8"/>
  </w:num>
  <w:num w:numId="23">
    <w:abstractNumId w:val="17"/>
  </w:num>
  <w:num w:numId="24">
    <w:abstractNumId w:val="7"/>
  </w:num>
  <w:num w:numId="25">
    <w:abstractNumId w:val="9"/>
  </w:num>
  <w:num w:numId="26">
    <w:abstractNumId w:val="10"/>
  </w:num>
  <w:num w:numId="27">
    <w:abstractNumId w:val="5"/>
  </w:num>
  <w:num w:numId="28">
    <w:abstractNumId w:val="16"/>
  </w:num>
  <w:num w:numId="29">
    <w:abstractNumId w:val="4"/>
  </w:num>
  <w:num w:numId="30">
    <w:abstractNumId w:val="11"/>
  </w:num>
  <w:num w:numId="31">
    <w:abstractNumId w:val="13"/>
  </w:num>
  <w:num w:numId="32">
    <w:abstractNumId w:val="14"/>
  </w:num>
  <w:num w:numId="33">
    <w:abstractNumId w:val="6"/>
  </w:num>
  <w:num w:numId="34">
    <w:abstractNumId w:val="12"/>
  </w:num>
  <w:num w:numId="35">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revisionView w:markup="0"/>
  <w:defaultTabStop w:val="720"/>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R_RefLast" w:val="0"/>
    <w:docVar w:name="DQCDateTime" w:val="2024-10-23 16:19:10"/>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CORRIGENDUM" w:val="&lt;UNUSED&gt;"/>
    <w:docVar w:name="LW_COVERPAGE_EXISTS" w:val="True"/>
    <w:docVar w:name="LW_COVERPAGE_GUID" w:val="146FB39C-F221-476B-83C3-EE625CFAAFBA"/>
    <w:docVar w:name="LW_COVERPAGE_TYPE" w:val="1"/>
    <w:docVar w:name="LW_CROSSREFERENCE" w:val="&lt;UNUSED&gt;"/>
    <w:docVar w:name="LW_DocType" w:val="COM"/>
    <w:docVar w:name="LW_EMISSION" w:val="24.10.2024"/>
    <w:docVar w:name="LW_EMISSION_ISODATE" w:val="2024-10-24"/>
    <w:docVar w:name="LW_EMISSION_LOCATION" w:val="BRX"/>
    <w:docVar w:name="LW_EMISSION_PREFIX" w:val="Bryssel den "/>
    <w:docVar w:name="LW_EMISSION_SUFFIX" w:val=" "/>
    <w:docVar w:name="LW_ID_DOCMODEL" w:val="SJ-020"/>
    <w:docVar w:name="LW_ID_DOCSIGNATURE" w:val="SJ-020"/>
    <w:docVar w:name="LW_ID_DOCSTRUCTURE" w:val="COM/PL/ORG"/>
    <w:docVar w:name="LW_ID_DOCTYPE" w:val="SJ-020"/>
    <w:docVar w:name="LW_ID_STATUT" w:val="SJ-020"/>
    <w:docVar w:name="LW_INSERT_EXP.MOTIFS.NEW" w:val="1"/>
    <w:docVar w:name="LW_INTERETEEE.CP" w:val="&lt;UNUSED&gt;"/>
    <w:docVar w:name="LW_LANGUE" w:val="SV"/>
    <w:docVar w:name="LW_LEVEL_OF_SENSITIVITY" w:val="Standard treatment"/>
    <w:docVar w:name="LW_NOM.INST" w:val="EUROPEISKA KOMMISSIONEN"/>
    <w:docVar w:name="LW_NOM.INST_JOINTDOC" w:val="&lt;EMPTY&gt;"/>
    <w:docVar w:name="LW_PART_NBR" w:val="1"/>
    <w:docVar w:name="LW_PART_NBR_TOTAL" w:val="1"/>
    <w:docVar w:name="LW_REF.II.NEW.CP" w:val="NLE"/>
    <w:docVar w:name="LW_REF.II.NEW.CP_NUMBER" w:val="0273"/>
    <w:docVar w:name="LW_REF.II.NEW.CP_YEAR" w:val="2024"/>
    <w:docVar w:name="LW_REF.INST.NEW" w:val="COM"/>
    <w:docVar w:name="LW_REF.INST.NEW_ADOPTED" w:val="final"/>
    <w:docVar w:name="LW_REF.INST.NEW_TEXT" w:val="(2024) 491"/>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Förslag till"/>
    <w:docVar w:name="LW_SUPERTITRE" w:val="&lt;UNUSED&gt;"/>
    <w:docVar w:name="LW_TITRE.OBJ.CP" w:val="om ändring av genomförandebeslut (EU) 2018/1493 om bemyndigande för Ungern att införa en särskild åtgärd som avviker från artiklarna 26.1 a, 168 och 168a i direktiv 2006/112/EG om ett gemensamt system för mervärdesskatt"/>
    <w:docVar w:name="LW_TYPE.DOC.CP" w:val="RÅDETS GENOMFÖRANDEBESLUT"/>
    <w:docVar w:name="LwApiVersions" w:val="LW4CoDe 1.24.5.0; LW 9.0, Build 20240221"/>
  </w:docVars>
  <w:rsids>
    <w:rsidRoot w:val="000F7DC2"/>
    <w:rsid w:val="00052924"/>
    <w:rsid w:val="000D3432"/>
    <w:rsid w:val="000D66D7"/>
    <w:rsid w:val="000E2748"/>
    <w:rsid w:val="000F7DC2"/>
    <w:rsid w:val="001028FE"/>
    <w:rsid w:val="001065F5"/>
    <w:rsid w:val="001238EF"/>
    <w:rsid w:val="001467D8"/>
    <w:rsid w:val="00153C5E"/>
    <w:rsid w:val="001565D1"/>
    <w:rsid w:val="001916F1"/>
    <w:rsid w:val="00195862"/>
    <w:rsid w:val="00197613"/>
    <w:rsid w:val="001A5836"/>
    <w:rsid w:val="001F39C6"/>
    <w:rsid w:val="00233DC7"/>
    <w:rsid w:val="00247779"/>
    <w:rsid w:val="00263789"/>
    <w:rsid w:val="00285BEE"/>
    <w:rsid w:val="00290505"/>
    <w:rsid w:val="0029533F"/>
    <w:rsid w:val="0029697E"/>
    <w:rsid w:val="002B30AF"/>
    <w:rsid w:val="002E00C8"/>
    <w:rsid w:val="002E442A"/>
    <w:rsid w:val="002F7206"/>
    <w:rsid w:val="00300401"/>
    <w:rsid w:val="00310C81"/>
    <w:rsid w:val="00324E2A"/>
    <w:rsid w:val="00331795"/>
    <w:rsid w:val="0033344A"/>
    <w:rsid w:val="00333BB7"/>
    <w:rsid w:val="00334FA0"/>
    <w:rsid w:val="00341113"/>
    <w:rsid w:val="00343BBC"/>
    <w:rsid w:val="00391051"/>
    <w:rsid w:val="003C2EE7"/>
    <w:rsid w:val="003D2A2B"/>
    <w:rsid w:val="003D37A6"/>
    <w:rsid w:val="003E25D8"/>
    <w:rsid w:val="003F495F"/>
    <w:rsid w:val="0040031D"/>
    <w:rsid w:val="00401A90"/>
    <w:rsid w:val="0042648E"/>
    <w:rsid w:val="00477507"/>
    <w:rsid w:val="0048293B"/>
    <w:rsid w:val="00484906"/>
    <w:rsid w:val="004936D2"/>
    <w:rsid w:val="00496609"/>
    <w:rsid w:val="004A5A52"/>
    <w:rsid w:val="004B217C"/>
    <w:rsid w:val="004C4E7D"/>
    <w:rsid w:val="004F38F0"/>
    <w:rsid w:val="004F5785"/>
    <w:rsid w:val="0051113A"/>
    <w:rsid w:val="00522B34"/>
    <w:rsid w:val="0053246A"/>
    <w:rsid w:val="0053543C"/>
    <w:rsid w:val="005B1EB6"/>
    <w:rsid w:val="005C4FD8"/>
    <w:rsid w:val="005C60F5"/>
    <w:rsid w:val="005C67D5"/>
    <w:rsid w:val="00605235"/>
    <w:rsid w:val="0062039B"/>
    <w:rsid w:val="00623890"/>
    <w:rsid w:val="00624029"/>
    <w:rsid w:val="00626802"/>
    <w:rsid w:val="00635736"/>
    <w:rsid w:val="00663849"/>
    <w:rsid w:val="00667509"/>
    <w:rsid w:val="006728A0"/>
    <w:rsid w:val="006B01FE"/>
    <w:rsid w:val="006C1EF1"/>
    <w:rsid w:val="006E28B4"/>
    <w:rsid w:val="00700394"/>
    <w:rsid w:val="00702416"/>
    <w:rsid w:val="00703CCA"/>
    <w:rsid w:val="007146EB"/>
    <w:rsid w:val="00722F28"/>
    <w:rsid w:val="00773331"/>
    <w:rsid w:val="00777730"/>
    <w:rsid w:val="007932EF"/>
    <w:rsid w:val="007976A0"/>
    <w:rsid w:val="0079784E"/>
    <w:rsid w:val="007A0FDB"/>
    <w:rsid w:val="007A4171"/>
    <w:rsid w:val="007B1C53"/>
    <w:rsid w:val="007C17DE"/>
    <w:rsid w:val="007C7059"/>
    <w:rsid w:val="007D2799"/>
    <w:rsid w:val="007E05B0"/>
    <w:rsid w:val="007E6674"/>
    <w:rsid w:val="007F53CE"/>
    <w:rsid w:val="007F55B9"/>
    <w:rsid w:val="00845328"/>
    <w:rsid w:val="008459D7"/>
    <w:rsid w:val="008470D5"/>
    <w:rsid w:val="00863FC6"/>
    <w:rsid w:val="00864E04"/>
    <w:rsid w:val="008725B2"/>
    <w:rsid w:val="00874D22"/>
    <w:rsid w:val="00896C90"/>
    <w:rsid w:val="008A2914"/>
    <w:rsid w:val="008D03CA"/>
    <w:rsid w:val="008E4D8E"/>
    <w:rsid w:val="008F3664"/>
    <w:rsid w:val="00924D65"/>
    <w:rsid w:val="009373CC"/>
    <w:rsid w:val="0094303A"/>
    <w:rsid w:val="00945A72"/>
    <w:rsid w:val="00965837"/>
    <w:rsid w:val="009710F1"/>
    <w:rsid w:val="009726C1"/>
    <w:rsid w:val="00972951"/>
    <w:rsid w:val="00972E43"/>
    <w:rsid w:val="009A28B0"/>
    <w:rsid w:val="00A002CC"/>
    <w:rsid w:val="00A11207"/>
    <w:rsid w:val="00A90477"/>
    <w:rsid w:val="00A9149B"/>
    <w:rsid w:val="00AA641F"/>
    <w:rsid w:val="00AE665B"/>
    <w:rsid w:val="00B0568C"/>
    <w:rsid w:val="00B11B3D"/>
    <w:rsid w:val="00B158F4"/>
    <w:rsid w:val="00B23CAA"/>
    <w:rsid w:val="00B35C0F"/>
    <w:rsid w:val="00B504B2"/>
    <w:rsid w:val="00B739D1"/>
    <w:rsid w:val="00B91562"/>
    <w:rsid w:val="00BC41B0"/>
    <w:rsid w:val="00BE46B9"/>
    <w:rsid w:val="00C043A5"/>
    <w:rsid w:val="00C04BAD"/>
    <w:rsid w:val="00C12301"/>
    <w:rsid w:val="00C5111E"/>
    <w:rsid w:val="00C5639F"/>
    <w:rsid w:val="00C57EA1"/>
    <w:rsid w:val="00C60FC4"/>
    <w:rsid w:val="00CB6AE2"/>
    <w:rsid w:val="00CC367C"/>
    <w:rsid w:val="00CC78E4"/>
    <w:rsid w:val="00CE1F34"/>
    <w:rsid w:val="00D12CE3"/>
    <w:rsid w:val="00D145B0"/>
    <w:rsid w:val="00D17A73"/>
    <w:rsid w:val="00D20381"/>
    <w:rsid w:val="00D25431"/>
    <w:rsid w:val="00D32F40"/>
    <w:rsid w:val="00D3378C"/>
    <w:rsid w:val="00D90053"/>
    <w:rsid w:val="00DC18AB"/>
    <w:rsid w:val="00DC2EFC"/>
    <w:rsid w:val="00DE4FE5"/>
    <w:rsid w:val="00DF27F3"/>
    <w:rsid w:val="00DF5AE4"/>
    <w:rsid w:val="00DF6F54"/>
    <w:rsid w:val="00E0107F"/>
    <w:rsid w:val="00E074FF"/>
    <w:rsid w:val="00E2661C"/>
    <w:rsid w:val="00E32038"/>
    <w:rsid w:val="00E52023"/>
    <w:rsid w:val="00E53D14"/>
    <w:rsid w:val="00E601BA"/>
    <w:rsid w:val="00E71FD2"/>
    <w:rsid w:val="00E82ACE"/>
    <w:rsid w:val="00E95074"/>
    <w:rsid w:val="00EB2111"/>
    <w:rsid w:val="00EC588E"/>
    <w:rsid w:val="00F02E1B"/>
    <w:rsid w:val="00F670F0"/>
    <w:rsid w:val="00F76596"/>
    <w:rsid w:val="00F8715D"/>
    <w:rsid w:val="00FC1858"/>
    <w:rsid w:val="00FC38F8"/>
    <w:rsid w:val="00FE74DF"/>
    <w:rsid w:val="0F906A9E"/>
    <w:rsid w:val="13F193A7"/>
    <w:rsid w:val="1588DD9A"/>
    <w:rsid w:val="187B212E"/>
    <w:rsid w:val="2647EB02"/>
    <w:rsid w:val="2C657FC7"/>
    <w:rsid w:val="2E618703"/>
    <w:rsid w:val="327F6E17"/>
    <w:rsid w:val="4DD5A6C1"/>
    <w:rsid w:val="4E645328"/>
    <w:rsid w:val="64B74923"/>
    <w:rsid w:val="66E22152"/>
    <w:rsid w:val="6A96AB27"/>
    <w:rsid w:val="6DB396BC"/>
    <w:rsid w:val="6E87E8CC"/>
    <w:rsid w:val="6FBAF409"/>
    <w:rsid w:val="7054D781"/>
    <w:rsid w:val="78EE3FF3"/>
    <w:rsid w:val="78F58D02"/>
    <w:rsid w:val="7D5C136D"/>
    <w:rsid w:val="7EF5983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5:docId w15:val="{76923FDF-694A-4FC9-AA64-C7DC409A5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sv-SE"/>
    </w:rPr>
  </w:style>
  <w:style w:type="paragraph" w:styleId="Heading1">
    <w:name w:val="heading 1"/>
    <w:basedOn w:val="Normal"/>
    <w:next w:val="Text1"/>
    <w:link w:val="Heading1Char"/>
    <w:uiPriority w:val="9"/>
    <w:qFormat/>
    <w:pPr>
      <w:keepNext/>
      <w:numPr>
        <w:numId w:val="28"/>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28"/>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28"/>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28"/>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28"/>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28"/>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28"/>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rsid w:val="000F7DC2"/>
    <w:pPr>
      <w:numPr>
        <w:numId w:val="1"/>
      </w:numPr>
    </w:pPr>
    <w:rPr>
      <w:rFonts w:eastAsia="Times New Roman"/>
      <w:lang w:eastAsia="en-GB"/>
    </w:rPr>
  </w:style>
  <w:style w:type="character" w:styleId="Hyperlink">
    <w:name w:val="Hyperlink"/>
    <w:basedOn w:val="DefaultParagraphFont"/>
    <w:uiPriority w:val="99"/>
    <w:unhideWhenUsed/>
    <w:rsid w:val="00F76596"/>
    <w:rPr>
      <w:color w:val="0000FF" w:themeColor="hyperlink"/>
      <w:u w:val="single"/>
    </w:rPr>
  </w:style>
  <w:style w:type="paragraph" w:styleId="NormalWeb">
    <w:name w:val="Normal (Web)"/>
    <w:basedOn w:val="Normal"/>
    <w:uiPriority w:val="99"/>
    <w:unhideWhenUsed/>
    <w:rsid w:val="00972E43"/>
    <w:pPr>
      <w:spacing w:before="100" w:beforeAutospacing="1" w:after="100" w:afterAutospacing="1"/>
      <w:jc w:val="left"/>
    </w:pPr>
    <w:rPr>
      <w:rFonts w:eastAsia="Times New Roman"/>
      <w:szCs w:val="24"/>
    </w:rPr>
  </w:style>
  <w:style w:type="paragraph" w:styleId="ListBullet2">
    <w:name w:val="List Bullet 2"/>
    <w:basedOn w:val="Normal"/>
    <w:uiPriority w:val="99"/>
    <w:semiHidden/>
    <w:unhideWhenUsed/>
    <w:rsid w:val="00A002CC"/>
    <w:pPr>
      <w:numPr>
        <w:numId w:val="2"/>
      </w:numPr>
      <w:contextualSpacing/>
    </w:pPr>
  </w:style>
  <w:style w:type="paragraph" w:styleId="ListBullet3">
    <w:name w:val="List Bullet 3"/>
    <w:basedOn w:val="Normal"/>
    <w:uiPriority w:val="99"/>
    <w:semiHidden/>
    <w:unhideWhenUsed/>
    <w:rsid w:val="00A002CC"/>
    <w:pPr>
      <w:numPr>
        <w:numId w:val="3"/>
      </w:numPr>
      <w:contextualSpacing/>
    </w:pPr>
  </w:style>
  <w:style w:type="paragraph" w:styleId="ListBullet4">
    <w:name w:val="List Bullet 4"/>
    <w:basedOn w:val="Normal"/>
    <w:uiPriority w:val="99"/>
    <w:semiHidden/>
    <w:unhideWhenUsed/>
    <w:rsid w:val="00A002CC"/>
    <w:pPr>
      <w:numPr>
        <w:numId w:val="4"/>
      </w:numPr>
      <w:contextualSpacing/>
    </w:pPr>
  </w:style>
  <w:style w:type="character" w:styleId="CommentReference">
    <w:name w:val="annotation reference"/>
    <w:basedOn w:val="DefaultParagraphFont"/>
    <w:uiPriority w:val="99"/>
    <w:semiHidden/>
    <w:unhideWhenUsed/>
    <w:rsid w:val="00A90477"/>
    <w:rPr>
      <w:sz w:val="16"/>
      <w:szCs w:val="16"/>
    </w:rPr>
  </w:style>
  <w:style w:type="paragraph" w:styleId="CommentText">
    <w:name w:val="annotation text"/>
    <w:basedOn w:val="Normal"/>
    <w:link w:val="CommentTextChar"/>
    <w:uiPriority w:val="99"/>
    <w:unhideWhenUsed/>
    <w:rsid w:val="00A90477"/>
    <w:rPr>
      <w:sz w:val="20"/>
      <w:szCs w:val="20"/>
    </w:rPr>
  </w:style>
  <w:style w:type="character" w:customStyle="1" w:styleId="CommentTextChar">
    <w:name w:val="Comment Text Char"/>
    <w:basedOn w:val="DefaultParagraphFont"/>
    <w:link w:val="CommentText"/>
    <w:uiPriority w:val="99"/>
    <w:rsid w:val="00A90477"/>
    <w:rPr>
      <w:rFonts w:ascii="Times New Roman" w:hAnsi="Times New Roman" w:cs="Times New Roman"/>
      <w:sz w:val="20"/>
      <w:szCs w:val="20"/>
      <w:lang w:val="sv-SE"/>
    </w:rPr>
  </w:style>
  <w:style w:type="paragraph" w:styleId="CommentSubject">
    <w:name w:val="annotation subject"/>
    <w:basedOn w:val="CommentText"/>
    <w:next w:val="CommentText"/>
    <w:link w:val="CommentSubjectChar"/>
    <w:uiPriority w:val="99"/>
    <w:semiHidden/>
    <w:unhideWhenUsed/>
    <w:rsid w:val="00A90477"/>
    <w:rPr>
      <w:b/>
      <w:bCs/>
    </w:rPr>
  </w:style>
  <w:style w:type="character" w:customStyle="1" w:styleId="CommentSubjectChar">
    <w:name w:val="Comment Subject Char"/>
    <w:basedOn w:val="CommentTextChar"/>
    <w:link w:val="CommentSubject"/>
    <w:uiPriority w:val="99"/>
    <w:semiHidden/>
    <w:rsid w:val="00A90477"/>
    <w:rPr>
      <w:rFonts w:ascii="Times New Roman" w:hAnsi="Times New Roman" w:cs="Times New Roman"/>
      <w:b/>
      <w:bCs/>
      <w:sz w:val="20"/>
      <w:szCs w:val="20"/>
      <w:lang w:val="sv-SE"/>
    </w:rPr>
  </w:style>
  <w:style w:type="paragraph" w:styleId="Revision">
    <w:name w:val="Revision"/>
    <w:hidden/>
    <w:uiPriority w:val="99"/>
    <w:semiHidden/>
    <w:rsid w:val="00FE74DF"/>
    <w:pPr>
      <w:spacing w:after="0" w:line="240" w:lineRule="auto"/>
    </w:pPr>
    <w:rPr>
      <w:rFonts w:ascii="Times New Roman" w:hAnsi="Times New Roman" w:cs="Times New Roman"/>
      <w:sz w:val="24"/>
    </w:rPr>
  </w:style>
  <w:style w:type="character" w:customStyle="1" w:styleId="UnresolvedMention">
    <w:name w:val="Unresolved Mention"/>
    <w:basedOn w:val="DefaultParagraphFont"/>
    <w:uiPriority w:val="99"/>
    <w:semiHidden/>
    <w:unhideWhenUsed/>
    <w:rsid w:val="00700394"/>
    <w:rPr>
      <w:color w:val="605E5C"/>
      <w:shd w:val="clear" w:color="auto" w:fill="E1DFDD"/>
    </w:rPr>
  </w:style>
  <w:style w:type="character" w:customStyle="1" w:styleId="HeaderChar">
    <w:name w:val="Header Char"/>
    <w:basedOn w:val="DefaultParagraphFont"/>
    <w:link w:val="Header"/>
    <w:uiPriority w:val="99"/>
    <w:rsid w:val="00DF5AE4"/>
    <w:rPr>
      <w:rFonts w:ascii="Times New Roman" w:hAnsi="Times New Roman" w:cs="Times New Roman"/>
      <w:sz w:val="24"/>
      <w:lang w:val="sv-SE"/>
    </w:rPr>
  </w:style>
  <w:style w:type="character" w:customStyle="1" w:styleId="FooterChar">
    <w:name w:val="Footer Char"/>
    <w:basedOn w:val="DefaultParagraphFont"/>
    <w:link w:val="Footer"/>
    <w:uiPriority w:val="99"/>
    <w:rsid w:val="00DF5AE4"/>
    <w:rPr>
      <w:rFonts w:ascii="Times New Roman" w:hAnsi="Times New Roman" w:cs="Times New Roman"/>
      <w:sz w:val="24"/>
      <w:lang w:val="sv-SE"/>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DF5AE4"/>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DF5AE4"/>
    <w:pPr>
      <w:spacing w:before="0"/>
      <w:jc w:val="right"/>
    </w:pPr>
    <w:rPr>
      <w:sz w:val="28"/>
    </w:rPr>
  </w:style>
  <w:style w:type="paragraph" w:customStyle="1" w:styleId="FooterSensitivity">
    <w:name w:val="Footer Sensitivity"/>
    <w:basedOn w:val="Normal"/>
    <w:rsid w:val="00DF5AE4"/>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21"/>
      </w:numPr>
    </w:pPr>
  </w:style>
  <w:style w:type="paragraph" w:customStyle="1" w:styleId="Tiret1">
    <w:name w:val="Tiret 1"/>
    <w:basedOn w:val="Point1"/>
    <w:pPr>
      <w:numPr>
        <w:numId w:val="22"/>
      </w:numPr>
    </w:pPr>
  </w:style>
  <w:style w:type="paragraph" w:customStyle="1" w:styleId="Tiret2">
    <w:name w:val="Tiret 2"/>
    <w:basedOn w:val="Point2"/>
    <w:pPr>
      <w:numPr>
        <w:numId w:val="23"/>
      </w:numPr>
    </w:pPr>
  </w:style>
  <w:style w:type="paragraph" w:customStyle="1" w:styleId="Tiret3">
    <w:name w:val="Tiret 3"/>
    <w:basedOn w:val="Point3"/>
    <w:pPr>
      <w:numPr>
        <w:numId w:val="24"/>
      </w:numPr>
    </w:pPr>
  </w:style>
  <w:style w:type="paragraph" w:customStyle="1" w:styleId="Tiret4">
    <w:name w:val="Tiret 4"/>
    <w:basedOn w:val="Point4"/>
    <w:pPr>
      <w:numPr>
        <w:numId w:val="25"/>
      </w:numPr>
    </w:pPr>
  </w:style>
  <w:style w:type="paragraph" w:customStyle="1" w:styleId="Tiret5">
    <w:name w:val="Tiret 5"/>
    <w:basedOn w:val="Point5"/>
    <w:pPr>
      <w:numPr>
        <w:numId w:val="26"/>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27"/>
      </w:numPr>
    </w:pPr>
  </w:style>
  <w:style w:type="paragraph" w:customStyle="1" w:styleId="NumPar2">
    <w:name w:val="NumPar 2"/>
    <w:basedOn w:val="Normal"/>
    <w:next w:val="Text1"/>
    <w:pPr>
      <w:numPr>
        <w:ilvl w:val="1"/>
        <w:numId w:val="27"/>
      </w:numPr>
    </w:pPr>
  </w:style>
  <w:style w:type="paragraph" w:customStyle="1" w:styleId="NumPar3">
    <w:name w:val="NumPar 3"/>
    <w:basedOn w:val="Normal"/>
    <w:next w:val="Text1"/>
    <w:pPr>
      <w:numPr>
        <w:ilvl w:val="2"/>
        <w:numId w:val="27"/>
      </w:numPr>
    </w:pPr>
  </w:style>
  <w:style w:type="paragraph" w:customStyle="1" w:styleId="NumPar4">
    <w:name w:val="NumPar 4"/>
    <w:basedOn w:val="Normal"/>
    <w:next w:val="Text1"/>
    <w:pPr>
      <w:numPr>
        <w:ilvl w:val="3"/>
        <w:numId w:val="27"/>
      </w:numPr>
    </w:pPr>
  </w:style>
  <w:style w:type="paragraph" w:customStyle="1" w:styleId="NumPar5">
    <w:name w:val="NumPar 5"/>
    <w:basedOn w:val="Normal"/>
    <w:next w:val="Text2"/>
    <w:pPr>
      <w:numPr>
        <w:ilvl w:val="4"/>
        <w:numId w:val="27"/>
      </w:numPr>
    </w:pPr>
  </w:style>
  <w:style w:type="paragraph" w:customStyle="1" w:styleId="NumPar6">
    <w:name w:val="NumPar 6"/>
    <w:basedOn w:val="Normal"/>
    <w:next w:val="Text2"/>
    <w:pPr>
      <w:numPr>
        <w:ilvl w:val="5"/>
        <w:numId w:val="27"/>
      </w:numPr>
    </w:pPr>
  </w:style>
  <w:style w:type="paragraph" w:customStyle="1" w:styleId="NumPar7">
    <w:name w:val="NumPar 7"/>
    <w:basedOn w:val="Normal"/>
    <w:next w:val="Text2"/>
    <w:pPr>
      <w:numPr>
        <w:ilvl w:val="6"/>
        <w:numId w:val="27"/>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29"/>
      </w:numPr>
    </w:pPr>
  </w:style>
  <w:style w:type="paragraph" w:customStyle="1" w:styleId="Point1number">
    <w:name w:val="Point 1 (number)"/>
    <w:basedOn w:val="Normal"/>
    <w:pPr>
      <w:numPr>
        <w:ilvl w:val="2"/>
        <w:numId w:val="29"/>
      </w:numPr>
    </w:pPr>
  </w:style>
  <w:style w:type="paragraph" w:customStyle="1" w:styleId="Point2number">
    <w:name w:val="Point 2 (number)"/>
    <w:basedOn w:val="Normal"/>
    <w:pPr>
      <w:numPr>
        <w:ilvl w:val="4"/>
        <w:numId w:val="29"/>
      </w:numPr>
    </w:pPr>
  </w:style>
  <w:style w:type="paragraph" w:customStyle="1" w:styleId="Point3number">
    <w:name w:val="Point 3 (number)"/>
    <w:basedOn w:val="Normal"/>
    <w:pPr>
      <w:numPr>
        <w:ilvl w:val="6"/>
        <w:numId w:val="29"/>
      </w:numPr>
    </w:pPr>
  </w:style>
  <w:style w:type="paragraph" w:customStyle="1" w:styleId="Point0letter">
    <w:name w:val="Point 0 (letter)"/>
    <w:basedOn w:val="Normal"/>
    <w:pPr>
      <w:numPr>
        <w:ilvl w:val="1"/>
        <w:numId w:val="29"/>
      </w:numPr>
    </w:pPr>
  </w:style>
  <w:style w:type="paragraph" w:customStyle="1" w:styleId="Point1letter">
    <w:name w:val="Point 1 (letter)"/>
    <w:basedOn w:val="Normal"/>
    <w:pPr>
      <w:numPr>
        <w:ilvl w:val="3"/>
        <w:numId w:val="29"/>
      </w:numPr>
    </w:pPr>
  </w:style>
  <w:style w:type="paragraph" w:customStyle="1" w:styleId="Point2letter">
    <w:name w:val="Point 2 (letter)"/>
    <w:basedOn w:val="Normal"/>
    <w:pPr>
      <w:numPr>
        <w:ilvl w:val="5"/>
        <w:numId w:val="29"/>
      </w:numPr>
    </w:pPr>
  </w:style>
  <w:style w:type="paragraph" w:customStyle="1" w:styleId="Point3letter">
    <w:name w:val="Point 3 (letter)"/>
    <w:basedOn w:val="Normal"/>
    <w:pPr>
      <w:numPr>
        <w:ilvl w:val="7"/>
        <w:numId w:val="29"/>
      </w:numPr>
    </w:pPr>
  </w:style>
  <w:style w:type="paragraph" w:customStyle="1" w:styleId="Point4letter">
    <w:name w:val="Point 4 (letter)"/>
    <w:basedOn w:val="Normal"/>
    <w:pPr>
      <w:numPr>
        <w:ilvl w:val="8"/>
        <w:numId w:val="29"/>
      </w:numPr>
    </w:pPr>
  </w:style>
  <w:style w:type="paragraph" w:customStyle="1" w:styleId="Bullet0">
    <w:name w:val="Bullet 0"/>
    <w:basedOn w:val="Normal"/>
    <w:pPr>
      <w:numPr>
        <w:numId w:val="30"/>
      </w:numPr>
    </w:pPr>
  </w:style>
  <w:style w:type="paragraph" w:customStyle="1" w:styleId="Bullet1">
    <w:name w:val="Bullet 1"/>
    <w:basedOn w:val="Normal"/>
    <w:pPr>
      <w:numPr>
        <w:numId w:val="31"/>
      </w:numPr>
    </w:pPr>
  </w:style>
  <w:style w:type="paragraph" w:customStyle="1" w:styleId="Bullet2">
    <w:name w:val="Bullet 2"/>
    <w:basedOn w:val="Normal"/>
    <w:pPr>
      <w:numPr>
        <w:numId w:val="32"/>
      </w:numPr>
    </w:pPr>
  </w:style>
  <w:style w:type="paragraph" w:customStyle="1" w:styleId="Bullet3">
    <w:name w:val="Bullet 3"/>
    <w:basedOn w:val="Normal"/>
    <w:pPr>
      <w:numPr>
        <w:numId w:val="33"/>
      </w:numPr>
    </w:pPr>
  </w:style>
  <w:style w:type="paragraph" w:customStyle="1" w:styleId="Bullet4">
    <w:name w:val="Bullet 4"/>
    <w:basedOn w:val="Normal"/>
    <w:pPr>
      <w:numPr>
        <w:numId w:val="34"/>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5"/>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 w:type="paragraph" w:styleId="Header">
    <w:name w:val="header"/>
    <w:basedOn w:val="Normal"/>
    <w:link w:val="HeaderChar"/>
    <w:uiPriority w:val="99"/>
    <w:unhideWhenUsed/>
    <w:rsid w:val="00DF5AE4"/>
    <w:pPr>
      <w:tabs>
        <w:tab w:val="center" w:pos="4535"/>
        <w:tab w:val="right" w:pos="9071"/>
      </w:tabs>
      <w:spacing w:before="0"/>
    </w:pPr>
  </w:style>
  <w:style w:type="paragraph" w:customStyle="1" w:styleId="HeaderLandscape">
    <w:name w:val="HeaderLandscape"/>
    <w:basedOn w:val="Normal"/>
    <w:rsid w:val="00DF5AE4"/>
    <w:pPr>
      <w:tabs>
        <w:tab w:val="center" w:pos="7285"/>
        <w:tab w:val="right" w:pos="14003"/>
      </w:tabs>
      <w:spacing w:before="0"/>
    </w:pPr>
  </w:style>
  <w:style w:type="paragraph" w:styleId="Footer">
    <w:name w:val="footer"/>
    <w:basedOn w:val="Normal"/>
    <w:link w:val="FooterChar"/>
    <w:uiPriority w:val="99"/>
    <w:unhideWhenUsed/>
    <w:rsid w:val="00DF5AE4"/>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DF5AE4"/>
    <w:pPr>
      <w:tabs>
        <w:tab w:val="center" w:pos="7285"/>
        <w:tab w:val="center" w:pos="10913"/>
        <w:tab w:val="right" w:pos="15137"/>
      </w:tabs>
      <w:spacing w:before="360" w:after="0"/>
      <w:ind w:left="-567" w:right="-567"/>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data.europa.eu/eli/dec_impl/2021/1774/oj" TargetMode="External"/><Relationship Id="rId2" Type="http://schemas.openxmlformats.org/officeDocument/2006/relationships/hyperlink" Target="http://data.europa.eu/eli/dec_impl/2018/1493/oj" TargetMode="External"/><Relationship Id="rId1" Type="http://schemas.openxmlformats.org/officeDocument/2006/relationships/hyperlink" Target="http://data.europa.eu/eli/dir/2006/112/oj"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EC Document" ma:contentTypeID="0x010100BAD999D84E12C74482EA5120F5227F6F00217DECAAC21D6B43958DFE68658C192E" ma:contentTypeVersion="20" ma:contentTypeDescription="Create a new document in this library." ma:contentTypeScope="" ma:versionID="9652a2d46328713989bb97f1a4bbd963">
  <xsd:schema xmlns:xsd="http://www.w3.org/2001/XMLSchema" xmlns:xs="http://www.w3.org/2001/XMLSchema" xmlns:p="http://schemas.microsoft.com/office/2006/metadata/properties" xmlns:ns2="http://schemas.microsoft.com/sharepoint/v3/fields" xmlns:ns3="144c03d0-0f03-451f-9d46-5279004462a4" xmlns:ns4="f7bb8512-91eb-4bfd-be42-d6f021407e9a" targetNamespace="http://schemas.microsoft.com/office/2006/metadata/properties" ma:root="true" ma:fieldsID="4f29c4ebe26ab41c5114504f141434bd" ns2:_="" ns3:_="" ns4:_="">
    <xsd:import namespace="http://schemas.microsoft.com/sharepoint/v3/fields"/>
    <xsd:import namespace="144c03d0-0f03-451f-9d46-5279004462a4"/>
    <xsd:import namespace="f7bb8512-91eb-4bfd-be42-d6f021407e9a"/>
    <xsd:element name="properties">
      <xsd:complexType>
        <xsd:sequence>
          <xsd:element name="documentManagement">
            <xsd:complexType>
              <xsd:all>
                <xsd:element ref="ns3:EC_Collab_Reference" minOccurs="0"/>
                <xsd:element ref="ns2:_Status" minOccurs="0"/>
                <xsd:element ref="ns3:EC_Collab_DocumentLanguage"/>
                <xsd:element ref="ns3:SharedWithUsers" minOccurs="0"/>
                <xsd:element ref="ns3:SharedWithDetails" minOccurs="0"/>
                <xsd:element ref="ns3:EC_Collab_Statu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3" nillable="true" ma:displayName="Status" ma:default="Not Started" ma:hidden="true" ma:internalName="_Status" ma:readOnly="false">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144c03d0-0f03-451f-9d46-5279004462a4" elementFormDefault="qualified">
    <xsd:import namespace="http://schemas.microsoft.com/office/2006/documentManagement/types"/>
    <xsd:import namespace="http://schemas.microsoft.com/office/infopath/2007/PartnerControls"/>
    <xsd:element name="EC_Collab_Reference" ma:index="12" nillable="true" ma:displayName="Reference" ma:internalName="EC_Collab_Reference" ma:readOnly="false">
      <xsd:simpleType>
        <xsd:restriction base="dms:Text"/>
      </xsd:simpleType>
    </xsd:element>
    <xsd:element name="EC_Collab_DocumentLanguage" ma:index="14" ma:displayName="Language" ma:default="EN" ma:format="Dropdown" ma:internalName="EC_Collab_DocumentLanguage" ma:readOnly="false">
      <xsd:simpleType>
        <xsd:restriction base="dms:Choice">
          <xsd:enumeration value="BG"/>
          <xsd:enumeration value="ES"/>
          <xsd:enumeration value="CS"/>
          <xsd:enumeration value="DA"/>
          <xsd:enumeration value="DE"/>
          <xsd:enumeration value="ET"/>
          <xsd:enumeration value="EL"/>
          <xsd:enumeration value="EN"/>
          <xsd:enumeration value="FR"/>
          <xsd:enumeration value="GA"/>
          <xsd:enumeration value="IT"/>
          <xsd:enumeration value="LT"/>
          <xsd:enumeration value="LV"/>
          <xsd:enumeration value="HU"/>
          <xsd:enumeration value="MT"/>
          <xsd:enumeration value="NL"/>
          <xsd:enumeration value="PL"/>
          <xsd:enumeration value="PT"/>
          <xsd:enumeration value="RO"/>
          <xsd:enumeration value="SK"/>
          <xsd:enumeration value="SL"/>
          <xsd:enumeration value="FI"/>
          <xsd:enumeration value="SV"/>
          <xsd:enumeration value="HR"/>
          <xsd:enumeration value="MK"/>
          <xsd:enumeration value="TR"/>
          <xsd:enumeration value="EU"/>
          <xsd:enumeration value="CA"/>
          <xsd:enumeration value="GL"/>
          <xsd:enumeration value="AB"/>
          <xsd:enumeration value="AA"/>
          <xsd:enumeration value="AF"/>
          <xsd:enumeration value="AK"/>
          <xsd:enumeration value="SQ"/>
          <xsd:enumeration value="AM"/>
          <xsd:enumeration value="AR"/>
          <xsd:enumeration value="AN"/>
          <xsd:enumeration value="HY"/>
          <xsd:enumeration value="AS"/>
          <xsd:enumeration value="AV"/>
          <xsd:enumeration value="AE"/>
          <xsd:enumeration value="AY"/>
          <xsd:enumeration value="AZ"/>
          <xsd:enumeration value="BM"/>
          <xsd:enumeration value="BA"/>
          <xsd:enumeration value="BE"/>
          <xsd:enumeration value="BN"/>
          <xsd:enumeration value="BH"/>
          <xsd:enumeration value="BI"/>
          <xsd:enumeration value="NB"/>
          <xsd:enumeration value="BS"/>
          <xsd:enumeration value="BR"/>
          <xsd:enumeration value="MY"/>
          <xsd:enumeration value="KM"/>
          <xsd:enumeration value="CH"/>
          <xsd:enumeration value="CE"/>
          <xsd:enumeration value="NY"/>
          <xsd:enumeration value="ZH"/>
          <xsd:enumeration value="CU"/>
          <xsd:enumeration value="CV"/>
          <xsd:enumeration value="KW"/>
          <xsd:enumeration value="CO"/>
          <xsd:enumeration value="CR"/>
          <xsd:enumeration value="DV"/>
          <xsd:enumeration value="DZ"/>
          <xsd:enumeration value="EO"/>
          <xsd:enumeration value="EE"/>
          <xsd:enumeration value="FO"/>
          <xsd:enumeration value="FJ"/>
          <xsd:enumeration value="FF"/>
          <xsd:enumeration value="GD"/>
          <xsd:enumeration value="LG"/>
          <xsd:enumeration value="KA"/>
          <xsd:enumeration value="GN"/>
          <xsd:enumeration value="GU"/>
          <xsd:enumeration value="HT"/>
          <xsd:enumeration value="HA"/>
          <xsd:enumeration value="HE"/>
          <xsd:enumeration value="HZ"/>
          <xsd:enumeration value="HI"/>
          <xsd:enumeration value="HO"/>
          <xsd:enumeration value="IS"/>
          <xsd:enumeration value="IO"/>
          <xsd:enumeration value="IG"/>
          <xsd:enumeration value="ID"/>
          <xsd:enumeration value="IA"/>
          <xsd:enumeration value="IE"/>
          <xsd:enumeration value="IU"/>
          <xsd:enumeration value="IK"/>
          <xsd:enumeration value="JA"/>
          <xsd:enumeration value="JV"/>
          <xsd:enumeration value="KL"/>
          <xsd:enumeration value="KN"/>
          <xsd:enumeration value="KR"/>
          <xsd:enumeration value="KS"/>
          <xsd:enumeration value="KK"/>
          <xsd:enumeration value="KI"/>
          <xsd:enumeration value="RW"/>
          <xsd:enumeration value="KY"/>
          <xsd:enumeration value="KV"/>
          <xsd:enumeration value="KG"/>
          <xsd:enumeration value="KO"/>
          <xsd:enumeration value="KJ"/>
          <xsd:enumeration value="KU"/>
          <xsd:enumeration value="LO"/>
          <xsd:enumeration value="LA"/>
          <xsd:enumeration value="LI"/>
          <xsd:enumeration value="LN"/>
          <xsd:enumeration value="LU"/>
          <xsd:enumeration value="LB"/>
          <xsd:enumeration value="MG"/>
          <xsd:enumeration value="MS"/>
          <xsd:enumeration value="ML"/>
          <xsd:enumeration value="GV"/>
          <xsd:enumeration value="MI"/>
          <xsd:enumeration value="MR"/>
          <xsd:enumeration value="MH"/>
          <xsd:enumeration value="MN"/>
          <xsd:enumeration value="NA"/>
          <xsd:enumeration value="NV"/>
          <xsd:enumeration value="ND"/>
          <xsd:enumeration value="NR"/>
          <xsd:enumeration value="NG"/>
          <xsd:enumeration value="NE"/>
          <xsd:enumeration value="SE"/>
          <xsd:enumeration value="NO"/>
          <xsd:enumeration value="NN"/>
          <xsd:enumeration value="OC"/>
          <xsd:enumeration value="OJ"/>
          <xsd:enumeration value="OR"/>
          <xsd:enumeration value="OM"/>
          <xsd:enumeration value="OS"/>
          <xsd:enumeration value="PI"/>
          <xsd:enumeration value="PA"/>
          <xsd:enumeration value="FA"/>
          <xsd:enumeration value="PS"/>
          <xsd:enumeration value="QU"/>
          <xsd:enumeration value="RM"/>
          <xsd:enumeration value="RN"/>
          <xsd:enumeration value="RU"/>
          <xsd:enumeration value="SM"/>
          <xsd:enumeration value="SG"/>
          <xsd:enumeration value="SA"/>
          <xsd:enumeration value="SC"/>
          <xsd:enumeration value="SR"/>
          <xsd:enumeration value="SN"/>
          <xsd:enumeration value="II"/>
          <xsd:enumeration value="SD"/>
          <xsd:enumeration value="SI"/>
          <xsd:enumeration value="SO"/>
          <xsd:enumeration value="ST"/>
          <xsd:enumeration value="SU"/>
          <xsd:enumeration value="SW"/>
          <xsd:enumeration value="SS"/>
          <xsd:enumeration value="TL"/>
          <xsd:enumeration value="TY"/>
          <xsd:enumeration value="TG"/>
          <xsd:enumeration value="TA"/>
          <xsd:enumeration value="TT"/>
          <xsd:enumeration value="TE"/>
          <xsd:enumeration value="TH"/>
          <xsd:enumeration value="BO"/>
          <xsd:enumeration value="TI"/>
          <xsd:enumeration value="TO"/>
          <xsd:enumeration value="TS"/>
          <xsd:enumeration value="TN"/>
          <xsd:enumeration value="TK"/>
          <xsd:enumeration value="TW"/>
          <xsd:enumeration value="UG"/>
          <xsd:enumeration value="UK"/>
          <xsd:enumeration value="UR"/>
          <xsd:enumeration value="UZ"/>
          <xsd:enumeration value="VE"/>
          <xsd:enumeration value="VI"/>
          <xsd:enumeration value="VO"/>
          <xsd:enumeration value="WA"/>
          <xsd:enumeration value="CY"/>
          <xsd:enumeration value="FY"/>
          <xsd:enumeration value="WO"/>
          <xsd:enumeration value="XH"/>
          <xsd:enumeration value="YI"/>
          <xsd:enumeration value="YO"/>
          <xsd:enumeration value="ZA"/>
          <xsd:enumeration value="ZU"/>
        </xsd:restrictio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EC_Collab_Status" ma:index="17" nillable="true" ma:displayName="EC Status" ma:default="Not Started" ma:format="Dropdown" ma:internalName="EC_Collab_Status" ma:readOnly="false">
      <xsd:simpleType>
        <xsd:restriction base="dms:Choice">
          <xsd:enumeration value="Not Started"/>
          <xsd:enumeration value="Draft"/>
          <xsd:enumeration value="Reviewed"/>
          <xsd:enumeration value="Scheduled"/>
          <xsd:enumeration value="Published"/>
          <xsd:enumeration value="Final"/>
          <xsd:enumeration value="Expired"/>
        </xsd:restriction>
      </xsd:simpleType>
    </xsd:element>
  </xsd:schema>
  <xsd:schema xmlns:xsd="http://www.w3.org/2001/XMLSchema" xmlns:xs="http://www.w3.org/2001/XMLSchema" xmlns:dms="http://schemas.microsoft.com/office/2006/documentManagement/types" xmlns:pc="http://schemas.microsoft.com/office/infopath/2007/PartnerControls" targetNamespace="f7bb8512-91eb-4bfd-be42-d6f021407e9a" elementFormDefault="qualified">
    <xsd:import namespace="http://schemas.microsoft.com/office/2006/documentManagement/types"/>
    <xsd:import namespace="http://schemas.microsoft.com/office/infopath/2007/PartnerControls"/>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9" ma:displayName="Author"/>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ma:index="8" ma:displayName="Subject"/>
        <xsd:element ref="dc:description" minOccurs="0" maxOccurs="1" ma:index="11" ma:displayName="Comments"/>
        <xsd:element name="keywords" minOccurs="0" maxOccurs="1" type="xsd:string" ma:index="10"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EC_Collab_Reference xmlns="144c03d0-0f03-451f-9d46-5279004462a4" xsi:nil="true"/>
    <EC_Collab_Status xmlns="144c03d0-0f03-451f-9d46-5279004462a4">Not Started</EC_Collab_Status>
    <_Status xmlns="http://schemas.microsoft.com/sharepoint/v3/fields">Not Started</_Status>
    <EC_Collab_DocumentLanguage xmlns="144c03d0-0f03-451f-9d46-5279004462a4">EN</EC_Collab_DocumentLanguage>
  </documentManagement>
</p:properties>
</file>

<file path=customXml/item3.xml><?xml version="1.0" encoding="utf-8"?>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FF20AD-3471-4F6A-84E4-E6CAEDC99C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144c03d0-0f03-451f-9d46-5279004462a4"/>
    <ds:schemaRef ds:uri="f7bb8512-91eb-4bfd-be42-d6f021407e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17BBA3-05B9-4934-B318-0DF02F079582}">
  <ds:schemaRefs>
    <ds:schemaRef ds:uri="http://schemas.microsoft.com/office/2006/metadata/properties"/>
    <ds:schemaRef ds:uri="http://schemas.microsoft.com/office/infopath/2007/PartnerControls"/>
    <ds:schemaRef ds:uri="144c03d0-0f03-451f-9d46-5279004462a4"/>
    <ds:schemaRef ds:uri="http://schemas.microsoft.com/sharepoint/v3/fields"/>
  </ds:schemaRefs>
</ds:datastoreItem>
</file>

<file path=customXml/itemProps3.xml><?xml version="1.0" encoding="utf-8"?>
<ds:datastoreItem xmlns:ds="http://schemas.openxmlformats.org/officeDocument/2006/customXml" ds:itemID="{429B91E7-3942-4BFF-B444-4C34A4F4CBE8}">
  <ds:schemaRefs>
    <ds:schemaRef ds:uri="http://schemas.microsoft.com/sharepoint/v3/contenttype/forms"/>
  </ds:schemaRefs>
</ds:datastoreItem>
</file>

<file path=customXml/itemProps4.xml><?xml version="1.0" encoding="utf-8"?>
<ds:datastoreItem xmlns:ds="http://schemas.openxmlformats.org/officeDocument/2006/customXml" ds:itemID="{929376B1-A228-4529-BF87-D00B404AD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27</TotalTime>
  <Pages>8</Pages>
  <Words>2331</Words>
  <Characters>13291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26</cp:revision>
  <cp:lastPrinted>2024-09-06T08:31:00Z</cp:lastPrinted>
  <dcterms:created xsi:type="dcterms:W3CDTF">2024-09-20T07:25:00Z</dcterms:created>
  <dcterms:modified xsi:type="dcterms:W3CDTF">2024-10-23T14:19:00Z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8.0.25.0</vt:lpwstr>
  </property>
  <property fmtid="{D5CDD505-2E9C-101B-9397-08002B2CF9AE}" pid="4" name="Last edited using">
    <vt:lpwstr>LW 9.0, Build 20230317</vt:lpwstr>
  </property>
  <property fmtid="{D5CDD505-2E9C-101B-9397-08002B2CF9AE}" pid="5" name="Created using">
    <vt:lpwstr>LW 9.0, Build 20230317</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SJ-020</vt:lpwstr>
  </property>
  <property fmtid="{D5CDD505-2E9C-101B-9397-08002B2CF9AE}" pid="10" name="MSIP_Label_6bd9ddd1-4d20-43f6-abfa-fc3c07406f94_Enabled">
    <vt:lpwstr>true</vt:lpwstr>
  </property>
  <property fmtid="{D5CDD505-2E9C-101B-9397-08002B2CF9AE}" pid="11" name="MSIP_Label_6bd9ddd1-4d20-43f6-abfa-fc3c07406f94_SetDate">
    <vt:lpwstr>2024-04-25T14:20:21Z</vt:lpwstr>
  </property>
  <property fmtid="{D5CDD505-2E9C-101B-9397-08002B2CF9AE}" pid="12" name="MSIP_Label_6bd9ddd1-4d20-43f6-abfa-fc3c07406f94_Method">
    <vt:lpwstr>Standard</vt:lpwstr>
  </property>
  <property fmtid="{D5CDD505-2E9C-101B-9397-08002B2CF9AE}" pid="13" name="MSIP_Label_6bd9ddd1-4d20-43f6-abfa-fc3c07406f94_Name">
    <vt:lpwstr>Commission Use</vt:lpwstr>
  </property>
  <property fmtid="{D5CDD505-2E9C-101B-9397-08002B2CF9AE}" pid="14" name="MSIP_Label_6bd9ddd1-4d20-43f6-abfa-fc3c07406f94_SiteId">
    <vt:lpwstr>b24c8b06-522c-46fe-9080-70926f8dddb1</vt:lpwstr>
  </property>
  <property fmtid="{D5CDD505-2E9C-101B-9397-08002B2CF9AE}" pid="15" name="MSIP_Label_6bd9ddd1-4d20-43f6-abfa-fc3c07406f94_ActionId">
    <vt:lpwstr>8dcd3330-ce80-4109-9f29-3a84033fa564</vt:lpwstr>
  </property>
  <property fmtid="{D5CDD505-2E9C-101B-9397-08002B2CF9AE}" pid="16" name="MSIP_Label_6bd9ddd1-4d20-43f6-abfa-fc3c07406f94_ContentBits">
    <vt:lpwstr>0</vt:lpwstr>
  </property>
  <property fmtid="{D5CDD505-2E9C-101B-9397-08002B2CF9AE}" pid="17" name="ContentTypeId">
    <vt:lpwstr>0x010100BAD999D84E12C74482EA5120F5227F6F00217DECAAC21D6B43958DFE68658C192E</vt:lpwstr>
  </property>
  <property fmtid="{D5CDD505-2E9C-101B-9397-08002B2CF9AE}" pid="18" name="DQCStatus">
    <vt:lpwstr>Green (DQC version 03)</vt:lpwstr>
  </property>
  <property name="OP_sanitized" fmtid="{D5CDD505-2E9C-101B-9397-08002B2CF9AE}" pid="19">
    <vt:lpwstr>True</vt:lpwstr>
  </property>
</Properties>
</file>