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AFE" w:rsidRPr="009B0495" w:rsidRDefault="0040616E" w:rsidP="0040616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0F7097A-A0CE-47B5-8282-6499A7BB3308" style="width:455.25pt;height:369.75pt">
            <v:imagedata r:id="rId11" o:title=""/>
          </v:shape>
        </w:pict>
      </w:r>
    </w:p>
    <w:p w:rsidR="00952AFE" w:rsidRPr="009B0495" w:rsidRDefault="00952AFE" w:rsidP="00952AFE">
      <w:pPr>
        <w:rPr>
          <w:noProof/>
        </w:rPr>
        <w:sectPr w:rsidR="00952AFE" w:rsidRPr="009B0495" w:rsidSect="0040616E">
          <w:footerReference w:type="even" r:id="rId12"/>
          <w:footerReference w:type="default" r:id="rId13"/>
          <w:pgSz w:w="11907" w:h="16839"/>
          <w:pgMar w:top="1134" w:right="1417" w:bottom="1134" w:left="1417" w:header="709" w:footer="709" w:gutter="0"/>
          <w:pgNumType w:start="0"/>
          <w:cols w:space="720"/>
          <w:docGrid w:linePitch="360"/>
        </w:sectPr>
      </w:pPr>
    </w:p>
    <w:p w:rsidR="00952AFE" w:rsidRPr="009B0495" w:rsidRDefault="00952AFE" w:rsidP="00981484">
      <w:pPr>
        <w:pStyle w:val="Exposdesmotifstitre"/>
        <w:rPr>
          <w:noProof/>
        </w:rPr>
      </w:pPr>
      <w:bookmarkStart w:id="0" w:name="_GoBack"/>
      <w:bookmarkEnd w:id="0"/>
      <w:r w:rsidRPr="009B0495">
        <w:rPr>
          <w:noProof/>
        </w:rPr>
        <w:lastRenderedPageBreak/>
        <w:t>MOTIVERING</w:t>
      </w:r>
    </w:p>
    <w:p w:rsidR="00B97E8A" w:rsidRPr="009B0495" w:rsidRDefault="00B97E8A" w:rsidP="00B97E8A">
      <w:pPr>
        <w:rPr>
          <w:noProof/>
        </w:rPr>
      </w:pPr>
      <w:r w:rsidRPr="009B0495">
        <w:rPr>
          <w:noProof/>
        </w:rPr>
        <w:t>Enligt artikel 395.1 i rådets direktiv 2006/112/EG av den 28 november 2006 om ett gemensamt system för mervärdesskatt</w:t>
      </w:r>
      <w:r w:rsidRPr="009B0495">
        <w:rPr>
          <w:rStyle w:val="FootnoteReference"/>
          <w:noProof/>
        </w:rPr>
        <w:footnoteReference w:id="2"/>
      </w:r>
      <w:r w:rsidRPr="009B0495">
        <w:rPr>
          <w:noProof/>
        </w:rPr>
        <w:t xml:space="preserve"> (</w:t>
      </w:r>
      <w:r w:rsidRPr="009B0495">
        <w:rPr>
          <w:i/>
          <w:iCs/>
          <w:noProof/>
        </w:rPr>
        <w:t>mervärdesskattedirektivet</w:t>
      </w:r>
      <w:r w:rsidRPr="009B0495">
        <w:rPr>
          <w:noProof/>
        </w:rPr>
        <w:t>) får rådet enhälligt på kommissionens förslag bemyndiga varje medlemsstat att tillämpa särskilda åtgärder som avviker från bestämmelserna i direktivet, för att förenkla uppbörden av skatt eller för att förhindra vissa slag av skatteundandragande eller skatteflykt.</w:t>
      </w:r>
    </w:p>
    <w:p w:rsidR="00B97E8A" w:rsidRPr="009B0495" w:rsidRDefault="00B97E8A" w:rsidP="00B97E8A">
      <w:pPr>
        <w:rPr>
          <w:noProof/>
        </w:rPr>
      </w:pPr>
      <w:r w:rsidRPr="009B0495">
        <w:rPr>
          <w:noProof/>
        </w:rPr>
        <w:t>Genom en skrivelse som registrerades hos kommissionen den 20 mars 2024 ansökte Österrike om bemyndigande att få fortsätta att tillämpa en åtgärd som avviker från artiklarna 168 och 168a i mervärdesskattedirektivet för att från avdragsrätten undanta mervärdesskatt som tas ut på sådana varor och tjänster som till mer än 90 % används för den beskattningsbara personens privata bruk eller hans eller hennes personals privata bruk eller, mer allmänt, för icke-yrkesmässiga ändamål eller icke-ekonomisk verksamhet. Ansökan åtföljdes av en rapport om tillämpningen av denna särskilda åtgärd, inbegripet en översyn av den procentuella fördelning som tillämpas på rätten att dra av mervärdesskatt, i enlighet med artikel 2 i rådets genomförandebeslut 2009/1013/EU</w:t>
      </w:r>
      <w:r w:rsidRPr="009B0495">
        <w:rPr>
          <w:rStyle w:val="FootnoteReference"/>
          <w:noProof/>
        </w:rPr>
        <w:footnoteReference w:id="3"/>
      </w:r>
      <w:r w:rsidRPr="009B0495">
        <w:rPr>
          <w:noProof/>
        </w:rPr>
        <w:t>, i dess ändrade lydelse enligt rådets genomförandebeslut (EU) 2021/1779</w:t>
      </w:r>
      <w:r w:rsidRPr="009B0495">
        <w:rPr>
          <w:rStyle w:val="FootnoteReference"/>
          <w:noProof/>
        </w:rPr>
        <w:footnoteReference w:id="4"/>
      </w:r>
      <w:r w:rsidRPr="009B0495">
        <w:rPr>
          <w:noProof/>
        </w:rPr>
        <w:t>.</w:t>
      </w:r>
    </w:p>
    <w:p w:rsidR="00B97E8A" w:rsidRPr="009B0495" w:rsidRDefault="00B97E8A" w:rsidP="00B97E8A">
      <w:pPr>
        <w:rPr>
          <w:noProof/>
        </w:rPr>
      </w:pPr>
      <w:r w:rsidRPr="009B0495">
        <w:rPr>
          <w:noProof/>
        </w:rPr>
        <w:t>Genom en skrivelse av den 16 maj 2024 underrättade kommissionen, i enlighet med artikel 395.2 i mervärdesskattedirektivet, övriga medlemsstater om Österrikes ansökan. Genom en skrivelse av den 17 maj 2024 underrättade kommissionen Österrike om att den hade alla nödvändiga uppgifter för behandling av ärendet.</w:t>
      </w:r>
    </w:p>
    <w:p w:rsidR="00952AFE" w:rsidRPr="009B0495" w:rsidRDefault="00952AFE" w:rsidP="00981484">
      <w:pPr>
        <w:pStyle w:val="ManualHeading1"/>
        <w:rPr>
          <w:noProof/>
        </w:rPr>
      </w:pPr>
      <w:r w:rsidRPr="009B0495">
        <w:rPr>
          <w:noProof/>
        </w:rPr>
        <w:t>1.</w:t>
      </w:r>
      <w:r w:rsidRPr="009B0495">
        <w:rPr>
          <w:noProof/>
        </w:rPr>
        <w:tab/>
        <w:t>BAKGRUND TILL FÖRSLAGET</w:t>
      </w:r>
    </w:p>
    <w:p w:rsidR="00952AFE" w:rsidRPr="009B0495" w:rsidRDefault="00952AFE" w:rsidP="00981484">
      <w:pPr>
        <w:pStyle w:val="ManualHeading2"/>
        <w:rPr>
          <w:rFonts w:eastAsia="Arial Unicode MS"/>
          <w:noProof/>
        </w:rPr>
      </w:pPr>
      <w:r w:rsidRPr="009B0495">
        <w:rPr>
          <w:noProof/>
          <w:color w:val="000000"/>
          <w:u w:color="000000"/>
          <w:bdr w:val="nil"/>
        </w:rPr>
        <w:t>•</w:t>
      </w:r>
      <w:r w:rsidRPr="009B0495">
        <w:rPr>
          <w:noProof/>
        </w:rPr>
        <w:tab/>
        <w:t>Motiv och syfte med förslaget</w:t>
      </w:r>
    </w:p>
    <w:p w:rsidR="003661E6" w:rsidRPr="009B0495" w:rsidRDefault="003661E6" w:rsidP="00981484">
      <w:pPr>
        <w:pBdr>
          <w:top w:val="nil"/>
          <w:left w:val="nil"/>
          <w:bottom w:val="nil"/>
          <w:right w:val="nil"/>
          <w:between w:val="nil"/>
          <w:bar w:val="nil"/>
        </w:pBdr>
        <w:spacing w:before="0" w:after="240"/>
        <w:rPr>
          <w:rFonts w:eastAsia="Arial Unicode MS"/>
          <w:noProof/>
        </w:rPr>
      </w:pPr>
      <w:r w:rsidRPr="009B0495">
        <w:rPr>
          <w:noProof/>
        </w:rPr>
        <w:t>Enligt artikel 168 i mervärdesskattedirektivet har en beskattningsbar person rätt att dra av mervärdesskatt för inköp som gjorts och tjänster som tagits emot i samband med beskattade transaktioner. Enligt artikel 168a.1 i mervärdesskattedirektivet ska mervärdesskatten på utgifter i samband med fast egendom som ingår i en beskattningsbar persons rörelsetillgångar och som används för både rörelsens verksamhet och rörelsefrämmande ändamål vara avdragsgill endast i proportion till den beskattningsbara personens användning för rörelsens verksamhet. Enligt artikel 168a.2 i mervärdesskattedirektivet får medlemsstaterna också tillämpa denna bestämmelse på utgifter i samband med andra varor som ingår i en rörelses tillgångar enligt egna angivelser.</w:t>
      </w:r>
    </w:p>
    <w:p w:rsidR="003661E6" w:rsidRPr="009B0495" w:rsidRDefault="003661E6" w:rsidP="00981484">
      <w:pPr>
        <w:pBdr>
          <w:top w:val="nil"/>
          <w:left w:val="nil"/>
          <w:bottom w:val="nil"/>
          <w:right w:val="nil"/>
          <w:between w:val="nil"/>
          <w:bar w:val="nil"/>
        </w:pBdr>
        <w:spacing w:before="0" w:after="240"/>
        <w:rPr>
          <w:rFonts w:eastAsia="Arial Unicode MS"/>
          <w:noProof/>
        </w:rPr>
      </w:pPr>
      <w:r w:rsidRPr="009B0495">
        <w:rPr>
          <w:noProof/>
        </w:rPr>
        <w:t>Enligt artikel 395 i mervärdesskattedirektivet får medlemsstaterna, om de bemyndigats av rådet, genomföra särskilda åtgärder som avviker från bestämmelserna i direktivet, för att förenkla uppbörden av mervärdesskatt eller för att förhindra vissa slag av skatteundandragande eller skatteflykt.</w:t>
      </w:r>
    </w:p>
    <w:p w:rsidR="001A592F" w:rsidRPr="009B0495" w:rsidRDefault="003661E6" w:rsidP="00981484">
      <w:pPr>
        <w:pBdr>
          <w:top w:val="nil"/>
          <w:left w:val="nil"/>
          <w:bottom w:val="nil"/>
          <w:right w:val="nil"/>
          <w:between w:val="nil"/>
          <w:bar w:val="nil"/>
        </w:pBdr>
        <w:spacing w:before="0" w:after="240"/>
        <w:rPr>
          <w:rFonts w:eastAsia="Arial Unicode MS"/>
          <w:noProof/>
        </w:rPr>
      </w:pPr>
      <w:r w:rsidRPr="009B0495">
        <w:rPr>
          <w:noProof/>
        </w:rPr>
        <w:t xml:space="preserve">Österrike ansökte om bemyndigande att få fortsätta att tillämpa en särskild åtgärd som avviker från artiklarna 168 och 168a i mervärdesskattedirektivet för att från avdragsrätten helt undanta mervärdesskatt som tas ut på sådana varor och tjänster som till mer än 90 % används för den beskattningsbara personens privata bruk eller, mer allmänt, för icke-yrkesmässiga ändamål, inklusive icke-ekonomisk verksamhet. </w:t>
      </w:r>
    </w:p>
    <w:p w:rsidR="0021175C" w:rsidRPr="009B0495" w:rsidRDefault="0021175C" w:rsidP="0021175C">
      <w:pPr>
        <w:rPr>
          <w:noProof/>
        </w:rPr>
      </w:pPr>
      <w:r w:rsidRPr="009B0495">
        <w:rPr>
          <w:noProof/>
        </w:rPr>
        <w:t>Den särskilda åtgärden beviljades ursprungligen Österrike genom rådets beslut 2004/866/EG av den 13 december 2004</w:t>
      </w:r>
      <w:r w:rsidRPr="009B0495">
        <w:rPr>
          <w:rStyle w:val="FootnoteReference"/>
          <w:noProof/>
        </w:rPr>
        <w:footnoteReference w:id="5"/>
      </w:r>
      <w:r w:rsidRPr="009B0495">
        <w:rPr>
          <w:noProof/>
        </w:rPr>
        <w:t xml:space="preserve"> för en period till och med den 31 december 2009 och beviljades åter genom rådets genomförandebeslut 2009/1013/EU av den 22 december 2009 till och med den 31 december 2012. Det senare beslutet förlängdes till och med den 31 december 2015 genom rådets genomförandebeslut 2012/705/EU av den 13 november 2012</w:t>
      </w:r>
      <w:r w:rsidRPr="009B0495">
        <w:rPr>
          <w:rStyle w:val="FootnoteReference"/>
          <w:noProof/>
        </w:rPr>
        <w:footnoteReference w:id="6"/>
      </w:r>
      <w:r w:rsidRPr="009B0495">
        <w:rPr>
          <w:noProof/>
        </w:rPr>
        <w:t>, till och med den 31 december 2018 genom rådets genomförandebeslut (EU) 2015/2428 av den 10 december 2015</w:t>
      </w:r>
      <w:r w:rsidRPr="009B0495">
        <w:rPr>
          <w:rStyle w:val="FootnoteReference"/>
          <w:noProof/>
        </w:rPr>
        <w:footnoteReference w:id="7"/>
      </w:r>
      <w:r w:rsidRPr="009B0495">
        <w:rPr>
          <w:noProof/>
        </w:rPr>
        <w:t>, till och med den 31 december 2021 genom rådets genomförandebeslut (EU) 2018/1487 av den 2 oktober 2018</w:t>
      </w:r>
      <w:r w:rsidRPr="009B0495">
        <w:rPr>
          <w:rStyle w:val="FootnoteReference"/>
          <w:noProof/>
        </w:rPr>
        <w:footnoteReference w:id="8"/>
      </w:r>
      <w:r w:rsidRPr="009B0495">
        <w:rPr>
          <w:noProof/>
        </w:rPr>
        <w:t xml:space="preserve"> och till och med den 31 december 2024 genom rådets genomförandebeslut (EU) 2021/1779 av den 5 oktober 2021.</w:t>
      </w:r>
    </w:p>
    <w:p w:rsidR="00762AE9" w:rsidRPr="009B0495" w:rsidRDefault="00903FA2" w:rsidP="00762AE9">
      <w:pPr>
        <w:rPr>
          <w:noProof/>
        </w:rPr>
      </w:pPr>
      <w:r w:rsidRPr="009B0495">
        <w:rPr>
          <w:noProof/>
        </w:rPr>
        <w:t>I sin aktuella begäran informerar Österrike kommissionen om att tillämpningen av den särskilda åtgärden har visat sig vara verkningsfull för att förenkla uppbörden av mervärdesskatt eftersom den minskar de administrativa kostnaderna och ökar rättssäkerheten för både skatteförvaltning och skattebetalare. Det finns inget behov av att fastställa den faktiska användningen av varor och tjänster i fall där deras användning för yrkesmässiga ändamål utgör mindre än 10 %. Personligt bruk skulle annars behöva dokumenteras och fastställas samt vara föremål för beskattning enligt artikel 26 i mervärdesskattedirektivet. Skatteförvaltningen skulle behöva övervaka att beskattningen av personligt bruk gjordes på ett korrekt sätt. Tack vare den särskilda åtgärden är det möjligt att frångå omfattande dokumentations-, övervaknings- och kontrollåtgärder, vilket minskar bördan för både skattemyndigheter och skattebetalare.</w:t>
      </w:r>
    </w:p>
    <w:p w:rsidR="00AF0DF3" w:rsidRPr="009B0495" w:rsidRDefault="00AF0DF3" w:rsidP="0021175C">
      <w:pPr>
        <w:rPr>
          <w:noProof/>
        </w:rPr>
      </w:pPr>
      <w:r w:rsidRPr="009B0495">
        <w:rPr>
          <w:noProof/>
        </w:rPr>
        <w:t>Dessutom skulle en minimal förändring i förhållandet mellan privat och yrkesmässigt bruk av en vara eller tjänst som endast marginellt används för yrkesmässigt bruk resultera i en justering av mervärdesskatteavdraget. Denna mindre justering skulle vara oproportionerlig ur både skattebetalarnas och skatteförvaltningens perspektiv.</w:t>
      </w:r>
    </w:p>
    <w:p w:rsidR="00903FA2" w:rsidRPr="009B0495" w:rsidRDefault="00760F89" w:rsidP="0021175C">
      <w:pPr>
        <w:rPr>
          <w:noProof/>
        </w:rPr>
      </w:pPr>
      <w:r w:rsidRPr="009B0495">
        <w:rPr>
          <w:noProof/>
        </w:rPr>
        <w:t xml:space="preserve">Österrike anger vidare att den särskilda åtgärden också har visat sig vara verkningsfull för att förhindra skatteundandragande och skatteflykt, eftersom den förhindrar omotiverade och bedrägliga avdrag av ingående mervärdesskatt. Den särskilda åtgärden bidrar till ökad rättvisa genom att den förhindrar snedvridningar som beror på en omotiverad kassaflödesfördel för en beskattningsbar person som endast marginellt använder varor eller tjänster för yrkesmässigt bruk och som har rätt att dra av mervärdesskatt för denna mindre omfattande affärsverksamhet, jämfört med en beskattningsbar person som använder varor eller tjänster endast för yrkesmässigt bruk. </w:t>
      </w:r>
    </w:p>
    <w:p w:rsidR="008B75D5" w:rsidRPr="009B0495" w:rsidRDefault="00AE7CEC" w:rsidP="0021175C">
      <w:pPr>
        <w:rPr>
          <w:noProof/>
        </w:rPr>
      </w:pPr>
      <w:r w:rsidRPr="009B0495">
        <w:rPr>
          <w:noProof/>
        </w:rPr>
        <w:t>Enligt den rapport som Österrike har lämnat in visar översynen av den lägsta procentandel av den yrkesmässiga användningen av varor och tjänster som krävs för att medge avdrag för ingående mervärdesskatt att tröskelvärdet på 10 % för yrkesmässiga ändamål är tillräckligt lågt för att inte ha någon betydande inverkan på det totala mervärdesskattebelopp som faktiskt uppbärs i det sista konsumtionsledet och därmed inte negativt påverkar de av unionens egna medel som härrör från mervärdesskatt.</w:t>
      </w:r>
    </w:p>
    <w:p w:rsidR="008B75D5" w:rsidRPr="009B0495" w:rsidRDefault="00760F89" w:rsidP="008B75D5">
      <w:pPr>
        <w:rPr>
          <w:noProof/>
        </w:rPr>
      </w:pPr>
      <w:r w:rsidRPr="009B0495">
        <w:rPr>
          <w:noProof/>
        </w:rPr>
        <w:t xml:space="preserve">På grundval av den information som Österrike lämnat är kommissionens uppfattning att den procentuella fördelningen 10/90 mellan yrkesmässig och icke-yrkesmässig användning fortfarande är lämplig för att fastställa för vilka transaktioner den yrkesmässiga användningen kan anses vara försumbar. </w:t>
      </w:r>
    </w:p>
    <w:p w:rsidR="008B75D5" w:rsidRPr="009B0495" w:rsidRDefault="008B75D5" w:rsidP="008B75D5">
      <w:pPr>
        <w:rPr>
          <w:noProof/>
        </w:rPr>
      </w:pPr>
      <w:r w:rsidRPr="009B0495">
        <w:rPr>
          <w:noProof/>
        </w:rPr>
        <w:t>Därför underlättar den särskilda åtgärden för både skatteförvaltning och företag, eftersom det inte behövs någon övervakning av senare användning av varor och tjänster som undantagits från avdrag vid förvärvet, framför allt när det gäller eventuell beskattning av privat bruk enligt artikel 16 eller 26 i mervärdesskattedirektivet eller de justeringar av avdraget som krävs enligt artiklarna 184–192 i det direktivet. Det är därför lämpligt att förlänga den särskilda åtgärden.</w:t>
      </w:r>
    </w:p>
    <w:p w:rsidR="008B75D5" w:rsidRPr="009B0495" w:rsidRDefault="008B75D5" w:rsidP="008B75D5">
      <w:pPr>
        <w:rPr>
          <w:noProof/>
        </w:rPr>
      </w:pPr>
      <w:r w:rsidRPr="009B0495">
        <w:rPr>
          <w:noProof/>
        </w:rPr>
        <w:t xml:space="preserve">En förlängning bör dock vara tidsbegränsad, så att man kan bedöma om den särskilda åtgärden är lämplig och verkningsfull och om de förutsättningar som ligger till grund för avvikelsen fortfarande gäller. Därför föreslås att avvikelsen förlängs till och med slutet av 2027. Det föreslås också att Österrike, om en ytterligare förlängning planeras efter 2027, tillsammans med en ansökan om förlängning senast den 31 mars 2027 måste lägga fram en rapport, inbegripet en översyn av den procentuella fördelning mellan yrkesmässig och icke-yrkesmässig användning som undantaget från avdragsrätt bygger på. </w:t>
      </w:r>
    </w:p>
    <w:p w:rsidR="0021175C" w:rsidRPr="009B0495" w:rsidRDefault="00AE7CEC" w:rsidP="0021175C">
      <w:pPr>
        <w:rPr>
          <w:noProof/>
        </w:rPr>
      </w:pPr>
      <w:r w:rsidRPr="009B0495">
        <w:rPr>
          <w:noProof/>
        </w:rPr>
        <w:t xml:space="preserve"> </w:t>
      </w:r>
    </w:p>
    <w:p w:rsidR="00952AFE" w:rsidRPr="009B0495" w:rsidRDefault="00952AFE" w:rsidP="00981484">
      <w:pPr>
        <w:pStyle w:val="ManualHeading2"/>
        <w:rPr>
          <w:rFonts w:eastAsia="Arial Unicode MS"/>
          <w:noProof/>
          <w:color w:val="000000"/>
          <w:u w:color="000000"/>
          <w:bdr w:val="nil"/>
        </w:rPr>
      </w:pPr>
      <w:r w:rsidRPr="009B0495">
        <w:rPr>
          <w:noProof/>
          <w:color w:val="000000"/>
          <w:u w:color="000000"/>
          <w:bdr w:val="nil"/>
        </w:rPr>
        <w:t>•</w:t>
      </w:r>
      <w:r w:rsidRPr="009B0495">
        <w:rPr>
          <w:noProof/>
        </w:rPr>
        <w:tab/>
        <w:t>Förenlighet med befintliga bestämmelser inom området</w:t>
      </w:r>
    </w:p>
    <w:p w:rsidR="00702352" w:rsidRPr="009B0495" w:rsidRDefault="002367E3" w:rsidP="00702352">
      <w:pPr>
        <w:rPr>
          <w:noProof/>
        </w:rPr>
      </w:pPr>
      <w:r w:rsidRPr="009B0495">
        <w:rPr>
          <w:noProof/>
        </w:rPr>
        <w:t>En annan medlemsstat (Tyskland</w:t>
      </w:r>
      <w:r w:rsidRPr="009B0495">
        <w:rPr>
          <w:rStyle w:val="FootnoteReference"/>
          <w:noProof/>
        </w:rPr>
        <w:footnoteReference w:id="9"/>
      </w:r>
      <w:r w:rsidRPr="009B0495">
        <w:rPr>
          <w:noProof/>
        </w:rPr>
        <w:t>) har beviljats en liknande avvikelse för att från rätten till avdrag undanta ingående mervärdesskatt som tas ut på sådana varor och tjänster som till mer än 90 % används för den beskattningsbara personens privata bruk eller för hans eller hennes personals privata bruk eller, mer allmänt, för icke-yrkesmässiga ändamål eller icke-ekonomisk verksamhet.</w:t>
      </w:r>
    </w:p>
    <w:p w:rsidR="00702352" w:rsidRPr="009B0495" w:rsidRDefault="00702352" w:rsidP="00702352">
      <w:pPr>
        <w:rPr>
          <w:noProof/>
        </w:rPr>
      </w:pPr>
      <w:r w:rsidRPr="009B0495">
        <w:rPr>
          <w:noProof/>
        </w:rPr>
        <w:t>I artikel 176 i mervärdesskattedirektivet föreskrivs att rådet ska besluta vilka utgifter som inte ska medföra rätt till avdrag av mervärdesskatt. Fram till dess ger direktivet medlemsstaterna rätt att behålla de avvikelser som gällde den 1 januari 1979. Det finns därför ett antal bestämmelser om ”frysning” som begränsar rätten till avdrag för beskattningsbara personer.</w:t>
      </w:r>
    </w:p>
    <w:p w:rsidR="00702352" w:rsidRPr="009B0495" w:rsidRDefault="00702352" w:rsidP="00702352">
      <w:pPr>
        <w:rPr>
          <w:noProof/>
        </w:rPr>
      </w:pPr>
      <w:r w:rsidRPr="009B0495">
        <w:rPr>
          <w:noProof/>
        </w:rPr>
        <w:t>Trots tidigare initiativ för att fastställa regler för vilka kategorier av utgifter som kan omfattas av en begränsning av avdragsrätten</w:t>
      </w:r>
      <w:r w:rsidRPr="009B0495">
        <w:rPr>
          <w:rStyle w:val="FootnoteReference"/>
          <w:noProof/>
        </w:rPr>
        <w:footnoteReference w:id="10"/>
      </w:r>
      <w:r w:rsidRPr="009B0495">
        <w:rPr>
          <w:noProof/>
        </w:rPr>
        <w:t>, är en sådan avvikelse lämplig i avvaktan på en harmonisering av dessa regler på EU-nivå.</w:t>
      </w:r>
    </w:p>
    <w:p w:rsidR="000D7B82" w:rsidRPr="009B0495" w:rsidRDefault="00702352" w:rsidP="00B700C2">
      <w:pPr>
        <w:rPr>
          <w:noProof/>
        </w:rPr>
      </w:pPr>
      <w:r w:rsidRPr="009B0495">
        <w:rPr>
          <w:noProof/>
        </w:rPr>
        <w:t>Den föreslagna särskilda åtgärden är därför förenlig med de befintliga bestämmelserna i mervärdesskattedirektivet.</w:t>
      </w:r>
    </w:p>
    <w:p w:rsidR="00952AFE" w:rsidRPr="009B0495" w:rsidRDefault="00952AFE" w:rsidP="00981484">
      <w:pPr>
        <w:pStyle w:val="ManualHeading1"/>
        <w:rPr>
          <w:noProof/>
        </w:rPr>
      </w:pPr>
      <w:r w:rsidRPr="009B0495">
        <w:rPr>
          <w:noProof/>
        </w:rPr>
        <w:t>2.</w:t>
      </w:r>
      <w:r w:rsidRPr="009B0495">
        <w:rPr>
          <w:noProof/>
        </w:rPr>
        <w:tab/>
        <w:t>RÄTTSLIG GRUND, SUBSIDIARITETSPRINCIPEN OCH PROPORTIONALITETSPRINCIPEN</w:t>
      </w:r>
    </w:p>
    <w:p w:rsidR="00952AFE" w:rsidRPr="009B0495" w:rsidRDefault="00952AFE" w:rsidP="00981484">
      <w:pPr>
        <w:pStyle w:val="ManualHeading2"/>
        <w:rPr>
          <w:rFonts w:eastAsia="Arial Unicode MS"/>
          <w:noProof/>
          <w:u w:color="000000"/>
          <w:bdr w:val="nil"/>
        </w:rPr>
      </w:pPr>
      <w:r w:rsidRPr="009B0495">
        <w:rPr>
          <w:noProof/>
          <w:u w:color="000000"/>
          <w:bdr w:val="nil"/>
        </w:rPr>
        <w:t>•</w:t>
      </w:r>
      <w:r w:rsidRPr="009B0495">
        <w:rPr>
          <w:noProof/>
        </w:rPr>
        <w:tab/>
      </w:r>
      <w:r w:rsidRPr="009B0495">
        <w:rPr>
          <w:noProof/>
          <w:u w:color="000000"/>
          <w:bdr w:val="nil"/>
        </w:rPr>
        <w:t>Rättslig grund</w:t>
      </w:r>
    </w:p>
    <w:p w:rsidR="000D7B82" w:rsidRPr="009B0495" w:rsidRDefault="000D7B82" w:rsidP="00981484">
      <w:pPr>
        <w:pBdr>
          <w:top w:val="nil"/>
          <w:left w:val="nil"/>
          <w:bottom w:val="nil"/>
          <w:right w:val="nil"/>
          <w:between w:val="nil"/>
          <w:bar w:val="nil"/>
        </w:pBdr>
        <w:spacing w:before="0" w:after="240"/>
        <w:rPr>
          <w:rFonts w:eastAsia="Arial Unicode MS"/>
          <w:noProof/>
        </w:rPr>
      </w:pPr>
      <w:r w:rsidRPr="009B0495">
        <w:rPr>
          <w:noProof/>
        </w:rPr>
        <w:t>Artikel 395 i mervärdesskattedirektivet.</w:t>
      </w:r>
    </w:p>
    <w:p w:rsidR="00952AFE" w:rsidRPr="009B0495" w:rsidRDefault="00952AFE" w:rsidP="00981484">
      <w:pPr>
        <w:pStyle w:val="ManualHeading2"/>
        <w:rPr>
          <w:rFonts w:eastAsia="Arial Unicode MS"/>
          <w:noProof/>
          <w:u w:color="000000"/>
          <w:bdr w:val="nil"/>
        </w:rPr>
      </w:pPr>
      <w:r w:rsidRPr="009B0495">
        <w:rPr>
          <w:noProof/>
          <w:u w:color="000000"/>
          <w:bdr w:val="nil"/>
        </w:rPr>
        <w:t>•</w:t>
      </w:r>
      <w:r w:rsidRPr="009B0495">
        <w:rPr>
          <w:noProof/>
        </w:rPr>
        <w:tab/>
      </w:r>
      <w:r w:rsidRPr="009B0495">
        <w:rPr>
          <w:noProof/>
          <w:u w:color="000000"/>
          <w:bdr w:val="nil"/>
        </w:rPr>
        <w:t xml:space="preserve">Subsidiaritetsprincipen (för icke-exklusiv befogenhet) </w:t>
      </w:r>
    </w:p>
    <w:p w:rsidR="000D7B82" w:rsidRPr="009B0495" w:rsidRDefault="000D7B82" w:rsidP="000D7B82">
      <w:pPr>
        <w:pBdr>
          <w:top w:val="nil"/>
          <w:left w:val="nil"/>
          <w:bottom w:val="nil"/>
          <w:right w:val="nil"/>
          <w:between w:val="nil"/>
          <w:bar w:val="nil"/>
        </w:pBdr>
        <w:spacing w:before="0" w:after="240"/>
        <w:rPr>
          <w:rFonts w:eastAsia="Arial Unicode MS"/>
          <w:noProof/>
        </w:rPr>
      </w:pPr>
      <w:r w:rsidRPr="009B0495">
        <w:rPr>
          <w:noProof/>
        </w:rPr>
        <w:t>Mot bakgrund av den bestämmelse i mervärdesskattedirektivet som ligger till grund för förslaget är subsidiaritetsprincipen inte tillämplig.</w:t>
      </w:r>
    </w:p>
    <w:p w:rsidR="00952AFE" w:rsidRPr="009B0495" w:rsidRDefault="00952AFE" w:rsidP="00981484">
      <w:pPr>
        <w:pStyle w:val="ManualHeading2"/>
        <w:rPr>
          <w:rFonts w:eastAsia="Arial Unicode MS"/>
          <w:noProof/>
          <w:u w:color="000000"/>
          <w:bdr w:val="nil"/>
        </w:rPr>
      </w:pPr>
      <w:r w:rsidRPr="009B0495">
        <w:rPr>
          <w:noProof/>
          <w:u w:color="000000"/>
          <w:bdr w:val="nil"/>
        </w:rPr>
        <w:t>•</w:t>
      </w:r>
      <w:r w:rsidRPr="009B0495">
        <w:rPr>
          <w:noProof/>
        </w:rPr>
        <w:tab/>
      </w:r>
      <w:r w:rsidRPr="009B0495">
        <w:rPr>
          <w:noProof/>
          <w:u w:color="000000"/>
          <w:bdr w:val="nil"/>
        </w:rPr>
        <w:t>Proportionalitetsprincipen</w:t>
      </w:r>
    </w:p>
    <w:p w:rsidR="000D7B82" w:rsidRPr="009B0495" w:rsidRDefault="000D7B82" w:rsidP="000D7B82">
      <w:pPr>
        <w:pBdr>
          <w:top w:val="nil"/>
          <w:left w:val="nil"/>
          <w:bottom w:val="nil"/>
          <w:right w:val="nil"/>
          <w:between w:val="nil"/>
          <w:bar w:val="nil"/>
        </w:pBdr>
        <w:spacing w:before="0" w:after="240"/>
        <w:rPr>
          <w:noProof/>
        </w:rPr>
      </w:pPr>
      <w:r w:rsidRPr="009B0495">
        <w:rPr>
          <w:noProof/>
        </w:rPr>
        <w:t xml:space="preserve">Beslutet avser ett bemyndigande som beviljas en medlemsstat på dess egen begäran och utgör därför ingen förpliktelse. </w:t>
      </w:r>
    </w:p>
    <w:p w:rsidR="000D7B82" w:rsidRPr="009B0495" w:rsidRDefault="000D7B82" w:rsidP="000D7B82">
      <w:pPr>
        <w:rPr>
          <w:noProof/>
        </w:rPr>
      </w:pPr>
      <w:r w:rsidRPr="009B0495">
        <w:rPr>
          <w:noProof/>
        </w:rPr>
        <w:t xml:space="preserve">På grund av avvikelsens begränsade omfattning står den särskilda åtgärden i proportion till det mål som eftersträvas, nämligen att förenkla mervärdesskatteuppbörden och förhindra vissa slag av skatteundandragande eller skatteflykt. Den går inte utöver vad som är nödvändigt för att uppnå detta mål. </w:t>
      </w:r>
    </w:p>
    <w:p w:rsidR="00006465" w:rsidRPr="009B0495" w:rsidRDefault="003A6418" w:rsidP="000D7B82">
      <w:pPr>
        <w:rPr>
          <w:noProof/>
        </w:rPr>
      </w:pPr>
      <w:r w:rsidRPr="009B0495">
        <w:rPr>
          <w:noProof/>
        </w:rPr>
        <w:t xml:space="preserve">Avvikelsen är också begränsad i tiden och en rapport om den särskilda åtgärdens funktion och effektivitet måste utarbetas om Österrike önskar förlänga den särskilda åtgärden. </w:t>
      </w:r>
    </w:p>
    <w:p w:rsidR="00952AFE" w:rsidRPr="009B0495" w:rsidRDefault="00952AFE" w:rsidP="00981484">
      <w:pPr>
        <w:pStyle w:val="ManualHeading2"/>
        <w:rPr>
          <w:rFonts w:eastAsia="Arial Unicode MS"/>
          <w:noProof/>
          <w:u w:color="000000"/>
          <w:bdr w:val="nil"/>
        </w:rPr>
      </w:pPr>
      <w:r w:rsidRPr="009B0495">
        <w:rPr>
          <w:noProof/>
          <w:u w:color="000000"/>
          <w:bdr w:val="nil"/>
        </w:rPr>
        <w:t>•</w:t>
      </w:r>
      <w:r w:rsidRPr="009B0495">
        <w:rPr>
          <w:noProof/>
        </w:rPr>
        <w:tab/>
      </w:r>
      <w:r w:rsidRPr="009B0495">
        <w:rPr>
          <w:noProof/>
          <w:u w:color="000000"/>
          <w:bdr w:val="nil"/>
        </w:rPr>
        <w:t>Val av instrument</w:t>
      </w:r>
    </w:p>
    <w:p w:rsidR="003A60E3" w:rsidRPr="009B0495" w:rsidRDefault="00006465" w:rsidP="003A60E3">
      <w:pPr>
        <w:spacing w:before="0" w:after="240"/>
        <w:rPr>
          <w:rFonts w:eastAsia="Arial Unicode MS"/>
          <w:noProof/>
        </w:rPr>
      </w:pPr>
      <w:r w:rsidRPr="009B0495">
        <w:rPr>
          <w:noProof/>
        </w:rPr>
        <w:t>Föreslaget instrument är rådets genomförandebeslut.</w:t>
      </w:r>
    </w:p>
    <w:p w:rsidR="003A60E3" w:rsidRPr="009B0495" w:rsidRDefault="003A60E3" w:rsidP="003A60E3">
      <w:pPr>
        <w:spacing w:before="0" w:after="240"/>
        <w:rPr>
          <w:rFonts w:eastAsia="Arial Unicode MS"/>
          <w:noProof/>
        </w:rPr>
      </w:pPr>
      <w:r w:rsidRPr="009B0495">
        <w:rPr>
          <w:noProof/>
        </w:rPr>
        <w:t>I enlighet med artikel 395 i mervärdesskattedirektivet är en avvikelse från de gemensamma mervärdesskattereglerna bara möjlig om rådet ger ett enhälligt bemyndigande på grundval av ett förslag från kommissionen. Ett rådets genomförandebeslut är det lämpligaste instrumentet, eftersom det kan riktas till en enskild medlemsstat.</w:t>
      </w:r>
    </w:p>
    <w:p w:rsidR="00952AFE" w:rsidRPr="009B0495" w:rsidRDefault="00952AFE" w:rsidP="00981484">
      <w:pPr>
        <w:pStyle w:val="ManualHeading1"/>
        <w:rPr>
          <w:noProof/>
        </w:rPr>
      </w:pPr>
      <w:r w:rsidRPr="009B0495">
        <w:rPr>
          <w:noProof/>
        </w:rPr>
        <w:t>3.</w:t>
      </w:r>
      <w:r w:rsidRPr="009B0495">
        <w:rPr>
          <w:noProof/>
        </w:rPr>
        <w:tab/>
        <w:t>RESULTAT AV EFTERHANDSUTVÄRDERINGAR, SAMRÅD MED BERÖRDA PARTER OCH KONSEKVENSBEDÖMNINGAR</w:t>
      </w:r>
    </w:p>
    <w:p w:rsidR="00952AFE" w:rsidRPr="009B0495" w:rsidRDefault="00952AFE" w:rsidP="00981484">
      <w:pPr>
        <w:pStyle w:val="ManualHeading2"/>
        <w:rPr>
          <w:rFonts w:eastAsia="Arial Unicode MS"/>
          <w:noProof/>
          <w:u w:color="000000"/>
          <w:bdr w:val="nil"/>
        </w:rPr>
      </w:pPr>
      <w:r w:rsidRPr="009B0495">
        <w:rPr>
          <w:noProof/>
          <w:u w:color="000000"/>
          <w:bdr w:val="nil"/>
        </w:rPr>
        <w:t>•</w:t>
      </w:r>
      <w:r w:rsidRPr="009B0495">
        <w:rPr>
          <w:noProof/>
        </w:rPr>
        <w:tab/>
      </w:r>
      <w:r w:rsidRPr="009B0495">
        <w:rPr>
          <w:noProof/>
          <w:u w:color="000000"/>
          <w:bdr w:val="nil"/>
        </w:rPr>
        <w:t>Samråd med berörda parter</w:t>
      </w:r>
    </w:p>
    <w:p w:rsidR="003A60E3" w:rsidRPr="009B0495" w:rsidRDefault="00006465" w:rsidP="003A60E3">
      <w:pPr>
        <w:pBdr>
          <w:top w:val="nil"/>
          <w:left w:val="nil"/>
          <w:bottom w:val="nil"/>
          <w:right w:val="nil"/>
          <w:between w:val="nil"/>
          <w:bar w:val="nil"/>
        </w:pBdr>
        <w:spacing w:before="0" w:after="240"/>
        <w:rPr>
          <w:rFonts w:eastAsia="Arial Unicode MS"/>
          <w:noProof/>
        </w:rPr>
      </w:pPr>
      <w:r w:rsidRPr="009B0495">
        <w:rPr>
          <w:noProof/>
        </w:rPr>
        <w:t>Det har inte genomförts något samråd med berörda parter. Detta förslag grundas på en ansökan av Österrike och berör bara denna medlemsstat.</w:t>
      </w:r>
    </w:p>
    <w:p w:rsidR="00952AFE" w:rsidRPr="009B0495" w:rsidRDefault="00952AFE" w:rsidP="00981484">
      <w:pPr>
        <w:pStyle w:val="ManualHeading2"/>
        <w:rPr>
          <w:rFonts w:eastAsia="Arial Unicode MS"/>
          <w:noProof/>
          <w:u w:color="000000"/>
          <w:bdr w:val="nil"/>
        </w:rPr>
      </w:pPr>
      <w:r w:rsidRPr="009B0495">
        <w:rPr>
          <w:noProof/>
          <w:u w:color="000000"/>
          <w:bdr w:val="nil"/>
        </w:rPr>
        <w:t>•</w:t>
      </w:r>
      <w:r w:rsidRPr="009B0495">
        <w:rPr>
          <w:noProof/>
        </w:rPr>
        <w:tab/>
      </w:r>
      <w:r w:rsidRPr="009B0495">
        <w:rPr>
          <w:noProof/>
          <w:u w:color="000000"/>
          <w:bdr w:val="nil"/>
        </w:rPr>
        <w:t>Insamling och användning av sakkunnigutlåtanden</w:t>
      </w:r>
    </w:p>
    <w:p w:rsidR="003A60E3" w:rsidRPr="009B0495" w:rsidRDefault="003A60E3" w:rsidP="003A60E3">
      <w:pPr>
        <w:pBdr>
          <w:top w:val="nil"/>
          <w:left w:val="nil"/>
          <w:bottom w:val="nil"/>
          <w:right w:val="nil"/>
          <w:between w:val="nil"/>
          <w:bar w:val="nil"/>
        </w:pBdr>
        <w:spacing w:before="0" w:after="240"/>
        <w:rPr>
          <w:rFonts w:eastAsia="Arial Unicode MS"/>
          <w:noProof/>
        </w:rPr>
      </w:pPr>
      <w:r w:rsidRPr="009B0495">
        <w:rPr>
          <w:noProof/>
        </w:rPr>
        <w:t>Det har inte behövts några externa sakkunnigutlåtanden.</w:t>
      </w:r>
    </w:p>
    <w:p w:rsidR="00952AFE" w:rsidRPr="009B0495" w:rsidRDefault="00952AFE" w:rsidP="00981484">
      <w:pPr>
        <w:pStyle w:val="ManualHeading2"/>
        <w:rPr>
          <w:rFonts w:eastAsia="Arial Unicode MS"/>
          <w:noProof/>
          <w:u w:color="000000"/>
          <w:bdr w:val="nil"/>
        </w:rPr>
      </w:pPr>
      <w:r w:rsidRPr="009B0495">
        <w:rPr>
          <w:noProof/>
          <w:u w:color="000000"/>
          <w:bdr w:val="nil"/>
        </w:rPr>
        <w:t>•</w:t>
      </w:r>
      <w:r w:rsidRPr="009B0495">
        <w:rPr>
          <w:noProof/>
        </w:rPr>
        <w:tab/>
      </w:r>
      <w:r w:rsidRPr="009B0495">
        <w:rPr>
          <w:noProof/>
          <w:u w:color="000000"/>
          <w:bdr w:val="nil"/>
        </w:rPr>
        <w:t>Konsekvensbedömning</w:t>
      </w:r>
    </w:p>
    <w:p w:rsidR="003A60E3" w:rsidRPr="009B0495" w:rsidRDefault="003A60E3" w:rsidP="003A60E3">
      <w:pPr>
        <w:pBdr>
          <w:top w:val="nil"/>
          <w:left w:val="nil"/>
          <w:bottom w:val="nil"/>
          <w:right w:val="nil"/>
          <w:between w:val="nil"/>
          <w:bar w:val="nil"/>
        </w:pBdr>
        <w:spacing w:before="0" w:after="240"/>
        <w:rPr>
          <w:noProof/>
        </w:rPr>
      </w:pPr>
      <w:r w:rsidRPr="009B0495">
        <w:rPr>
          <w:noProof/>
        </w:rPr>
        <w:t xml:space="preserve">Förslaget till rådets genomförandebeslut är avsett att förenkla uppbörden av mervärdesskatt genom att låta Österrike fortsätta att tillämpa en särskild åtgärd som tillåter att landet från avdragsrätten helt undantar mervärdesskatt för sådana varor och tjänster som till mer än 90 % används av en beskattningsbar person för privat bruk eller icke-yrkesmässiga ändamål, inklusive icke-ekonomisk verksamhet. </w:t>
      </w:r>
    </w:p>
    <w:p w:rsidR="003A60E3" w:rsidRPr="009B0495" w:rsidRDefault="00D05134" w:rsidP="003A60E3">
      <w:pPr>
        <w:pBdr>
          <w:top w:val="nil"/>
          <w:left w:val="nil"/>
          <w:bottom w:val="nil"/>
          <w:right w:val="nil"/>
          <w:between w:val="nil"/>
          <w:bar w:val="nil"/>
        </w:pBdr>
        <w:spacing w:before="0" w:after="240"/>
        <w:rPr>
          <w:noProof/>
        </w:rPr>
      </w:pPr>
      <w:r w:rsidRPr="009B0495">
        <w:rPr>
          <w:noProof/>
        </w:rPr>
        <w:t>Enligt Österrike minskar den särskilda åtgärden den administrativa bördan för företag och skatteförvaltning, eftersom det inte behövs någon övervakning av senare användning av varor och tjänster som undantagits från avdrag vid förvärvet, framför allt i fråga om en eventuell beskattning av privat användning eller justeringar av avdraget.</w:t>
      </w:r>
    </w:p>
    <w:p w:rsidR="003A60E3" w:rsidRPr="009B0495" w:rsidRDefault="003A60E3" w:rsidP="003A60E3">
      <w:pPr>
        <w:pBdr>
          <w:top w:val="nil"/>
          <w:left w:val="nil"/>
          <w:bottom w:val="nil"/>
          <w:right w:val="nil"/>
          <w:between w:val="nil"/>
          <w:bar w:val="nil"/>
        </w:pBdr>
        <w:spacing w:before="0" w:after="240"/>
        <w:rPr>
          <w:noProof/>
        </w:rPr>
      </w:pPr>
      <w:r w:rsidRPr="009B0495">
        <w:rPr>
          <w:noProof/>
        </w:rPr>
        <w:t>Den begärda miniminivån på minst 10 % för användningen av varor för yrkesmässiga ändamål för att tillåta avdrag för ingående mervärdesskatt är relativt låg. Enligt Österrike kommer en förlängning av denna särskilda åtgärd därför endast att få en begränsad inverkan på de totala mervärdesskatteinkomsterna i det sista konsumtionsledet och kommer därmed inte att negativt påverka de av unionens egna medel som härrör från mervärdesskatt.</w:t>
      </w:r>
    </w:p>
    <w:p w:rsidR="00D05134" w:rsidRPr="009B0495" w:rsidRDefault="00D05134" w:rsidP="003A60E3">
      <w:pPr>
        <w:pBdr>
          <w:top w:val="nil"/>
          <w:left w:val="nil"/>
          <w:bottom w:val="nil"/>
          <w:right w:val="nil"/>
          <w:between w:val="nil"/>
          <w:bar w:val="nil"/>
        </w:pBdr>
        <w:spacing w:before="0" w:after="240"/>
        <w:rPr>
          <w:noProof/>
        </w:rPr>
      </w:pPr>
    </w:p>
    <w:p w:rsidR="00952AFE" w:rsidRPr="009B0495" w:rsidRDefault="00952AFE" w:rsidP="00981484">
      <w:pPr>
        <w:pStyle w:val="ManualHeading1"/>
        <w:rPr>
          <w:noProof/>
        </w:rPr>
      </w:pPr>
      <w:r w:rsidRPr="009B0495">
        <w:rPr>
          <w:noProof/>
        </w:rPr>
        <w:t>4.</w:t>
      </w:r>
      <w:r w:rsidRPr="009B0495">
        <w:rPr>
          <w:noProof/>
        </w:rPr>
        <w:tab/>
        <w:t>BUDGETKONSEKVENSER</w:t>
      </w:r>
    </w:p>
    <w:p w:rsidR="00BE6EAE" w:rsidRPr="009B0495" w:rsidRDefault="003A60E3" w:rsidP="003A60E3">
      <w:pPr>
        <w:rPr>
          <w:noProof/>
        </w:rPr>
      </w:pPr>
      <w:r w:rsidRPr="009B0495">
        <w:rPr>
          <w:noProof/>
        </w:rPr>
        <w:t xml:space="preserve">Förslaget påverkar inte EU:s budget negativt. </w:t>
      </w:r>
    </w:p>
    <w:p w:rsidR="00952AFE" w:rsidRPr="009B0495" w:rsidRDefault="00952AFE" w:rsidP="00981484">
      <w:pPr>
        <w:pStyle w:val="ManualHeading1"/>
        <w:rPr>
          <w:noProof/>
        </w:rPr>
      </w:pPr>
      <w:r w:rsidRPr="009B0495">
        <w:rPr>
          <w:noProof/>
        </w:rPr>
        <w:t>5.</w:t>
      </w:r>
      <w:r w:rsidRPr="009B0495">
        <w:rPr>
          <w:noProof/>
        </w:rPr>
        <w:tab/>
        <w:t>ÖVRIGA INSLAG</w:t>
      </w:r>
    </w:p>
    <w:p w:rsidR="003A60E3" w:rsidRPr="009B0495" w:rsidRDefault="003A60E3" w:rsidP="003A60E3">
      <w:pPr>
        <w:rPr>
          <w:noProof/>
        </w:rPr>
      </w:pPr>
      <w:r w:rsidRPr="009B0495">
        <w:rPr>
          <w:noProof/>
        </w:rPr>
        <w:t>Förslaget är tidsbegränsat och innehåller en bestämmelse om tidsbegränsning satt till den 31 december 2027.</w:t>
      </w:r>
    </w:p>
    <w:p w:rsidR="00BE6EAE" w:rsidRPr="009B0495" w:rsidRDefault="00BE6EAE" w:rsidP="003A60E3">
      <w:pPr>
        <w:rPr>
          <w:noProof/>
        </w:rPr>
      </w:pPr>
      <w:r w:rsidRPr="009B0495">
        <w:rPr>
          <w:noProof/>
        </w:rPr>
        <w:t>Om Österrike skulle överväga ytterligare en förlängning av den särskilda åtgärden efter 2027, bör en ny rapport om tillämpningen av den särskilda åtgärden, inbegripet en översyn av den procentuella fördelning som tillämpas, inges till kommissionen senast den 31 mars 2027 tillsammans med ansökan om förlängning.</w:t>
      </w:r>
    </w:p>
    <w:p w:rsidR="000F64AC" w:rsidRPr="009B0495" w:rsidRDefault="000F64AC" w:rsidP="003A60E3">
      <w:pPr>
        <w:rPr>
          <w:noProof/>
        </w:rPr>
        <w:sectPr w:rsidR="000F64AC" w:rsidRPr="009B0495" w:rsidSect="0040616E">
          <w:headerReference w:type="even" r:id="rId14"/>
          <w:footerReference w:type="even" r:id="rId15"/>
          <w:footerReference w:type="default" r:id="rId16"/>
          <w:headerReference w:type="first" r:id="rId17"/>
          <w:footerReference w:type="first" r:id="rId18"/>
          <w:footnotePr>
            <w:numRestart w:val="eachSect"/>
          </w:footnotePr>
          <w:pgSz w:w="11907" w:h="16839"/>
          <w:pgMar w:top="1134" w:right="1417" w:bottom="1134" w:left="1417" w:header="709" w:footer="709" w:gutter="0"/>
          <w:cols w:space="708"/>
          <w:docGrid w:linePitch="360"/>
        </w:sectPr>
      </w:pPr>
    </w:p>
    <w:p w:rsidR="00F969F7" w:rsidRDefault="000B0D79">
      <w:pPr>
        <w:pStyle w:val="Rfrenceinterinstitutionnelle"/>
        <w:rPr>
          <w:noProof/>
        </w:rPr>
      </w:pPr>
      <w:r>
        <w:rPr>
          <w:noProof/>
        </w:rPr>
        <w:t>2024/0247 (NLE)</w:t>
      </w:r>
    </w:p>
    <w:p w:rsidR="00952AFE" w:rsidRPr="009B0495" w:rsidRDefault="009B0495" w:rsidP="009B0495">
      <w:pPr>
        <w:pStyle w:val="Statut"/>
        <w:rPr>
          <w:noProof/>
        </w:rPr>
      </w:pPr>
      <w:r w:rsidRPr="009B0495">
        <w:rPr>
          <w:noProof/>
        </w:rPr>
        <w:t>Förslag till</w:t>
      </w:r>
    </w:p>
    <w:p w:rsidR="00952AFE" w:rsidRPr="009B0495" w:rsidRDefault="009B0495" w:rsidP="009B0495">
      <w:pPr>
        <w:pStyle w:val="Typedudocument"/>
        <w:rPr>
          <w:noProof/>
        </w:rPr>
      </w:pPr>
      <w:r w:rsidRPr="009B0495">
        <w:rPr>
          <w:noProof/>
        </w:rPr>
        <w:t>RÅDETS GENOMFÖRANDEBESLUT</w:t>
      </w:r>
    </w:p>
    <w:p w:rsidR="00952AFE" w:rsidRPr="009B0495" w:rsidRDefault="009B0495" w:rsidP="009B0495">
      <w:pPr>
        <w:pStyle w:val="Titreobjet"/>
        <w:rPr>
          <w:noProof/>
        </w:rPr>
      </w:pPr>
      <w:r w:rsidRPr="009B0495">
        <w:rPr>
          <w:noProof/>
        </w:rPr>
        <w:t>om ändring av genomförandebeslut 2009/1013/EU om bemyndigande för Republiken Österrike att fortsatt tillämpa en åtgärd som avviker från artiklarna 168 och 168a i direktiv 2006/112/EG om ett gemensamt system för mervärdesskatt</w:t>
      </w:r>
    </w:p>
    <w:p w:rsidR="00952AFE" w:rsidRPr="009B0495" w:rsidRDefault="00952AFE" w:rsidP="00981484">
      <w:pPr>
        <w:pStyle w:val="Institutionquiagit"/>
        <w:rPr>
          <w:noProof/>
        </w:rPr>
      </w:pPr>
      <w:r w:rsidRPr="009B0495">
        <w:rPr>
          <w:noProof/>
        </w:rPr>
        <w:t>EUROPEISKA UNIONENS RÅD HAR ANTAGIT DETTA BESLUT</w:t>
      </w:r>
    </w:p>
    <w:p w:rsidR="00952AFE" w:rsidRPr="009B0495" w:rsidRDefault="00952AFE" w:rsidP="00981484">
      <w:pPr>
        <w:rPr>
          <w:noProof/>
        </w:rPr>
      </w:pPr>
      <w:r w:rsidRPr="009B0495">
        <w:rPr>
          <w:noProof/>
        </w:rPr>
        <w:t xml:space="preserve">med beaktande av fördraget om Europeiska unionens funktionssätt, </w:t>
      </w:r>
    </w:p>
    <w:p w:rsidR="00952AFE" w:rsidRPr="009B0495" w:rsidRDefault="00952AFE" w:rsidP="00981484">
      <w:pPr>
        <w:rPr>
          <w:noProof/>
        </w:rPr>
      </w:pPr>
      <w:r w:rsidRPr="009B0495">
        <w:rPr>
          <w:noProof/>
        </w:rPr>
        <w:t>med beaktande av rådets direktiv 2006/112/EG av den 28 november 2006 om ett gemensamt system för mervärdesskatt</w:t>
      </w:r>
      <w:r w:rsidRPr="009B0495">
        <w:rPr>
          <w:rStyle w:val="FootnoteReference"/>
          <w:noProof/>
        </w:rPr>
        <w:footnoteReference w:id="11"/>
      </w:r>
      <w:r w:rsidRPr="009B0495">
        <w:rPr>
          <w:noProof/>
        </w:rPr>
        <w:t>, särskilt artikel 395.1 första stycket,</w:t>
      </w:r>
    </w:p>
    <w:p w:rsidR="00952AFE" w:rsidRPr="009B0495" w:rsidRDefault="00952AFE" w:rsidP="00981484">
      <w:pPr>
        <w:rPr>
          <w:noProof/>
        </w:rPr>
      </w:pPr>
      <w:r w:rsidRPr="009B0495">
        <w:rPr>
          <w:noProof/>
        </w:rPr>
        <w:t>med beaktande av Europeiska kommissionens förslag, och</w:t>
      </w:r>
    </w:p>
    <w:p w:rsidR="00952AFE" w:rsidRPr="009B0495" w:rsidRDefault="00952AFE" w:rsidP="00981484">
      <w:pPr>
        <w:rPr>
          <w:noProof/>
        </w:rPr>
      </w:pPr>
      <w:r w:rsidRPr="009B0495">
        <w:rPr>
          <w:noProof/>
        </w:rPr>
        <w:t>av följande skäl:</w:t>
      </w:r>
    </w:p>
    <w:p w:rsidR="0049587F" w:rsidRPr="009B0495" w:rsidRDefault="005E3686" w:rsidP="005E3686">
      <w:pPr>
        <w:pStyle w:val="ManualConsidrant"/>
        <w:rPr>
          <w:noProof/>
        </w:rPr>
      </w:pPr>
      <w:r w:rsidRPr="005E3686">
        <w:rPr>
          <w:noProof/>
        </w:rPr>
        <w:t>(1)</w:t>
      </w:r>
      <w:r w:rsidRPr="005E3686">
        <w:rPr>
          <w:noProof/>
        </w:rPr>
        <w:tab/>
      </w:r>
      <w:r w:rsidR="0049587F" w:rsidRPr="009B0495">
        <w:rPr>
          <w:noProof/>
        </w:rPr>
        <w:t xml:space="preserve">Artiklarna 168 och 168a i direktiv 2006/112/EG reglerar beskattningsbara personers rätt att dra av mervärdesskatt som tas ut på varor som levererats till dem eller tjänster som tillhandahållits dem för användning i deras beskattade transaktioner. </w:t>
      </w:r>
    </w:p>
    <w:p w:rsidR="00317736" w:rsidRPr="009B0495" w:rsidRDefault="005E3686" w:rsidP="005E3686">
      <w:pPr>
        <w:pStyle w:val="ManualConsidrant"/>
        <w:rPr>
          <w:noProof/>
        </w:rPr>
      </w:pPr>
      <w:r w:rsidRPr="005E3686">
        <w:rPr>
          <w:noProof/>
        </w:rPr>
        <w:t>(2)</w:t>
      </w:r>
      <w:r w:rsidRPr="005E3686">
        <w:rPr>
          <w:noProof/>
        </w:rPr>
        <w:tab/>
      </w:r>
      <w:r w:rsidR="00317736" w:rsidRPr="009B0495">
        <w:rPr>
          <w:noProof/>
        </w:rPr>
        <w:t>Genom genomförandebeslut 2009/1013/EU</w:t>
      </w:r>
      <w:r w:rsidR="00317736" w:rsidRPr="009B0495">
        <w:rPr>
          <w:rStyle w:val="FootnoteReference"/>
          <w:noProof/>
        </w:rPr>
        <w:footnoteReference w:id="12"/>
      </w:r>
      <w:r w:rsidR="00317736" w:rsidRPr="009B0495">
        <w:rPr>
          <w:noProof/>
        </w:rPr>
        <w:t xml:space="preserve"> bemyndigades Österrike att genom avvikelse från artiklarna 168 och 168a i direktiv 2006/112/EG från rätten att dra av mervärdesskatt helt undanta mervärdesskatt som tas ut på sådana varor och tjänster som till mer än 90 % används för den beskattningsbara personens privata bruk eller för hans eller hennes personals privata bruk eller, mer allmänt, för icke-yrkesmässiga ändamål eller icke-ekonomisk verksamhet. Bemyndigandet att tillämpa den särskilda åtgärden upphör att gälla den 31 december 2024.</w:t>
      </w:r>
    </w:p>
    <w:p w:rsidR="00B349D4" w:rsidRPr="009B0495" w:rsidRDefault="005E3686" w:rsidP="005E3686">
      <w:pPr>
        <w:pStyle w:val="ManualConsidrant"/>
        <w:rPr>
          <w:noProof/>
        </w:rPr>
      </w:pPr>
      <w:r w:rsidRPr="005E3686">
        <w:rPr>
          <w:noProof/>
        </w:rPr>
        <w:t>(3)</w:t>
      </w:r>
      <w:r w:rsidRPr="005E3686">
        <w:rPr>
          <w:noProof/>
        </w:rPr>
        <w:tab/>
      </w:r>
      <w:r w:rsidR="00317736" w:rsidRPr="009B0495">
        <w:rPr>
          <w:noProof/>
        </w:rPr>
        <w:t xml:space="preserve">Genom en skrivelse som registrerades hos kommissionen den 20 mars 2024 ansökte Österrike om bemyndigande, i enlighet med artikel 395.2 första stycket i direktiv 2006/112/EG, att få fortsätta att tillämpa den särskilda åtgärden. </w:t>
      </w:r>
    </w:p>
    <w:p w:rsidR="009D3EB9" w:rsidRPr="009B0495" w:rsidRDefault="005E3686" w:rsidP="005E3686">
      <w:pPr>
        <w:pStyle w:val="ManualConsidrant"/>
        <w:rPr>
          <w:noProof/>
        </w:rPr>
      </w:pPr>
      <w:r w:rsidRPr="005E3686">
        <w:rPr>
          <w:noProof/>
        </w:rPr>
        <w:t>(4)</w:t>
      </w:r>
      <w:r w:rsidRPr="005E3686">
        <w:rPr>
          <w:noProof/>
        </w:rPr>
        <w:tab/>
      </w:r>
      <w:r w:rsidR="00B349D4" w:rsidRPr="009B0495">
        <w:rPr>
          <w:noProof/>
        </w:rPr>
        <w:t>I enlighet med artikel 2 i rådets genomförandebeslut 2009/1013/EU ingav Österrike tillsammans med ansökan om förlängning en rapport om tillämpningen av den särskilda åtgärden, inbegripet en översyn av den procentuella fördelning som tillämpas på rätten att dra av mervärdesskatt.</w:t>
      </w:r>
    </w:p>
    <w:p w:rsidR="00B51779" w:rsidRPr="009B0495" w:rsidRDefault="005E3686" w:rsidP="005E3686">
      <w:pPr>
        <w:pStyle w:val="ManualConsidrant"/>
        <w:rPr>
          <w:noProof/>
        </w:rPr>
      </w:pPr>
      <w:r w:rsidRPr="005E3686">
        <w:rPr>
          <w:noProof/>
        </w:rPr>
        <w:t>(5)</w:t>
      </w:r>
      <w:r w:rsidRPr="005E3686">
        <w:rPr>
          <w:noProof/>
        </w:rPr>
        <w:tab/>
      </w:r>
      <w:r w:rsidR="00B32300" w:rsidRPr="009B0495">
        <w:rPr>
          <w:noProof/>
        </w:rPr>
        <w:t xml:space="preserve">I enlighet med artikel 395.2 andra stycket i direktiv 2006/112/EG överlämnade kommissionen Österrikes ansökan till de andra medlemsstaterna genom en skrivelse av den 16 maj 2024. </w:t>
      </w:r>
    </w:p>
    <w:p w:rsidR="00B349D4" w:rsidRPr="009B0495" w:rsidRDefault="005E3686" w:rsidP="005E3686">
      <w:pPr>
        <w:pStyle w:val="ManualConsidrant"/>
        <w:rPr>
          <w:noProof/>
        </w:rPr>
      </w:pPr>
      <w:r w:rsidRPr="005E3686">
        <w:rPr>
          <w:noProof/>
        </w:rPr>
        <w:t>(6)</w:t>
      </w:r>
      <w:r w:rsidRPr="005E3686">
        <w:rPr>
          <w:noProof/>
        </w:rPr>
        <w:tab/>
      </w:r>
      <w:r w:rsidR="00317736" w:rsidRPr="009B0495">
        <w:rPr>
          <w:noProof/>
        </w:rPr>
        <w:t>Genom en skrivelse av den 17 maj 2024 underrättade kommissionen Österrike om att den hade alla uppgifter som den ansåg sig behöva för att kunna behandla ärendet.</w:t>
      </w:r>
    </w:p>
    <w:p w:rsidR="00B349D4" w:rsidRPr="009B0495" w:rsidRDefault="005E3686" w:rsidP="005E3686">
      <w:pPr>
        <w:pStyle w:val="ManualConsidrant"/>
        <w:rPr>
          <w:noProof/>
        </w:rPr>
      </w:pPr>
      <w:r w:rsidRPr="005E3686">
        <w:rPr>
          <w:noProof/>
        </w:rPr>
        <w:t>(7)</w:t>
      </w:r>
      <w:r w:rsidRPr="005E3686">
        <w:rPr>
          <w:noProof/>
        </w:rPr>
        <w:tab/>
      </w:r>
      <w:r w:rsidR="00317736" w:rsidRPr="009B0495">
        <w:rPr>
          <w:noProof/>
        </w:rPr>
        <w:t xml:space="preserve">Österrike hävdar att den särskilda åtgärden har visat sig vara mycket verkningsfull för att förenkla uppbörden av mervärdesskatt och för att förhindra skatteundandragande och skatteflykt. Den särskilda åtgärden minskar den administrativa bördan för företagen och skatteförvaltningen, eftersom det inte behövs någon övervakning av senare användning av varor och tjänster som undantagits från avdrag vid förvärvet. </w:t>
      </w:r>
    </w:p>
    <w:p w:rsidR="00B349D4" w:rsidRPr="009B0495" w:rsidRDefault="005E3686" w:rsidP="005E3686">
      <w:pPr>
        <w:pStyle w:val="ManualConsidrant"/>
        <w:rPr>
          <w:noProof/>
        </w:rPr>
      </w:pPr>
      <w:r w:rsidRPr="005E3686">
        <w:rPr>
          <w:noProof/>
        </w:rPr>
        <w:t>(8)</w:t>
      </w:r>
      <w:r w:rsidRPr="005E3686">
        <w:rPr>
          <w:noProof/>
        </w:rPr>
        <w:tab/>
      </w:r>
      <w:r w:rsidR="0061359C" w:rsidRPr="009B0495">
        <w:rPr>
          <w:noProof/>
        </w:rPr>
        <w:t xml:space="preserve">På grundval av den rapport som Österrike har lämnat in är den lägsta procentuella fördelning på 10 % av den yrkesmässiga användningen av varor och tjänster som krävs för att medge avdrag för ingående mervärdesskatt tillräckligt låg för att inte ha någon betydande inverkan på det totala mervärdesskattebelopp som faktiskt uppbärs i det sista konsumtionsledet. </w:t>
      </w:r>
    </w:p>
    <w:p w:rsidR="00795759" w:rsidRPr="009B0495" w:rsidRDefault="005E3686" w:rsidP="005E3686">
      <w:pPr>
        <w:pStyle w:val="ManualConsidrant"/>
        <w:rPr>
          <w:noProof/>
        </w:rPr>
      </w:pPr>
      <w:r w:rsidRPr="005E3686">
        <w:rPr>
          <w:noProof/>
        </w:rPr>
        <w:t>(9)</w:t>
      </w:r>
      <w:r w:rsidRPr="005E3686">
        <w:rPr>
          <w:noProof/>
        </w:rPr>
        <w:tab/>
      </w:r>
      <w:r w:rsidR="0085599B" w:rsidRPr="009B0495">
        <w:rPr>
          <w:noProof/>
        </w:rPr>
        <w:t>Med hänsyn till de positiva effekterna för både företag och skatteförvaltning anser kommissionen att det är lämpligt att förlänga den särskilda åtgärden.</w:t>
      </w:r>
    </w:p>
    <w:p w:rsidR="00317736" w:rsidRPr="009B0495" w:rsidRDefault="005E3686" w:rsidP="005E3686">
      <w:pPr>
        <w:pStyle w:val="ManualConsidrant"/>
        <w:rPr>
          <w:noProof/>
        </w:rPr>
      </w:pPr>
      <w:r w:rsidRPr="005E3686">
        <w:rPr>
          <w:noProof/>
        </w:rPr>
        <w:t>(10)</w:t>
      </w:r>
      <w:r w:rsidRPr="005E3686">
        <w:rPr>
          <w:noProof/>
        </w:rPr>
        <w:tab/>
      </w:r>
      <w:r w:rsidR="00795759" w:rsidRPr="009B0495">
        <w:rPr>
          <w:noProof/>
        </w:rPr>
        <w:t>Den särskilda åtgärden bör begränsas till den tid som behövs för att utvärdera om den är verkningsfull och huruvida den procentuella fördelning som tillämpas på rätten att dra av mervärdesskatt är lämplig. Österrike bör därför bemyndigas att fortsätta att tillämpa den särskilda åtgärden under en ytterligare tre år, till och med den 31 december 2027.</w:t>
      </w:r>
    </w:p>
    <w:p w:rsidR="002F7ED7" w:rsidRPr="009B0495" w:rsidRDefault="005E3686" w:rsidP="005E3686">
      <w:pPr>
        <w:pStyle w:val="ManualConsidrant"/>
        <w:rPr>
          <w:noProof/>
        </w:rPr>
      </w:pPr>
      <w:r w:rsidRPr="005E3686">
        <w:rPr>
          <w:noProof/>
        </w:rPr>
        <w:t>(11)</w:t>
      </w:r>
      <w:r w:rsidRPr="005E3686">
        <w:rPr>
          <w:noProof/>
        </w:rPr>
        <w:tab/>
      </w:r>
      <w:r w:rsidR="00795759" w:rsidRPr="009B0495">
        <w:rPr>
          <w:noProof/>
        </w:rPr>
        <w:t xml:space="preserve">Den särskilda åtgärden står i proportion till de eftersträvade målen, nämligen att förenkla uppbörden av mervärdesskatt och förhindra vissa former av skatteundandragande eller skatteflykt, eftersom den är begränsad i tid och omfattning. </w:t>
      </w:r>
      <w:bookmarkStart w:id="4" w:name="_Hlk164940342"/>
    </w:p>
    <w:p w:rsidR="00317736" w:rsidRPr="009B0495" w:rsidRDefault="005E3686" w:rsidP="005E3686">
      <w:pPr>
        <w:pStyle w:val="ManualConsidrant"/>
        <w:rPr>
          <w:noProof/>
        </w:rPr>
      </w:pPr>
      <w:r w:rsidRPr="005E3686">
        <w:rPr>
          <w:noProof/>
        </w:rPr>
        <w:t>(12)</w:t>
      </w:r>
      <w:r w:rsidRPr="005E3686">
        <w:rPr>
          <w:noProof/>
        </w:rPr>
        <w:tab/>
      </w:r>
      <w:r w:rsidR="00317736" w:rsidRPr="009B0495">
        <w:rPr>
          <w:noProof/>
        </w:rPr>
        <w:t xml:space="preserve">Om Österrike anser att en förlängning av den särskilda åtgärden efter 2027 är nödvändig, bör landet lämna in en ansökan om förlängning till kommissionen senast den 31 mars 2027 tillsammans med en rapport om tillämpningen av åtgärden, inbegripet en översyn av den procentuella fördelning som tillämpas.  </w:t>
      </w:r>
    </w:p>
    <w:bookmarkEnd w:id="4"/>
    <w:p w:rsidR="00317736" w:rsidRPr="009B0495" w:rsidRDefault="005E3686" w:rsidP="005E3686">
      <w:pPr>
        <w:pStyle w:val="ManualConsidrant"/>
        <w:rPr>
          <w:noProof/>
        </w:rPr>
      </w:pPr>
      <w:r w:rsidRPr="005E3686">
        <w:rPr>
          <w:noProof/>
        </w:rPr>
        <w:t>(13)</w:t>
      </w:r>
      <w:r w:rsidRPr="005E3686">
        <w:rPr>
          <w:noProof/>
        </w:rPr>
        <w:tab/>
      </w:r>
      <w:r w:rsidR="00317736" w:rsidRPr="009B0495">
        <w:rPr>
          <w:noProof/>
        </w:rPr>
        <w:t>Den särskilda åtgärden kommer inte att negativt påverka de av unionens egna medel som härrör från mervärdesskatt.</w:t>
      </w:r>
    </w:p>
    <w:p w:rsidR="00317736" w:rsidRPr="009B0495" w:rsidRDefault="005E3686" w:rsidP="005E3686">
      <w:pPr>
        <w:pStyle w:val="ManualConsidrant"/>
        <w:rPr>
          <w:noProof/>
        </w:rPr>
      </w:pPr>
      <w:r w:rsidRPr="005E3686">
        <w:rPr>
          <w:noProof/>
        </w:rPr>
        <w:t>(14)</w:t>
      </w:r>
      <w:r w:rsidRPr="005E3686">
        <w:rPr>
          <w:noProof/>
        </w:rPr>
        <w:tab/>
      </w:r>
      <w:r w:rsidR="00317736" w:rsidRPr="009B0495">
        <w:rPr>
          <w:noProof/>
        </w:rPr>
        <w:t>Genomförandebeslut 2009/1013/EU bör därför ändras i enlighet med detta.</w:t>
      </w:r>
    </w:p>
    <w:p w:rsidR="00952AFE" w:rsidRPr="009B0495" w:rsidRDefault="00952AFE" w:rsidP="00981484">
      <w:pPr>
        <w:pStyle w:val="Formuledadoption"/>
        <w:rPr>
          <w:noProof/>
        </w:rPr>
      </w:pPr>
      <w:r w:rsidRPr="009B0495">
        <w:rPr>
          <w:noProof/>
        </w:rPr>
        <w:t xml:space="preserve">HÄRIGENOM FÖRESKRIVS FÖLJANDE. </w:t>
      </w:r>
    </w:p>
    <w:p w:rsidR="00952AFE" w:rsidRPr="009B0495" w:rsidRDefault="00952AFE" w:rsidP="00981484">
      <w:pPr>
        <w:pStyle w:val="Titrearticle"/>
        <w:rPr>
          <w:noProof/>
        </w:rPr>
      </w:pPr>
      <w:r w:rsidRPr="009B0495">
        <w:rPr>
          <w:noProof/>
        </w:rPr>
        <w:t>Artikel 1</w:t>
      </w:r>
    </w:p>
    <w:p w:rsidR="00F03C70" w:rsidRPr="009B0495" w:rsidRDefault="00F03C70" w:rsidP="00F03C70">
      <w:pPr>
        <w:keepNext/>
        <w:keepLines/>
        <w:rPr>
          <w:noProof/>
        </w:rPr>
      </w:pPr>
      <w:r w:rsidRPr="009B0495">
        <w:rPr>
          <w:noProof/>
        </w:rPr>
        <w:t>Artikel 2 i genomförandebeslut 2009/1013/EU ska ersättas med följande:</w:t>
      </w:r>
    </w:p>
    <w:p w:rsidR="00F03C70" w:rsidRPr="009B0495" w:rsidRDefault="00145C56" w:rsidP="00F03C70">
      <w:pPr>
        <w:keepNext/>
        <w:keepLines/>
        <w:jc w:val="center"/>
        <w:rPr>
          <w:i/>
          <w:noProof/>
        </w:rPr>
      </w:pPr>
      <w:r w:rsidRPr="009B0495">
        <w:rPr>
          <w:noProof/>
        </w:rPr>
        <w:t>”</w:t>
      </w:r>
      <w:r w:rsidRPr="009B0495">
        <w:rPr>
          <w:i/>
          <w:noProof/>
        </w:rPr>
        <w:t>Artikel 2</w:t>
      </w:r>
    </w:p>
    <w:p w:rsidR="00F03C70" w:rsidRPr="009B0495" w:rsidRDefault="00F03C70" w:rsidP="00F03C70">
      <w:pPr>
        <w:keepNext/>
        <w:keepLines/>
        <w:rPr>
          <w:noProof/>
        </w:rPr>
      </w:pPr>
      <w:r w:rsidRPr="009B0495">
        <w:rPr>
          <w:noProof/>
        </w:rPr>
        <w:t>Detta beslut upphör att gälla den 31 december 2027.</w:t>
      </w:r>
    </w:p>
    <w:p w:rsidR="00F03C70" w:rsidRPr="009B0495" w:rsidRDefault="00F03C70" w:rsidP="00F03C70">
      <w:pPr>
        <w:keepNext/>
        <w:keepLines/>
        <w:rPr>
          <w:noProof/>
        </w:rPr>
      </w:pPr>
      <w:r w:rsidRPr="009B0495">
        <w:rPr>
          <w:noProof/>
        </w:rPr>
        <w:t>En eventuell ansökan om förlängning av den avvikande åtgärd som föreskrivs i detta beslut ska inges till kommissionen senast den 31 mars 2027.</w:t>
      </w:r>
    </w:p>
    <w:p w:rsidR="00F03C70" w:rsidRPr="009B0495" w:rsidRDefault="00F03C70" w:rsidP="00F03C70">
      <w:pPr>
        <w:keepNext/>
        <w:keepLines/>
        <w:rPr>
          <w:noProof/>
        </w:rPr>
      </w:pPr>
      <w:r w:rsidRPr="009B0495">
        <w:rPr>
          <w:noProof/>
        </w:rPr>
        <w:t>En sådan ansökan ska åtföljas av en rapport om tillämpningen av denna åtgärd, inbegripet en översyn av den procentuella fördelning som tillämpas på rätten att dra av mervärdesskatt med stöd av detta beslut.”</w:t>
      </w:r>
    </w:p>
    <w:p w:rsidR="00D05134" w:rsidRPr="009B0495" w:rsidRDefault="00D05134" w:rsidP="007650ED">
      <w:pPr>
        <w:pStyle w:val="Titrearticle"/>
        <w:rPr>
          <w:noProof/>
        </w:rPr>
      </w:pPr>
      <w:r w:rsidRPr="009B0495">
        <w:rPr>
          <w:noProof/>
        </w:rPr>
        <w:t>Artikel 2</w:t>
      </w:r>
    </w:p>
    <w:p w:rsidR="00F03C70" w:rsidRPr="009B0495" w:rsidRDefault="00952AFE" w:rsidP="007650ED">
      <w:pPr>
        <w:keepNext/>
        <w:keepLines/>
        <w:rPr>
          <w:noProof/>
        </w:rPr>
      </w:pPr>
      <w:r w:rsidRPr="009B0495">
        <w:rPr>
          <w:noProof/>
        </w:rPr>
        <w:t>Detta beslut riktar sig till Republiken Österrike.</w:t>
      </w:r>
    </w:p>
    <w:p w:rsidR="00952AFE" w:rsidRPr="009B0495" w:rsidRDefault="009B0495" w:rsidP="007650ED">
      <w:pPr>
        <w:pStyle w:val="Fait"/>
        <w:rPr>
          <w:noProof/>
        </w:rPr>
      </w:pPr>
      <w:r>
        <w:rPr>
          <w:noProof/>
        </w:rPr>
        <w:t>Utfärdat i Bryssel den</w:t>
      </w:r>
    </w:p>
    <w:p w:rsidR="00952AFE" w:rsidRPr="009B0495" w:rsidRDefault="00952AFE" w:rsidP="007650ED">
      <w:pPr>
        <w:pStyle w:val="Institutionquisigne"/>
        <w:rPr>
          <w:noProof/>
        </w:rPr>
      </w:pPr>
      <w:r w:rsidRPr="009B0495">
        <w:rPr>
          <w:noProof/>
        </w:rPr>
        <w:tab/>
        <w:t>På rådets vägnar</w:t>
      </w:r>
    </w:p>
    <w:p w:rsidR="00952AFE" w:rsidRPr="009B0495" w:rsidRDefault="00952AFE" w:rsidP="00952AFE">
      <w:pPr>
        <w:pStyle w:val="Personnequisigne"/>
        <w:rPr>
          <w:noProof/>
        </w:rPr>
      </w:pPr>
      <w:r w:rsidRPr="009B0495">
        <w:rPr>
          <w:noProof/>
        </w:rPr>
        <w:tab/>
        <w:t>Ordförande</w:t>
      </w:r>
    </w:p>
    <w:sectPr w:rsidR="00952AFE" w:rsidRPr="009B0495" w:rsidSect="0040616E">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E9E" w:rsidRDefault="00E20E9E" w:rsidP="00952AFE">
      <w:pPr>
        <w:spacing w:before="0" w:after="0"/>
      </w:pPr>
      <w:r>
        <w:separator/>
      </w:r>
    </w:p>
  </w:endnote>
  <w:endnote w:type="continuationSeparator" w:id="0">
    <w:p w:rsidR="00E20E9E" w:rsidRDefault="00E20E9E" w:rsidP="00952AFE">
      <w:pPr>
        <w:spacing w:before="0" w:after="0"/>
      </w:pPr>
      <w:r>
        <w:continuationSeparator/>
      </w:r>
    </w:p>
  </w:endnote>
  <w:endnote w:type="continuationNotice" w:id="1">
    <w:p w:rsidR="000949FE" w:rsidRDefault="000949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16E" w:rsidRPr="0040616E" w:rsidRDefault="0040616E" w:rsidP="0040616E">
    <w:pPr>
      <w:pStyle w:val="Footer"/>
      <w:rPr>
        <w:rFonts w:ascii="Arial" w:hAnsi="Arial" w:cs="Arial"/>
        <w:b/>
        <w:sz w:val="48"/>
      </w:rPr>
    </w:pPr>
    <w:r w:rsidRPr="0040616E">
      <w:rPr>
        <w:rFonts w:ascii="Arial" w:hAnsi="Arial" w:cs="Arial"/>
        <w:b/>
        <w:sz w:val="48"/>
      </w:rPr>
      <w:t>SV</w:t>
    </w:r>
    <w:r w:rsidRPr="0040616E">
      <w:rPr>
        <w:rFonts w:ascii="Arial" w:hAnsi="Arial" w:cs="Arial"/>
        <w:b/>
        <w:sz w:val="48"/>
      </w:rPr>
      <w:tab/>
    </w:r>
    <w:r w:rsidRPr="0040616E">
      <w:rPr>
        <w:rFonts w:ascii="Arial" w:hAnsi="Arial" w:cs="Arial"/>
        <w:b/>
        <w:sz w:val="48"/>
      </w:rPr>
      <w:tab/>
    </w:r>
    <w:r w:rsidRPr="0040616E">
      <w:tab/>
    </w:r>
    <w:r w:rsidRPr="0040616E">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16E" w:rsidRPr="0040616E" w:rsidRDefault="0040616E" w:rsidP="0040616E">
    <w:pPr>
      <w:pStyle w:val="Footer"/>
      <w:rPr>
        <w:rFonts w:ascii="Arial" w:hAnsi="Arial" w:cs="Arial"/>
        <w:b/>
        <w:sz w:val="48"/>
      </w:rPr>
    </w:pPr>
    <w:r w:rsidRPr="0040616E">
      <w:rPr>
        <w:rFonts w:ascii="Arial" w:hAnsi="Arial" w:cs="Arial"/>
        <w:b/>
        <w:sz w:val="48"/>
      </w:rPr>
      <w:t>SV</w:t>
    </w:r>
    <w:r w:rsidRPr="0040616E">
      <w:rPr>
        <w:rFonts w:ascii="Arial" w:hAnsi="Arial" w:cs="Arial"/>
        <w:b/>
        <w:sz w:val="48"/>
      </w:rPr>
      <w:tab/>
    </w:r>
    <w:r w:rsidRPr="0040616E">
      <w:rPr>
        <w:rFonts w:ascii="Arial" w:hAnsi="Arial" w:cs="Arial"/>
        <w:b/>
        <w:sz w:val="48"/>
      </w:rPr>
      <w:tab/>
    </w:r>
    <w:r w:rsidRPr="0040616E">
      <w:tab/>
    </w:r>
    <w:r w:rsidRPr="0040616E">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16E" w:rsidRDefault="004061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16E" w:rsidRPr="0040616E" w:rsidRDefault="0040616E" w:rsidP="0040616E">
    <w:pPr>
      <w:pStyle w:val="Footer"/>
      <w:rPr>
        <w:rFonts w:ascii="Arial" w:hAnsi="Arial" w:cs="Arial"/>
        <w:b/>
        <w:sz w:val="48"/>
      </w:rPr>
    </w:pPr>
    <w:r w:rsidRPr="0040616E">
      <w:rPr>
        <w:rFonts w:ascii="Arial" w:hAnsi="Arial" w:cs="Arial"/>
        <w:b/>
        <w:sz w:val="48"/>
      </w:rPr>
      <w:t>SV</w:t>
    </w:r>
    <w:r w:rsidRPr="0040616E">
      <w:rPr>
        <w:rFonts w:ascii="Arial" w:hAnsi="Arial" w:cs="Arial"/>
        <w:b/>
        <w:sz w:val="48"/>
      </w:rPr>
      <w:tab/>
    </w:r>
    <w:r>
      <w:fldChar w:fldCharType="begin"/>
    </w:r>
    <w:r>
      <w:instrText xml:space="preserve"> PAGE  \* MERGEFORMAT </w:instrText>
    </w:r>
    <w:r>
      <w:fldChar w:fldCharType="separate"/>
    </w:r>
    <w:r w:rsidR="007650ED">
      <w:rPr>
        <w:noProof/>
      </w:rPr>
      <w:t>8</w:t>
    </w:r>
    <w:r>
      <w:fldChar w:fldCharType="end"/>
    </w:r>
    <w:r>
      <w:tab/>
    </w:r>
    <w:r w:rsidRPr="0040616E">
      <w:tab/>
    </w:r>
    <w:r w:rsidRPr="0040616E">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16E" w:rsidRDefault="0040616E" w:rsidP="00406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E9E" w:rsidRDefault="00E20E9E" w:rsidP="00952AFE">
      <w:pPr>
        <w:spacing w:before="0" w:after="0"/>
      </w:pPr>
      <w:r>
        <w:separator/>
      </w:r>
    </w:p>
  </w:footnote>
  <w:footnote w:type="continuationSeparator" w:id="0">
    <w:p w:rsidR="00E20E9E" w:rsidRDefault="00E20E9E" w:rsidP="00952AFE">
      <w:pPr>
        <w:spacing w:before="0" w:after="0"/>
      </w:pPr>
      <w:r>
        <w:continuationSeparator/>
      </w:r>
    </w:p>
  </w:footnote>
  <w:footnote w:type="continuationNotice" w:id="1">
    <w:p w:rsidR="000949FE" w:rsidRDefault="000949FE">
      <w:pPr>
        <w:spacing w:before="0" w:after="0"/>
      </w:pPr>
    </w:p>
  </w:footnote>
  <w:footnote w:id="2">
    <w:p w:rsidR="008807A8" w:rsidRPr="009B0495" w:rsidRDefault="008807A8" w:rsidP="008807A8">
      <w:pPr>
        <w:pStyle w:val="FootnoteText"/>
      </w:pPr>
      <w:r>
        <w:rPr>
          <w:rStyle w:val="FootnoteReference"/>
        </w:rPr>
        <w:footnoteRef/>
      </w:r>
      <w:r w:rsidRPr="009B0495">
        <w:tab/>
      </w:r>
      <w:bookmarkStart w:id="1" w:name="_Hlk167268508"/>
      <w:r w:rsidRPr="009B0495">
        <w:t xml:space="preserve">EUT 347, 11.12.2006, s. 1. </w:t>
      </w:r>
      <w:bookmarkEnd w:id="1"/>
    </w:p>
  </w:footnote>
  <w:footnote w:id="3">
    <w:p w:rsidR="00B97E8A" w:rsidRPr="009B0495" w:rsidRDefault="00B97E8A" w:rsidP="00B97E8A">
      <w:pPr>
        <w:pStyle w:val="FootnoteText"/>
      </w:pPr>
      <w:r>
        <w:rPr>
          <w:rStyle w:val="FootnoteReference"/>
        </w:rPr>
        <w:footnoteRef/>
      </w:r>
      <w:r w:rsidRPr="009B0495">
        <w:tab/>
      </w:r>
      <w:bookmarkStart w:id="2" w:name="_Hlk164724195"/>
      <w:r w:rsidRPr="009B0495">
        <w:t>Rådets genomförandebeslut (2009/1013/EU) av den 22 december 2009 om bemyndigande för Republiken Österrike att fortsatt tillämpa en åtgärd som avviker från artikel 168 i direktiv 2006/112/EG om ett gemensamt system för mervärdesskatt (EUT L 348, 29.12.2009, s. 21).</w:t>
      </w:r>
    </w:p>
    <w:bookmarkEnd w:id="2"/>
  </w:footnote>
  <w:footnote w:id="4">
    <w:p w:rsidR="00B97E8A" w:rsidRPr="009B0495" w:rsidRDefault="00B97E8A" w:rsidP="00B97E8A">
      <w:pPr>
        <w:pStyle w:val="FootnoteText"/>
      </w:pPr>
      <w:r>
        <w:rPr>
          <w:rStyle w:val="FootnoteReference"/>
        </w:rPr>
        <w:footnoteRef/>
      </w:r>
      <w:r w:rsidRPr="009B0495">
        <w:tab/>
      </w:r>
      <w:bookmarkStart w:id="3" w:name="_Hlk164724288"/>
      <w:r w:rsidRPr="009B0495">
        <w:t>Rådets genomförandebeslut (EU) 2021/1779 av den 5 oktober 2021 om ändring av genomförandebeslut 2009/1013/EU om bemyndigande för Republiken Österrike att fortsatt tillämpa en åtgärd som avviker från artikel 168 i direktiv 2006/112/EG om ett gemensamt system för mervärdesskatt, EUT L 360, 11.10.2021, s. 120.</w:t>
      </w:r>
    </w:p>
    <w:bookmarkEnd w:id="3"/>
  </w:footnote>
  <w:footnote w:id="5">
    <w:p w:rsidR="0021175C" w:rsidRPr="009B0495" w:rsidRDefault="0021175C" w:rsidP="0021175C">
      <w:pPr>
        <w:pStyle w:val="FootnoteText"/>
      </w:pPr>
      <w:r>
        <w:rPr>
          <w:rStyle w:val="FootnoteReference"/>
        </w:rPr>
        <w:footnoteRef/>
      </w:r>
      <w:r w:rsidRPr="009B0495">
        <w:tab/>
        <w:t xml:space="preserve">Rådets beslut 2004/866/EG av den 13 december 2004 om bemyndigande för Republiken Österrike att tillämpa en åtgärd som avviker från artikel 17 i sjätte direktivet 77/388/EEG rörande harmonisering av medlemsstaternas lagstiftning rörande omsättningsskatter, </w:t>
      </w:r>
      <w:hyperlink r:id="rId1" w:history="1">
        <w:r w:rsidRPr="009B0495">
          <w:t>EUT L 371, 18.12.2004, s. 47</w:t>
        </w:r>
      </w:hyperlink>
      <w:r w:rsidRPr="009B0495">
        <w:t>.</w:t>
      </w:r>
    </w:p>
  </w:footnote>
  <w:footnote w:id="6">
    <w:p w:rsidR="0021175C" w:rsidRPr="009B0495" w:rsidRDefault="0021175C" w:rsidP="0021175C">
      <w:pPr>
        <w:pStyle w:val="FootnoteText"/>
      </w:pPr>
      <w:r>
        <w:rPr>
          <w:rStyle w:val="FootnoteReference"/>
        </w:rPr>
        <w:footnoteRef/>
      </w:r>
      <w:r w:rsidRPr="009B0495">
        <w:tab/>
        <w:t xml:space="preserve">Rådets genomförandebeslut 2012/705/EU av den 13 november 2012 om ändring av beslut 2009/791/EG och genomförandebeslut 2009/1013/EU om bemyndigande för Tyskland respektive Österrike att fortsatt tillämpa en åtgärd som avviker från artiklarna 168 och 168a i direktiv 2006/112/EG om ett gemensamt system för mervärdesskatt, </w:t>
      </w:r>
      <w:hyperlink r:id="rId2" w:history="1">
        <w:r w:rsidRPr="009B0495">
          <w:t>EUT L 319, 16.11.2012, s. 8</w:t>
        </w:r>
      </w:hyperlink>
      <w:r w:rsidRPr="009B0495">
        <w:t>.</w:t>
      </w:r>
    </w:p>
  </w:footnote>
  <w:footnote w:id="7">
    <w:p w:rsidR="0021175C" w:rsidRPr="009B0495" w:rsidRDefault="0021175C" w:rsidP="0021175C">
      <w:pPr>
        <w:pStyle w:val="FootnoteText"/>
      </w:pPr>
      <w:r>
        <w:rPr>
          <w:rStyle w:val="FootnoteReference"/>
        </w:rPr>
        <w:footnoteRef/>
      </w:r>
      <w:r w:rsidRPr="009B0495">
        <w:tab/>
        <w:t xml:space="preserve">Rådets genomförandebeslut (EU) 2015/2428 av den 10 december 2015 om ändring av beslut 2009/791/EG och genomförandebeslut 2009/1013/EU om bemyndigande för Tyskland respektive Österrike att fortsatt tillämpa en åtgärd som avviker från artiklarna 168 och 168a i direktiv 2006/112/EG om ett gemensamt system för mervärdesskatt, </w:t>
      </w:r>
      <w:hyperlink r:id="rId3" w:history="1">
        <w:r w:rsidRPr="009B0495">
          <w:t>EUT L 334, 22.12.2015, s. 12</w:t>
        </w:r>
      </w:hyperlink>
      <w:r w:rsidRPr="009B0495">
        <w:t>.</w:t>
      </w:r>
    </w:p>
  </w:footnote>
  <w:footnote w:id="8">
    <w:p w:rsidR="00EF004A" w:rsidRPr="009B0495" w:rsidRDefault="00EF004A" w:rsidP="00EF004A">
      <w:pPr>
        <w:pStyle w:val="FootnoteText"/>
      </w:pPr>
      <w:r>
        <w:rPr>
          <w:rStyle w:val="FootnoteReference"/>
        </w:rPr>
        <w:footnoteRef/>
      </w:r>
      <w:r w:rsidRPr="009B0495">
        <w:tab/>
        <w:t xml:space="preserve">Rådets genomförandebeslut (EU) 2018/1487 av den 2 oktober 2018 om ändring av genomförandebeslut 2009/1013/EU om bemyndigande för Republiken Österrike att fortsatt tillämpa en åtgärd som avviker från artiklarna 168 och 168a i direktiv 2006/112/EG om ett gemensamt system för mervärdesskatt, </w:t>
      </w:r>
      <w:hyperlink r:id="rId4" w:history="1">
        <w:r w:rsidRPr="009B0495">
          <w:t>EUT L 251, 5.10.2018, s. 33</w:t>
        </w:r>
      </w:hyperlink>
      <w:r w:rsidRPr="009B0495">
        <w:t>.</w:t>
      </w:r>
    </w:p>
  </w:footnote>
  <w:footnote w:id="9">
    <w:p w:rsidR="00702352" w:rsidRPr="009B0495" w:rsidRDefault="00702352" w:rsidP="00702352">
      <w:pPr>
        <w:pStyle w:val="FootnoteText"/>
      </w:pPr>
      <w:r>
        <w:rPr>
          <w:rStyle w:val="FootnoteReference"/>
        </w:rPr>
        <w:footnoteRef/>
      </w:r>
      <w:r w:rsidRPr="009B0495">
        <w:tab/>
        <w:t xml:space="preserve">Rådets genomförandebeslut (EU) 2021/1776 av den 5 oktober 2021 om ändring av beslut 2009/791/EG om bemyndigande för Förbundsrepubliken Tyskland att fortsatt tillämpa en åtgärd som avviker från artiklarna 168 och 168a i direktiv 2006/112/EG om ett gemensamt system för mervärdesskatt, </w:t>
      </w:r>
      <w:hyperlink r:id="rId5" w:history="1">
        <w:r w:rsidRPr="009B0495">
          <w:t>EUT L 360, 11.10.2021, s. 112</w:t>
        </w:r>
      </w:hyperlink>
      <w:r w:rsidRPr="009B0495">
        <w:t>.</w:t>
      </w:r>
    </w:p>
  </w:footnote>
  <w:footnote w:id="10">
    <w:p w:rsidR="00702352" w:rsidRPr="009B0495" w:rsidRDefault="00702352" w:rsidP="00760F89">
      <w:pPr>
        <w:pStyle w:val="FootnoteText"/>
      </w:pPr>
      <w:r>
        <w:rPr>
          <w:rStyle w:val="FootnoteReference"/>
        </w:rPr>
        <w:footnoteRef/>
      </w:r>
      <w:r w:rsidRPr="009B0495">
        <w:tab/>
        <w:t xml:space="preserve">KOM(2004) 728 slutlig – Förslag till rådets direktiv om ändring av direktiv 77/388/EEG i syfte att förenkla skyldigheterna på mervärdesskatteområdet (EUT C 24, 29.1.2005, s. 10), återkallat den 21 maj 2014, </w:t>
      </w:r>
      <w:r w:rsidRPr="009B0495">
        <w:rPr>
          <w:rStyle w:val="Hyperlink"/>
        </w:rPr>
        <w:t>EUT C 153, 21.5.2014, s. 3</w:t>
      </w:r>
      <w:r w:rsidRPr="009B0495">
        <w:t xml:space="preserve">. </w:t>
      </w:r>
    </w:p>
  </w:footnote>
  <w:footnote w:id="11">
    <w:p w:rsidR="003A60E3" w:rsidRPr="009B0495" w:rsidRDefault="003A60E3">
      <w:pPr>
        <w:pStyle w:val="FootnoteText"/>
      </w:pPr>
      <w:r>
        <w:rPr>
          <w:rStyle w:val="FootnoteReference"/>
        </w:rPr>
        <w:footnoteRef/>
      </w:r>
      <w:r w:rsidRPr="009B0495">
        <w:tab/>
        <w:t>EUT L 347, 11.12.2006, s. 1. ELI:</w:t>
      </w:r>
      <w:r w:rsidRPr="009B0495">
        <w:rPr>
          <w:rStyle w:val="Hyperlink"/>
        </w:rPr>
        <w:t xml:space="preserve"> </w:t>
      </w:r>
      <w:hyperlink r:id="rId6" w:tooltip="Ger tillgång till detta dokument via dess ELI-adress." w:history="1">
        <w:r w:rsidRPr="009B0495">
          <w:rPr>
            <w:rStyle w:val="Hyperlink"/>
          </w:rPr>
          <w:t>http://data.europa.eu/eli/dir/2006/112/oj</w:t>
        </w:r>
      </w:hyperlink>
      <w:r w:rsidRPr="009B0495">
        <w:rPr>
          <w:sz w:val="24"/>
        </w:rPr>
        <w:t>.</w:t>
      </w:r>
    </w:p>
  </w:footnote>
  <w:footnote w:id="12">
    <w:p w:rsidR="00317736" w:rsidRPr="009B0495" w:rsidRDefault="00317736" w:rsidP="00317736">
      <w:pPr>
        <w:pStyle w:val="FootnoteText"/>
      </w:pPr>
      <w:r>
        <w:rPr>
          <w:rStyle w:val="FootnoteReference"/>
        </w:rPr>
        <w:footnoteRef/>
      </w:r>
      <w:r w:rsidRPr="009B0495">
        <w:tab/>
        <w:t>Rådets genomförandebeslut 2009/1013/EU av den 22 december 2009 om bemyndigande för Republiken Österrike att fortsatt tillämpa en åtgärd som avviker från artikel 168 i direktiv 2006/112/EG om ett gemensamt system för mervärdesskatt (</w:t>
      </w:r>
      <w:hyperlink r:id="rId7" w:history="1">
        <w:r w:rsidRPr="009B0495">
          <w:t>EUT L 348, 29.12.2009, s. 21</w:t>
        </w:r>
      </w:hyperlink>
      <w:r w:rsidRPr="009B0495">
        <w:t>, ELI: </w:t>
      </w:r>
      <w:hyperlink r:id="rId8" w:tooltip="Ger tillgång till detta dokument via dess ELI-adress." w:history="1">
        <w:r w:rsidRPr="009B0495">
          <w:rPr>
            <w:rStyle w:val="Hyperlink"/>
          </w:rPr>
          <w:t>http://data.europa.eu/eli/dec_impl/2009/1013/oj</w:t>
        </w:r>
      </w:hyperlink>
      <w:r w:rsidRPr="009B049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16E" w:rsidRDefault="00406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16E" w:rsidRDefault="00406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F34790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ECE5FD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B08169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38C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10-06 13:20:0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0F7097A-A0CE-47B5-8282-6499A7BB3308"/>
    <w:docVar w:name="LW_COVERPAGE_TYPE" w:val="1"/>
    <w:docVar w:name="LW_CROSSREFERENCE" w:val="&lt;UNUSED&gt;"/>
    <w:docVar w:name="LW_DocType" w:val="COM"/>
    <w:docVar w:name="LW_EMISSION" w:val="10.10.2024"/>
    <w:docVar w:name="LW_EMISSION_ISODATE" w:val="2024-10-10"/>
    <w:docVar w:name="LW_EMISSION_LOCATION" w:val="BRX"/>
    <w:docVar w:name="LW_EMISSION_PREFIX" w:val="Bryssel den "/>
    <w:docVar w:name="LW_EMISSION_SUFFIX" w:val=" "/>
    <w:docVar w:name="LW_ID_DOCMODEL" w:val="SJ-020"/>
    <w:docVar w:name="LW_ID_DOCSIGNATURE" w:val="SJ-020"/>
    <w:docVar w:name="LW_ID_DOCSTRUCTURE" w:val="COM/PL/ORG"/>
    <w:docVar w:name="LW_ID_DOCTYPE" w:val="SJ-020"/>
    <w:docVar w:name="LW_ID_STATUT" w:val="SJ-020"/>
    <w:docVar w:name="LW_INSERT_EXP.MOTIFS.NEW" w:val="1"/>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NLE"/>
    <w:docVar w:name="LW_REF.II.NEW.CP_NUMBER" w:val="0247"/>
    <w:docVar w:name="LW_REF.II.NEW.CP_YEAR" w:val="2024"/>
    <w:docVar w:name="LW_REF.INST.NEW" w:val="COM"/>
    <w:docVar w:name="LW_REF.INST.NEW_ADOPTED" w:val="final"/>
    <w:docVar w:name="LW_REF.INST.NEW_TEXT" w:val="(2024) 44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ändring av genomförandebeslut 2009/1013/EU om bemyndigande för Republiken Österrike att fortsatt tillämpa en åtgärd som avviker från artiklarna 168 och 168a i direktiv 2006/112/EG om ett gemensamt system för mervärdesskatt"/>
    <w:docVar w:name="LW_TYPE.DOC.CP" w:val="RÅDETS GENOMFÖRANDEBESLUT"/>
    <w:docVar w:name="LwApiVersions" w:val="LW4CoDe 1.24.5.0; LW 9.0, Build 20240221"/>
  </w:docVars>
  <w:rsids>
    <w:rsidRoot w:val="00952AFE"/>
    <w:rsid w:val="00006465"/>
    <w:rsid w:val="00023092"/>
    <w:rsid w:val="00027CB2"/>
    <w:rsid w:val="000421F5"/>
    <w:rsid w:val="0005339B"/>
    <w:rsid w:val="00057E41"/>
    <w:rsid w:val="00077F29"/>
    <w:rsid w:val="000949FE"/>
    <w:rsid w:val="000A572B"/>
    <w:rsid w:val="000D7B82"/>
    <w:rsid w:val="000E2DD6"/>
    <w:rsid w:val="000F64AC"/>
    <w:rsid w:val="000F6B29"/>
    <w:rsid w:val="000F7099"/>
    <w:rsid w:val="0010533E"/>
    <w:rsid w:val="001065F5"/>
    <w:rsid w:val="0012272F"/>
    <w:rsid w:val="001238EF"/>
    <w:rsid w:val="00145C56"/>
    <w:rsid w:val="001527A9"/>
    <w:rsid w:val="00170291"/>
    <w:rsid w:val="00197613"/>
    <w:rsid w:val="001A592F"/>
    <w:rsid w:val="001A5B20"/>
    <w:rsid w:val="001B45BD"/>
    <w:rsid w:val="001C0736"/>
    <w:rsid w:val="001C34BA"/>
    <w:rsid w:val="001E7A10"/>
    <w:rsid w:val="001F0695"/>
    <w:rsid w:val="00201AC3"/>
    <w:rsid w:val="00210AA2"/>
    <w:rsid w:val="0021108E"/>
    <w:rsid w:val="0021175C"/>
    <w:rsid w:val="00214581"/>
    <w:rsid w:val="002333AE"/>
    <w:rsid w:val="00233DC7"/>
    <w:rsid w:val="002367E3"/>
    <w:rsid w:val="00247779"/>
    <w:rsid w:val="00263C57"/>
    <w:rsid w:val="0026608F"/>
    <w:rsid w:val="00285BEE"/>
    <w:rsid w:val="002928F8"/>
    <w:rsid w:val="0029533F"/>
    <w:rsid w:val="0029624A"/>
    <w:rsid w:val="002B30AF"/>
    <w:rsid w:val="002C7854"/>
    <w:rsid w:val="002F38E8"/>
    <w:rsid w:val="002F7ED7"/>
    <w:rsid w:val="0031041A"/>
    <w:rsid w:val="003140B3"/>
    <w:rsid w:val="00317736"/>
    <w:rsid w:val="0033344A"/>
    <w:rsid w:val="00337A43"/>
    <w:rsid w:val="003472C7"/>
    <w:rsid w:val="00355F01"/>
    <w:rsid w:val="003661E6"/>
    <w:rsid w:val="00375B79"/>
    <w:rsid w:val="0037663A"/>
    <w:rsid w:val="0039495F"/>
    <w:rsid w:val="003A60E3"/>
    <w:rsid w:val="003A6418"/>
    <w:rsid w:val="003B76BB"/>
    <w:rsid w:val="003C49AD"/>
    <w:rsid w:val="0040616E"/>
    <w:rsid w:val="00416AAF"/>
    <w:rsid w:val="0042648E"/>
    <w:rsid w:val="00434711"/>
    <w:rsid w:val="00436D9B"/>
    <w:rsid w:val="0046429C"/>
    <w:rsid w:val="004660A8"/>
    <w:rsid w:val="00466763"/>
    <w:rsid w:val="00483A56"/>
    <w:rsid w:val="004936D2"/>
    <w:rsid w:val="0049587F"/>
    <w:rsid w:val="004A26A2"/>
    <w:rsid w:val="004B705F"/>
    <w:rsid w:val="004C1B4E"/>
    <w:rsid w:val="004C6C02"/>
    <w:rsid w:val="004D3BAC"/>
    <w:rsid w:val="004E3CFA"/>
    <w:rsid w:val="0052100F"/>
    <w:rsid w:val="00523930"/>
    <w:rsid w:val="00533A3E"/>
    <w:rsid w:val="005427BA"/>
    <w:rsid w:val="005438DE"/>
    <w:rsid w:val="00560333"/>
    <w:rsid w:val="0056225F"/>
    <w:rsid w:val="005658C9"/>
    <w:rsid w:val="005B1EB6"/>
    <w:rsid w:val="005E1EDE"/>
    <w:rsid w:val="005E3686"/>
    <w:rsid w:val="005F611B"/>
    <w:rsid w:val="0061359C"/>
    <w:rsid w:val="00623F31"/>
    <w:rsid w:val="00635821"/>
    <w:rsid w:val="006E1042"/>
    <w:rsid w:val="006E14D9"/>
    <w:rsid w:val="006E6264"/>
    <w:rsid w:val="00702352"/>
    <w:rsid w:val="00734F13"/>
    <w:rsid w:val="00735FED"/>
    <w:rsid w:val="00760F89"/>
    <w:rsid w:val="00762AE9"/>
    <w:rsid w:val="007650ED"/>
    <w:rsid w:val="00773331"/>
    <w:rsid w:val="00773900"/>
    <w:rsid w:val="007757CD"/>
    <w:rsid w:val="00786507"/>
    <w:rsid w:val="00787450"/>
    <w:rsid w:val="00787EDD"/>
    <w:rsid w:val="007932EF"/>
    <w:rsid w:val="00795759"/>
    <w:rsid w:val="00797CC3"/>
    <w:rsid w:val="007A48E8"/>
    <w:rsid w:val="007E05B0"/>
    <w:rsid w:val="0080495F"/>
    <w:rsid w:val="00812F30"/>
    <w:rsid w:val="00823C31"/>
    <w:rsid w:val="00850985"/>
    <w:rsid w:val="00851108"/>
    <w:rsid w:val="0085599B"/>
    <w:rsid w:val="0087267F"/>
    <w:rsid w:val="00874D22"/>
    <w:rsid w:val="008807A8"/>
    <w:rsid w:val="00893E07"/>
    <w:rsid w:val="008A2914"/>
    <w:rsid w:val="008B6A44"/>
    <w:rsid w:val="008B75D5"/>
    <w:rsid w:val="008C6DBC"/>
    <w:rsid w:val="008E4D8E"/>
    <w:rsid w:val="008F2AC7"/>
    <w:rsid w:val="00903FA2"/>
    <w:rsid w:val="00922F28"/>
    <w:rsid w:val="00925934"/>
    <w:rsid w:val="00934DCC"/>
    <w:rsid w:val="00952AFE"/>
    <w:rsid w:val="009556B6"/>
    <w:rsid w:val="00981484"/>
    <w:rsid w:val="009B0495"/>
    <w:rsid w:val="009B7722"/>
    <w:rsid w:val="009D004B"/>
    <w:rsid w:val="009D3EB9"/>
    <w:rsid w:val="00A07CDF"/>
    <w:rsid w:val="00A224F1"/>
    <w:rsid w:val="00A5761C"/>
    <w:rsid w:val="00A72BA9"/>
    <w:rsid w:val="00A76F53"/>
    <w:rsid w:val="00A87EA6"/>
    <w:rsid w:val="00A944CF"/>
    <w:rsid w:val="00AA6DB5"/>
    <w:rsid w:val="00AA6F4E"/>
    <w:rsid w:val="00AB5AED"/>
    <w:rsid w:val="00AE7CEC"/>
    <w:rsid w:val="00AF0DF3"/>
    <w:rsid w:val="00AF56A7"/>
    <w:rsid w:val="00B050F2"/>
    <w:rsid w:val="00B1750A"/>
    <w:rsid w:val="00B308F0"/>
    <w:rsid w:val="00B32300"/>
    <w:rsid w:val="00B349D4"/>
    <w:rsid w:val="00B355AA"/>
    <w:rsid w:val="00B41D0C"/>
    <w:rsid w:val="00B423AE"/>
    <w:rsid w:val="00B51779"/>
    <w:rsid w:val="00B700C2"/>
    <w:rsid w:val="00B8355F"/>
    <w:rsid w:val="00B86452"/>
    <w:rsid w:val="00B97E8A"/>
    <w:rsid w:val="00BA5625"/>
    <w:rsid w:val="00BB3837"/>
    <w:rsid w:val="00BC2F87"/>
    <w:rsid w:val="00BD4FD7"/>
    <w:rsid w:val="00BE6EAE"/>
    <w:rsid w:val="00BF0717"/>
    <w:rsid w:val="00C02A6A"/>
    <w:rsid w:val="00C03874"/>
    <w:rsid w:val="00C12301"/>
    <w:rsid w:val="00C13022"/>
    <w:rsid w:val="00C237F7"/>
    <w:rsid w:val="00C67110"/>
    <w:rsid w:val="00C81CA9"/>
    <w:rsid w:val="00C8719A"/>
    <w:rsid w:val="00C92298"/>
    <w:rsid w:val="00CA3BED"/>
    <w:rsid w:val="00CA6B84"/>
    <w:rsid w:val="00CA7C2B"/>
    <w:rsid w:val="00CB0B30"/>
    <w:rsid w:val="00CB0CD3"/>
    <w:rsid w:val="00CD1A39"/>
    <w:rsid w:val="00CE3EB6"/>
    <w:rsid w:val="00CF28E6"/>
    <w:rsid w:val="00CF5355"/>
    <w:rsid w:val="00D05134"/>
    <w:rsid w:val="00D20381"/>
    <w:rsid w:val="00D328C1"/>
    <w:rsid w:val="00D416E4"/>
    <w:rsid w:val="00D44F19"/>
    <w:rsid w:val="00D53357"/>
    <w:rsid w:val="00D91652"/>
    <w:rsid w:val="00DC3744"/>
    <w:rsid w:val="00DC4FD6"/>
    <w:rsid w:val="00DE59D1"/>
    <w:rsid w:val="00DF74E1"/>
    <w:rsid w:val="00E20E9E"/>
    <w:rsid w:val="00E3787A"/>
    <w:rsid w:val="00E52253"/>
    <w:rsid w:val="00E56B6D"/>
    <w:rsid w:val="00E66A70"/>
    <w:rsid w:val="00E8328D"/>
    <w:rsid w:val="00EA2DD8"/>
    <w:rsid w:val="00EA63C8"/>
    <w:rsid w:val="00EA7755"/>
    <w:rsid w:val="00ED0C7D"/>
    <w:rsid w:val="00EF004A"/>
    <w:rsid w:val="00EF3829"/>
    <w:rsid w:val="00F03C70"/>
    <w:rsid w:val="00F51A2A"/>
    <w:rsid w:val="00F56C47"/>
    <w:rsid w:val="00F611C1"/>
    <w:rsid w:val="00F621FA"/>
    <w:rsid w:val="00F705CA"/>
    <w:rsid w:val="00F8542A"/>
    <w:rsid w:val="00F969F7"/>
    <w:rsid w:val="00FB6CA6"/>
    <w:rsid w:val="00FC38F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32DAA66A-D8DB-4792-B4D3-A56A0CF3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52AFE"/>
    <w:pPr>
      <w:numPr>
        <w:numId w:val="1"/>
      </w:numPr>
    </w:pPr>
    <w:rPr>
      <w:rFonts w:eastAsia="Times New Roman"/>
      <w:lang w:eastAsia="en-GB"/>
    </w:rPr>
  </w:style>
  <w:style w:type="paragraph" w:styleId="ListBullet2">
    <w:name w:val="List Bullet 2"/>
    <w:basedOn w:val="Normal"/>
    <w:uiPriority w:val="99"/>
    <w:semiHidden/>
    <w:unhideWhenUsed/>
    <w:rsid w:val="00B97E8A"/>
    <w:pPr>
      <w:numPr>
        <w:numId w:val="2"/>
      </w:numPr>
      <w:contextualSpacing/>
    </w:pPr>
  </w:style>
  <w:style w:type="paragraph" w:styleId="ListBullet3">
    <w:name w:val="List Bullet 3"/>
    <w:basedOn w:val="Normal"/>
    <w:uiPriority w:val="99"/>
    <w:semiHidden/>
    <w:unhideWhenUsed/>
    <w:rsid w:val="00B97E8A"/>
    <w:pPr>
      <w:numPr>
        <w:numId w:val="3"/>
      </w:numPr>
      <w:contextualSpacing/>
    </w:pPr>
  </w:style>
  <w:style w:type="paragraph" w:styleId="ListBullet4">
    <w:name w:val="List Bullet 4"/>
    <w:basedOn w:val="Normal"/>
    <w:uiPriority w:val="99"/>
    <w:semiHidden/>
    <w:unhideWhenUsed/>
    <w:rsid w:val="00B97E8A"/>
    <w:pPr>
      <w:numPr>
        <w:numId w:val="4"/>
      </w:numPr>
      <w:contextualSpacing/>
    </w:pPr>
  </w:style>
  <w:style w:type="character" w:styleId="Hyperlink">
    <w:name w:val="Hyperlink"/>
    <w:basedOn w:val="DefaultParagraphFont"/>
    <w:uiPriority w:val="99"/>
    <w:unhideWhenUsed/>
    <w:rsid w:val="00C13022"/>
    <w:rPr>
      <w:color w:val="0000FF" w:themeColor="hyperlink"/>
      <w:u w:val="single"/>
    </w:rPr>
  </w:style>
  <w:style w:type="character" w:customStyle="1" w:styleId="UnresolvedMention">
    <w:name w:val="Unresolved Mention"/>
    <w:basedOn w:val="DefaultParagraphFont"/>
    <w:uiPriority w:val="99"/>
    <w:semiHidden/>
    <w:unhideWhenUsed/>
    <w:rsid w:val="00C13022"/>
    <w:rPr>
      <w:color w:val="605E5C"/>
      <w:shd w:val="clear" w:color="auto" w:fill="E1DFDD"/>
    </w:rPr>
  </w:style>
  <w:style w:type="character" w:styleId="CommentReference">
    <w:name w:val="annotation reference"/>
    <w:basedOn w:val="DefaultParagraphFont"/>
    <w:uiPriority w:val="99"/>
    <w:semiHidden/>
    <w:unhideWhenUsed/>
    <w:rsid w:val="008B6A44"/>
    <w:rPr>
      <w:sz w:val="16"/>
      <w:szCs w:val="16"/>
    </w:rPr>
  </w:style>
  <w:style w:type="paragraph" w:styleId="CommentText">
    <w:name w:val="annotation text"/>
    <w:basedOn w:val="Normal"/>
    <w:link w:val="CommentTextChar"/>
    <w:uiPriority w:val="99"/>
    <w:unhideWhenUsed/>
    <w:rsid w:val="008B6A44"/>
    <w:rPr>
      <w:sz w:val="20"/>
      <w:szCs w:val="20"/>
    </w:rPr>
  </w:style>
  <w:style w:type="character" w:customStyle="1" w:styleId="CommentTextChar">
    <w:name w:val="Comment Text Char"/>
    <w:basedOn w:val="DefaultParagraphFont"/>
    <w:link w:val="CommentText"/>
    <w:uiPriority w:val="99"/>
    <w:rsid w:val="008B6A44"/>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8B6A44"/>
    <w:rPr>
      <w:b/>
      <w:bCs/>
    </w:rPr>
  </w:style>
  <w:style w:type="character" w:customStyle="1" w:styleId="CommentSubjectChar">
    <w:name w:val="Comment Subject Char"/>
    <w:basedOn w:val="CommentTextChar"/>
    <w:link w:val="CommentSubject"/>
    <w:uiPriority w:val="99"/>
    <w:semiHidden/>
    <w:rsid w:val="008B6A44"/>
    <w:rPr>
      <w:rFonts w:ascii="Times New Roman" w:hAnsi="Times New Roman" w:cs="Times New Roman"/>
      <w:b/>
      <w:bCs/>
      <w:sz w:val="20"/>
      <w:szCs w:val="20"/>
      <w:lang w:val="sv-SE"/>
    </w:rPr>
  </w:style>
  <w:style w:type="character" w:styleId="Strong">
    <w:name w:val="Strong"/>
    <w:basedOn w:val="DefaultParagraphFont"/>
    <w:uiPriority w:val="22"/>
    <w:qFormat/>
    <w:rsid w:val="00317736"/>
    <w:rPr>
      <w:b/>
      <w:bCs/>
    </w:rPr>
  </w:style>
  <w:style w:type="paragraph" w:styleId="NormalWeb">
    <w:name w:val="Normal (Web)"/>
    <w:basedOn w:val="Normal"/>
    <w:uiPriority w:val="99"/>
    <w:semiHidden/>
    <w:unhideWhenUsed/>
    <w:rsid w:val="00023092"/>
    <w:rPr>
      <w:szCs w:val="24"/>
    </w:rPr>
  </w:style>
  <w:style w:type="character" w:styleId="FollowedHyperlink">
    <w:name w:val="FollowedHyperlink"/>
    <w:basedOn w:val="DefaultParagraphFont"/>
    <w:uiPriority w:val="99"/>
    <w:semiHidden/>
    <w:unhideWhenUsed/>
    <w:rsid w:val="00023092"/>
    <w:rPr>
      <w:color w:val="800080" w:themeColor="followedHyperlink"/>
      <w:u w:val="single"/>
    </w:rPr>
  </w:style>
  <w:style w:type="paragraph" w:styleId="Revision">
    <w:name w:val="Revision"/>
    <w:hidden/>
    <w:uiPriority w:val="99"/>
    <w:semiHidden/>
    <w:rsid w:val="00851108"/>
    <w:pPr>
      <w:spacing w:after="0" w:line="240" w:lineRule="auto"/>
    </w:pPr>
    <w:rPr>
      <w:rFonts w:ascii="Times New Roman" w:hAnsi="Times New Roman" w:cs="Times New Roman"/>
      <w:sz w:val="24"/>
    </w:rPr>
  </w:style>
  <w:style w:type="character" w:customStyle="1" w:styleId="HeaderChar">
    <w:name w:val="Header Char"/>
    <w:basedOn w:val="DefaultParagraphFont"/>
    <w:link w:val="Header"/>
    <w:uiPriority w:val="99"/>
    <w:rsid w:val="0040616E"/>
    <w:rPr>
      <w:rFonts w:ascii="Times New Roman" w:hAnsi="Times New Roman" w:cs="Times New Roman"/>
      <w:sz w:val="24"/>
      <w:lang w:val="sv-SE"/>
    </w:rPr>
  </w:style>
  <w:style w:type="character" w:customStyle="1" w:styleId="FooterChar">
    <w:name w:val="Footer Char"/>
    <w:basedOn w:val="DefaultParagraphFont"/>
    <w:link w:val="Footer"/>
    <w:uiPriority w:val="99"/>
    <w:rsid w:val="0040616E"/>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0616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0616E"/>
    <w:pPr>
      <w:spacing w:before="0"/>
      <w:jc w:val="right"/>
    </w:pPr>
    <w:rPr>
      <w:sz w:val="28"/>
    </w:rPr>
  </w:style>
  <w:style w:type="paragraph" w:customStyle="1" w:styleId="FooterSensitivity">
    <w:name w:val="Footer Sensitivity"/>
    <w:basedOn w:val="Normal"/>
    <w:rsid w:val="0040616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0616E"/>
    <w:pPr>
      <w:tabs>
        <w:tab w:val="center" w:pos="4535"/>
        <w:tab w:val="right" w:pos="9071"/>
      </w:tabs>
      <w:spacing w:before="0"/>
    </w:pPr>
  </w:style>
  <w:style w:type="paragraph" w:customStyle="1" w:styleId="HeaderLandscape">
    <w:name w:val="HeaderLandscape"/>
    <w:basedOn w:val="Normal"/>
    <w:rsid w:val="0040616E"/>
    <w:pPr>
      <w:tabs>
        <w:tab w:val="center" w:pos="7285"/>
        <w:tab w:val="right" w:pos="14003"/>
      </w:tabs>
      <w:spacing w:before="0"/>
    </w:pPr>
  </w:style>
  <w:style w:type="paragraph" w:styleId="Footer">
    <w:name w:val="footer"/>
    <w:basedOn w:val="Normal"/>
    <w:link w:val="FooterChar"/>
    <w:uiPriority w:val="99"/>
    <w:unhideWhenUsed/>
    <w:rsid w:val="0040616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0616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19849">
      <w:bodyDiv w:val="1"/>
      <w:marLeft w:val="0"/>
      <w:marRight w:val="0"/>
      <w:marTop w:val="0"/>
      <w:marBottom w:val="0"/>
      <w:divBdr>
        <w:top w:val="none" w:sz="0" w:space="0" w:color="auto"/>
        <w:left w:val="none" w:sz="0" w:space="0" w:color="auto"/>
        <w:bottom w:val="none" w:sz="0" w:space="0" w:color="auto"/>
        <w:right w:val="none" w:sz="0" w:space="0" w:color="auto"/>
      </w:divBdr>
      <w:divsChild>
        <w:div w:id="679551832">
          <w:marLeft w:val="0"/>
          <w:marRight w:val="0"/>
          <w:marTop w:val="0"/>
          <w:marBottom w:val="0"/>
          <w:divBdr>
            <w:top w:val="none" w:sz="0" w:space="0" w:color="auto"/>
            <w:left w:val="none" w:sz="0" w:space="0" w:color="auto"/>
            <w:bottom w:val="none" w:sz="0" w:space="0" w:color="auto"/>
            <w:right w:val="none" w:sz="0" w:space="0" w:color="auto"/>
          </w:divBdr>
          <w:divsChild>
            <w:div w:id="968778086">
              <w:marLeft w:val="0"/>
              <w:marRight w:val="0"/>
              <w:marTop w:val="0"/>
              <w:marBottom w:val="0"/>
              <w:divBdr>
                <w:top w:val="none" w:sz="0" w:space="0" w:color="auto"/>
                <w:left w:val="none" w:sz="0" w:space="0" w:color="auto"/>
                <w:bottom w:val="none" w:sz="0" w:space="0" w:color="auto"/>
                <w:right w:val="none" w:sz="0" w:space="0" w:color="auto"/>
              </w:divBdr>
              <w:divsChild>
                <w:div w:id="1777947235">
                  <w:marLeft w:val="0"/>
                  <w:marRight w:val="0"/>
                  <w:marTop w:val="0"/>
                  <w:marBottom w:val="0"/>
                  <w:divBdr>
                    <w:top w:val="none" w:sz="0" w:space="0" w:color="auto"/>
                    <w:left w:val="none" w:sz="0" w:space="0" w:color="auto"/>
                    <w:bottom w:val="none" w:sz="0" w:space="0" w:color="auto"/>
                    <w:right w:val="none" w:sz="0" w:space="0" w:color="auto"/>
                  </w:divBdr>
                  <w:divsChild>
                    <w:div w:id="16677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2885">
      <w:bodyDiv w:val="1"/>
      <w:marLeft w:val="0"/>
      <w:marRight w:val="0"/>
      <w:marTop w:val="0"/>
      <w:marBottom w:val="0"/>
      <w:divBdr>
        <w:top w:val="none" w:sz="0" w:space="0" w:color="auto"/>
        <w:left w:val="none" w:sz="0" w:space="0" w:color="auto"/>
        <w:bottom w:val="none" w:sz="0" w:space="0" w:color="auto"/>
        <w:right w:val="none" w:sz="0" w:space="0" w:color="auto"/>
      </w:divBdr>
      <w:divsChild>
        <w:div w:id="1176505426">
          <w:marLeft w:val="0"/>
          <w:marRight w:val="0"/>
          <w:marTop w:val="0"/>
          <w:marBottom w:val="0"/>
          <w:divBdr>
            <w:top w:val="none" w:sz="0" w:space="0" w:color="auto"/>
            <w:left w:val="none" w:sz="0" w:space="0" w:color="auto"/>
            <w:bottom w:val="none" w:sz="0" w:space="0" w:color="auto"/>
            <w:right w:val="none" w:sz="0" w:space="0" w:color="auto"/>
          </w:divBdr>
          <w:divsChild>
            <w:div w:id="825512887">
              <w:marLeft w:val="0"/>
              <w:marRight w:val="0"/>
              <w:marTop w:val="0"/>
              <w:marBottom w:val="0"/>
              <w:divBdr>
                <w:top w:val="none" w:sz="0" w:space="0" w:color="auto"/>
                <w:left w:val="none" w:sz="0" w:space="0" w:color="auto"/>
                <w:bottom w:val="none" w:sz="0" w:space="0" w:color="auto"/>
                <w:right w:val="none" w:sz="0" w:space="0" w:color="auto"/>
              </w:divBdr>
              <w:divsChild>
                <w:div w:id="105200649">
                  <w:marLeft w:val="0"/>
                  <w:marRight w:val="0"/>
                  <w:marTop w:val="0"/>
                  <w:marBottom w:val="0"/>
                  <w:divBdr>
                    <w:top w:val="none" w:sz="0" w:space="0" w:color="auto"/>
                    <w:left w:val="none" w:sz="0" w:space="0" w:color="auto"/>
                    <w:bottom w:val="none" w:sz="0" w:space="0" w:color="auto"/>
                    <w:right w:val="none" w:sz="0" w:space="0" w:color="auto"/>
                  </w:divBdr>
                  <w:divsChild>
                    <w:div w:id="2880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765204">
      <w:bodyDiv w:val="1"/>
      <w:marLeft w:val="0"/>
      <w:marRight w:val="0"/>
      <w:marTop w:val="0"/>
      <w:marBottom w:val="0"/>
      <w:divBdr>
        <w:top w:val="none" w:sz="0" w:space="0" w:color="auto"/>
        <w:left w:val="none" w:sz="0" w:space="0" w:color="auto"/>
        <w:bottom w:val="none" w:sz="0" w:space="0" w:color="auto"/>
        <w:right w:val="none" w:sz="0" w:space="0" w:color="auto"/>
      </w:divBdr>
      <w:divsChild>
        <w:div w:id="900215399">
          <w:marLeft w:val="0"/>
          <w:marRight w:val="0"/>
          <w:marTop w:val="0"/>
          <w:marBottom w:val="0"/>
          <w:divBdr>
            <w:top w:val="none" w:sz="0" w:space="0" w:color="auto"/>
            <w:left w:val="none" w:sz="0" w:space="0" w:color="auto"/>
            <w:bottom w:val="none" w:sz="0" w:space="0" w:color="auto"/>
            <w:right w:val="none" w:sz="0" w:space="0" w:color="auto"/>
          </w:divBdr>
          <w:divsChild>
            <w:div w:id="65542571">
              <w:marLeft w:val="0"/>
              <w:marRight w:val="0"/>
              <w:marTop w:val="0"/>
              <w:marBottom w:val="0"/>
              <w:divBdr>
                <w:top w:val="none" w:sz="0" w:space="0" w:color="auto"/>
                <w:left w:val="none" w:sz="0" w:space="0" w:color="auto"/>
                <w:bottom w:val="none" w:sz="0" w:space="0" w:color="auto"/>
                <w:right w:val="none" w:sz="0" w:space="0" w:color="auto"/>
              </w:divBdr>
              <w:divsChild>
                <w:div w:id="246965992">
                  <w:marLeft w:val="0"/>
                  <w:marRight w:val="0"/>
                  <w:marTop w:val="0"/>
                  <w:marBottom w:val="0"/>
                  <w:divBdr>
                    <w:top w:val="none" w:sz="0" w:space="0" w:color="auto"/>
                    <w:left w:val="none" w:sz="0" w:space="0" w:color="auto"/>
                    <w:bottom w:val="none" w:sz="0" w:space="0" w:color="auto"/>
                    <w:right w:val="none" w:sz="0" w:space="0" w:color="auto"/>
                  </w:divBdr>
                  <w:divsChild>
                    <w:div w:id="20272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_impl/2009/1013/oj" TargetMode="External"/><Relationship Id="rId3" Type="http://schemas.openxmlformats.org/officeDocument/2006/relationships/hyperlink" Target="https://eur-lex.europa.eu/legal-content/EN/TXT/?uri=celex%3A32015D2428" TargetMode="External"/><Relationship Id="rId7" Type="http://schemas.openxmlformats.org/officeDocument/2006/relationships/hyperlink" Target="file:///C:\Users\roslupa\AppData\Local\Microsoft\Windows\INetCache\Content.Outlook\BAJ3VMQW\OJ%20L%20348,%2029.12.2009,%20p.%2021" TargetMode="External"/><Relationship Id="rId2" Type="http://schemas.openxmlformats.org/officeDocument/2006/relationships/hyperlink" Target="https://eur-lex.europa.eu/legal-content/EN/TXT/?uri=celex%3A32012D0705" TargetMode="External"/><Relationship Id="rId1" Type="http://schemas.openxmlformats.org/officeDocument/2006/relationships/hyperlink" Target="https://eur-lex.europa.eu/legal-content/EN/TXT/?uri=CELEX%3A32004D0866&amp;qid=1713801665769" TargetMode="External"/><Relationship Id="rId6" Type="http://schemas.openxmlformats.org/officeDocument/2006/relationships/hyperlink" Target="http://data.europa.eu/eli/dir/2006/112/oj" TargetMode="External"/><Relationship Id="rId5" Type="http://schemas.openxmlformats.org/officeDocument/2006/relationships/hyperlink" Target="file:///\\net1.cec.eu.int\taxud\C\TAXUD-C1\f)%20FILES%20BY%20ACRONYM\14%20DEROGSIMPL\2.%20Derogations%20-%20years\2024\AT%20-%2090%25%20deduction%20rule%20-%20extension\3.%20Proposal\OJ%20L%20360,%2011.10.2021,%20p.%20112" TargetMode="External"/><Relationship Id="rId4" Type="http://schemas.openxmlformats.org/officeDocument/2006/relationships/hyperlink" Target="https://eur-lex.europa.eu/legal-content/EN/TXT/?uri=celex%3A32018D14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9652a2d46328713989bb97f1a4bbd963">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4f29c4ebe26ab41c5114504f141434bd"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558A1-3383-4FFA-A013-F0D936E73A17}">
  <ds:schemaRefs>
    <ds:schemaRef ds:uri="144c03d0-0f03-451f-9d46-5279004462a4"/>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f7bb8512-91eb-4bfd-be42-d6f021407e9a"/>
    <ds:schemaRef ds:uri="http://schemas.microsoft.com/sharepoint/v3/fields"/>
  </ds:schemaRefs>
</ds:datastoreItem>
</file>

<file path=customXml/itemProps2.xml><?xml version="1.0" encoding="utf-8"?>
<ds:datastoreItem xmlns:ds="http://schemas.openxmlformats.org/officeDocument/2006/customXml" ds:itemID="{F9F53912-ACBA-45E3-819C-44F3CC102FDF}">
  <ds:schemaRefs>
    <ds:schemaRef ds:uri="http://schemas.microsoft.com/sharepoint/v3/contenttype/forms"/>
  </ds:schemaRefs>
</ds:datastoreItem>
</file>

<file path=customXml/itemProps3.xml><?xml version="1.0" encoding="utf-8"?>
<ds:datastoreItem xmlns:ds="http://schemas.openxmlformats.org/officeDocument/2006/customXml" ds:itemID="{AB2F0D11-2092-41D9-B433-083471DE8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533CD-569E-4BFB-8940-4DAF2C53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7</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17125</CharactersWithSpaces>
  <SharedDoc>false</SharedDoc>
  <HLinks>
    <vt:vector size="48" baseType="variant">
      <vt:variant>
        <vt:i4>1900590</vt:i4>
      </vt:variant>
      <vt:variant>
        <vt:i4>21</vt:i4>
      </vt:variant>
      <vt:variant>
        <vt:i4>0</vt:i4>
      </vt:variant>
      <vt:variant>
        <vt:i4>5</vt:i4>
      </vt:variant>
      <vt:variant>
        <vt:lpwstr>http://data.europa.eu/eli/dec_impl/2009/1013/oj</vt:lpwstr>
      </vt:variant>
      <vt:variant>
        <vt:lpwstr/>
      </vt:variant>
      <vt:variant>
        <vt:i4>4063271</vt:i4>
      </vt:variant>
      <vt:variant>
        <vt:i4>18</vt:i4>
      </vt:variant>
      <vt:variant>
        <vt:i4>0</vt:i4>
      </vt:variant>
      <vt:variant>
        <vt:i4>5</vt:i4>
      </vt:variant>
      <vt:variant>
        <vt:lpwstr>OJ L 348, 29.12.2009, p. 21</vt:lpwstr>
      </vt:variant>
      <vt:variant>
        <vt:lpwstr/>
      </vt:variant>
      <vt:variant>
        <vt:i4>4915228</vt:i4>
      </vt:variant>
      <vt:variant>
        <vt:i4>15</vt:i4>
      </vt:variant>
      <vt:variant>
        <vt:i4>0</vt:i4>
      </vt:variant>
      <vt:variant>
        <vt:i4>5</vt:i4>
      </vt:variant>
      <vt:variant>
        <vt:lpwstr>http://data.europa.eu/eli/dir/2006/112/oj</vt:lpwstr>
      </vt:variant>
      <vt:variant>
        <vt:lpwstr/>
      </vt:variant>
      <vt:variant>
        <vt:i4>3145781</vt:i4>
      </vt:variant>
      <vt:variant>
        <vt:i4>12</vt:i4>
      </vt:variant>
      <vt:variant>
        <vt:i4>0</vt:i4>
      </vt:variant>
      <vt:variant>
        <vt:i4>5</vt:i4>
      </vt:variant>
      <vt:variant>
        <vt:lpwstr>\\net1.cec.eu.int\taxud\C\TAXUD-C1\f) FILES BY ACRONYM\14 DEROGSIMPL\2. Derogations - years\2024\AT - 90% deduction rule - extension\3. Proposal\OJ L 360, 11.10.2021, p. 112</vt:lpwstr>
      </vt:variant>
      <vt:variant>
        <vt:lpwstr/>
      </vt:variant>
      <vt:variant>
        <vt:i4>8257651</vt:i4>
      </vt:variant>
      <vt:variant>
        <vt:i4>9</vt:i4>
      </vt:variant>
      <vt:variant>
        <vt:i4>0</vt:i4>
      </vt:variant>
      <vt:variant>
        <vt:i4>5</vt:i4>
      </vt:variant>
      <vt:variant>
        <vt:lpwstr>https://eur-lex.europa.eu/legal-content/EN/TXT/?uri=celex%3A32018D1487</vt:lpwstr>
      </vt:variant>
      <vt:variant>
        <vt:lpwstr/>
      </vt:variant>
      <vt:variant>
        <vt:i4>7405687</vt:i4>
      </vt:variant>
      <vt:variant>
        <vt:i4>6</vt:i4>
      </vt:variant>
      <vt:variant>
        <vt:i4>0</vt:i4>
      </vt:variant>
      <vt:variant>
        <vt:i4>5</vt:i4>
      </vt:variant>
      <vt:variant>
        <vt:lpwstr>https://eur-lex.europa.eu/legal-content/EN/TXT/?uri=celex%3A32015D2428</vt:lpwstr>
      </vt:variant>
      <vt:variant>
        <vt:lpwstr/>
      </vt:variant>
      <vt:variant>
        <vt:i4>8323184</vt:i4>
      </vt:variant>
      <vt:variant>
        <vt:i4>3</vt:i4>
      </vt:variant>
      <vt:variant>
        <vt:i4>0</vt:i4>
      </vt:variant>
      <vt:variant>
        <vt:i4>5</vt:i4>
      </vt:variant>
      <vt:variant>
        <vt:lpwstr>https://eur-lex.europa.eu/legal-content/EN/TXT/?uri=celex%3A32012D0705</vt:lpwstr>
      </vt:variant>
      <vt:variant>
        <vt:lpwstr/>
      </vt:variant>
      <vt:variant>
        <vt:i4>5636099</vt:i4>
      </vt:variant>
      <vt:variant>
        <vt:i4>0</vt:i4>
      </vt:variant>
      <vt:variant>
        <vt:i4>0</vt:i4>
      </vt:variant>
      <vt:variant>
        <vt:i4>5</vt:i4>
      </vt:variant>
      <vt:variant>
        <vt:lpwstr>https://eur-lex.europa.eu/legal-content/EN/TXT/?uri=CELEX%3A32004D0866&amp;qid=1713801665769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2024-09-12T12:00:00Z</dcterms:created>
  <dcterms:modified xsi:type="dcterms:W3CDTF">2024-10-06T11:20:00Z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MSIP_Label_6bd9ddd1-4d20-43f6-abfa-fc3c07406f94_Enabled">
    <vt:lpwstr>true</vt:lpwstr>
  </property>
  <property fmtid="{D5CDD505-2E9C-101B-9397-08002B2CF9AE}" pid="11" name="MSIP_Label_6bd9ddd1-4d20-43f6-abfa-fc3c07406f94_SetDate">
    <vt:lpwstr>2024-04-22T10:21:07Z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eaa3f74b-6cf8-4754-935a-0e8c2ac7b380</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DQCStatus">
    <vt:lpwstr>Green (DQC version 03)</vt:lpwstr>
  </property>
  <property name="OP_sanitized" fmtid="{D5CDD505-2E9C-101B-9397-08002B2CF9AE}" pid="19">
    <vt:lpwstr>True</vt:lpwstr>
  </property>
</Properties>
</file>