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33231" w14:textId="22141FBB" w:rsidR="00894F53" w:rsidRDefault="00124AE0" w:rsidP="00124AE0">
      <w:pPr>
        <w:pStyle w:val="Pagedecouverture"/>
        <w:rPr>
          <w:noProof/>
        </w:rPr>
      </w:pPr>
      <w:bookmarkStart w:id="0" w:name="_Toc155653106"/>
      <w:bookmarkStart w:id="1" w:name="LW_BM_COVERPAGE"/>
      <w:r>
        <w:rPr>
          <w:noProof/>
        </w:rPr>
        <w:pict w14:anchorId="37582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D85852EA-4F3E-4F70-9B6B-65EB9C91092D" style="width:455.25pt;height:324pt">
            <v:imagedata r:id="rId11" o:title=""/>
          </v:shape>
        </w:pict>
      </w:r>
    </w:p>
    <w:bookmarkEnd w:id="1"/>
    <w:p w14:paraId="6C57CBD1" w14:textId="63DB8D5D" w:rsidR="00520D09" w:rsidRPr="00520D09" w:rsidRDefault="00520D09" w:rsidP="00181CD8">
      <w:pPr>
        <w:pStyle w:val="Pagedecouverture"/>
        <w:rPr>
          <w:noProof/>
        </w:rPr>
        <w:sectPr w:rsidR="00520D09" w:rsidRPr="00520D09" w:rsidSect="00124AE0">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7EFD4206" w14:textId="54DACA81" w:rsidR="00801B76" w:rsidRPr="00801B76" w:rsidRDefault="00801B76" w:rsidP="00801B76">
      <w:pPr>
        <w:pStyle w:val="Typedudocument"/>
        <w:rPr>
          <w:noProof/>
        </w:rPr>
      </w:pPr>
      <w:bookmarkStart w:id="2" w:name="_Toc159792195"/>
      <w:bookmarkStart w:id="3" w:name="_Toc155653035"/>
      <w:bookmarkStart w:id="4" w:name="_Toc155653107"/>
      <w:bookmarkStart w:id="5" w:name="_GoBack"/>
      <w:bookmarkEnd w:id="0"/>
      <w:bookmarkEnd w:id="5"/>
      <w:r w:rsidRPr="00801B76">
        <w:rPr>
          <w:noProof/>
        </w:rPr>
        <w:lastRenderedPageBreak/>
        <w:t>MEDDELANDE FRÅN KOMMISSIONEN TILL EUROPAPARLAMENTET, RÅDET, EUROPEISKA EKONOMISKA OCH SOCIALA KOMMITTÉN SAMT REGIONKOMMITTÉN</w:t>
      </w:r>
    </w:p>
    <w:p w14:paraId="58639529" w14:textId="7F5E2E6A" w:rsidR="00801B76" w:rsidRPr="00801B76" w:rsidRDefault="00801B76" w:rsidP="00801B76">
      <w:pPr>
        <w:pStyle w:val="Titreobjet"/>
        <w:rPr>
          <w:noProof/>
        </w:rPr>
      </w:pPr>
      <w:bookmarkStart w:id="6" w:name="_Hlk161647073"/>
      <w:r w:rsidRPr="00801B76">
        <w:rPr>
          <w:noProof/>
        </w:rPr>
        <w:t>Hantera klimatriskerna – skydda människor och välstånd</w:t>
      </w:r>
      <w:bookmarkEnd w:id="6"/>
    </w:p>
    <w:p w14:paraId="2FAB77FE" w14:textId="31C11C33" w:rsidR="0053389F" w:rsidRPr="00677067" w:rsidRDefault="0053389F" w:rsidP="00B06AE7">
      <w:pPr>
        <w:pStyle w:val="Heading1"/>
        <w:numPr>
          <w:ilvl w:val="0"/>
          <w:numId w:val="1"/>
        </w:numPr>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Inledning</w:t>
      </w:r>
      <w:bookmarkEnd w:id="2"/>
      <w:r>
        <w:rPr>
          <w:rFonts w:ascii="Times New Roman" w:hAnsi="Times New Roman"/>
          <w:b/>
          <w:noProof/>
          <w:color w:val="000000" w:themeColor="text1"/>
          <w:sz w:val="24"/>
        </w:rPr>
        <w:t xml:space="preserve"> </w:t>
      </w:r>
      <w:bookmarkEnd w:id="3"/>
      <w:bookmarkEnd w:id="4"/>
    </w:p>
    <w:p w14:paraId="0CCCCB59" w14:textId="29FCA4D7" w:rsidR="000040FA" w:rsidRPr="00B2476E" w:rsidRDefault="000040FA" w:rsidP="000040FA">
      <w:pPr>
        <w:rPr>
          <w:rFonts w:ascii="Times New Roman" w:hAnsi="Times New Roman" w:cs="Times New Roman"/>
          <w:noProof/>
          <w:color w:val="000000" w:themeColor="text1"/>
          <w:sz w:val="24"/>
          <w:szCs w:val="24"/>
          <w:lang w:eastAsia="en-IE"/>
        </w:rPr>
      </w:pPr>
    </w:p>
    <w:p w14:paraId="32C4CF33" w14:textId="60DA2393" w:rsidR="006B7564" w:rsidRPr="00C15BCA" w:rsidRDefault="006474E7">
      <w:pPr>
        <w:pStyle w:val="Heading2"/>
        <w:spacing w:after="120"/>
        <w:ind w:left="1565" w:hanging="431"/>
        <w:jc w:val="both"/>
        <w:textAlignment w:val="baseline"/>
        <w:rPr>
          <w:rFonts w:ascii="Times New Roman" w:hAnsi="Times New Roman" w:cs="Times New Roman"/>
          <w:b/>
          <w:bCs/>
          <w:noProof/>
          <w:color w:val="000000" w:themeColor="text1"/>
          <w:sz w:val="24"/>
          <w:szCs w:val="24"/>
        </w:rPr>
      </w:pPr>
      <w:bookmarkStart w:id="7" w:name="_Toc159792196"/>
      <w:r>
        <w:rPr>
          <w:rFonts w:ascii="Times New Roman" w:hAnsi="Times New Roman"/>
          <w:b/>
          <w:noProof/>
          <w:color w:val="000000" w:themeColor="text1"/>
          <w:sz w:val="24"/>
        </w:rPr>
        <w:t>Alltmer akuta klimatrisker kräver proaktiva åtgärder</w:t>
      </w:r>
      <w:bookmarkEnd w:id="7"/>
    </w:p>
    <w:p w14:paraId="12F6DEBA" w14:textId="7A4DA690" w:rsidR="006B7564" w:rsidRPr="00801B76" w:rsidRDefault="006B7564" w:rsidP="0049438C">
      <w:pPr>
        <w:spacing w:after="120"/>
        <w:jc w:val="both"/>
        <w:textAlignment w:val="baseline"/>
        <w:rPr>
          <w:rFonts w:ascii="Times New Roman" w:eastAsia="Times New Roman" w:hAnsi="Times New Roman" w:cs="Times New Roman"/>
          <w:b/>
          <w:bCs/>
          <w:noProof/>
          <w:color w:val="000000" w:themeColor="text1"/>
          <w:sz w:val="24"/>
          <w:szCs w:val="24"/>
          <w:lang w:eastAsia="en-IE"/>
        </w:rPr>
      </w:pPr>
    </w:p>
    <w:p w14:paraId="13F2F0E5" w14:textId="60AEE7B9" w:rsidR="0049438C" w:rsidRDefault="006C74BF" w:rsidP="0049438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 xml:space="preserve">Hanteringen av osäkerheter definierar beslutsfattandet i dag, både för allmänheten, företag och regeringar. </w:t>
      </w:r>
      <w:r>
        <w:rPr>
          <w:rFonts w:ascii="Times New Roman" w:hAnsi="Times New Roman"/>
          <w:noProof/>
          <w:color w:val="000000" w:themeColor="text1"/>
          <w:sz w:val="24"/>
        </w:rPr>
        <w:t xml:space="preserve">Krig och den geopolitiska osäkerheten, höga levnadskostnader, demografiska utmaningar, miljöförstöring och hälsokriser, social ojämlikhet, den politiska polariseringen och desinformation, den snabba tekniska utvecklingen och migration är alla frågor som kräver brådskande åtgärder. Beslutsfattarna måste balansera sin uppmärksamhet och sina resurser. Eftersom klimatkrisen hänger samman med övriga kriser på vår planet – föroreningarna och förlusten av biologisk mångfald – och förstärker många av de andra riskerna, är den ett av de mest existentiella hot som vi står inför. </w:t>
      </w:r>
    </w:p>
    <w:p w14:paraId="390785D1" w14:textId="671D8B96" w:rsidR="0049438C" w:rsidRPr="0049438C" w:rsidRDefault="0049438C" w:rsidP="0049438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sz w:val="24"/>
        </w:rPr>
        <w:t>EU vidtar åtgärder för att minska utsläppen av växthusgaser</w:t>
      </w:r>
      <w:r>
        <w:rPr>
          <w:rFonts w:ascii="Times New Roman" w:hAnsi="Times New Roman"/>
          <w:noProof/>
          <w:color w:val="000000"/>
          <w:sz w:val="24"/>
        </w:rPr>
        <w:t xml:space="preserve"> under detta decennium och för att uppnå klimatneutralitet senast 2050. Kommissionen har inlett en diskussion om ett klimatmål för 2040 som ännu ett steg mot en konkurrenskraftig framtid med nettonollutsläpp</w:t>
      </w:r>
      <w:r>
        <w:rPr>
          <w:rStyle w:val="FootnoteReference"/>
          <w:rFonts w:ascii="Times New Roman" w:hAnsi="Times New Roman" w:cs="Times New Roman"/>
          <w:noProof/>
          <w:color w:val="000000"/>
          <w:sz w:val="24"/>
          <w:szCs w:val="24"/>
          <w:lang w:eastAsia="en-IE"/>
        </w:rPr>
        <w:footnoteReference w:id="2"/>
      </w:r>
      <w:r>
        <w:rPr>
          <w:rFonts w:ascii="Times New Roman" w:hAnsi="Times New Roman"/>
          <w:noProof/>
          <w:color w:val="000000"/>
          <w:sz w:val="24"/>
        </w:rPr>
        <w:t xml:space="preserve">. Eftersom det finns fysiska gränser för vad det är möjligt att anpassa sig till behövs sådana snabba globala utsläppsminskningar.  </w:t>
      </w:r>
    </w:p>
    <w:p w14:paraId="073A715A" w14:textId="3FF182CA" w:rsidR="0042472C" w:rsidRPr="00915255" w:rsidRDefault="00027C6C" w:rsidP="009357C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Konsekvenserna av klimatförändringarna är redan här och eftersom klimatsystemet är trögt kommer riskerna kommer att fortsätta öka under de kommande årtiondena och därefter</w:t>
      </w:r>
      <w:r>
        <w:rPr>
          <w:rFonts w:ascii="Times New Roman" w:hAnsi="Times New Roman"/>
          <w:noProof/>
          <w:color w:val="000000" w:themeColor="text1"/>
          <w:sz w:val="24"/>
        </w:rPr>
        <w:t>, även om ambitiösa globala utsläppsminskningar minskar den potentiella skadan. I februari 2024 rapporterade Copernicus klimatförändringstjänst att den globala medeltemperaturen under de föregående tolv månaderna hade överskridit gränsen på 1,5 °C över förindustriella nivåer</w:t>
      </w:r>
      <w:r w:rsidR="00A002CB">
        <w:rPr>
          <w:rStyle w:val="FootnoteReference"/>
          <w:rFonts w:ascii="Times New Roman" w:eastAsia="Times New Roman" w:hAnsi="Times New Roman" w:cs="Times New Roman"/>
          <w:noProof/>
          <w:color w:val="000000" w:themeColor="text1"/>
          <w:sz w:val="24"/>
          <w:szCs w:val="24"/>
          <w:lang w:eastAsia="en-IE"/>
        </w:rPr>
        <w:footnoteReference w:id="3"/>
      </w:r>
      <w:r>
        <w:rPr>
          <w:rFonts w:ascii="Times New Roman" w:hAnsi="Times New Roman"/>
          <w:noProof/>
          <w:color w:val="000000" w:themeColor="text1"/>
          <w:sz w:val="24"/>
        </w:rPr>
        <w:t xml:space="preserve">. </w:t>
      </w:r>
      <w:r>
        <w:rPr>
          <w:rFonts w:ascii="Times New Roman" w:hAnsi="Times New Roman"/>
          <w:b/>
          <w:noProof/>
          <w:color w:val="000000" w:themeColor="text1"/>
          <w:sz w:val="24"/>
        </w:rPr>
        <w:t>Utsikterna för Europa</w:t>
      </w:r>
      <w:r>
        <w:rPr>
          <w:rFonts w:ascii="Times New Roman" w:hAnsi="Times New Roman"/>
          <w:noProof/>
          <w:color w:val="000000" w:themeColor="text1"/>
          <w:sz w:val="24"/>
        </w:rPr>
        <w:t xml:space="preserve"> presenteras tydligt i Europeiska miljöbyråns europeiska klimatriskbedömning (EUCRA)</w:t>
      </w:r>
      <w:r w:rsidR="001364A4" w:rsidRPr="009C5047">
        <w:rPr>
          <w:rFonts w:ascii="Times New Roman" w:eastAsia="Times New Roman" w:hAnsi="Times New Roman" w:cs="Times New Roman"/>
          <w:noProof/>
          <w:color w:val="000000" w:themeColor="text1"/>
          <w:sz w:val="24"/>
          <w:szCs w:val="24"/>
          <w:vertAlign w:val="superscript"/>
          <w:lang w:eastAsia="en-IE"/>
        </w:rPr>
        <w:footnoteReference w:id="4"/>
      </w:r>
      <w:r>
        <w:rPr>
          <w:rFonts w:ascii="Times New Roman" w:hAnsi="Times New Roman"/>
          <w:noProof/>
          <w:color w:val="000000" w:themeColor="text1"/>
          <w:sz w:val="24"/>
        </w:rPr>
        <w:t>, den första i sitt slag. I det bästa scenariot, där vi begränsar den globala uppvärmningen till 1,5 °C över förindustriella nivåer, måste EU – som värms upp dubbelt så snabbt som resten av världen – lära sig att leva med klimat som är 3 °C varmare, och följaktligen tvingas hantera exponentiellt fler värmeböljor och andra extrema väderförhållanden.</w:t>
      </w:r>
    </w:p>
    <w:p w14:paraId="5DC1CA98" w14:textId="77777777" w:rsidR="008E7A30"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61B104CE" w14:textId="77777777" w:rsidR="008E7A30"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21DDD868" w14:textId="77777777" w:rsidR="00C15BCA" w:rsidRDefault="00C15BCA">
      <w:pPr>
        <w:spacing w:after="200" w:line="276" w:lineRule="auto"/>
        <w:rPr>
          <w:rFonts w:ascii="Times New Roman" w:hAnsi="Times New Roman" w:cs="Times New Roman"/>
          <w:noProof/>
          <w:color w:val="000000" w:themeColor="text1"/>
          <w:sz w:val="24"/>
          <w:szCs w:val="24"/>
        </w:rPr>
      </w:pPr>
      <w:r>
        <w:rPr>
          <w:noProof/>
        </w:rPr>
        <w:br w:type="page"/>
      </w:r>
    </w:p>
    <w:p w14:paraId="47BF74A1" w14:textId="4E83659B" w:rsidR="00A916D0" w:rsidRPr="00915255" w:rsidRDefault="00A916D0" w:rsidP="009357C0">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Figur 1: Temperaturprognoser för Europa enligt fyra globala standardklimatscenarier </w:t>
      </w:r>
    </w:p>
    <w:p w14:paraId="0A9E0EF3" w14:textId="12A56FD8" w:rsidR="005B3DC0" w:rsidRDefault="005B3DC0" w:rsidP="009357C0">
      <w:pPr>
        <w:spacing w:after="120"/>
        <w:jc w:val="both"/>
        <w:textAlignment w:val="baseline"/>
        <w:rPr>
          <w:rFonts w:ascii="Times New Roman" w:hAnsi="Times New Roman" w:cs="Times New Roman"/>
          <w:noProof/>
          <w:color w:val="000000" w:themeColor="text1"/>
          <w:sz w:val="24"/>
          <w:szCs w:val="24"/>
        </w:rPr>
      </w:pPr>
      <w:r w:rsidRPr="005B3DC0">
        <w:rPr>
          <w:noProof/>
          <w:lang w:val="en-GB" w:eastAsia="en-GB"/>
        </w:rPr>
        <w:drawing>
          <wp:inline distT="0" distB="0" distL="0" distR="0" wp14:anchorId="688B32FC" wp14:editId="1605C856">
            <wp:extent cx="6202680" cy="383984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98" r="1583" b="3022"/>
                    <a:stretch/>
                  </pic:blipFill>
                  <pic:spPr bwMode="auto">
                    <a:xfrm>
                      <a:off x="0" y="0"/>
                      <a:ext cx="6205820" cy="3841789"/>
                    </a:xfrm>
                    <a:prstGeom prst="rect">
                      <a:avLst/>
                    </a:prstGeom>
                    <a:noFill/>
                    <a:ln>
                      <a:noFill/>
                    </a:ln>
                    <a:extLst>
                      <a:ext uri="{53640926-AAD7-44D8-BBD7-CCE9431645EC}">
                        <a14:shadowObscured xmlns:a14="http://schemas.microsoft.com/office/drawing/2010/main"/>
                      </a:ext>
                    </a:extLst>
                  </pic:spPr>
                </pic:pic>
              </a:graphicData>
            </a:graphic>
          </wp:inline>
        </w:drawing>
      </w:r>
    </w:p>
    <w:p w14:paraId="014C0136" w14:textId="5D3C3C67" w:rsidR="009513CE" w:rsidRPr="009513CE" w:rsidRDefault="009513CE" w:rsidP="009513CE">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Källa: EUCRA, baserat på Copernicus klimatförändringstjänst. </w:t>
      </w:r>
    </w:p>
    <w:p w14:paraId="31EEE6DC" w14:textId="77777777" w:rsidR="00B514C5" w:rsidRPr="00915255" w:rsidRDefault="00B514C5" w:rsidP="009357C0">
      <w:pPr>
        <w:spacing w:after="120"/>
        <w:jc w:val="both"/>
        <w:textAlignment w:val="baseline"/>
        <w:rPr>
          <w:rFonts w:ascii="Times New Roman" w:hAnsi="Times New Roman" w:cs="Times New Roman"/>
          <w:noProof/>
          <w:color w:val="000000" w:themeColor="text1"/>
          <w:sz w:val="24"/>
          <w:szCs w:val="24"/>
          <w:lang w:eastAsia="en-IE"/>
        </w:rPr>
      </w:pPr>
    </w:p>
    <w:p w14:paraId="7642DB25" w14:textId="1A70B821" w:rsidR="00C16BAB" w:rsidRDefault="00F522A2"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sz w:val="24"/>
        </w:rPr>
        <w:t xml:space="preserve">Klimatresiliens handlar om att upprätthålla viktiga samhällsfunktioner, men också om konkurrenskraft för ekonomier och företag, och därmed arbetstillfällen. </w:t>
      </w:r>
      <w:r>
        <w:rPr>
          <w:rFonts w:ascii="Times New Roman" w:hAnsi="Times New Roman"/>
          <w:noProof/>
          <w:color w:val="000000" w:themeColor="text1"/>
          <w:sz w:val="24"/>
        </w:rPr>
        <w:t xml:space="preserve">Att hantera klimatriskerna är absolut nödvändigt för att </w:t>
      </w:r>
      <w:r>
        <w:rPr>
          <w:rFonts w:ascii="Times New Roman" w:hAnsi="Times New Roman"/>
          <w:b/>
          <w:noProof/>
          <w:color w:val="000000" w:themeColor="text1"/>
          <w:sz w:val="24"/>
        </w:rPr>
        <w:t>uppnå förbättrade levnadsvillkor, bekämpa ojämlikheter och skydda människor</w:t>
      </w:r>
      <w:r>
        <w:rPr>
          <w:rFonts w:ascii="Times New Roman" w:hAnsi="Times New Roman"/>
          <w:noProof/>
          <w:color w:val="000000" w:themeColor="text1"/>
          <w:sz w:val="24"/>
        </w:rPr>
        <w:t>.</w:t>
      </w:r>
      <w:r>
        <w:rPr>
          <w:rFonts w:ascii="Times New Roman" w:hAnsi="Times New Roman"/>
          <w:b/>
          <w:noProof/>
          <w:color w:val="000000" w:themeColor="text1"/>
          <w:sz w:val="24"/>
        </w:rPr>
        <w:t xml:space="preserve"> </w:t>
      </w:r>
      <w:r>
        <w:rPr>
          <w:rFonts w:ascii="Times New Roman" w:hAnsi="Times New Roman"/>
          <w:b/>
          <w:noProof/>
          <w:sz w:val="24"/>
        </w:rPr>
        <w:t>För landsbygds- och kustområdena, jordbrukarna, skogsbrukarna och fiskarna är det en fråga om ekonomiska överlevnad.</w:t>
      </w:r>
      <w:r>
        <w:rPr>
          <w:rFonts w:ascii="Times New Roman" w:hAnsi="Times New Roman"/>
          <w:b/>
          <w:noProof/>
          <w:color w:val="000000" w:themeColor="text1"/>
          <w:sz w:val="24"/>
        </w:rPr>
        <w:t xml:space="preserve"> </w:t>
      </w:r>
      <w:r>
        <w:rPr>
          <w:rFonts w:ascii="Times New Roman" w:hAnsi="Times New Roman"/>
          <w:noProof/>
          <w:color w:val="000000" w:themeColor="text1"/>
          <w:sz w:val="24"/>
        </w:rPr>
        <w:t>För företagen är klimatriskerna redan väl erkända och ses som de fyra största riskerna under det kommande årtiondet</w:t>
      </w:r>
      <w:r w:rsidR="00202AD4" w:rsidRPr="00915255">
        <w:rPr>
          <w:rFonts w:ascii="Times New Roman" w:eastAsia="Times New Roman" w:hAnsi="Times New Roman" w:cs="Times New Roman"/>
          <w:noProof/>
          <w:color w:val="000000" w:themeColor="text1"/>
          <w:sz w:val="24"/>
          <w:szCs w:val="24"/>
          <w:vertAlign w:val="superscript"/>
          <w:lang w:val="en-IE" w:eastAsia="en-IE"/>
        </w:rPr>
        <w:footnoteReference w:id="5"/>
      </w:r>
      <w:r>
        <w:rPr>
          <w:rFonts w:ascii="Times New Roman" w:hAnsi="Times New Roman"/>
          <w:noProof/>
          <w:color w:val="000000" w:themeColor="text1"/>
          <w:sz w:val="24"/>
        </w:rPr>
        <w:t xml:space="preserve">. </w:t>
      </w:r>
      <w:r>
        <w:rPr>
          <w:rFonts w:ascii="Times New Roman" w:hAnsi="Times New Roman"/>
          <w:noProof/>
          <w:sz w:val="24"/>
        </w:rPr>
        <w:t>Små och medelstora företag kan uppleva särskilda resursbegränsningar. Oavsett om det beror på utsatta försörjningskedjor, sämre försäkringsmöjligheter, sårbara inhemska tillgångar, förlust av biologisk mångfald som ekonomiska sektorer är beroende av eller otillräckligt skydd av människor, kommer återhämtningen från allt intensivare klimatrelaterade katastrofer att ta ännu mer kapacitet och kapital i anspråk för dem som inte har förberett sig.</w:t>
      </w:r>
      <w:r>
        <w:rPr>
          <w:rFonts w:ascii="Times New Roman" w:hAnsi="Times New Roman"/>
          <w:noProof/>
          <w:color w:val="000000" w:themeColor="text1"/>
          <w:sz w:val="24"/>
        </w:rPr>
        <w:t xml:space="preserve"> </w:t>
      </w:r>
    </w:p>
    <w:p w14:paraId="11CF7BBE" w14:textId="5BEC580A" w:rsidR="00C00EEB" w:rsidRDefault="00202AD4" w:rsidP="000C282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Europeiska centralbanken och Europeiska systemrisknämnden har erkänt att </w:t>
      </w:r>
      <w:r>
        <w:rPr>
          <w:rFonts w:ascii="Times New Roman" w:hAnsi="Times New Roman"/>
          <w:b/>
          <w:noProof/>
          <w:color w:val="000000" w:themeColor="text1"/>
          <w:sz w:val="24"/>
        </w:rPr>
        <w:t>klimatrisker kan påverka den finansiella stabiliteten</w:t>
      </w:r>
      <w:r>
        <w:rPr>
          <w:rFonts w:ascii="Times New Roman" w:hAnsi="Times New Roman"/>
          <w:noProof/>
          <w:color w:val="000000" w:themeColor="text1"/>
          <w:sz w:val="24"/>
        </w:rPr>
        <w:t xml:space="preserve"> på många olika sätt och har förespråkat en robust, systemomfattande makrotillsynsstrategi för att hantera sådana risker</w:t>
      </w:r>
      <w:r>
        <w:rPr>
          <w:rStyle w:val="FootnoteReference"/>
          <w:rFonts w:ascii="Times New Roman" w:eastAsia="Times New Roman" w:hAnsi="Times New Roman" w:cs="Times New Roman"/>
          <w:noProof/>
          <w:color w:val="000000" w:themeColor="text1"/>
          <w:sz w:val="24"/>
          <w:szCs w:val="24"/>
          <w:lang w:val="en-IE" w:eastAsia="en-IE"/>
        </w:rPr>
        <w:footnoteReference w:id="6"/>
      </w:r>
      <w:r>
        <w:rPr>
          <w:rFonts w:ascii="Times New Roman" w:hAnsi="Times New Roman"/>
          <w:noProof/>
          <w:color w:val="000000" w:themeColor="text1"/>
          <w:sz w:val="24"/>
        </w:rPr>
        <w:t xml:space="preserve">. </w:t>
      </w:r>
      <w:r>
        <w:rPr>
          <w:rFonts w:ascii="Times New Roman" w:hAnsi="Times New Roman"/>
          <w:noProof/>
          <w:sz w:val="24"/>
        </w:rPr>
        <w:t xml:space="preserve">Samtidigt har smidiga och dynamiska EU-företag, även </w:t>
      </w:r>
      <w:r>
        <w:rPr>
          <w:rFonts w:ascii="Times New Roman" w:hAnsi="Times New Roman"/>
          <w:b/>
          <w:noProof/>
          <w:sz w:val="24"/>
        </w:rPr>
        <w:t>små och medelstora företag, potential att bli ledande inom vissa marknadssegment där man arbetar med att bygga upp resiliens</w:t>
      </w:r>
      <w:r>
        <w:rPr>
          <w:rFonts w:ascii="Times New Roman" w:hAnsi="Times New Roman"/>
          <w:noProof/>
          <w:sz w:val="24"/>
        </w:rPr>
        <w:t>, t.ex. innovation kring användningen av rymddata och rymdteknik.</w:t>
      </w:r>
      <w:r>
        <w:rPr>
          <w:rFonts w:ascii="Times New Roman" w:hAnsi="Times New Roman"/>
          <w:noProof/>
          <w:color w:val="000000" w:themeColor="text1"/>
          <w:sz w:val="24"/>
        </w:rPr>
        <w:t xml:space="preserve"> </w:t>
      </w:r>
    </w:p>
    <w:p w14:paraId="160DAF12" w14:textId="4422B454" w:rsidR="00865CBA" w:rsidRDefault="00865CBA" w:rsidP="000C282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De ökande klimatriskerna påverkar också det geopolitiska landskapet</w:t>
      </w:r>
      <w:r>
        <w:rPr>
          <w:rFonts w:ascii="Times New Roman" w:hAnsi="Times New Roman"/>
          <w:noProof/>
          <w:color w:val="000000" w:themeColor="text1"/>
          <w:sz w:val="24"/>
        </w:rPr>
        <w:t xml:space="preserve">, bland annat den globala säkerheten och tryggheten, handelsflödena och den ekonomiska stabiliteten samt förmågan att upprätthålla nödvändiga tjänster för de medborgare som drabbas. Omvänt kan förbättrad beredskap och resiliens mot klimatpåverkan bidra till att hantera en av dagens största globala utmaningar och ge positiva spridningseffekter. </w:t>
      </w:r>
    </w:p>
    <w:p w14:paraId="6C3A1182" w14:textId="550CE57C" w:rsidR="005256FD" w:rsidRDefault="00027C6C" w:rsidP="005256F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77 % av EU-medborgarna ser klimatförändringarna som ett mycket allvarligt problem, och 37 % känner sig redan </w:t>
      </w:r>
      <w:r>
        <w:rPr>
          <w:rFonts w:ascii="Times New Roman" w:hAnsi="Times New Roman"/>
          <w:b/>
          <w:noProof/>
          <w:color w:val="000000" w:themeColor="text1"/>
          <w:sz w:val="24"/>
        </w:rPr>
        <w:t>personligen utsatta för klimatrisker</w:t>
      </w:r>
      <w:r>
        <w:rPr>
          <w:rFonts w:ascii="Times New Roman" w:hAnsi="Times New Roman"/>
          <w:noProof/>
          <w:color w:val="000000" w:themeColor="text1"/>
          <w:sz w:val="24"/>
        </w:rPr>
        <w:t>. Både Europaparlamentet</w:t>
      </w:r>
      <w:r w:rsidR="00082DDA">
        <w:rPr>
          <w:rStyle w:val="FootnoteReference"/>
          <w:rFonts w:ascii="Times New Roman" w:eastAsia="Times New Roman" w:hAnsi="Times New Roman" w:cs="Times New Roman"/>
          <w:noProof/>
          <w:color w:val="000000" w:themeColor="text1"/>
          <w:sz w:val="24"/>
          <w:szCs w:val="24"/>
          <w:lang w:eastAsia="en-IE"/>
        </w:rPr>
        <w:footnoteReference w:id="7"/>
      </w:r>
      <w:r>
        <w:rPr>
          <w:rFonts w:ascii="Times New Roman" w:hAnsi="Times New Roman"/>
          <w:noProof/>
          <w:color w:val="000000" w:themeColor="text1"/>
          <w:sz w:val="24"/>
        </w:rPr>
        <w:t xml:space="preserve"> och EU:s ledare</w:t>
      </w:r>
      <w:r w:rsidR="00566DC0" w:rsidRPr="00566DC0">
        <w:rPr>
          <w:rFonts w:ascii="Times New Roman" w:eastAsia="Times New Roman" w:hAnsi="Times New Roman" w:cs="Times New Roman"/>
          <w:noProof/>
          <w:color w:val="000000" w:themeColor="text1"/>
          <w:sz w:val="24"/>
          <w:szCs w:val="24"/>
          <w:vertAlign w:val="superscript"/>
          <w:lang w:val="en-IE" w:eastAsia="en-IE"/>
        </w:rPr>
        <w:footnoteReference w:id="8"/>
      </w:r>
      <w:r>
        <w:rPr>
          <w:rFonts w:ascii="Times New Roman" w:hAnsi="Times New Roman"/>
          <w:noProof/>
          <w:color w:val="000000" w:themeColor="text1"/>
          <w:sz w:val="24"/>
        </w:rPr>
        <w:t xml:space="preserve"> har insett att det är brådskande att intensifiera insatserna mot klimatkrisen och stärka EU:s resiliens. I linje med meddelandet om Europas klimatmål för 2040 och vägen mot klimatneutralitet senast 2050 skulle investeringar i klimattåliga byggnader, transport- och energisystem kunna skapa betydande affärsmöjligheter, generera stordriftsfördelar och i större utsträckning gynna den europeiska ekonomin genom att ge upphov till högkvalificerade arbetstillfällen och ren energi till överkomliga priser.</w:t>
      </w:r>
    </w:p>
    <w:p w14:paraId="2D88A11A" w14:textId="1A462E86" w:rsidR="009C347D" w:rsidRDefault="009D2451"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Den europeiska visionen om ett sunt, inkluderande och rättvist samhälle är en källa till styrka</w:t>
      </w:r>
      <w:r>
        <w:rPr>
          <w:rFonts w:ascii="Times New Roman" w:hAnsi="Times New Roman"/>
          <w:noProof/>
          <w:color w:val="000000" w:themeColor="text1"/>
          <w:sz w:val="24"/>
        </w:rPr>
        <w:t xml:space="preserve">. Solidaritet, inkludering, innovation och rättsstatsprincipen har hjälpt oss genom historiska utmaningar och kommer även att ta oss igenom denna. </w:t>
      </w:r>
    </w:p>
    <w:p w14:paraId="1F9BB09D" w14:textId="36954491" w:rsidR="00CE5BA2" w:rsidRDefault="00901682"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 xml:space="preserve">Den samordning som har möjliggjorts genom EU är ett kraftfullt verktyg för att bygga upp vår resiliens. </w:t>
      </w:r>
      <w:r>
        <w:rPr>
          <w:rFonts w:ascii="Times New Roman" w:hAnsi="Times New Roman"/>
          <w:noProof/>
          <w:color w:val="000000" w:themeColor="text1"/>
          <w:sz w:val="24"/>
        </w:rPr>
        <w:t>Detta medför effektivitetsvinster, vilket är avgörande med tanke på den mängd offentliga och privata medel som kommer att behövas. Samordningen gör det också möjligt för länder, regioner och lokalsamhällen att se vad som fungerar och inte fungerar i andra länder, och leder till snabbare och mer effektiva åtgärder. De betydande åtgärder som krävs inom vissa områden innebär att det är osannolikt att man, utan samordning, lyckas fatta de beslut som krävs och vidta nödvändiga åtgärder i tid för att förhindra en oåterkallelig miljöpåverkan. Slutligen tillför EU mervärde genom att utveckla verktyg som hjälper medborgarna och offentliga och privata intressenter att bygga upp resiliens. Betydande investeringar från EU:s budget, särskilt via sammanhållningspolitiken, har gjorts för klimatanpassning och utsläppsbegränsning under det senaste årtiondet. Under 2021–2027 förväntas investeringarna inom ramen för samanhållningspolitiken på detta område att uppgå till omkring 118 miljarder euro.</w:t>
      </w:r>
    </w:p>
    <w:p w14:paraId="77361176" w14:textId="573A604C" w:rsidR="00CE5BA2" w:rsidRPr="003B19B4" w:rsidRDefault="00587C9F"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Vissa av de katastrofer som inträffade 2023 har tydligt visat på ett mönster med allt större klimatrisker, och alla EU-länder har drabbats i viss utsträckning, utöver vad som framgår av exemplen nedan. </w:t>
      </w:r>
    </w:p>
    <w:p w14:paraId="7048C3B7" w14:textId="10DD61A3" w:rsidR="00CE5BA2" w:rsidRPr="00915255" w:rsidRDefault="00E67EE4" w:rsidP="00CE5BA2">
      <w:p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Ruta 1: Fyra exempel på katastrofala händelser 2023 som hör ihop med klimatrelaterade risker:</w:t>
      </w:r>
    </w:p>
    <w:p w14:paraId="32893A65" w14:textId="4F373B4B"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Grekland.</w:t>
      </w:r>
      <w:r>
        <w:rPr>
          <w:rFonts w:ascii="Times New Roman" w:hAnsi="Times New Roman"/>
          <w:noProof/>
          <w:color w:val="000000" w:themeColor="text1"/>
          <w:sz w:val="24"/>
        </w:rPr>
        <w:t xml:space="preserve"> Mellan juli och augusti spreds </w:t>
      </w:r>
      <w:r>
        <w:rPr>
          <w:rFonts w:ascii="Times New Roman" w:hAnsi="Times New Roman"/>
          <w:b/>
          <w:noProof/>
          <w:color w:val="000000" w:themeColor="text1"/>
          <w:sz w:val="24"/>
        </w:rPr>
        <w:t>skogsbränder</w:t>
      </w:r>
      <w:r>
        <w:rPr>
          <w:rFonts w:ascii="Times New Roman" w:hAnsi="Times New Roman"/>
          <w:noProof/>
          <w:color w:val="000000" w:themeColor="text1"/>
          <w:sz w:val="24"/>
        </w:rPr>
        <w:t xml:space="preserve"> på grund av torka och värmeböljor över ett område på 170 000 hektar i Grekland. Framför allt blev skogsbranden i Alexandroupolis den största i Europa sedan 2000, där mer än 96 000 hektar eldhärjades. </w:t>
      </w:r>
      <w:r>
        <w:rPr>
          <w:rFonts w:ascii="Times New Roman" w:hAnsi="Times New Roman"/>
          <w:b/>
          <w:noProof/>
          <w:color w:val="000000" w:themeColor="text1"/>
          <w:sz w:val="24"/>
        </w:rPr>
        <w:t>Stormen</w:t>
      </w:r>
      <w:r>
        <w:rPr>
          <w:rFonts w:ascii="Times New Roman" w:hAnsi="Times New Roman"/>
          <w:noProof/>
          <w:color w:val="000000" w:themeColor="text1"/>
          <w:sz w:val="24"/>
        </w:rPr>
        <w:t xml:space="preserve"> Daniel orsakade rekordnederbörd i Grekland i början av september, där 750 mm regn föll på 24 timmar i Zagora, alltså mer än ett års samlad nederbörd för detta område. Denna händelse förstörde omkring 15 % av landets årliga skörd. </w:t>
      </w:r>
    </w:p>
    <w:p w14:paraId="5591F25B" w14:textId="45BA292C"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Slovenien.</w:t>
      </w:r>
      <w:r>
        <w:rPr>
          <w:rFonts w:ascii="Times New Roman" w:hAnsi="Times New Roman"/>
          <w:noProof/>
          <w:color w:val="000000" w:themeColor="text1"/>
          <w:sz w:val="24"/>
        </w:rPr>
        <w:t xml:space="preserve"> I augusti ledde kraftig nederbörd under flera dagar ovanpå redan höga vattennivåer till massiva översvämningar och jordskred, där två tredjedelar av Slovenien drabbades, med skador som uppgick till omkring 16 % av BNP. </w:t>
      </w:r>
    </w:p>
    <w:p w14:paraId="5B0B79B4" w14:textId="57478708"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Skandinavien.</w:t>
      </w:r>
      <w:r>
        <w:rPr>
          <w:rFonts w:ascii="Times New Roman" w:hAnsi="Times New Roman"/>
          <w:noProof/>
          <w:color w:val="000000" w:themeColor="text1"/>
          <w:sz w:val="24"/>
        </w:rPr>
        <w:t xml:space="preserve"> I augusti svepte stormen Hans över Danmark, Norge och Sverige, och orsakade allvarliga skador på infrastruktur och jordbruk, liksom stora störningar i kritiska transportnät. Försäkringsfordringarna nådde nya rekordnivåer.</w:t>
      </w:r>
    </w:p>
    <w:p w14:paraId="6248D6C4" w14:textId="11CA62D1" w:rsidR="00CE5BA2" w:rsidRPr="00915255" w:rsidRDefault="00541771"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Hela Europa.</w:t>
      </w:r>
      <w:r>
        <w:rPr>
          <w:rFonts w:ascii="Times New Roman" w:hAnsi="Times New Roman"/>
          <w:noProof/>
          <w:color w:val="000000" w:themeColor="text1"/>
          <w:sz w:val="24"/>
        </w:rPr>
        <w:t xml:space="preserve"> Under värmeböljan Cerberus 2023 uppnåddes nya temperaturrekord i flera länder. Detta följde på värmeböljorna 2022, där mellan 60 000 och 70 000 européer dog av den rekordhöga värmen. </w:t>
      </w:r>
    </w:p>
    <w:p w14:paraId="48FFEF49" w14:textId="48D314A2" w:rsidR="00B67218" w:rsidRPr="00BE25FA" w:rsidRDefault="00D559C8" w:rsidP="00B67218">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 xml:space="preserve">Klimatåtgärder ligger i allas intresse. Klimatrelaterade skador beror inte på olyckliga, oförutsedda naturkatastrofer. De är en funktion av kända klimatrisker och de politiska åtgärder som vidtas för att minska dessa risker. </w:t>
      </w:r>
      <w:r>
        <w:rPr>
          <w:rFonts w:ascii="Times New Roman" w:hAnsi="Times New Roman"/>
          <w:b/>
          <w:noProof/>
          <w:color w:val="000000" w:themeColor="text1"/>
          <w:sz w:val="24"/>
        </w:rPr>
        <w:t>I detta meddelande presenteras de viktigaste åtgärder som krävs för att se till att allmänheten och företagen, inför de förvärrade klimatriskerna, kan förlita sig på att EU och dess medlemsstater upprätthåller samhällsfunktionerna och tillgången till grundläggande tjänster. Syftet är att klargöra vem som är ansvarig för att fatta svåra beslut och vidta åtgärder, med utgångspunkt i de bästa rönen. Det visar hur EU på ett effektivt sätt kan förekomma klimatpåverkan under de kommande åren och hur man genom att bygga upp resiliens gör det billigare och lättare att uppnå andra politiska mål.</w:t>
      </w:r>
      <w:r>
        <w:rPr>
          <w:rFonts w:ascii="Times New Roman" w:hAnsi="Times New Roman"/>
          <w:noProof/>
          <w:color w:val="000000" w:themeColor="text1"/>
          <w:sz w:val="24"/>
        </w:rPr>
        <w:t xml:space="preserve"> Denna strävan kräver att man i framtiden som standard beaktar beredskap och resiliens gentemot klimatrisker i de åtgärder som vidtas på EU-nivå och medlemsstatsnivå, inom alla politikområden.</w:t>
      </w:r>
    </w:p>
    <w:p w14:paraId="7A4DE63C" w14:textId="77777777" w:rsidR="006C2EA4" w:rsidRDefault="006C2EA4" w:rsidP="00E445D2">
      <w:pPr>
        <w:spacing w:after="120"/>
        <w:jc w:val="both"/>
        <w:textAlignment w:val="baseline"/>
        <w:rPr>
          <w:rFonts w:ascii="Times New Roman" w:eastAsia="Times New Roman" w:hAnsi="Times New Roman" w:cs="Times New Roman"/>
          <w:noProof/>
          <w:color w:val="000000" w:themeColor="text1"/>
          <w:sz w:val="24"/>
          <w:szCs w:val="24"/>
        </w:rPr>
      </w:pPr>
      <w:bookmarkStart w:id="8" w:name="_Toc157586294"/>
      <w:bookmarkStart w:id="9" w:name="_Toc157587654"/>
      <w:bookmarkStart w:id="10" w:name="_Toc157587770"/>
      <w:bookmarkStart w:id="11" w:name="_Toc157586295"/>
      <w:bookmarkStart w:id="12" w:name="_Toc157587655"/>
      <w:bookmarkStart w:id="13" w:name="_Toc157587771"/>
      <w:bookmarkStart w:id="14" w:name="_Toc157586296"/>
      <w:bookmarkStart w:id="15" w:name="_Toc157587656"/>
      <w:bookmarkStart w:id="16" w:name="_Toc157587772"/>
      <w:bookmarkStart w:id="17" w:name="_Toc157586297"/>
      <w:bookmarkStart w:id="18" w:name="_Toc157587657"/>
      <w:bookmarkStart w:id="19" w:name="_Toc157587773"/>
      <w:bookmarkStart w:id="20" w:name="_Toc157586298"/>
      <w:bookmarkStart w:id="21" w:name="_Toc157587658"/>
      <w:bookmarkStart w:id="22" w:name="_Toc157587774"/>
      <w:bookmarkStart w:id="23" w:name="_Toc157586299"/>
      <w:bookmarkStart w:id="24" w:name="_Toc157587659"/>
      <w:bookmarkStart w:id="25" w:name="_Toc157587775"/>
      <w:bookmarkStart w:id="26" w:name="_Toc157586300"/>
      <w:bookmarkStart w:id="27" w:name="_Toc157587660"/>
      <w:bookmarkStart w:id="28" w:name="_Toc157587776"/>
      <w:bookmarkStart w:id="29" w:name="_Toc15979219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24BA4A78" w14:textId="363BA5F7" w:rsidR="001714DA" w:rsidRPr="00677067" w:rsidRDefault="00D7188A" w:rsidP="00B2476E">
      <w:pPr>
        <w:pStyle w:val="Heading2"/>
        <w:ind w:left="1565" w:hanging="431"/>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EU har grunden för att bättre hantera klimatrisker</w:t>
      </w:r>
      <w:bookmarkEnd w:id="29"/>
    </w:p>
    <w:p w14:paraId="2244059F" w14:textId="77777777" w:rsidR="00ED251E" w:rsidRDefault="00ED251E" w:rsidP="00B11E0C">
      <w:pPr>
        <w:jc w:val="both"/>
        <w:textAlignment w:val="baseline"/>
        <w:rPr>
          <w:rFonts w:ascii="Times New Roman" w:eastAsia="Times New Roman" w:hAnsi="Times New Roman" w:cs="Times New Roman"/>
          <w:noProof/>
          <w:color w:val="000000" w:themeColor="text1"/>
          <w:sz w:val="24"/>
          <w:szCs w:val="24"/>
          <w:lang w:eastAsia="en-IE"/>
        </w:rPr>
      </w:pPr>
    </w:p>
    <w:p w14:paraId="601360BF" w14:textId="1C0AFE0F" w:rsidR="00D7188A" w:rsidRPr="00915255" w:rsidRDefault="00D7188A" w:rsidP="008E56D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Enligt den europeiska klimatlagen ska EU:s institutioner och medlemsstaterna säkerställa löpande framsteg med att öka anpassningsförmågan, stärka motståndskraften och minska sårbarheten. Genomförandet av den breda handlingsplanen i EU-strategin för klimatanpassning från 2021 har inletts på flera håll.</w:t>
      </w:r>
      <w:r>
        <w:rPr>
          <w:rStyle w:val="FootnoteReference"/>
          <w:rFonts w:ascii="Times New Roman" w:hAnsi="Times New Roman"/>
          <w:noProof/>
          <w:color w:val="000000" w:themeColor="text1"/>
          <w:sz w:val="24"/>
        </w:rPr>
        <w:t xml:space="preserve"> </w:t>
      </w:r>
      <w:r>
        <w:rPr>
          <w:rFonts w:ascii="Times New Roman" w:hAnsi="Times New Roman"/>
          <w:noProof/>
          <w:color w:val="000000" w:themeColor="text1"/>
          <w:sz w:val="24"/>
        </w:rPr>
        <w:t>För att öka resiliensen hos EU-finansierade investeringar har sammanhållningspolitiken och andra centrala program i EU:s budget integrerat principen om att inte orsaka betydande skada, och inrättat mekanismer för klimatsäkring.</w:t>
      </w:r>
      <w:r>
        <w:rPr>
          <w:noProof/>
        </w:rPr>
        <w:t xml:space="preserve"> </w:t>
      </w:r>
      <w:r>
        <w:rPr>
          <w:rFonts w:ascii="Times New Roman" w:hAnsi="Times New Roman"/>
          <w:noProof/>
          <w:color w:val="000000" w:themeColor="text1"/>
          <w:sz w:val="24"/>
        </w:rPr>
        <w:t xml:space="preserve">Ett brett spektrum av sektorspolitik håller på att uppdateras med utgångspunkt i klimatriskerna. Medlemsstaterna håller på att förbättra sina anpassningsinsatser och har vidtagit de första åtgärderna för att inkludera klimatresiliens i sina nationella energi- och klimatplaner. </w:t>
      </w:r>
    </w:p>
    <w:p w14:paraId="494576C8" w14:textId="6CC1589E" w:rsidR="00050DE4" w:rsidRPr="00915255" w:rsidRDefault="00050DE4" w:rsidP="008E56D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Slutsatserna i kommissionens senaste bedömningar</w:t>
      </w:r>
      <w:r w:rsidRPr="00915255">
        <w:rPr>
          <w:rStyle w:val="FootnoteReference"/>
          <w:rFonts w:ascii="Times New Roman" w:eastAsia="Times New Roman" w:hAnsi="Times New Roman" w:cs="Times New Roman"/>
          <w:noProof/>
          <w:color w:val="000000" w:themeColor="text1"/>
          <w:sz w:val="24"/>
          <w:szCs w:val="24"/>
          <w:lang w:eastAsia="en-IE"/>
        </w:rPr>
        <w:footnoteReference w:id="9"/>
      </w:r>
      <w:r>
        <w:rPr>
          <w:rFonts w:ascii="Times New Roman" w:hAnsi="Times New Roman"/>
          <w:noProof/>
          <w:color w:val="000000" w:themeColor="text1"/>
          <w:sz w:val="24"/>
        </w:rPr>
        <w:t xml:space="preserve"> </w:t>
      </w:r>
      <w:r w:rsidRPr="00915255">
        <w:rPr>
          <w:rStyle w:val="FootnoteReference"/>
          <w:rFonts w:ascii="Times New Roman" w:hAnsi="Times New Roman" w:cs="Times New Roman"/>
          <w:noProof/>
          <w:color w:val="000000" w:themeColor="text1"/>
          <w:sz w:val="24"/>
          <w:szCs w:val="24"/>
          <w:lang w:eastAsia="en-IE"/>
        </w:rPr>
        <w:footnoteReference w:id="10"/>
      </w:r>
      <w:r>
        <w:rPr>
          <w:rFonts w:ascii="Times New Roman" w:hAnsi="Times New Roman"/>
          <w:noProof/>
          <w:color w:val="000000" w:themeColor="text1"/>
          <w:sz w:val="24"/>
        </w:rPr>
        <w:t xml:space="preserve"> </w:t>
      </w:r>
      <w:r w:rsidR="00B809D0">
        <w:rPr>
          <w:rStyle w:val="FootnoteReference"/>
          <w:rFonts w:ascii="Times New Roman" w:hAnsi="Times New Roman" w:cs="Times New Roman"/>
          <w:noProof/>
          <w:color w:val="000000" w:themeColor="text1"/>
          <w:sz w:val="24"/>
          <w:szCs w:val="24"/>
          <w:lang w:eastAsia="en-IE"/>
        </w:rPr>
        <w:footnoteReference w:id="11"/>
      </w:r>
      <w:r>
        <w:rPr>
          <w:rFonts w:ascii="Times New Roman" w:hAnsi="Times New Roman"/>
          <w:noProof/>
          <w:color w:val="000000" w:themeColor="text1"/>
          <w:sz w:val="24"/>
        </w:rPr>
        <w:t xml:space="preserve"> har dock varit blandade. Kontinuerliga framsteg kan noteras på EU-nivå genom genomförandet av EU-strategin för klimatanpassning, men medlemsstaterna måste göra mycket mer när det gäller förvaltningsaspekter, ökad medvetenhet, rättvisa och rättvis resiliens, finansiering och naturbaserade lösningar. I kommissionens senaste bedömningar av utkasten till de uppdaterade nationella energi- och klimatplanerna och tillhörande rekommendationer konstateras en bristande överensstämmelse mellan de nationella planerna och den anpassningspolitik och de anpassningsåtgärder som planeras och genomförs av medlemsstaterna. Kommissionen har utfärdat rekommendationer och är beredd att hjälpa medlemsstaterna att förbättra sina nationella energi- och klimatplaner ytterligare, i syfte att påskynda genomförandet och investeringarna under de kommande åren. </w:t>
      </w:r>
    </w:p>
    <w:p w14:paraId="7CBA5029" w14:textId="7466920A" w:rsidR="00E94165" w:rsidRPr="00915255" w:rsidRDefault="00E94165" w:rsidP="00E9416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Rapporten </w:t>
      </w:r>
      <w:r>
        <w:rPr>
          <w:rFonts w:ascii="Times New Roman" w:hAnsi="Times New Roman"/>
          <w:i/>
          <w:iCs/>
          <w:noProof/>
          <w:color w:val="000000" w:themeColor="text1"/>
          <w:sz w:val="24"/>
        </w:rPr>
        <w:t>Förebyggande och hantering av katastrofrisker i Europa</w:t>
      </w:r>
      <w:r w:rsidR="008573D8" w:rsidRPr="00DA1432">
        <w:rPr>
          <w:rStyle w:val="FootnoteReference"/>
          <w:rFonts w:ascii="Times New Roman" w:eastAsia="Times New Roman" w:hAnsi="Times New Roman" w:cs="Times New Roman"/>
          <w:noProof/>
          <w:color w:val="000000" w:themeColor="text1"/>
          <w:sz w:val="24"/>
          <w:szCs w:val="24"/>
          <w:lang w:eastAsia="en-IE"/>
        </w:rPr>
        <w:footnoteReference w:id="12"/>
      </w:r>
      <w:r>
        <w:rPr>
          <w:rFonts w:ascii="Times New Roman" w:hAnsi="Times New Roman"/>
          <w:noProof/>
          <w:color w:val="000000" w:themeColor="text1"/>
          <w:sz w:val="24"/>
        </w:rPr>
        <w:t xml:space="preserve"> visar att klimatrelaterade risker står högt på agendan för katastrofriskhantering i hela Europa. Det är dock oroväckande att det i rapporten framgår att, även om klimatrisker oftast erkänns, tar riskbedömningarna av civilskyddet sällan hänsyn till klimatscenarier och osäkerheter. Medlemsstaternas bedömningar av risker för kritiska infrastrukturer kommer att slutföras till januari 2026 enligt direktivet om kritiska enheters motståndskraft. I de nuvarande bedömningarna av de offentligfinansiella prognoserna beaktas inte klimatrisker på ett systematiskt sätt, om alls. På det hela taget kan de processer och krav som man enats om i politiska ramar på EU-nivå hantera klimatriskerna, men genomförandet är för närvarande inte tillräckligt för att ge rimlig säkerhet. </w:t>
      </w:r>
    </w:p>
    <w:p w14:paraId="77D464C8" w14:textId="64B41063" w:rsidR="007E3DA4" w:rsidRPr="00915255" w:rsidRDefault="00B065A9"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Framstegen är därför ojämna och håller inte jämna steg med de allt snabbare klimatförändringarna. </w:t>
      </w:r>
      <w:r>
        <w:rPr>
          <w:rFonts w:ascii="Times New Roman" w:hAnsi="Times New Roman"/>
          <w:b/>
          <w:noProof/>
          <w:color w:val="000000" w:themeColor="text1"/>
          <w:sz w:val="24"/>
        </w:rPr>
        <w:t>Både EU och dess medlemsstater måste bli betydligt bättre på att förbereda sig inför och hantera klimatrisker på ett effektivt sätt</w:t>
      </w:r>
      <w:r>
        <w:rPr>
          <w:rFonts w:ascii="Times New Roman" w:hAnsi="Times New Roman"/>
          <w:noProof/>
          <w:color w:val="000000" w:themeColor="text1"/>
          <w:sz w:val="24"/>
        </w:rPr>
        <w:t>.</w:t>
      </w:r>
    </w:p>
    <w:p w14:paraId="5466465C" w14:textId="7A25E2A4" w:rsidR="00D7188A" w:rsidRPr="00915255" w:rsidRDefault="008E56D1" w:rsidP="004A563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I den europeiska klimatriskbedömningen beskrivs i detalj vilka klimatrisker som är centrala för Europa och hur dessa samverkar med och förstärker många icke-klimatrelaterade risker. Detta meddelande är ett svar på denna bedömning och andra aktuella rön. </w:t>
      </w:r>
      <w:r>
        <w:rPr>
          <w:rFonts w:ascii="Times New Roman" w:hAnsi="Times New Roman"/>
          <w:noProof/>
          <w:color w:val="000000"/>
          <w:sz w:val="24"/>
        </w:rPr>
        <w:t xml:space="preserve">Den undersöker inte på djupet potentiella större risker för EU till följd av klimatpåverkan utanför EU, eller vice versa. Klimatförändringarna kan utlösa kaskadrisker och förvärra miljöförstöringen och befintliga orsaker till konflikter, tvångsförflyttningar och migration. </w:t>
      </w:r>
      <w:r>
        <w:rPr>
          <w:rFonts w:ascii="Times New Roman" w:hAnsi="Times New Roman"/>
          <w:noProof/>
          <w:sz w:val="24"/>
        </w:rPr>
        <w:t>Dessa komplexa sammanlänkningar förtjänar en särskild analys för att bidra till politiskt beslutsfattande, vilket återspeglas i meddelandet om kopplingen mellan klimat och säkerhet</w:t>
      </w:r>
      <w:r w:rsidRPr="00915255">
        <w:rPr>
          <w:rFonts w:ascii="Times New Roman" w:eastAsia="Times New Roman" w:hAnsi="Times New Roman" w:cs="Times New Roman"/>
          <w:noProof/>
          <w:color w:val="000000" w:themeColor="text1"/>
          <w:sz w:val="24"/>
          <w:szCs w:val="24"/>
          <w:vertAlign w:val="superscript"/>
          <w:lang w:eastAsia="en-IE"/>
        </w:rPr>
        <w:footnoteReference w:id="13"/>
      </w:r>
      <w:r>
        <w:rPr>
          <w:rFonts w:ascii="Times New Roman" w:hAnsi="Times New Roman"/>
          <w:noProof/>
          <w:sz w:val="24"/>
        </w:rPr>
        <w:t>.</w:t>
      </w:r>
      <w:r>
        <w:rPr>
          <w:rFonts w:ascii="Times New Roman" w:hAnsi="Times New Roman"/>
          <w:noProof/>
          <w:color w:val="000000" w:themeColor="text1"/>
          <w:sz w:val="24"/>
        </w:rPr>
        <w:t xml:space="preserve"> </w:t>
      </w:r>
    </w:p>
    <w:p w14:paraId="5B5998D4" w14:textId="1B6755FC" w:rsidR="00A70A3C" w:rsidRDefault="00A70A3C" w:rsidP="00467C2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I linje med den internationella dimensionen av EU:s anpassningsstrategi</w:t>
      </w:r>
      <w:r w:rsidRPr="00A70A3C">
        <w:rPr>
          <w:rFonts w:ascii="Times New Roman" w:eastAsia="Times New Roman" w:hAnsi="Times New Roman" w:cs="Times New Roman"/>
          <w:noProof/>
          <w:color w:val="000000" w:themeColor="text1"/>
          <w:sz w:val="24"/>
          <w:szCs w:val="24"/>
          <w:vertAlign w:val="superscript"/>
          <w:lang w:eastAsia="en-IE"/>
        </w:rPr>
        <w:footnoteReference w:id="14"/>
      </w:r>
      <w:r>
        <w:rPr>
          <w:rFonts w:ascii="Times New Roman" w:hAnsi="Times New Roman"/>
          <w:noProof/>
          <w:color w:val="000000" w:themeColor="text1"/>
          <w:sz w:val="24"/>
        </w:rPr>
        <w:t xml:space="preserve"> kommer EU att fortsätta att stödja integrerade lösningar för klimatresiliens i instabila och sårbara länder. EU Global Gateway, EU:s omfattande strategi med medel på 300 miljarder euro, och de ekonomiska planer och investeringsplaner som utformats för EU:s södra grannskap, det östliga partnerskapet och västra Balkan, kan erbjuda verktyg för att minska klimatriskerna på global nivå. EU har till exempel lanserat det omfattande Team Europe-initiativet för klimatanpassning och klimatresiliens i Afrika söder om Sahara som en del av investeringspaketet Global Gateway EU–Afrika. I linje med Sendai-ramverket för katastrofriskreducering kommer EU att fortsätta att stödja katastrofriskreducering i partnerländerna, med fokus på kunskap, styrformer, förebyggande, beredskap (särskilt system för tidig varning), insatser och återhämtning.</w:t>
      </w:r>
    </w:p>
    <w:p w14:paraId="3E7F0EF3" w14:textId="3AB7C499" w:rsidR="00467C2D" w:rsidRPr="00B2476E" w:rsidRDefault="00E213F7" w:rsidP="00467C2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Meddelandet är en uppföljning på de senaste resultaten från FN:s klimattoppmöte (COP28) om anpassning, och särskilt om genomförandet av ramen för global klimatresiliens</w:t>
      </w:r>
      <w:r w:rsidR="00D7188A" w:rsidRPr="00915255">
        <w:rPr>
          <w:rStyle w:val="FootnoteReference"/>
          <w:rFonts w:ascii="Times New Roman" w:eastAsia="Times New Roman" w:hAnsi="Times New Roman" w:cs="Times New Roman"/>
          <w:noProof/>
          <w:color w:val="000000" w:themeColor="text1"/>
          <w:sz w:val="24"/>
          <w:szCs w:val="24"/>
          <w:lang w:eastAsia="en-IE"/>
        </w:rPr>
        <w:footnoteReference w:id="15"/>
      </w:r>
      <w:r>
        <w:rPr>
          <w:rFonts w:ascii="Times New Roman" w:hAnsi="Times New Roman"/>
          <w:noProof/>
          <w:color w:val="000000" w:themeColor="text1"/>
          <w:sz w:val="24"/>
        </w:rPr>
        <w:t xml:space="preserve"> från förenade Arabemiraten. EU kommer att fortsätta att främja klimatresiliens och hantering av klimatrisker och bidra till klimatanpassning och konfliktförebyggande inom sina verktyg för klimatdiplomati där europeiska erfarenheter beaktas i internationella forum och bilateralt.</w:t>
      </w:r>
    </w:p>
    <w:p w14:paraId="0646DA70" w14:textId="7187CC1E" w:rsidR="00B11E0C" w:rsidRDefault="00B11E0C"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17D23F3" w14:textId="77777777" w:rsidR="00275F0B" w:rsidRPr="00B2476E" w:rsidRDefault="00275F0B"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38014A6E" w14:textId="51FA5DD2" w:rsidR="0053389F" w:rsidRPr="00677067" w:rsidRDefault="00C732A8"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30" w:name="_Toc159792198"/>
      <w:bookmarkStart w:id="31" w:name="_Toc155653036"/>
      <w:bookmarkStart w:id="32" w:name="_Toc155653108"/>
      <w:r>
        <w:rPr>
          <w:rFonts w:ascii="Times New Roman" w:hAnsi="Times New Roman"/>
          <w:b/>
          <w:noProof/>
          <w:color w:val="000000" w:themeColor="text1"/>
          <w:sz w:val="24"/>
        </w:rPr>
        <w:t>Analys: de senaste rönen om centrala risker för Europa</w:t>
      </w:r>
      <w:bookmarkEnd w:id="30"/>
      <w:r>
        <w:rPr>
          <w:rFonts w:ascii="Times New Roman" w:hAnsi="Times New Roman"/>
          <w:b/>
          <w:noProof/>
          <w:color w:val="000000" w:themeColor="text1"/>
          <w:sz w:val="24"/>
        </w:rPr>
        <w:t xml:space="preserve"> </w:t>
      </w:r>
      <w:bookmarkEnd w:id="31"/>
      <w:bookmarkEnd w:id="32"/>
    </w:p>
    <w:p w14:paraId="3C0A9A0E" w14:textId="77777777" w:rsidR="001F6B5D" w:rsidRPr="00677067" w:rsidRDefault="001F6B5D" w:rsidP="001F6B5D">
      <w:pPr>
        <w:rPr>
          <w:rFonts w:ascii="Times New Roman" w:hAnsi="Times New Roman" w:cs="Times New Roman"/>
          <w:b/>
          <w:bCs/>
          <w:noProof/>
          <w:color w:val="000000" w:themeColor="text1"/>
          <w:sz w:val="24"/>
          <w:szCs w:val="24"/>
          <w:lang w:eastAsia="en-IE"/>
        </w:rPr>
      </w:pPr>
    </w:p>
    <w:p w14:paraId="34C7C281" w14:textId="01E80FA7" w:rsidR="00C04113" w:rsidRPr="00677067" w:rsidRDefault="00537510" w:rsidP="00B2476E">
      <w:pPr>
        <w:pStyle w:val="Heading2"/>
        <w:ind w:left="1565" w:hanging="431"/>
        <w:rPr>
          <w:rFonts w:ascii="Times New Roman" w:hAnsi="Times New Roman" w:cs="Times New Roman"/>
          <w:b/>
          <w:bCs/>
          <w:noProof/>
          <w:color w:val="000000" w:themeColor="text1"/>
          <w:sz w:val="24"/>
          <w:szCs w:val="24"/>
        </w:rPr>
      </w:pPr>
      <w:bookmarkStart w:id="33" w:name="_Toc159792199"/>
      <w:r>
        <w:rPr>
          <w:rFonts w:ascii="Times New Roman" w:hAnsi="Times New Roman"/>
          <w:b/>
          <w:noProof/>
          <w:color w:val="000000" w:themeColor="text1"/>
          <w:sz w:val="24"/>
        </w:rPr>
        <w:t>Slutsatser från den europeiska klimatriskbedömningen</w:t>
      </w:r>
      <w:bookmarkEnd w:id="33"/>
      <w:r>
        <w:rPr>
          <w:rFonts w:ascii="Times New Roman" w:hAnsi="Times New Roman"/>
          <w:b/>
          <w:noProof/>
          <w:color w:val="000000" w:themeColor="text1"/>
          <w:sz w:val="24"/>
        </w:rPr>
        <w:t xml:space="preserve"> </w:t>
      </w:r>
    </w:p>
    <w:p w14:paraId="220AC25A" w14:textId="77777777" w:rsidR="00110F08" w:rsidRPr="00677067"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526AFC4E" w14:textId="125AC93C" w:rsidR="006E6115" w:rsidRDefault="003075BA" w:rsidP="005B3DC0">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 xml:space="preserve">Forskarna är eniga: Europa står inför en situation med högre temperaturer överlag, risk för vanligare och kraftigare värmeböljor, långvarig torka, kraftigare nederbörd, lägre genomsnittliga vindhastigheter och mindre snö. I rapporter från FN:s klimatpanel (IPCC) har detta framhållits tydligt. Denna överblick visar dock inte den komplexa samverkan mellan faror och sannolikheten för katastrofala effekter. </w:t>
      </w:r>
    </w:p>
    <w:p w14:paraId="4765E38A" w14:textId="48ED4B35" w:rsidR="006B7564" w:rsidRDefault="00903F2E" w:rsidP="006E6115">
      <w:pPr>
        <w:spacing w:after="120"/>
        <w:jc w:val="center"/>
        <w:textAlignment w:val="baseline"/>
        <w:rPr>
          <w:rFonts w:ascii="Times New Roman" w:hAnsi="Times New Roman"/>
          <w:noProof/>
          <w:color w:val="000000" w:themeColor="text1"/>
          <w:sz w:val="24"/>
        </w:rPr>
      </w:pPr>
      <w:r>
        <w:rPr>
          <w:rFonts w:ascii="Times New Roman" w:hAnsi="Times New Roman"/>
          <w:noProof/>
          <w:color w:val="000000" w:themeColor="text1"/>
          <w:sz w:val="24"/>
        </w:rPr>
        <w:t>Figur 2: Observerade och förväntade trender när det gäller centrala klimatrelaterade faror i olika europeiska regioner</w:t>
      </w:r>
    </w:p>
    <w:p w14:paraId="7026D70C" w14:textId="0817C12E" w:rsidR="00B4182E" w:rsidRPr="00915255" w:rsidRDefault="005B3DC0" w:rsidP="005B3DC0">
      <w:pPr>
        <w:spacing w:after="120"/>
        <w:jc w:val="center"/>
        <w:textAlignment w:val="baseline"/>
        <w:rPr>
          <w:rFonts w:ascii="Times New Roman" w:eastAsia="Times New Roman" w:hAnsi="Times New Roman" w:cs="Times New Roman"/>
          <w:noProof/>
          <w:color w:val="000000" w:themeColor="text1"/>
          <w:sz w:val="24"/>
          <w:szCs w:val="24"/>
        </w:rPr>
      </w:pPr>
      <w:r w:rsidRPr="006E6115">
        <w:rPr>
          <w:noProof/>
          <w:lang w:val="en-GB" w:eastAsia="en-GB"/>
        </w:rPr>
        <w:drawing>
          <wp:inline distT="0" distB="0" distL="0" distR="0" wp14:anchorId="016859A3" wp14:editId="1B43837B">
            <wp:extent cx="4290646" cy="37978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448" t="3001" r="11063" b="8606"/>
                    <a:stretch/>
                  </pic:blipFill>
                  <pic:spPr bwMode="auto">
                    <a:xfrm>
                      <a:off x="0" y="0"/>
                      <a:ext cx="4291073" cy="3798265"/>
                    </a:xfrm>
                    <a:prstGeom prst="rect">
                      <a:avLst/>
                    </a:prstGeom>
                    <a:noFill/>
                    <a:ln>
                      <a:noFill/>
                    </a:ln>
                    <a:extLst>
                      <a:ext uri="{53640926-AAD7-44D8-BBD7-CCE9431645EC}">
                        <a14:shadowObscured xmlns:a14="http://schemas.microsoft.com/office/drawing/2010/main"/>
                      </a:ext>
                    </a:extLst>
                  </pic:spPr>
                </pic:pic>
              </a:graphicData>
            </a:graphic>
          </wp:inline>
        </w:drawing>
      </w:r>
      <w:r w:rsidR="009513CE">
        <w:rPr>
          <w:rFonts w:ascii="Times New Roman" w:hAnsi="Times New Roman"/>
          <w:noProof/>
          <w:color w:val="000000" w:themeColor="text1"/>
          <w:sz w:val="24"/>
        </w:rPr>
        <w:t xml:space="preserve"> </w:t>
      </w:r>
    </w:p>
    <w:p w14:paraId="369027B6" w14:textId="52A4F22C" w:rsidR="0016254A" w:rsidRPr="00915255" w:rsidRDefault="009513CE" w:rsidP="0027457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Källa: den europeiska klimatriskbedömningen. </w:t>
      </w:r>
    </w:p>
    <w:p w14:paraId="2B4CD59C" w14:textId="6E7989F4" w:rsidR="00E8187F" w:rsidRDefault="00344A54" w:rsidP="00344A54">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Dessa klimatrelaterade risker kommer att leda till fler katastrofer som torka, översvämningar, skogsbränder, sjukdomar, förstörda skördar, dödsfall på grund av värme, infrastrukturskador och strukturella förändringar av miljön. I praktiken är samhällsberedskapen, den ekonomiska och förvaltningsmässiga förmågan att återhämta sig och den fysiska platsen de huvudsakliga faktorer som avgör hur pass utsatta och sårbara vi är som samhälle. </w:t>
      </w:r>
    </w:p>
    <w:p w14:paraId="3EBCF7F6" w14:textId="357F125E" w:rsidR="002E7B27" w:rsidRDefault="002E7B27" w:rsidP="00681BFF">
      <w:pPr>
        <w:spacing w:after="120"/>
        <w:jc w:val="both"/>
        <w:textAlignment w:val="baseline"/>
        <w:rPr>
          <w:rFonts w:ascii="Times New Roman" w:eastAsia="Times New Roman" w:hAnsi="Times New Roman" w:cs="Times New Roman"/>
          <w:noProof/>
          <w:color w:val="000000" w:themeColor="text1"/>
          <w:sz w:val="24"/>
          <w:szCs w:val="24"/>
        </w:rPr>
      </w:pPr>
      <w:bookmarkStart w:id="34" w:name="_Hlk160815827"/>
      <w:r>
        <w:rPr>
          <w:rFonts w:ascii="Times New Roman" w:hAnsi="Times New Roman"/>
          <w:noProof/>
          <w:color w:val="000000" w:themeColor="text1"/>
          <w:sz w:val="24"/>
        </w:rPr>
        <w:t xml:space="preserve">Sydeuropa kommer att drabbas mer av klimatförändringarna än resten av Europa, vilket även gäller de arktiska områdena. I de yttersta randområdena finns det särskilda risker. Denna asymmetriska exponering för klimatpåverkan förvärrar de redan befintliga skillnaderna mellan regionerna när det gäller behovet av klimatanpassning, riskförebyggande och beredskap, vilket kan sätta press på verktygen för europeisk sammanhållning. </w:t>
      </w:r>
    </w:p>
    <w:bookmarkEnd w:id="34"/>
    <w:p w14:paraId="7F9A9021" w14:textId="66F066A7" w:rsidR="00582114" w:rsidRPr="00915255" w:rsidRDefault="00582114" w:rsidP="00582114">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De samhällsomfattande kostnaderna och de skador som undviks kan inte beräknas korrekt, men en uppskattning av omfattningen bör räcka för att motivera åtgärder. En konservativ uppskattning är att en förvärrad klimatpåverkan skulle kunna minska EU:s BNP med omkring 7 % i slutet av århundradet. Om den globala uppvärmningen mer permanent överskrider tröskeln på 1,5 °C i Parisavtalet kan den kumulativa ytterligare minskningen av BNP för EU som helhet uppgå till 2,4 biljoner euro under perioden 2031–2050</w:t>
      </w:r>
      <w:r w:rsidRPr="0018244E">
        <w:rPr>
          <w:rStyle w:val="FootnoteReference"/>
          <w:rFonts w:ascii="Times New Roman" w:hAnsi="Times New Roman" w:cs="Times New Roman"/>
          <w:noProof/>
          <w:color w:val="000000" w:themeColor="text1"/>
          <w:sz w:val="24"/>
          <w:szCs w:val="24"/>
        </w:rPr>
        <w:footnoteReference w:id="16"/>
      </w:r>
      <w:r>
        <w:rPr>
          <w:rFonts w:ascii="Times New Roman" w:hAnsi="Times New Roman"/>
          <w:noProof/>
          <w:color w:val="000000" w:themeColor="text1"/>
          <w:sz w:val="24"/>
        </w:rPr>
        <w:t xml:space="preserve">. </w:t>
      </w:r>
      <w:r>
        <w:rPr>
          <w:rFonts w:ascii="Times New Roman" w:hAnsi="Times New Roman"/>
          <w:noProof/>
          <w:sz w:val="24"/>
        </w:rPr>
        <w:t>De årliga skadorna i Europa till följd av kustöversvämningar kan komma att överstiga 1,6 biljoner euro 2100</w:t>
      </w:r>
      <w:r>
        <w:rPr>
          <w:rStyle w:val="FootnoteReference"/>
          <w:rFonts w:ascii="Times New Roman" w:eastAsia="Times New Roman" w:hAnsi="Times New Roman" w:cs="Times New Roman"/>
          <w:noProof/>
          <w:sz w:val="24"/>
          <w:szCs w:val="24"/>
          <w:lang w:val="en-IE"/>
        </w:rPr>
        <w:footnoteReference w:id="17"/>
      </w:r>
      <w:r>
        <w:rPr>
          <w:rFonts w:ascii="Times New Roman" w:hAnsi="Times New Roman"/>
          <w:noProof/>
          <w:sz w:val="24"/>
        </w:rPr>
        <w:t xml:space="preserve">, där 3,9 miljoner människor utsätts för sådana översvämningar varje år. </w:t>
      </w:r>
    </w:p>
    <w:p w14:paraId="5C76A149" w14:textId="3B00D40D" w:rsidR="00681BFF"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Klimatrisker drabbar särskilt de människor som är mest utsatta på grund av en rad olika socioekonomiska faktorer, däribland inkomst, kön, ålder, funktionsnedsättning, hälsa och social utestängning (som särskilt upplevs av migranter, etniska minoriteter och ursprungsbefolkningar). </w:t>
      </w:r>
      <w:r>
        <w:rPr>
          <w:rFonts w:ascii="Times New Roman" w:hAnsi="Times New Roman"/>
          <w:noProof/>
          <w:sz w:val="24"/>
        </w:rPr>
        <w:t>Om omständigheterna är ofördelaktiga redan från början minskar förmågan att återhämta sig från klimatrelaterade katastrofer.</w:t>
      </w:r>
      <w:r>
        <w:rPr>
          <w:rFonts w:ascii="Times New Roman" w:hAnsi="Times New Roman"/>
          <w:noProof/>
          <w:color w:val="000000" w:themeColor="text1"/>
          <w:sz w:val="24"/>
        </w:rPr>
        <w:t xml:space="preserve"> </w:t>
      </w:r>
      <w:r>
        <w:rPr>
          <w:rFonts w:ascii="Times New Roman" w:hAnsi="Times New Roman"/>
          <w:noProof/>
          <w:sz w:val="24"/>
        </w:rPr>
        <w:t>Fattiga stadsområden, men även skolor och sjukhus, brukar finnas i urbana värmeöar. Både i stads- och landsbygdsmiljöer står den befolkning som lever i låglänta områden inför ökade risker för översvämning och de konsekvenser som följer av vattenföroreningar.</w:t>
      </w:r>
    </w:p>
    <w:p w14:paraId="4E1651C6" w14:textId="7950F43C" w:rsidR="00681BFF" w:rsidRPr="00915255"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Utsatta arbetstagare, främst de som arbetar utomhus inom exempelvis jordbruk, bygg och anläggning, räddningstjänst och turism, kommer mer sannolikt att behöva utstå extrema värmeförhållanden. Utöver konsekvenserna för arbetsmiljön och det inkomstbortfall som drabbar enskilda arbetstagare på grund av förlorad arbetstid kan minskningen av arbetsproduktivitet leda till nedgång i den ekonomiska produktionen på en bredare territoriell nivå. Anpassningslösningar som är undermåligt utformade kan göra situationen ännu mer orättvis. Frågor som sociala aspekter, social dialog samt inkluderande och delaktiga beslutsprocesser med de grupper som är drabbade måste beaktas för att de politiska åtgärderna ska kunna utformas rätt. Att erbjuda säkerhet är en del av det sociala kontraktet med våra medborgare. </w:t>
      </w:r>
    </w:p>
    <w:p w14:paraId="71B86C90" w14:textId="048065BB" w:rsidR="00C15BCA" w:rsidRDefault="00D21DA7" w:rsidP="00D21DA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I den europeiska klimatriskbedömningen identifierades 36 centrala risker för Europa, varav flera redan ligger på kritiska nivåer och kräver brådskande åtgärder. Var och en av dessa bör övervägas av beslutsfattarna. I avsnitt 4 beskrivs insatserna mot några av dessa, samtidigt som man fokuserar på åtgärder som kan hantera flera risker samtidigt. </w:t>
      </w:r>
    </w:p>
    <w:p w14:paraId="42589059" w14:textId="77777777" w:rsidR="00C15BCA" w:rsidRDefault="00C15BCA">
      <w:pPr>
        <w:spacing w:after="200" w:line="276" w:lineRule="auto"/>
        <w:rPr>
          <w:rFonts w:ascii="Times New Roman" w:eastAsia="Times New Roman" w:hAnsi="Times New Roman" w:cs="Times New Roman"/>
          <w:noProof/>
          <w:color w:val="000000" w:themeColor="text1"/>
          <w:sz w:val="24"/>
          <w:szCs w:val="24"/>
        </w:rPr>
      </w:pPr>
      <w:r>
        <w:rPr>
          <w:noProof/>
        </w:rPr>
        <w:br w:type="page"/>
      </w:r>
    </w:p>
    <w:p w14:paraId="54F69784" w14:textId="39E4906F" w:rsidR="000E756C" w:rsidRPr="000E756C" w:rsidRDefault="000E756C" w:rsidP="000E756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Figur 3: Kopplingar mellan kluster av större klimatrisker och utsatta politikområden </w:t>
      </w:r>
    </w:p>
    <w:p w14:paraId="3630BC60" w14:textId="4D3EE1FD" w:rsidR="005B3DC0" w:rsidRDefault="005B3DC0" w:rsidP="000E756C">
      <w:pPr>
        <w:spacing w:after="120"/>
        <w:jc w:val="both"/>
        <w:textAlignment w:val="baseline"/>
        <w:rPr>
          <w:rFonts w:ascii="Times New Roman" w:eastAsia="Times New Roman" w:hAnsi="Times New Roman" w:cs="Times New Roman"/>
          <w:noProof/>
          <w:color w:val="000000" w:themeColor="text1"/>
          <w:sz w:val="24"/>
          <w:szCs w:val="24"/>
        </w:rPr>
      </w:pPr>
      <w:r w:rsidRPr="005B3DC0">
        <w:rPr>
          <w:noProof/>
          <w:lang w:val="en-GB" w:eastAsia="en-GB"/>
        </w:rPr>
        <w:drawing>
          <wp:inline distT="0" distB="0" distL="0" distR="0" wp14:anchorId="3093824C" wp14:editId="537C76F5">
            <wp:extent cx="5012055" cy="6682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4281"/>
                    <a:stretch/>
                  </pic:blipFill>
                  <pic:spPr bwMode="auto">
                    <a:xfrm>
                      <a:off x="0" y="0"/>
                      <a:ext cx="5012055" cy="6682740"/>
                    </a:xfrm>
                    <a:prstGeom prst="rect">
                      <a:avLst/>
                    </a:prstGeom>
                    <a:noFill/>
                    <a:ln>
                      <a:noFill/>
                    </a:ln>
                    <a:extLst>
                      <a:ext uri="{53640926-AAD7-44D8-BBD7-CCE9431645EC}">
                        <a14:shadowObscured xmlns:a14="http://schemas.microsoft.com/office/drawing/2010/main"/>
                      </a:ext>
                    </a:extLst>
                  </pic:spPr>
                </pic:pic>
              </a:graphicData>
            </a:graphic>
          </wp:inline>
        </w:drawing>
      </w:r>
    </w:p>
    <w:p w14:paraId="53FC4126" w14:textId="55290F62" w:rsidR="00C51D41" w:rsidRPr="00915255" w:rsidRDefault="00C51D41" w:rsidP="00C51D4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Källa: den europeiska klimatriskbedömningen. </w:t>
      </w:r>
    </w:p>
    <w:p w14:paraId="760484ED" w14:textId="77777777" w:rsidR="001F6B5D" w:rsidRPr="00915255" w:rsidRDefault="001F6B5D" w:rsidP="004B0FE0">
      <w:pPr>
        <w:spacing w:after="120"/>
        <w:jc w:val="both"/>
        <w:textAlignment w:val="baseline"/>
        <w:rPr>
          <w:rFonts w:ascii="Times New Roman" w:eastAsia="Times New Roman" w:hAnsi="Times New Roman" w:cs="Times New Roman"/>
          <w:noProof/>
          <w:color w:val="000000" w:themeColor="text1"/>
          <w:sz w:val="24"/>
          <w:szCs w:val="24"/>
          <w:lang w:val="en-IE" w:eastAsia="en-IE"/>
        </w:rPr>
      </w:pPr>
    </w:p>
    <w:p w14:paraId="170C4280" w14:textId="0DE90AFA" w:rsidR="006270DE" w:rsidRPr="008C256A" w:rsidRDefault="00545E49" w:rsidP="00B2476E">
      <w:pPr>
        <w:pStyle w:val="Heading2"/>
        <w:ind w:left="1565" w:hanging="431"/>
        <w:rPr>
          <w:rFonts w:ascii="Times New Roman" w:hAnsi="Times New Roman" w:cs="Times New Roman"/>
          <w:b/>
          <w:bCs/>
          <w:noProof/>
          <w:color w:val="000000" w:themeColor="text1"/>
          <w:sz w:val="24"/>
          <w:szCs w:val="24"/>
        </w:rPr>
      </w:pPr>
      <w:bookmarkStart w:id="35" w:name="_Toc157587664"/>
      <w:bookmarkStart w:id="36" w:name="_Toc157587780"/>
      <w:bookmarkStart w:id="37" w:name="_Toc159792200"/>
      <w:bookmarkEnd w:id="35"/>
      <w:bookmarkEnd w:id="36"/>
      <w:r>
        <w:rPr>
          <w:rFonts w:ascii="Times New Roman" w:hAnsi="Times New Roman"/>
          <w:b/>
          <w:noProof/>
          <w:color w:val="000000" w:themeColor="text1"/>
          <w:sz w:val="24"/>
        </w:rPr>
        <w:t>Osäkerheter och sannolikheter</w:t>
      </w:r>
      <w:bookmarkEnd w:id="37"/>
      <w:r>
        <w:rPr>
          <w:rFonts w:ascii="Times New Roman" w:hAnsi="Times New Roman"/>
          <w:b/>
          <w:noProof/>
          <w:color w:val="000000" w:themeColor="text1"/>
          <w:sz w:val="24"/>
        </w:rPr>
        <w:t xml:space="preserve"> </w:t>
      </w:r>
    </w:p>
    <w:p w14:paraId="39A31356" w14:textId="77777777" w:rsidR="00110F08" w:rsidRPr="008C256A"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415BD4D6" w14:textId="4AAB596F" w:rsidR="008E259F" w:rsidRDefault="00D41D86" w:rsidP="00E556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Trots att klimatsystemet är komplext och trots de rådande osäkerheterna är forskarna mycket säkra på att klimatet kommer att fortsätta att försämras under de kommande årtiondena. Beslutsfattare och investerare måste beakta sannolikheten för det resultat som de vill undvika. </w:t>
      </w:r>
    </w:p>
    <w:p w14:paraId="1C605D34" w14:textId="1B750FD7" w:rsidR="00E55620" w:rsidRPr="00915255" w:rsidRDefault="009143E4" w:rsidP="00E556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Osäkerhet är inte en giltig ursäkt för vara passiv. Enligt försiktighetsprincipen</w:t>
      </w:r>
      <w:r w:rsidR="000B141D">
        <w:rPr>
          <w:rStyle w:val="FootnoteReference"/>
          <w:rFonts w:ascii="Times New Roman" w:eastAsia="Times New Roman" w:hAnsi="Times New Roman" w:cs="Times New Roman"/>
          <w:noProof/>
          <w:color w:val="000000" w:themeColor="text1"/>
          <w:sz w:val="24"/>
          <w:szCs w:val="24"/>
          <w:lang w:val="en-IE" w:eastAsia="en-IE"/>
        </w:rPr>
        <w:footnoteReference w:id="18"/>
      </w:r>
      <w:r>
        <w:rPr>
          <w:rFonts w:ascii="Times New Roman" w:hAnsi="Times New Roman"/>
          <w:noProof/>
          <w:color w:val="000000" w:themeColor="text1"/>
          <w:sz w:val="24"/>
        </w:rPr>
        <w:t xml:space="preserve"> måste beslutsfattarna inta en förebyggande och proaktiv hållning för att säkerställa god förvaltning av våra samhällen.</w:t>
      </w:r>
    </w:p>
    <w:p w14:paraId="52D002BB" w14:textId="77777777" w:rsidR="001F6B5D" w:rsidRPr="00915255" w:rsidRDefault="001F6B5D" w:rsidP="00E55620">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92E31CC" w14:textId="14141EEC" w:rsidR="003F1FF2" w:rsidRPr="008C256A" w:rsidRDefault="000E2514" w:rsidP="00B2476E">
      <w:pPr>
        <w:pStyle w:val="Heading1"/>
        <w:numPr>
          <w:ilvl w:val="0"/>
          <w:numId w:val="1"/>
        </w:numPr>
        <w:ind w:left="357" w:hanging="357"/>
        <w:rPr>
          <w:rFonts w:ascii="Times New Roman" w:eastAsiaTheme="minorHAnsi" w:hAnsi="Times New Roman" w:cs="Times New Roman"/>
          <w:b/>
          <w:bCs/>
          <w:noProof/>
          <w:color w:val="000000" w:themeColor="text1"/>
          <w:sz w:val="24"/>
          <w:szCs w:val="24"/>
        </w:rPr>
      </w:pPr>
      <w:bookmarkStart w:id="38" w:name="_Toc159792201"/>
      <w:r>
        <w:rPr>
          <w:rFonts w:ascii="Times New Roman" w:hAnsi="Times New Roman"/>
          <w:b/>
          <w:noProof/>
          <w:color w:val="000000" w:themeColor="text1"/>
          <w:sz w:val="24"/>
        </w:rPr>
        <w:t>Förslag på lösningar – se till att samhället är redo</w:t>
      </w:r>
      <w:bookmarkEnd w:id="38"/>
    </w:p>
    <w:p w14:paraId="22110B25" w14:textId="77777777" w:rsidR="00110F08" w:rsidRPr="00801B76" w:rsidRDefault="00110F08" w:rsidP="00B11E0C">
      <w:pPr>
        <w:spacing w:line="240" w:lineRule="auto"/>
        <w:jc w:val="both"/>
        <w:rPr>
          <w:rFonts w:ascii="Times New Roman" w:hAnsi="Times New Roman" w:cs="Times New Roman"/>
          <w:noProof/>
          <w:color w:val="000000" w:themeColor="text1"/>
          <w:sz w:val="24"/>
          <w:szCs w:val="24"/>
        </w:rPr>
      </w:pPr>
    </w:p>
    <w:p w14:paraId="68767612" w14:textId="15597473" w:rsidR="0094649A" w:rsidRDefault="000C26F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En snabb utveckling, testning och spridning av genomförbara lösningar är ett måste i en föränderlig miljö. EU:s uppdrag för klimatanpassning stöder regionerna med innovativa lösningar som leder en region eller lokal myndighet mot klimatresiliens senast 2030 och kan fungera som bästa praxis för alla berörda parter. </w:t>
      </w:r>
    </w:p>
    <w:p w14:paraId="49D1CE3B" w14:textId="485DFACE" w:rsidR="0035207A" w:rsidRPr="00915255" w:rsidRDefault="0B278AC7"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Investeringar i resiliens redan i början av ett infrastrukturprojekt innebär att tillgången kommer att vara bättre rustad att stå emot extrema väderförhållanden, så att tillfälliga kostnader för återuppbyggnad och återställande kan undvikas. Varje euro som krävs för att reparera skador är en euro som borde ha lagts på en mer produktiv investering. Omvänt kommer varje euro som läggs på förebyggande och beredskap att medföra fördelar för alla, bortom de ursprungliga investeringarna</w:t>
      </w:r>
      <w:r w:rsidR="00FF67E3" w:rsidRPr="0043667E">
        <w:rPr>
          <w:rStyle w:val="FootnoteReference"/>
          <w:rFonts w:ascii="Times New Roman" w:hAnsi="Times New Roman" w:cs="Times New Roman"/>
          <w:noProof/>
          <w:color w:val="000000" w:themeColor="text1"/>
          <w:sz w:val="24"/>
          <w:szCs w:val="24"/>
          <w:lang w:val="en-IE"/>
        </w:rPr>
        <w:footnoteReference w:id="19"/>
      </w:r>
      <w:r>
        <w:rPr>
          <w:rFonts w:ascii="Times New Roman" w:hAnsi="Times New Roman"/>
          <w:noProof/>
          <w:color w:val="000000" w:themeColor="text1"/>
          <w:sz w:val="24"/>
        </w:rPr>
        <w:t>. Dagens planeringsbeslut måste bygga på en sund, förutseende riskbedömning</w:t>
      </w:r>
      <w:r w:rsidR="00FF67E3">
        <w:rPr>
          <w:rStyle w:val="FootnoteReference"/>
          <w:rFonts w:ascii="Times New Roman" w:eastAsia="Times New Roman" w:hAnsi="Times New Roman" w:cs="Times New Roman"/>
          <w:bCs/>
          <w:noProof/>
          <w:color w:val="000000" w:themeColor="text1"/>
          <w:sz w:val="24"/>
          <w:szCs w:val="24"/>
          <w:lang w:val="en-IE" w:eastAsia="en-IE"/>
        </w:rPr>
        <w:footnoteReference w:id="20"/>
      </w:r>
      <w:r>
        <w:rPr>
          <w:rFonts w:ascii="Times New Roman" w:hAnsi="Times New Roman"/>
          <w:noProof/>
          <w:color w:val="000000" w:themeColor="text1"/>
          <w:sz w:val="24"/>
        </w:rPr>
        <w:t>.</w:t>
      </w:r>
    </w:p>
    <w:p w14:paraId="2D4D01D8" w14:textId="4217E5CC" w:rsidR="00110F08" w:rsidRPr="00915255" w:rsidRDefault="00606D5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De klimatrisker som Europa står inför kan inte hanteras isolerat från andra samhällsutmaningar. De bästa, bestående lösningarna är de som säkerställer flera fördelar. Beläggen i den europeiska klimatriskbedömningen pekar på flera områden där övergripande lösningar kan bidra till att undanröja hinder för anpassningen till klimatförändringarna. Det behövs därför en systematisk strategi. </w:t>
      </w:r>
    </w:p>
    <w:p w14:paraId="1D3B00F8" w14:textId="40DD8AC3" w:rsidR="0053389F" w:rsidRPr="00915255" w:rsidRDefault="00137EEC" w:rsidP="00FE74B1">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I följande underavsnitt identifieras fyra övergripande kategorier av lösningar som gör att förvaltningssystem i EU och dess medlemsstater kan hantera klimatrisker bättre: förbättrad förvaltning, verktyg för riskägare, utnyttjande av strukturpolitik och rätt förutsättningar för finansiell resiliens. </w:t>
      </w:r>
    </w:p>
    <w:p w14:paraId="119F3FAE" w14:textId="77777777" w:rsidR="0072028C" w:rsidRPr="00801B76" w:rsidRDefault="0072028C" w:rsidP="00FE74B1">
      <w:pPr>
        <w:spacing w:after="120"/>
        <w:jc w:val="both"/>
        <w:rPr>
          <w:rFonts w:ascii="Times New Roman" w:eastAsia="Times New Roman" w:hAnsi="Times New Roman" w:cs="Times New Roman"/>
          <w:noProof/>
          <w:color w:val="000000" w:themeColor="text1"/>
          <w:sz w:val="24"/>
          <w:szCs w:val="24"/>
          <w:lang w:eastAsia="en-IE"/>
        </w:rPr>
      </w:pPr>
    </w:p>
    <w:p w14:paraId="3FAF21AD" w14:textId="5B5097A7" w:rsidR="003F1FF2" w:rsidRPr="008C256A" w:rsidRDefault="008C05C8" w:rsidP="00B2476E">
      <w:pPr>
        <w:pStyle w:val="Heading2"/>
        <w:ind w:left="1565" w:hanging="431"/>
        <w:rPr>
          <w:rFonts w:ascii="Times New Roman" w:hAnsi="Times New Roman" w:cs="Times New Roman"/>
          <w:b/>
          <w:bCs/>
          <w:noProof/>
          <w:color w:val="000000" w:themeColor="text1"/>
          <w:sz w:val="24"/>
          <w:szCs w:val="24"/>
        </w:rPr>
      </w:pPr>
      <w:bookmarkStart w:id="39" w:name="_Toc159792202"/>
      <w:r>
        <w:rPr>
          <w:rFonts w:ascii="Times New Roman" w:hAnsi="Times New Roman"/>
          <w:b/>
          <w:noProof/>
          <w:color w:val="000000" w:themeColor="text1"/>
          <w:sz w:val="24"/>
        </w:rPr>
        <w:t xml:space="preserve">Förbättrad förvaltning </w:t>
      </w:r>
      <w:bookmarkEnd w:id="39"/>
    </w:p>
    <w:p w14:paraId="08354312" w14:textId="77777777" w:rsidR="00110F08" w:rsidRPr="008C256A"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1347B82A" w14:textId="248F0D41" w:rsidR="000221BB" w:rsidRPr="00915255" w:rsidRDefault="0069108C" w:rsidP="000221BB">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Ansvarsfördelningen mellan EU och den nationella nivån – riskägandet – varierar mellan olika politikområden och bygger på subsidiaritet. I praktiken innebär detta ofta att Europaparlamentet och rådet enas om en gemensam allmän ram på EU-nivå, med faktiska genomförandestrategier som utformas och beslutas av medlemsstaterna på nationell nivå, och som genomförs på nationell, regional och lokal nivå. På EU-nivå bör klimatrisker beaktas i högre grad när det gäller förvaltningsaspekterna av politik, lagstiftning och finansiella instrument, och för att söka synergieffekter mellan EU:s politik och åtgärder. </w:t>
      </w:r>
    </w:p>
    <w:p w14:paraId="48094C50" w14:textId="56AEFFC4" w:rsidR="00F723BC" w:rsidRPr="00755240" w:rsidRDefault="00C964C8" w:rsidP="00327375">
      <w:pPr>
        <w:spacing w:after="120"/>
        <w:jc w:val="both"/>
        <w:textAlignment w:val="baseline"/>
        <w:rPr>
          <w:rFonts w:ascii="Times New Roman" w:hAnsi="Times New Roman"/>
          <w:b/>
          <w:noProof/>
          <w:color w:val="000000" w:themeColor="text1"/>
          <w:sz w:val="24"/>
        </w:rPr>
      </w:pPr>
      <w:r>
        <w:rPr>
          <w:rFonts w:ascii="Times New Roman" w:hAnsi="Times New Roman"/>
          <w:noProof/>
          <w:color w:val="000000" w:themeColor="text1"/>
          <w:sz w:val="24"/>
        </w:rPr>
        <w:t xml:space="preserve">Även om det inom de flesta politikområden finns bestämmelser om att ta hänsyn till klimatrisker finns det brister i hur sådan politik och lagstiftning genomförs i medlemsstaterna. Det krävs förbättringar på alla förvaltningsnivåer. Man måste uppmärksamma hur de nationella, regionala och lokala nivåerna samverkar och hur deras resurser och uppgifter förhåller sig till varandra. </w:t>
      </w:r>
      <w:r>
        <w:rPr>
          <w:rFonts w:ascii="Times New Roman" w:hAnsi="Times New Roman"/>
          <w:b/>
          <w:noProof/>
          <w:color w:val="000000" w:themeColor="text1"/>
          <w:sz w:val="24"/>
        </w:rPr>
        <w:t xml:space="preserve">Kommissionen uppmanar medlemsstaterna att fullt ut genomföra de befintliga åtagandena om anpassning och att även beakta relevanta rekommendationer från kommissionen. </w:t>
      </w:r>
    </w:p>
    <w:p w14:paraId="7C7DE753" w14:textId="501BDA46" w:rsidR="00394716" w:rsidRPr="00915255" w:rsidRDefault="000B3082" w:rsidP="004C59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För att förbättra förvaltningen av klimatrisker krävs följande:</w:t>
      </w:r>
    </w:p>
    <w:p w14:paraId="6EF1ABF8" w14:textId="63147ED8" w:rsidR="001234C6" w:rsidRPr="00915255" w:rsidRDefault="00E95728" w:rsidP="00A632E5">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Tydligt riskägande.</w:t>
      </w:r>
      <w:r>
        <w:rPr>
          <w:rFonts w:ascii="Times New Roman" w:hAnsi="Times New Roman"/>
          <w:noProof/>
          <w:color w:val="000000" w:themeColor="text1"/>
          <w:sz w:val="24"/>
        </w:rPr>
        <w:t xml:space="preserve"> Kommissionen uppmanar alla EU-institutioner att fundera över hur sektorsspecifika klimatrisker och ansvaret att agera i fråga om klimatrisker fördelas mellan EU och medlemsstaterna i den nuvarande lagstiftningsramen för centrala politikområden.</w:t>
      </w:r>
    </w:p>
    <w:p w14:paraId="7DFE597C" w14:textId="2453201A" w:rsidR="001810D3" w:rsidRPr="001A3A0E" w:rsidRDefault="00EB5825" w:rsidP="003E5D8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 xml:space="preserve">Stärkta förvaltningsstrukturer. </w:t>
      </w:r>
      <w:r>
        <w:rPr>
          <w:rFonts w:ascii="Times New Roman" w:hAnsi="Times New Roman"/>
          <w:noProof/>
          <w:color w:val="000000" w:themeColor="text1"/>
          <w:sz w:val="24"/>
        </w:rPr>
        <w:t xml:space="preserve">Tydliga förvaltningsstrukturer för hantering av klimatrisker i medlemsstaterna bör säkerställa vertikal och horisontell samordning mellan nationella, regionala och lokala nivåer. Kommissionen uppmanar medlemsstaterna att se till att riskägare på nationell nivå har den kapacitet och de resurser som krävs för att hantera klimatriskerna. Kommissionen kommer också att integrera klimatrisker strukturellt i sina interna processer genom att stärka funktionerna för den som är klimatriskansvarig och i genomförandet av klimatkonsekvenskontrollen enligt kraven på bättre lagstiftning. </w:t>
      </w:r>
    </w:p>
    <w:p w14:paraId="0F326CED" w14:textId="3C04D712" w:rsidR="00B06AE7" w:rsidRPr="00B06AE7" w:rsidRDefault="007E5D60" w:rsidP="00FE74B1">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Synergier i förvaltningsprocesserna</w:t>
      </w:r>
      <w:r>
        <w:rPr>
          <w:rFonts w:ascii="Times New Roman" w:hAnsi="Times New Roman"/>
          <w:noProof/>
          <w:color w:val="000000" w:themeColor="text1"/>
          <w:sz w:val="24"/>
        </w:rPr>
        <w:t xml:space="preserve">. Genomförandet av lagstiftning om klimatrisker skulle kunna förbättras ytterligare och göras mer konsekvent. Den europeiska klimatlagen, förordningen om styrningen av energiunionen och klimatåtgärder, direktivet om kritiska enheters motståndskraft, förordningen om allvarliga gränsöverskridande hot mot hälsan, EU:s förestående reviderade ram för ekonomisk styrning, förordningen om restaurering av natur, när denna antas, fågel- och habitatdirektiven, ramdirektivet om vatten, översvämningsdirektivet, ramdirektivet om en marin strategi, beslutet om unionens civilskyddsmekanism med unionens mål för resiliens mot katastrofer innehåller alla bestämmelser som är kopplade till hanteringen av klimatrisker. För att förenkla förfarandena och göra dem mer ändamålsenliga kommer kommissionen att undersöka hur genomförandet av kraven på EU-nivå kan underlättas, effektiviseras och stärkas ytterligare. </w:t>
      </w:r>
    </w:p>
    <w:p w14:paraId="229F9170" w14:textId="77777777" w:rsidR="0072028C" w:rsidRPr="00801B76" w:rsidRDefault="0072028C" w:rsidP="00FE74B1">
      <w:pPr>
        <w:spacing w:after="120"/>
        <w:jc w:val="both"/>
        <w:rPr>
          <w:rFonts w:ascii="Times New Roman" w:hAnsi="Times New Roman" w:cs="Times New Roman"/>
          <w:noProof/>
          <w:color w:val="000000" w:themeColor="text1"/>
          <w:sz w:val="24"/>
          <w:szCs w:val="24"/>
          <w:lang w:eastAsia="en-IE"/>
        </w:rPr>
      </w:pPr>
    </w:p>
    <w:p w14:paraId="1F8C8463" w14:textId="01083698" w:rsidR="003F1FF2" w:rsidRPr="008C256A" w:rsidRDefault="003F1FF2" w:rsidP="00B2476E">
      <w:pPr>
        <w:pStyle w:val="Heading2"/>
        <w:ind w:left="1565" w:hanging="431"/>
        <w:rPr>
          <w:rFonts w:ascii="Times New Roman" w:hAnsi="Times New Roman" w:cs="Times New Roman"/>
          <w:b/>
          <w:bCs/>
          <w:noProof/>
          <w:color w:val="000000" w:themeColor="text1"/>
        </w:rPr>
      </w:pPr>
      <w:bookmarkStart w:id="40" w:name="_Toc159792203"/>
      <w:r>
        <w:rPr>
          <w:rFonts w:ascii="Times New Roman" w:hAnsi="Times New Roman"/>
          <w:b/>
          <w:noProof/>
          <w:color w:val="000000" w:themeColor="text1"/>
          <w:sz w:val="24"/>
        </w:rPr>
        <w:t>Verktyg för att stärka riskägare</w:t>
      </w:r>
      <w:bookmarkEnd w:id="40"/>
    </w:p>
    <w:p w14:paraId="44DB6CCA" w14:textId="77777777" w:rsidR="00BF6EC7" w:rsidRPr="00915255" w:rsidRDefault="00BF6EC7" w:rsidP="00B11E0C">
      <w:pPr>
        <w:jc w:val="both"/>
        <w:textAlignment w:val="baseline"/>
        <w:rPr>
          <w:rFonts w:ascii="Times New Roman" w:eastAsia="Times New Roman" w:hAnsi="Times New Roman" w:cs="Times New Roman"/>
          <w:bCs/>
          <w:noProof/>
          <w:color w:val="000000" w:themeColor="text1"/>
          <w:sz w:val="24"/>
          <w:szCs w:val="24"/>
          <w:lang w:val="en-IE" w:eastAsia="en-IE"/>
        </w:rPr>
      </w:pPr>
    </w:p>
    <w:p w14:paraId="10F7C901" w14:textId="40E8CF6E" w:rsidR="00E3449E" w:rsidRPr="00BE25FA" w:rsidRDefault="002F3C56" w:rsidP="00E3449E">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 xml:space="preserve">Tack vare de vetenskapliga framstegen kring att förstå klimatrisker, och EU:s finansiering av forskning och innovation som stöder dessa framsteg, kan vi nu vidta meningsfulla åtgärder. Kommissionen kommer att fortsätta att investera i forskning och innovation som kan användas som underlag för beslutsfattande och att utnyttja kunskap och lösningar som tas fram genom relevanta EU-uppdrag, projekt och partnerskap inom Horisont Europa. Men detta är i sig själv inte tillräckligt, vilket framhålls genom de kunskapsåtgärder som beskrivs i den europeiska klimatriskbedömningen. En detaljerad kvantitativ riskbedömning som omfattar flera faror, i kombination med en matchande bedömning av anpassning och motståndskraft, krävs för att kunna prioritera åtgärderna. Tillgång till tillgängliga forskningsverktyg och operativa verktyg och data, och förmågan att använda dem, kan stödja EU-företagens konkurrenskraft och förbättra de offentligpolitiska besluten. Det behövs också officiell europeisk statistik om klimatresiliens som är sammanställd i linje med BNP och andra aggregat inom nationalräkenskaperna.  </w:t>
      </w:r>
    </w:p>
    <w:p w14:paraId="611423F7" w14:textId="5973F066" w:rsidR="00BB072C" w:rsidRDefault="0039554B" w:rsidP="000A43BB">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Även där förvaltningsstrukturerna är starka hålls ett effektivt beslutsfattande om klimatrisker tillbaka av betydande kompetens-, arbets- och kunskapsluckor inom både privat och offentlig sektor, tillsammans med desinformation om klimatet. För att hantera klimatrisker på ett effektivt sätt och utnyttja de redan tillgängliga informations- och systemen för tidig varning bättre behövs bättre tillgång till dessa och relevanta kunskapsverktyg, samt kapacitetsuppbyggnad. </w:t>
      </w:r>
    </w:p>
    <w:p w14:paraId="10A62544" w14:textId="0EE1E5DB" w:rsidR="00814E94" w:rsidRPr="00915255" w:rsidRDefault="00BB072C" w:rsidP="000A43BB">
      <w:pPr>
        <w:spacing w:after="120"/>
        <w:jc w:val="both"/>
        <w:textAlignment w:val="baseline"/>
        <w:rPr>
          <w:rFonts w:ascii="Times New Roman" w:eastAsia="Times New Roman" w:hAnsi="Times New Roman" w:cs="Times New Roman"/>
          <w:bCs/>
          <w:noProof/>
          <w:color w:val="000000" w:themeColor="text1"/>
          <w:sz w:val="24"/>
          <w:szCs w:val="24"/>
        </w:rPr>
      </w:pPr>
      <w:r>
        <w:rPr>
          <w:rFonts w:ascii="Times New Roman" w:hAnsi="Times New Roman"/>
          <w:b/>
          <w:noProof/>
          <w:color w:val="000000" w:themeColor="text1"/>
          <w:sz w:val="24"/>
        </w:rPr>
        <w:t>För att förbättra riskägarnas förmåga</w:t>
      </w:r>
      <w:r>
        <w:rPr>
          <w:rFonts w:ascii="Times New Roman" w:hAnsi="Times New Roman"/>
          <w:noProof/>
          <w:color w:val="000000" w:themeColor="text1"/>
          <w:sz w:val="24"/>
        </w:rPr>
        <w:t xml:space="preserve"> att fullgöra sina uppgifter krävs följande: </w:t>
      </w:r>
    </w:p>
    <w:p w14:paraId="2F333A1D" w14:textId="09FB459C" w:rsidR="00D93073" w:rsidRDefault="008F2A6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Klimatdata, klimatmodelleringsverktyg och klimatindikatorer.</w:t>
      </w:r>
      <w:r>
        <w:rPr>
          <w:rFonts w:ascii="Times New Roman" w:hAnsi="Times New Roman"/>
          <w:noProof/>
          <w:color w:val="000000" w:themeColor="text1"/>
          <w:sz w:val="24"/>
        </w:rPr>
        <w:t xml:space="preserve"> Högkvalitativa, lättbegripliga klimatdata och klimatmodeller är avgörande för ett välgrundat beslutsfattande i frågor som sträcker sig från långsiktig planering till system för tidig varning. </w:t>
      </w:r>
    </w:p>
    <w:p w14:paraId="77CB7C77" w14:textId="07079731" w:rsidR="00597412" w:rsidRPr="009248B3" w:rsidRDefault="001355AB"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Kommissionen och Europeiska miljöbyrån (EEA) kommer att ge </w:t>
      </w:r>
      <w:r>
        <w:rPr>
          <w:rFonts w:ascii="Times New Roman" w:hAnsi="Times New Roman"/>
          <w:noProof/>
          <w:color w:val="000000" w:themeColor="text1"/>
          <w:sz w:val="24"/>
          <w:u w:val="single"/>
        </w:rPr>
        <w:t>tillgång till viktiga detaljerade och lokaliserade data, produkter, tillämpningar, indikatorer och tjänster</w:t>
      </w:r>
      <w:r>
        <w:rPr>
          <w:rFonts w:ascii="Times New Roman" w:hAnsi="Times New Roman"/>
          <w:noProof/>
          <w:color w:val="000000" w:themeColor="text1"/>
          <w:sz w:val="24"/>
        </w:rPr>
        <w:t>, särskilt genom plattformen Climate-ADAPT och dataplattformarna tillhörande Copernicus klimatförändringstjänst, nämligen Copernicus Data Space Ecosystem</w:t>
      </w:r>
      <w:r w:rsidRPr="001A3A0E">
        <w:rPr>
          <w:rStyle w:val="FootnoteReference"/>
          <w:rFonts w:ascii="Times New Roman" w:eastAsia="Times New Roman" w:hAnsi="Times New Roman" w:cs="Times New Roman"/>
          <w:noProof/>
          <w:color w:val="000000" w:themeColor="text1"/>
          <w:sz w:val="24"/>
          <w:szCs w:val="24"/>
          <w:lang w:val="en-IE" w:eastAsia="en-IE"/>
        </w:rPr>
        <w:footnoteReference w:id="21"/>
      </w:r>
      <w:r>
        <w:rPr>
          <w:rFonts w:ascii="Times New Roman" w:hAnsi="Times New Roman"/>
          <w:noProof/>
          <w:color w:val="000000" w:themeColor="text1"/>
          <w:sz w:val="24"/>
        </w:rPr>
        <w:t xml:space="preserve"> och WEkEO</w:t>
      </w:r>
      <w:r w:rsidRPr="775558F0">
        <w:rPr>
          <w:rStyle w:val="FootnoteReference"/>
          <w:rFonts w:ascii="Times New Roman" w:eastAsia="Times New Roman" w:hAnsi="Times New Roman" w:cs="Times New Roman"/>
          <w:noProof/>
          <w:color w:val="000000" w:themeColor="text1"/>
          <w:sz w:val="24"/>
          <w:szCs w:val="24"/>
          <w:lang w:val="en-IE" w:eastAsia="en-IE"/>
        </w:rPr>
        <w:footnoteReference w:id="22"/>
      </w:r>
      <w:r>
        <w:rPr>
          <w:rFonts w:ascii="Times New Roman" w:hAnsi="Times New Roman"/>
          <w:noProof/>
          <w:color w:val="000000" w:themeColor="text1"/>
          <w:sz w:val="24"/>
        </w:rPr>
        <w:t xml:space="preserve">. </w:t>
      </w:r>
    </w:p>
    <w:p w14:paraId="4A75808D" w14:textId="19C0FE9E" w:rsidR="004A68F9" w:rsidRPr="001A3A0E" w:rsidRDefault="001E1F6E"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De första två digitala tvillingarna inom ramen för initiativet Destination Earth (DestinE) – Climate Change Adaptation and Weather Induced Extremes digital twins – kommer från mitten av 2024 och framåt att tillhandahålla </w:t>
      </w:r>
      <w:r>
        <w:rPr>
          <w:rFonts w:ascii="Times New Roman" w:hAnsi="Times New Roman"/>
          <w:noProof/>
          <w:color w:val="000000" w:themeColor="text1"/>
          <w:sz w:val="24"/>
          <w:u w:val="single"/>
        </w:rPr>
        <w:t>detaljerade simuleringar av klimatscenarier</w:t>
      </w:r>
      <w:r>
        <w:rPr>
          <w:rFonts w:ascii="Times New Roman" w:hAnsi="Times New Roman"/>
          <w:noProof/>
          <w:color w:val="000000" w:themeColor="text1"/>
          <w:sz w:val="24"/>
        </w:rPr>
        <w:t>, från globala till nationella och subnationella nivåer på en tidsskala som omfattar flera årtionden, inklusive en kvantifiering av osäkerheter. Den europeiska digitala tvillingoceanen kommer också att tillhandahålla detaljerade simuleringar och scenarier och möjliggöra bättre förståelse av processer som stigande havsnivåer, smältande isar, kusterosion, kolcykeln och förändringar i den biologiska mångfalden. Horisont Europa: kommer att fortsätta med stöd till forskning för att leverera stora uppsättningar sömlösa och detaljerade klimatsimuleringar som omfattar flera årtionden för att karakterisera lokala risker och osäkerhetsfaktorer på ett bättre sätt.</w:t>
      </w:r>
    </w:p>
    <w:p w14:paraId="03634620" w14:textId="326C6F3C" w:rsidR="006F55C4" w:rsidRPr="009248B3" w:rsidRDefault="00E31786" w:rsidP="006F55C4">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För hjälp i nödsituationer kommer Galileos Emergency Warning Satellite Service under 2025 att bli tillgänglig för att förmedla varningsinformation till människor, företag och offentliga myndigheter, även när markbaserade varningssystem är ur funktion. </w:t>
      </w:r>
    </w:p>
    <w:p w14:paraId="5E80F792" w14:textId="2A501793" w:rsidR="002F1D2F" w:rsidRPr="001A3A0E" w:rsidRDefault="00110777"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Stora dataluckor kommer att minskas tack vare den föreslagna lagen om skogsövervakning</w:t>
      </w:r>
      <w:r w:rsidR="002F1D2F" w:rsidRPr="00915255">
        <w:rPr>
          <w:rStyle w:val="FootnoteReference"/>
          <w:rFonts w:ascii="Times New Roman" w:eastAsia="Times New Roman" w:hAnsi="Times New Roman" w:cs="Times New Roman"/>
          <w:noProof/>
          <w:color w:val="000000" w:themeColor="text1"/>
          <w:sz w:val="24"/>
          <w:szCs w:val="24"/>
          <w:lang w:val="en-IE" w:eastAsia="en-IE"/>
        </w:rPr>
        <w:footnoteReference w:id="23"/>
      </w:r>
      <w:r>
        <w:rPr>
          <w:rFonts w:ascii="Times New Roman" w:hAnsi="Times New Roman"/>
          <w:noProof/>
          <w:color w:val="000000" w:themeColor="text1"/>
          <w:sz w:val="24"/>
        </w:rPr>
        <w:t xml:space="preserve"> och den föreslagna lagen om markövervakning</w:t>
      </w:r>
      <w:r w:rsidR="007B69D8" w:rsidRPr="00915255">
        <w:rPr>
          <w:rStyle w:val="FootnoteReference"/>
          <w:rFonts w:ascii="Times New Roman" w:eastAsia="Times New Roman" w:hAnsi="Times New Roman" w:cs="Times New Roman"/>
          <w:noProof/>
          <w:color w:val="000000" w:themeColor="text1"/>
          <w:sz w:val="24"/>
          <w:szCs w:val="24"/>
          <w:lang w:val="en-IE" w:eastAsia="en-IE"/>
        </w:rPr>
        <w:footnoteReference w:id="24"/>
      </w:r>
      <w:r>
        <w:rPr>
          <w:rFonts w:ascii="Times New Roman" w:hAnsi="Times New Roman"/>
          <w:noProof/>
          <w:color w:val="000000" w:themeColor="text1"/>
          <w:sz w:val="24"/>
        </w:rPr>
        <w:t xml:space="preserve">, som kommer att förbättra verktygen för tidig varning vid skogsbränder och andra katastrofer och bidra till mer exakta riskbedömningar. Mer allmänt kommer kommissionen att </w:t>
      </w:r>
      <w:r>
        <w:rPr>
          <w:rFonts w:ascii="Times New Roman" w:hAnsi="Times New Roman"/>
          <w:noProof/>
          <w:color w:val="000000" w:themeColor="text1"/>
          <w:sz w:val="24"/>
          <w:u w:val="single"/>
        </w:rPr>
        <w:t>främja användningen av tillgängliga övervaknings-, prognos- och varningssystem</w:t>
      </w:r>
      <w:r w:rsidR="00FD5E36" w:rsidRPr="001A3A0E">
        <w:rPr>
          <w:rStyle w:val="FootnoteReference"/>
          <w:rFonts w:ascii="Times New Roman" w:eastAsia="Times New Roman" w:hAnsi="Times New Roman" w:cs="Times New Roman"/>
          <w:noProof/>
          <w:color w:val="000000" w:themeColor="text1"/>
          <w:sz w:val="24"/>
          <w:szCs w:val="24"/>
          <w:lang w:val="en-IE" w:eastAsia="en-IE"/>
        </w:rPr>
        <w:footnoteReference w:id="25"/>
      </w:r>
      <w:r>
        <w:rPr>
          <w:rFonts w:ascii="Times New Roman" w:hAnsi="Times New Roman"/>
          <w:noProof/>
          <w:color w:val="000000" w:themeColor="text1"/>
          <w:sz w:val="24"/>
        </w:rPr>
        <w:t>.</w:t>
      </w:r>
    </w:p>
    <w:p w14:paraId="41F17C1E" w14:textId="0DBEB658" w:rsidR="00050093" w:rsidRPr="001A3A0E" w:rsidRDefault="004D2963" w:rsidP="00814E94">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Kommissionen kommer att </w:t>
      </w:r>
      <w:r>
        <w:rPr>
          <w:rFonts w:ascii="Times New Roman" w:hAnsi="Times New Roman"/>
          <w:noProof/>
          <w:color w:val="000000" w:themeColor="text1"/>
          <w:sz w:val="24"/>
          <w:u w:val="single"/>
        </w:rPr>
        <w:t>se över de befintliga verktygen och riktlinjerna</w:t>
      </w:r>
      <w:r>
        <w:rPr>
          <w:rFonts w:ascii="Times New Roman" w:hAnsi="Times New Roman"/>
          <w:noProof/>
          <w:color w:val="000000" w:themeColor="text1"/>
          <w:sz w:val="24"/>
        </w:rPr>
        <w:t>, inklusive EEA:s verktyg European Climate Data Explorer</w:t>
      </w:r>
      <w:r w:rsidR="00F40219" w:rsidRPr="001A3A0E">
        <w:rPr>
          <w:rFonts w:ascii="Times New Roman" w:eastAsia="Times New Roman" w:hAnsi="Times New Roman" w:cs="Times New Roman"/>
          <w:noProof/>
          <w:color w:val="000000" w:themeColor="text1"/>
          <w:sz w:val="24"/>
          <w:szCs w:val="24"/>
          <w:vertAlign w:val="superscript"/>
          <w:lang w:val="en-IE" w:eastAsia="en-IE"/>
        </w:rPr>
        <w:footnoteReference w:id="26"/>
      </w:r>
      <w:r>
        <w:rPr>
          <w:rFonts w:ascii="Times New Roman" w:hAnsi="Times New Roman"/>
          <w:noProof/>
          <w:color w:val="000000" w:themeColor="text1"/>
          <w:sz w:val="24"/>
        </w:rPr>
        <w:t xml:space="preserve"> och den resultattavla för anpassning som finns på portalen för EU:s uppdrag för klimatanpassning</w:t>
      </w:r>
      <w:r w:rsidR="00A66FC2" w:rsidRPr="001A3A0E">
        <w:rPr>
          <w:rStyle w:val="FootnoteReference"/>
          <w:rFonts w:ascii="Times New Roman" w:eastAsia="Times New Roman" w:hAnsi="Times New Roman" w:cs="Times New Roman"/>
          <w:noProof/>
          <w:color w:val="000000" w:themeColor="text1"/>
          <w:sz w:val="24"/>
          <w:szCs w:val="24"/>
          <w:lang w:val="en-IE" w:eastAsia="en-IE"/>
        </w:rPr>
        <w:footnoteReference w:id="27"/>
      </w:r>
      <w:r>
        <w:rPr>
          <w:rFonts w:ascii="Times New Roman" w:hAnsi="Times New Roman"/>
          <w:noProof/>
          <w:color w:val="000000" w:themeColor="text1"/>
          <w:sz w:val="24"/>
        </w:rPr>
        <w:t xml:space="preserve"> inom Climate-ADAPT, riskdatacentralen</w:t>
      </w:r>
      <w:r w:rsidR="006B0A95" w:rsidRPr="001A3A0E">
        <w:rPr>
          <w:rStyle w:val="FootnoteReference"/>
          <w:rFonts w:ascii="Times New Roman" w:eastAsia="Times New Roman" w:hAnsi="Times New Roman" w:cs="Times New Roman"/>
          <w:noProof/>
          <w:color w:val="000000" w:themeColor="text1"/>
          <w:sz w:val="24"/>
          <w:szCs w:val="24"/>
          <w:lang w:val="en-IE" w:eastAsia="en-IE"/>
        </w:rPr>
        <w:footnoteReference w:id="28"/>
      </w:r>
      <w:r>
        <w:rPr>
          <w:rFonts w:ascii="Times New Roman" w:hAnsi="Times New Roman"/>
          <w:noProof/>
          <w:color w:val="000000" w:themeColor="text1"/>
          <w:sz w:val="24"/>
        </w:rPr>
        <w:t xml:space="preserve"> och PROVIDE:s resultattavla för klimatrisker</w:t>
      </w:r>
      <w:r w:rsidR="00F40219" w:rsidRPr="001A3A0E">
        <w:rPr>
          <w:rFonts w:ascii="Times New Roman" w:eastAsia="Times New Roman" w:hAnsi="Times New Roman" w:cs="Times New Roman"/>
          <w:noProof/>
          <w:color w:val="000000" w:themeColor="text1"/>
          <w:sz w:val="24"/>
          <w:szCs w:val="24"/>
          <w:vertAlign w:val="superscript"/>
          <w:lang w:val="en-IE" w:eastAsia="en-IE"/>
        </w:rPr>
        <w:footnoteReference w:id="29"/>
      </w:r>
      <w:r>
        <w:rPr>
          <w:rFonts w:ascii="Times New Roman" w:hAnsi="Times New Roman"/>
          <w:noProof/>
          <w:color w:val="000000" w:themeColor="text1"/>
          <w:sz w:val="24"/>
        </w:rPr>
        <w:t xml:space="preserve">, och i högre grad utnyttja analys- och framsynskapaciteten hos Centrumet för samordning av katastrofberedskap. Kommissionen kommer att förbättra åtkomsten för användare, även på lokal nivå, och kommer att övervaka användningen av verktygen. Den kommer att sträva efter att säkerställa bättre indikatorer för framsteg i fråga om resiliens, bland annat i kombination med andra sammanlänkade och relevanta indikatorer för att säkerställa ett systemtänkande. </w:t>
      </w:r>
    </w:p>
    <w:p w14:paraId="3065A1C5" w14:textId="1BF4C453" w:rsidR="003F1FF2" w:rsidRPr="00915255" w:rsidRDefault="00BF6EC7" w:rsidP="0080431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Grundläggande klimatscenarier.</w:t>
      </w:r>
      <w:r>
        <w:rPr>
          <w:rFonts w:ascii="Times New Roman" w:hAnsi="Times New Roman"/>
          <w:noProof/>
          <w:color w:val="000000" w:themeColor="text1"/>
          <w:sz w:val="24"/>
        </w:rPr>
        <w:t xml:space="preserve"> För att göra det lättare att bedöma riskerna kommer kommissionen att använda FN:s klimatpanels mellanliggande utsläppsscenario</w:t>
      </w:r>
      <w:r w:rsidR="00CD5F6E" w:rsidRPr="001A3A0E">
        <w:rPr>
          <w:rStyle w:val="FootnoteReference"/>
          <w:rFonts w:ascii="Times New Roman" w:eastAsia="Times New Roman" w:hAnsi="Times New Roman" w:cs="Times New Roman"/>
          <w:noProof/>
          <w:color w:val="000000" w:themeColor="text1"/>
          <w:sz w:val="24"/>
          <w:szCs w:val="24"/>
          <w:lang w:val="en-IE" w:eastAsia="en-IE"/>
        </w:rPr>
        <w:footnoteReference w:id="30"/>
      </w:r>
      <w:r>
        <w:rPr>
          <w:rFonts w:ascii="Times New Roman" w:hAnsi="Times New Roman"/>
          <w:noProof/>
          <w:color w:val="000000" w:themeColor="text1"/>
          <w:sz w:val="24"/>
        </w:rPr>
        <w:t xml:space="preserve"> som det lägsta godtagbara referensscenariot för att inkludera fysiska risker i bedömningen av politikens konsekvenser och använda mer negativa scenarier vid stresstestning och för att jämföra anpassningsalternativ. Medlemsstaterna uppmanas att göra detsamma och privata intressenter förväntas göra likadant. Kommissionens interna vägledning i denna fråga kommer att offentliggöras. Bättre historiska data, till exempel om förluster på grund av katastrofer, är användbara som en indikator och som indata i prognoserna. Att besluta om en klimatframtid som främst bygger på extrapolerade historiska data är emellertid obetänksamt.</w:t>
      </w:r>
    </w:p>
    <w:p w14:paraId="69FBA819" w14:textId="68F815A3" w:rsidR="00B542C7" w:rsidRDefault="00BF6EC7" w:rsidP="009248B3">
      <w:pPr>
        <w:spacing w:after="120"/>
        <w:jc w:val="both"/>
        <w:textAlignment w:val="baseline"/>
        <w:rPr>
          <w:rFonts w:ascii="Times New Roman" w:eastAsiaTheme="minorHAnsi" w:hAnsi="Times New Roman" w:cs="Times New Roman"/>
          <w:noProof/>
          <w:color w:val="000000"/>
          <w:sz w:val="24"/>
          <w:szCs w:val="24"/>
        </w:rPr>
      </w:pPr>
      <w:r>
        <w:rPr>
          <w:rFonts w:ascii="Times New Roman" w:hAnsi="Times New Roman"/>
          <w:noProof/>
          <w:color w:val="000000" w:themeColor="text1"/>
          <w:sz w:val="24"/>
          <w:u w:val="single"/>
        </w:rPr>
        <w:t>Förbättrad kapacitet inom offentlig och privat sektor</w:t>
      </w:r>
      <w:r>
        <w:rPr>
          <w:rFonts w:ascii="Times New Roman" w:hAnsi="Times New Roman"/>
          <w:noProof/>
          <w:color w:val="000000" w:themeColor="text1"/>
          <w:sz w:val="24"/>
        </w:rPr>
        <w:t>. Kommissionen kommer att stödja utvecklingen av utbildningsmaterial och öppna kurser om klimatresiliens på nätet, genom en enda onlineplattform, delvis genom Climate-ADAPT. Det stora utbudet av verktyg för anpassningsplanering på EU-nivå kommer att ingå i kunskapsbasen. Kommissionen kommer att stödja medlemsstaterna i deras ansträngningar för att se till att nationella kursplaner och utbildningsprogram, även för offentliga förvaltare, är framtidssäkra och kommer att fortsätta att stödja administrativt samarbete mellan och inom medlemsstaterna</w:t>
      </w:r>
      <w:r w:rsidR="00E351C4" w:rsidRPr="001A3A0E">
        <w:rPr>
          <w:rStyle w:val="FootnoteReference"/>
          <w:rFonts w:ascii="Times New Roman" w:eastAsia="Times New Roman" w:hAnsi="Times New Roman" w:cs="Times New Roman"/>
          <w:noProof/>
          <w:color w:val="000000" w:themeColor="text1"/>
          <w:sz w:val="24"/>
          <w:szCs w:val="24"/>
          <w:lang w:val="en-IE" w:eastAsia="en-IE"/>
        </w:rPr>
        <w:footnoteReference w:id="31"/>
      </w:r>
      <w:r>
        <w:rPr>
          <w:rFonts w:ascii="Times New Roman" w:hAnsi="Times New Roman"/>
          <w:noProof/>
          <w:color w:val="000000" w:themeColor="text1"/>
          <w:sz w:val="24"/>
        </w:rPr>
        <w:t xml:space="preserve">. Med utgångspunkt i ytterligare diskussioner kommer kommissionen att utveckla verktyg för bedömning av klimat- och katastrofrisker för att hjälpa medlemsstaterna och den privata sektorn, inbegripet små och medelstora företag. </w:t>
      </w:r>
    </w:p>
    <w:p w14:paraId="7F543ADD" w14:textId="77777777" w:rsidR="006F1701" w:rsidRDefault="006F1701" w:rsidP="00215FB3">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Kommissionen kommer också att </w:t>
      </w:r>
      <w:r>
        <w:rPr>
          <w:rFonts w:ascii="Times New Roman" w:hAnsi="Times New Roman"/>
          <w:noProof/>
          <w:color w:val="000000" w:themeColor="text1"/>
          <w:sz w:val="24"/>
          <w:u w:val="single"/>
        </w:rPr>
        <w:t>dra nytta av befintliga verktyg</w:t>
      </w:r>
      <w:r>
        <w:rPr>
          <w:rFonts w:ascii="Times New Roman" w:hAnsi="Times New Roman"/>
          <w:noProof/>
          <w:color w:val="000000" w:themeColor="text1"/>
          <w:sz w:val="24"/>
        </w:rPr>
        <w:t>:</w:t>
      </w:r>
    </w:p>
    <w:p w14:paraId="38773550" w14:textId="1B6B9363" w:rsidR="006F1701" w:rsidRPr="009248B3" w:rsidRDefault="006F1701"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EU:s uppdrag för klimatanpassning bidrar i hög grad till den regionala kapacitetsuppbyggnaden. </w:t>
      </w:r>
    </w:p>
    <w:p w14:paraId="32E5AE03" w14:textId="7987582A" w:rsidR="001F48E2" w:rsidRPr="009248B3" w:rsidRDefault="007610B7"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sz w:val="24"/>
        </w:rPr>
        <w:t xml:space="preserve">Instrumentet för tekniskt stöd ger medlemsstaterna stöd i utformningen och genomförandet av reformer som syftar till att minska och hantera klimatriskerna. </w:t>
      </w:r>
    </w:p>
    <w:p w14:paraId="0EE622DA" w14:textId="721F9E29" w:rsidR="001F48E2" w:rsidRPr="009248B3" w:rsidRDefault="001F48E2"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sz w:val="24"/>
        </w:rPr>
        <w:t>Kompetensramen för hållbarhet (GreenComp), som lanserades 2022, utgör en grund för att främja de färdigheter som behövs för att hantera klimatförändringarna.</w:t>
      </w:r>
      <w:r>
        <w:rPr>
          <w:rFonts w:ascii="Times New Roman" w:hAnsi="Times New Roman"/>
          <w:noProof/>
          <w:color w:val="000000"/>
          <w:sz w:val="24"/>
        </w:rPr>
        <w:t xml:space="preserve"> </w:t>
      </w:r>
    </w:p>
    <w:p w14:paraId="33F887B9" w14:textId="7727B6E6" w:rsidR="002430D4" w:rsidRPr="009248B3" w:rsidRDefault="002430D4"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sz w:val="24"/>
        </w:rPr>
        <w:t xml:space="preserve">De utbildningsinitiativ och utbildningsstrategier som utvecklas inom det europeiska området för utbildning (t.ex. med koalitionen ”Utbildning för klimatet”) kommer att användas. </w:t>
      </w:r>
    </w:p>
    <w:p w14:paraId="62A6190E" w14:textId="4405FB70" w:rsidR="001F6B5D" w:rsidRPr="00B2476E" w:rsidRDefault="003E7F0B" w:rsidP="00215F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sz w:val="24"/>
        </w:rPr>
        <w:t>Den unika samarbetsmodellen mellan den akademiska världen, forskarsamfundet och näringslivet som utvecklats vid Europeiska institutet för innovation och teknik (EIT) och dess kunskaps- och innovationsgrupper (KI-grupper), särskilt KI-gruppen ”EIT Climate”, kan erbjuda stöd.</w:t>
      </w:r>
    </w:p>
    <w:p w14:paraId="6389A61C" w14:textId="55EBCFD8" w:rsidR="002D6D8B" w:rsidRPr="00B2476E" w:rsidRDefault="002D6D8B" w:rsidP="00B2476E">
      <w:pPr>
        <w:spacing w:after="120"/>
        <w:jc w:val="both"/>
        <w:textAlignment w:val="baseline"/>
        <w:rPr>
          <w:rFonts w:ascii="Times New Roman" w:hAnsi="Times New Roman" w:cs="Times New Roman"/>
          <w:noProof/>
          <w:sz w:val="24"/>
          <w:szCs w:val="24"/>
        </w:rPr>
      </w:pPr>
      <w:r>
        <w:rPr>
          <w:rFonts w:ascii="Times New Roman" w:hAnsi="Times New Roman"/>
          <w:noProof/>
          <w:sz w:val="24"/>
          <w:u w:val="single"/>
        </w:rPr>
        <w:t>Bekämpa desinformation.</w:t>
      </w:r>
      <w:r>
        <w:rPr>
          <w:rFonts w:ascii="Times New Roman" w:hAnsi="Times New Roman"/>
          <w:noProof/>
          <w:sz w:val="24"/>
        </w:rPr>
        <w:t xml:space="preserve"> Kommissionen kommer att bidra till insatserna för att övervaka och analysera hur desinformation tar sig in det offentliga rummet och påverkar åsikter och beteenden. Den kommer att stärka användningen av relevanta politiska verktyg, digitala lösningar och kommunikationsstrategier för att bekämpa klimatrelaterad desinformation. Detta inbegriper att säkerställa att medlemsstaterna genom sin efterlevnad av rättsakten om digitala tjänster bemöter desinformation på rätt sätt och att klimatforskning uppmärksammas som den ska genom sociala medie-företags efterlevnad av uppförandekoden om desinformation. Kommissionen kommer också att arbeta med internationella partner för att ta itu med desinformation som en växande samhällsutmaning som har sin grund i förvrängda ekonomiska incitament och utgör ett hot mot våra demokratiska systems funktion.</w:t>
      </w:r>
    </w:p>
    <w:p w14:paraId="4ED6F6AE" w14:textId="2471CDD5" w:rsidR="002D6D8B" w:rsidRPr="00801B76" w:rsidRDefault="002D6D8B" w:rsidP="00215FB3">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BA2DB1E" w14:textId="57500011" w:rsidR="00775598" w:rsidRPr="0056758B" w:rsidRDefault="00C35222" w:rsidP="00B2476E">
      <w:pPr>
        <w:pStyle w:val="Heading2"/>
        <w:ind w:left="1565" w:hanging="431"/>
        <w:rPr>
          <w:rFonts w:ascii="Times New Roman" w:hAnsi="Times New Roman" w:cs="Times New Roman"/>
          <w:b/>
          <w:bCs/>
          <w:noProof/>
          <w:color w:val="000000" w:themeColor="text1"/>
          <w:sz w:val="24"/>
          <w:szCs w:val="24"/>
        </w:rPr>
      </w:pPr>
      <w:bookmarkStart w:id="41" w:name="_Toc159792204"/>
      <w:r>
        <w:rPr>
          <w:rFonts w:ascii="Times New Roman" w:hAnsi="Times New Roman"/>
          <w:b/>
          <w:noProof/>
          <w:color w:val="000000" w:themeColor="text1"/>
          <w:sz w:val="24"/>
        </w:rPr>
        <w:t>Utnyttja strukturpolitiken</w:t>
      </w:r>
      <w:bookmarkEnd w:id="41"/>
    </w:p>
    <w:p w14:paraId="3D3E21EA" w14:textId="77777777" w:rsidR="00BF6EC7" w:rsidRPr="00915255" w:rsidRDefault="00BF6EC7" w:rsidP="00B11E0C">
      <w:pPr>
        <w:spacing w:line="240" w:lineRule="auto"/>
        <w:jc w:val="both"/>
        <w:rPr>
          <w:rFonts w:ascii="Times New Roman" w:eastAsiaTheme="minorHAnsi" w:hAnsi="Times New Roman" w:cs="Times New Roman"/>
          <w:bCs/>
          <w:noProof/>
          <w:color w:val="000000" w:themeColor="text1"/>
          <w:sz w:val="24"/>
          <w:szCs w:val="24"/>
        </w:rPr>
      </w:pPr>
      <w:bookmarkStart w:id="42" w:name="_Hlk153901472"/>
    </w:p>
    <w:p w14:paraId="6C1A6ACF" w14:textId="5DA52CA8" w:rsidR="00F77F36" w:rsidRPr="00915255" w:rsidRDefault="00DF3861"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rPr>
        <w:t xml:space="preserve">Även om fördelningen av riskägandet mellan EU och dess medlemsstater varierar mellan olika politikområden finns det tre strukturpolitiska områden där man sannolikt kan hantera klimatrisker inom många sektorer: </w:t>
      </w:r>
    </w:p>
    <w:p w14:paraId="002FA01C" w14:textId="24AF0319" w:rsidR="008079B5" w:rsidRPr="00915255" w:rsidRDefault="00BF6EC7"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u w:val="single"/>
        </w:rPr>
        <w:t>Bättre fysisk planering i medlemsstaterna.</w:t>
      </w:r>
      <w:r>
        <w:rPr>
          <w:rFonts w:ascii="Times New Roman" w:hAnsi="Times New Roman"/>
          <w:noProof/>
          <w:color w:val="000000" w:themeColor="text1"/>
          <w:sz w:val="24"/>
        </w:rPr>
        <w:t xml:space="preserve"> Markanvändning och markplanering är nationella – och ofta lokala – ansvarsområden. Marken är inte bara en tillgång utan har en lokal specifik betydelse och ett värde som sträcker sig längre än penningvärdet. Samtidigt påverkar markanvändnings- och markplaneringsbesluten resiliensen och möjligheten att teckna försäkringar mot risker för bredare samhällen och ekonomier. I sådana beslut bör man uttryckligen ange antaganden om klimatrisker, och de ska godkännas av de nationella myndigheter som ansvarar för resiliensen hos kritisk infrastruktur och kritiska enheter. Kommissionen kommer att överväga alternativ för att stimulera användningen av bästa praxis, bland annat genom att stärka kopplingen mellan kvaliteten på den territoriella planeringen och havsplaneringen, och sammanhållnings-, transport-, fiskeri-, finans- och jordbrukspolitiken. Kommissionen kommer att bygga vidare på det arbete som redan har utförts och inkludera resiliensprinciper i initiativet för det nya europeiska Bauhaus</w:t>
      </w:r>
      <w:r w:rsidR="006840A6" w:rsidRPr="001A3A0E">
        <w:rPr>
          <w:rStyle w:val="FootnoteReference"/>
          <w:rFonts w:ascii="Times New Roman" w:eastAsiaTheme="minorHAnsi" w:hAnsi="Times New Roman" w:cs="Times New Roman"/>
          <w:bCs/>
          <w:noProof/>
          <w:color w:val="000000" w:themeColor="text1"/>
          <w:sz w:val="24"/>
          <w:szCs w:val="24"/>
        </w:rPr>
        <w:footnoteReference w:id="32"/>
      </w:r>
      <w:r>
        <w:rPr>
          <w:rFonts w:ascii="Times New Roman" w:hAnsi="Times New Roman"/>
          <w:noProof/>
          <w:color w:val="000000" w:themeColor="text1"/>
          <w:sz w:val="24"/>
        </w:rPr>
        <w:t xml:space="preserve"> för att underlätta planeringen av resilienta samhällen.</w:t>
      </w:r>
    </w:p>
    <w:bookmarkEnd w:id="42"/>
    <w:p w14:paraId="4E7EAE16" w14:textId="135781C8" w:rsidR="000444E6" w:rsidRPr="009248B3" w:rsidRDefault="009A34E2" w:rsidP="00A632E5">
      <w:pPr>
        <w:spacing w:after="120"/>
        <w:jc w:val="both"/>
        <w:rPr>
          <w:rFonts w:ascii="Times New Roman" w:eastAsiaTheme="minorHAnsi" w:hAnsi="Times New Roman" w:cs="Times New Roman"/>
          <w:bCs/>
          <w:noProof/>
          <w:color w:val="000000" w:themeColor="text1"/>
          <w:sz w:val="24"/>
          <w:szCs w:val="24"/>
          <w:u w:val="single"/>
        </w:rPr>
      </w:pPr>
      <w:r>
        <w:rPr>
          <w:rFonts w:ascii="Times New Roman" w:hAnsi="Times New Roman"/>
          <w:noProof/>
          <w:color w:val="000000" w:themeColor="text1"/>
          <w:sz w:val="24"/>
          <w:u w:val="single"/>
        </w:rPr>
        <w:t>Ta med klimatrisker i planeringen och underhållet av kritisk infrastruktur</w:t>
      </w:r>
      <w:r>
        <w:rPr>
          <w:rFonts w:ascii="Times New Roman" w:hAnsi="Times New Roman"/>
          <w:noProof/>
          <w:color w:val="000000" w:themeColor="text1"/>
          <w:sz w:val="24"/>
        </w:rPr>
        <w:t>. Statens förmåga att upprätthålla samhällsfunktioner är nära kopplad till den fysiska planeringen och beror på resiliensen hos de enheter som driver kritiska infrastrukturer för att tillhandahålla grundläggande tjänster för samhället och ekonomin. Direktivet om kritiska enheters motståndskraft underlättar samordningen mellan medlemsstaterna och fastställer riskbedömningsförfaranden för dem och för kritiska enheter. Kommissionen uppmanar varje medlemsstat att se till att deras nationella riskbedömning enligt direktivet om kritiska enheters motståndskraft</w:t>
      </w:r>
      <w:r w:rsidR="002743A3">
        <w:rPr>
          <w:rStyle w:val="FootnoteReference"/>
          <w:rFonts w:ascii="Times New Roman" w:eastAsiaTheme="minorHAnsi" w:hAnsi="Times New Roman" w:cs="Times New Roman"/>
          <w:bCs/>
          <w:noProof/>
          <w:color w:val="000000" w:themeColor="text1"/>
          <w:sz w:val="24"/>
          <w:szCs w:val="24"/>
          <w:lang w:val="en-IE"/>
        </w:rPr>
        <w:footnoteReference w:id="33"/>
      </w:r>
      <w:r>
        <w:rPr>
          <w:rFonts w:ascii="Times New Roman" w:hAnsi="Times New Roman"/>
          <w:noProof/>
          <w:color w:val="000000" w:themeColor="text1"/>
          <w:sz w:val="24"/>
        </w:rPr>
        <w:t xml:space="preserve"> uttryckligen tar upp de aktuella enheternas långsiktiga resiliens mot klimatrisker och uppmanar medlemsstaterna att göra detta före den tidsfrist på 2026 som fastställs i direktivet. En del av den kritiska infrastrukturen avtalas och samfinansieras på EU-nivå, såsom de transeuropeiska näten TEN-T och TEN-E, men även till exempel EU</w:t>
      </w:r>
      <w:r>
        <w:rPr>
          <w:rFonts w:ascii="Times New Roman" w:hAnsi="Times New Roman"/>
          <w:noProof/>
          <w:color w:val="000000" w:themeColor="text1"/>
          <w:sz w:val="24"/>
        </w:rPr>
        <w:noBreakHyphen/>
        <w:t>finansierade sjukhus och skolor. Kommissionen kommer att uppdatera och utveckla relevanta sektorsvisa vägledningsdokument. Tillgängliga satellitdata och satellittjänster bör användas fullt ut för att stärka den kritiska infrastrukturens resiliens mot klimatrisker.</w:t>
      </w:r>
    </w:p>
    <w:p w14:paraId="070CC3E5" w14:textId="089567BE" w:rsidR="00206BE3" w:rsidRPr="00915255" w:rsidRDefault="00493B26"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u w:val="single"/>
        </w:rPr>
        <w:t>Koppla solidaritet på EU-nivå till lämpliga nationella resiliensåtgärder.</w:t>
      </w:r>
      <w:r>
        <w:rPr>
          <w:rFonts w:ascii="Times New Roman" w:hAnsi="Times New Roman"/>
          <w:noProof/>
          <w:color w:val="000000" w:themeColor="text1"/>
          <w:sz w:val="24"/>
        </w:rPr>
        <w:t xml:space="preserve"> Om den nationella kapaciteten är överbelastad kan civilskyddskapaciteten och andra solidaritetsmekanismer på EU-nivå (inklusive unionens civilskyddsmekanism, EU:s solidaritetsfond, strukturella investeringar genom sammanhållningspolitiken, vissa verktyg inom den gemensamma jordbrukspolitiken och andra sektoriella stödpaket) mobiliseras för att skydda människor mot klimatpåverkan och hjälpa dem att återhämta sig snabbare. Kapaciteten på både nationell nivå och EU-nivå är dock redan ansträngd, medan pressen från risker kommer att fortsätta att öka. Sedan 2019 har civilskyddsmekanismen aktiverats och samordnats 76 gånger i EU:s medlemsstater och tredjeländer för klimatrelaterade nödsituationer (extrema översvämningar, skogsbränder, stormar och akut torka). Över 8,6 miljarder euro har använts genom EU:s solidaritetsfond för att stödja 24 medlemsstater och 4 anslutningsländer i samband med 110 händelser till följd av naturkatastrofer.</w:t>
      </w:r>
    </w:p>
    <w:p w14:paraId="15F9BD92" w14:textId="5B1F4B96" w:rsidR="00953775" w:rsidRPr="001A3A0E" w:rsidRDefault="00992300" w:rsidP="00A632E5">
      <w:pPr>
        <w:spacing w:after="120"/>
        <w:jc w:val="both"/>
        <w:rPr>
          <w:rFonts w:ascii="Times New Roman" w:eastAsiaTheme="minorHAnsi" w:hAnsi="Times New Roman" w:cs="Times New Roman"/>
          <w:noProof/>
          <w:sz w:val="24"/>
          <w:szCs w:val="24"/>
        </w:rPr>
      </w:pPr>
      <w:r>
        <w:rPr>
          <w:rFonts w:ascii="Times New Roman" w:hAnsi="Times New Roman"/>
          <w:noProof/>
          <w:color w:val="000000" w:themeColor="text1"/>
          <w:sz w:val="24"/>
        </w:rPr>
        <w:t>Solidaritetsmekanismerna måste få tillräckliga resurser så att EU kan hjälpa de behövande. Civilskyddssystemen och civilskyddstillgångarna måste framtidssäkras genom investeringar i EU:s och medlemsstaternas katastrofriskhantering, insatskapacitet och expertis, som snabbt kan sättas in över gränserna. Därför bör klimatrisker integreras fullt ut i katastrofriskhanteringsprocesserna, i enlighet med unionsmålen för resiliens mot katastrofer</w:t>
      </w:r>
      <w:r w:rsidR="009C6C0A" w:rsidRPr="00915255">
        <w:rPr>
          <w:rStyle w:val="FootnoteReference"/>
          <w:rFonts w:ascii="Times New Roman" w:hAnsi="Times New Roman" w:cs="Times New Roman"/>
          <w:noProof/>
          <w:color w:val="000000" w:themeColor="text1"/>
          <w:sz w:val="24"/>
          <w:szCs w:val="24"/>
          <w:lang w:val="en-IE"/>
        </w:rPr>
        <w:footnoteReference w:id="34"/>
      </w:r>
      <w:r>
        <w:rPr>
          <w:rFonts w:ascii="Times New Roman" w:hAnsi="Times New Roman"/>
          <w:noProof/>
          <w:color w:val="000000" w:themeColor="text1"/>
          <w:sz w:val="24"/>
        </w:rPr>
        <w:t xml:space="preserve"> och kommissionens rapport om förebyggande riskhantering av katastrofrisker i Europa</w:t>
      </w:r>
      <w:r w:rsidR="009C6C0A" w:rsidRPr="00915255">
        <w:rPr>
          <w:rFonts w:ascii="Times New Roman" w:hAnsi="Times New Roman" w:cs="Times New Roman"/>
          <w:noProof/>
          <w:color w:val="000000" w:themeColor="text1"/>
          <w:sz w:val="24"/>
          <w:szCs w:val="24"/>
          <w:vertAlign w:val="superscript"/>
          <w:lang w:val="en-IE"/>
        </w:rPr>
        <w:footnoteReference w:id="35"/>
      </w:r>
      <w:r>
        <w:rPr>
          <w:rFonts w:ascii="Times New Roman" w:hAnsi="Times New Roman"/>
          <w:noProof/>
          <w:color w:val="000000" w:themeColor="text1"/>
          <w:sz w:val="24"/>
        </w:rPr>
        <w:t xml:space="preserve">. Eftersom EU:s insats- och återhämtningskapacitet kan uttömmas på grund av de ökande riskerna kommer kommissionen att överväga hur solidaritetsmekanismerna på ett bättre sätt kan ge incitament till lämpliga förutsebara åtgärder mot centrala risker från medlemsstaternas sida, vilket även ligger i de offentliga finansernas intresse, samtidigt som EU:s katastrofriskhantering, beredskap och insatser stärks. </w:t>
      </w:r>
    </w:p>
    <w:p w14:paraId="7A258CF1" w14:textId="5AA3A89C" w:rsidR="00114A90" w:rsidRPr="00801B76" w:rsidRDefault="00114A90" w:rsidP="004615FF">
      <w:pPr>
        <w:spacing w:after="120" w:line="240" w:lineRule="auto"/>
        <w:jc w:val="both"/>
        <w:rPr>
          <w:rFonts w:ascii="Times New Roman" w:eastAsiaTheme="minorHAnsi" w:hAnsi="Times New Roman" w:cs="Times New Roman"/>
          <w:bCs/>
          <w:noProof/>
          <w:color w:val="000000" w:themeColor="text1"/>
          <w:sz w:val="24"/>
          <w:szCs w:val="24"/>
        </w:rPr>
      </w:pPr>
    </w:p>
    <w:p w14:paraId="1DB84872" w14:textId="538850D2" w:rsidR="00775598" w:rsidRPr="00420C4C" w:rsidRDefault="009D7A8F" w:rsidP="00B2476E">
      <w:pPr>
        <w:pStyle w:val="Heading2"/>
        <w:ind w:left="1565" w:hanging="431"/>
        <w:rPr>
          <w:rFonts w:ascii="Times New Roman" w:hAnsi="Times New Roman" w:cs="Times New Roman"/>
          <w:b/>
          <w:bCs/>
          <w:noProof/>
          <w:color w:val="000000" w:themeColor="text1"/>
          <w:sz w:val="24"/>
          <w:szCs w:val="24"/>
        </w:rPr>
      </w:pPr>
      <w:bookmarkStart w:id="43" w:name="_Toc157700411"/>
      <w:bookmarkStart w:id="44" w:name="_Toc159792205"/>
      <w:bookmarkEnd w:id="43"/>
      <w:r>
        <w:rPr>
          <w:rFonts w:ascii="Times New Roman" w:hAnsi="Times New Roman"/>
          <w:b/>
          <w:noProof/>
          <w:color w:val="000000" w:themeColor="text1"/>
          <w:sz w:val="24"/>
        </w:rPr>
        <w:t>Rätt förutsättningar för finansiering av klimatresiliens</w:t>
      </w:r>
      <w:bookmarkEnd w:id="44"/>
    </w:p>
    <w:p w14:paraId="5C66F85A" w14:textId="77777777" w:rsidR="00BF6EC7" w:rsidRPr="00801B76" w:rsidRDefault="00BF6EC7" w:rsidP="00B11E0C">
      <w:pPr>
        <w:jc w:val="both"/>
        <w:textAlignment w:val="baseline"/>
        <w:rPr>
          <w:rFonts w:ascii="Times New Roman" w:eastAsia="Times New Roman" w:hAnsi="Times New Roman" w:cs="Times New Roman"/>
          <w:noProof/>
          <w:color w:val="000000" w:themeColor="text1"/>
          <w:sz w:val="24"/>
          <w:szCs w:val="24"/>
          <w:lang w:eastAsia="en-IE"/>
        </w:rPr>
      </w:pPr>
    </w:p>
    <w:p w14:paraId="3FED802B" w14:textId="0974F746" w:rsidR="00CC5085" w:rsidRPr="00915255" w:rsidRDefault="00EE0C15" w:rsidP="41D030E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Beslutsfattare, investerare och företag måste förstå investerings- och skyddsbehoven och relaterade luckor, utforma riktade insatser som baseras på deras potentiella inverkan och hur pass brådskande de är, engagera riskägare och utforma långsiktiga finansieringsstrategier. För att hantera klimatrisker på ett effektivt sätt bör de offentliga utgifterna på EU-nivå och nationell nivå, inklusive sociala investeringar, och incitament för privata investeringar utformas på ett sätt som förhindrar klimatrelaterade störningar och skadar det bästa ekonomiska valet. Överensstämmelse med reglerna för statligt stöd måste säkerställas. Detta innebär att följande måste göras:</w:t>
      </w:r>
    </w:p>
    <w:p w14:paraId="249B7C70" w14:textId="20FF077E" w:rsidR="008733E5" w:rsidRPr="00BE25FA" w:rsidRDefault="008733E5" w:rsidP="00774220">
      <w:pPr>
        <w:spacing w:after="120"/>
        <w:jc w:val="both"/>
        <w:textAlignment w:val="baseline"/>
        <w:rPr>
          <w:rFonts w:ascii="Times New Roman" w:hAnsi="Times New Roman"/>
          <w:noProof/>
          <w:color w:val="000000" w:themeColor="text1"/>
          <w:sz w:val="24"/>
          <w:highlight w:val="yellow"/>
          <w:u w:val="single"/>
        </w:rPr>
      </w:pPr>
      <w:r>
        <w:rPr>
          <w:rFonts w:ascii="Times New Roman" w:hAnsi="Times New Roman"/>
          <w:noProof/>
          <w:color w:val="000000" w:themeColor="text1"/>
          <w:sz w:val="24"/>
          <w:u w:val="single"/>
        </w:rPr>
        <w:t xml:space="preserve">Säkerställa klimatresiliens i EU:s utgifter. </w:t>
      </w:r>
      <w:r>
        <w:rPr>
          <w:rFonts w:ascii="Times New Roman" w:hAnsi="Times New Roman"/>
          <w:noProof/>
          <w:color w:val="000000" w:themeColor="text1"/>
          <w:sz w:val="24"/>
        </w:rPr>
        <w:t>Kommissionen kommer att integrera klimatanpassningsaspekter i genomförandet av EU:s program och verksamheter som en del av principen om att inte orsaka betydande skada som fastställs i budgetförordningen för den fleråriga budgetramen efter 2027, när så är möjligt och lämpligt. Detta kommer att garantera att alla relevanta EU-program bidrar till klimatresiliens.</w:t>
      </w:r>
    </w:p>
    <w:p w14:paraId="36554D86" w14:textId="1B61B347" w:rsidR="00E06696" w:rsidRPr="001A3A0E" w:rsidRDefault="0004542D" w:rsidP="00B160B9">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Integrera klimatresiliens i offentlig upphandling</w:t>
      </w:r>
      <w:r>
        <w:rPr>
          <w:rFonts w:ascii="Times New Roman" w:hAnsi="Times New Roman"/>
          <w:noProof/>
          <w:color w:val="000000" w:themeColor="text1"/>
          <w:sz w:val="24"/>
        </w:rPr>
        <w:t>. Offentlig upphandling står för 14 % av EU:s BNP och måste ta hänsyn till klimatrisker. Särskilt när det gäller infrastrukturbeslut spelar denna politik en viktig roll för att stödja klimatresiliensen hos tillgångar och de anbudsgivande företagens medvetenhet och kunskap om klimatresiliens. Kommissionen kommer att beakta klimatrisker vid en eventuell översyn av regelverket för upphandling. Samtidigt uppmanas medlemsstaterna att beakta bland annat klimatrisker när kriterier för miljömässig hållbarhet ingår i konkurrensutsatta upphandlingar, till exempel genom ett påskyndat genomförande av bestämmelserna i rättsakten om nettonollindustri</w:t>
      </w:r>
      <w:r w:rsidR="00CA7DFD">
        <w:rPr>
          <w:rStyle w:val="FootnoteReference"/>
          <w:rFonts w:ascii="Times New Roman" w:eastAsia="Times New Roman" w:hAnsi="Times New Roman" w:cs="Times New Roman"/>
          <w:noProof/>
          <w:color w:val="000000" w:themeColor="text1"/>
          <w:sz w:val="24"/>
          <w:szCs w:val="24"/>
          <w:lang w:val="en-IE" w:eastAsia="en-IE"/>
        </w:rPr>
        <w:footnoteReference w:id="36"/>
      </w:r>
      <w:r>
        <w:rPr>
          <w:rFonts w:ascii="Times New Roman" w:hAnsi="Times New Roman"/>
          <w:noProof/>
          <w:color w:val="000000" w:themeColor="text1"/>
          <w:sz w:val="24"/>
        </w:rPr>
        <w:t xml:space="preserve"> när det gäller icke-prisrelaterade kriterier i anbudsutformningen. </w:t>
      </w:r>
    </w:p>
    <w:p w14:paraId="0AC87FEC" w14:textId="43E7AD9A" w:rsidR="003E4442" w:rsidRPr="000B0E9A" w:rsidRDefault="003E4442" w:rsidP="00D7031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Mobilisera finansiering för att bygga upp resiliens</w:t>
      </w:r>
      <w:r>
        <w:rPr>
          <w:rFonts w:ascii="Times New Roman" w:hAnsi="Times New Roman"/>
          <w:noProof/>
          <w:color w:val="000000" w:themeColor="text1"/>
          <w:sz w:val="24"/>
        </w:rPr>
        <w:t xml:space="preserve">. Att locka till sig och underlätta privata investeringar är centralt för att hantera klimatrisker och bygga upp klimatresiliens. Med utgångspunkt i dialogen om klimatresiliens och annat relevant arbete kommer kommissionen att sammankalla en tillfällig reflektionsgrupp för mobilisering av finansiering av klimatresiliens. Gruppen ska diskutera hur sådan finansiering kan underlättas. Den kommer att sammanföra viktiga industriaktörer och företrädare för offentliga och privata finansinstitut. Den kan också komma att använda sig av Europeiska investeringsbankens och Europeiska försäkrings- och tjänstepensionsmyndighetens kunskaper när det gäller finansiering av klimatanpassning och resiliensbyggande. Den kommer att göra en inventering av bästa praxis och identifiera hinder och möjliggörande villkor för finansiering av klimatresiliens. Kommissionen kommer att använda resultaten av dessa diskussioner för att stärka finansieringen av klimatresiliens. </w:t>
      </w:r>
    </w:p>
    <w:p w14:paraId="413219F1" w14:textId="07145287" w:rsidR="0053389F" w:rsidRPr="00420C4C"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45" w:name="_Toc159792206"/>
      <w:r>
        <w:rPr>
          <w:rFonts w:ascii="Times New Roman" w:hAnsi="Times New Roman"/>
          <w:b/>
          <w:noProof/>
          <w:color w:val="000000" w:themeColor="text1"/>
          <w:sz w:val="24"/>
        </w:rPr>
        <w:t>Centrala EU-åtgärder i mest drabbade kluster</w:t>
      </w:r>
      <w:bookmarkEnd w:id="45"/>
      <w:r>
        <w:rPr>
          <w:rFonts w:ascii="Times New Roman" w:hAnsi="Times New Roman"/>
          <w:b/>
          <w:noProof/>
          <w:color w:val="000000" w:themeColor="text1"/>
          <w:sz w:val="24"/>
        </w:rPr>
        <w:t xml:space="preserve"> </w:t>
      </w:r>
    </w:p>
    <w:p w14:paraId="6E37C4D5" w14:textId="77777777" w:rsidR="0004542D" w:rsidRPr="00801B76" w:rsidRDefault="0004542D" w:rsidP="00B11E0C">
      <w:pPr>
        <w:jc w:val="both"/>
        <w:textAlignment w:val="baseline"/>
        <w:rPr>
          <w:rFonts w:ascii="Times New Roman" w:eastAsia="Times New Roman" w:hAnsi="Times New Roman" w:cs="Times New Roman"/>
          <w:noProof/>
          <w:color w:val="000000" w:themeColor="text1"/>
          <w:sz w:val="24"/>
          <w:szCs w:val="24"/>
          <w:lang w:eastAsia="en-IE"/>
        </w:rPr>
      </w:pPr>
    </w:p>
    <w:p w14:paraId="4F10C5A6" w14:textId="62891F93" w:rsidR="00F435E9" w:rsidRDefault="00782A85" w:rsidP="00FE40B8">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Klimatriskerna och EU:s politik är sammankopplade på många sätt. </w:t>
      </w:r>
      <w:bookmarkStart w:id="46" w:name="_Hlk157872449"/>
      <w:r>
        <w:rPr>
          <w:rFonts w:ascii="Times New Roman" w:hAnsi="Times New Roman"/>
          <w:b/>
          <w:noProof/>
          <w:color w:val="000000" w:themeColor="text1"/>
          <w:sz w:val="24"/>
        </w:rPr>
        <w:t>Nästan all EU-politik inbegriper redan beslutsprocesser som skulle kunna ta hänsyn till klimatrisker. Den mängd belägg som framförs i den europeiska klimatriskbedömningen kommer att bidra till dessa processer</w:t>
      </w:r>
      <w:bookmarkEnd w:id="46"/>
      <w:r>
        <w:rPr>
          <w:rFonts w:ascii="Times New Roman" w:hAnsi="Times New Roman"/>
          <w:b/>
          <w:noProof/>
          <w:color w:val="000000" w:themeColor="text1"/>
          <w:sz w:val="24"/>
        </w:rPr>
        <w:t xml:space="preserve">. </w:t>
      </w:r>
      <w:r>
        <w:rPr>
          <w:rFonts w:ascii="Times New Roman" w:hAnsi="Times New Roman"/>
          <w:noProof/>
          <w:color w:val="000000" w:themeColor="text1"/>
          <w:sz w:val="24"/>
        </w:rPr>
        <w:t>I detta avsnitt anges särskilda åtgärder för utvalda drabbade kluster som kommissionen kommer att vidareutveckla, vid sidan av det arbete som redan pågår.</w:t>
      </w:r>
    </w:p>
    <w:p w14:paraId="2EE6E041" w14:textId="77777777" w:rsidR="00234B23" w:rsidRPr="00801B76" w:rsidRDefault="00234B23" w:rsidP="00FE40B8">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FBDAE14" w14:textId="57546045" w:rsidR="004E2378" w:rsidRPr="00420C4C" w:rsidRDefault="007965EF"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47" w:name="_Toc159792207"/>
      <w:r>
        <w:rPr>
          <w:rFonts w:ascii="Times New Roman" w:hAnsi="Times New Roman"/>
          <w:b/>
          <w:noProof/>
          <w:color w:val="000000" w:themeColor="text1"/>
          <w:sz w:val="24"/>
        </w:rPr>
        <w:t>Naturliga ekosystem</w:t>
      </w:r>
      <w:bookmarkEnd w:id="47"/>
    </w:p>
    <w:p w14:paraId="48EEF110" w14:textId="77777777" w:rsidR="00C4304F" w:rsidRPr="00915255" w:rsidRDefault="00C4304F" w:rsidP="00291D56">
      <w:pPr>
        <w:spacing w:line="240" w:lineRule="auto"/>
        <w:jc w:val="both"/>
        <w:rPr>
          <w:rFonts w:ascii="Times New Roman" w:hAnsi="Times New Roman" w:cs="Times New Roman"/>
          <w:noProof/>
          <w:color w:val="000000" w:themeColor="text1"/>
          <w:sz w:val="24"/>
          <w:szCs w:val="24"/>
          <w:lang w:val="en-IE" w:eastAsia="en-IE"/>
        </w:rPr>
      </w:pPr>
    </w:p>
    <w:p w14:paraId="0C89F8C2" w14:textId="41831237" w:rsidR="00291D56" w:rsidRPr="00915255" w:rsidRDefault="0031372F" w:rsidP="00A632E5">
      <w:pPr>
        <w:spacing w:after="120"/>
        <w:jc w:val="both"/>
        <w:rPr>
          <w:rFonts w:ascii="Times New Roman" w:hAnsi="Times New Roman" w:cs="Times New Roman"/>
          <w:noProof/>
          <w:color w:val="000000" w:themeColor="text1"/>
          <w:sz w:val="24"/>
          <w:szCs w:val="24"/>
        </w:rPr>
      </w:pPr>
      <w:bookmarkStart w:id="48" w:name="_Hlk158191442"/>
      <w:r>
        <w:rPr>
          <w:rFonts w:ascii="Times New Roman" w:hAnsi="Times New Roman"/>
          <w:noProof/>
          <w:sz w:val="24"/>
        </w:rPr>
        <w:t>Förutom att bevara den biologiska mångfalden tillhandahåller naturliga ekosystem livsuppehållande tjänster som sötvatten, livsmedel och biomaterial, koldioxidbindning, kontroll av mark- och kusterosion, förebyggande av översvämningar och torka och en nedkylande effekt i tätbefolkade stadsområden.</w:t>
      </w:r>
      <w:r>
        <w:rPr>
          <w:rFonts w:ascii="Times New Roman" w:hAnsi="Times New Roman"/>
          <w:noProof/>
          <w:color w:val="000000" w:themeColor="text1"/>
          <w:sz w:val="24"/>
        </w:rPr>
        <w:t xml:space="preserve"> Mer än hälften av världens totala BNP beräknas vara måttligt eller mycket beroende av naturen och den biologiska mångfalden. Friska ekosystem är självbalanserande, men ekosystemen kan också snabbt kollapsa om kritiska tröskelvärden överskrids. </w:t>
      </w:r>
      <w:r>
        <w:rPr>
          <w:rFonts w:ascii="Times New Roman" w:hAnsi="Times New Roman"/>
          <w:noProof/>
          <w:sz w:val="24"/>
        </w:rPr>
        <w:t>Den mest omedelbart skadliga effekten kommer att påverka livsmedelstryggheten, lokalsamhällena och de ekonomiska sektorer som är mest beroende av en frisk natur.</w:t>
      </w:r>
      <w:r>
        <w:rPr>
          <w:rFonts w:ascii="Times New Roman" w:hAnsi="Times New Roman"/>
          <w:noProof/>
          <w:color w:val="000000" w:themeColor="text1"/>
          <w:sz w:val="24"/>
        </w:rPr>
        <w:t xml:space="preserve"> För att bevara och återställa ekosystemen och de tjänster som de tillhandahåller måste omkring 30–50 % av jordens mark, sötvatten och hav bevaras på ett effektivt och rättvist sätt</w:t>
      </w:r>
      <w:r w:rsidR="00CA14DC" w:rsidRPr="00915255">
        <w:rPr>
          <w:rStyle w:val="FootnoteReference"/>
          <w:rFonts w:ascii="Times New Roman" w:hAnsi="Times New Roman" w:cs="Times New Roman"/>
          <w:noProof/>
          <w:color w:val="000000" w:themeColor="text1"/>
          <w:sz w:val="24"/>
          <w:szCs w:val="24"/>
          <w:lang w:val="en-IE" w:eastAsia="en-IE"/>
        </w:rPr>
        <w:footnoteReference w:id="37"/>
      </w:r>
      <w:r>
        <w:rPr>
          <w:rFonts w:ascii="Times New Roman" w:hAnsi="Times New Roman"/>
          <w:noProof/>
          <w:color w:val="000000" w:themeColor="text1"/>
          <w:sz w:val="24"/>
        </w:rPr>
        <w:t xml:space="preserve">.  </w:t>
      </w:r>
    </w:p>
    <w:bookmarkEnd w:id="48"/>
    <w:p w14:paraId="52571491" w14:textId="629103B5" w:rsidR="00295851" w:rsidRPr="001A3A0E" w:rsidRDefault="00463836"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sz w:val="24"/>
        </w:rPr>
        <w:t>Framtidssäkrade naturbaserade lösningar kan vara kostnadseffektiva och öka resiliensen och bör vara det första valet för klimatanpassning när det är möjligt.</w:t>
      </w:r>
      <w:r>
        <w:rPr>
          <w:rFonts w:ascii="Times New Roman" w:hAnsi="Times New Roman"/>
          <w:noProof/>
          <w:color w:val="000000" w:themeColor="text1"/>
          <w:sz w:val="24"/>
        </w:rPr>
        <w:t xml:space="preserve"> </w:t>
      </w:r>
      <w:r>
        <w:rPr>
          <w:rFonts w:ascii="Times New Roman" w:hAnsi="Times New Roman"/>
          <w:noProof/>
          <w:sz w:val="24"/>
        </w:rPr>
        <w:t xml:space="preserve">För att kunna hantera klimatriskerna effektivt sätt måste ekosystemen skyddas och förvaltas på ett heltäckande sätt, och </w:t>
      </w:r>
      <w:r>
        <w:rPr>
          <w:rFonts w:ascii="Times New Roman" w:hAnsi="Times New Roman"/>
          <w:noProof/>
          <w:sz w:val="24"/>
          <w:u w:val="single"/>
        </w:rPr>
        <w:t>bedömningar av välstånd och ekonomisk verksamhet bör till fullo inbegripa naturkapital</w:t>
      </w:r>
      <w:r w:rsidR="00E01EF8" w:rsidRPr="000C2827">
        <w:rPr>
          <w:rStyle w:val="FootnoteReference"/>
          <w:rFonts w:ascii="Times New Roman" w:hAnsi="Times New Roman" w:cs="Times New Roman"/>
          <w:noProof/>
          <w:color w:val="000000" w:themeColor="text1"/>
          <w:sz w:val="24"/>
          <w:szCs w:val="24"/>
          <w:u w:val="single"/>
          <w:lang w:val="en-IE" w:eastAsia="en-IE"/>
        </w:rPr>
        <w:footnoteReference w:id="38"/>
      </w:r>
      <w:r>
        <w:rPr>
          <w:rFonts w:ascii="Times New Roman" w:hAnsi="Times New Roman"/>
          <w:noProof/>
          <w:sz w:val="24"/>
        </w:rPr>
        <w:t xml:space="preserve"> med hjälp av aktuella metodiska framsteg. Genomförandet av fågel- och habitatdirektiven och framtagningen av de nationella restaureringsplanerna enligt den kommande förordningen om restaurering av natur bör säkerställa synergier med klimatresiliens.</w:t>
      </w:r>
      <w:r>
        <w:rPr>
          <w:rFonts w:ascii="Times New Roman" w:hAnsi="Times New Roman"/>
          <w:noProof/>
          <w:color w:val="000000" w:themeColor="text1"/>
          <w:sz w:val="24"/>
        </w:rPr>
        <w:t xml:space="preserve"> För att stödja klimatanpassningen i skyddade områden kommer kommissionen att uppdatera riktlinjerna om Natura 2000 och klimatförändringar.</w:t>
      </w:r>
    </w:p>
    <w:p w14:paraId="4AB37EB7" w14:textId="17E52691" w:rsidR="00352E3B" w:rsidRPr="00915255" w:rsidRDefault="00C14B2C"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Det krävs mer arbete för att </w:t>
      </w:r>
      <w:r>
        <w:rPr>
          <w:rFonts w:ascii="Times New Roman" w:hAnsi="Times New Roman"/>
          <w:noProof/>
          <w:color w:val="000000" w:themeColor="text1"/>
          <w:sz w:val="24"/>
          <w:u w:val="single"/>
        </w:rPr>
        <w:t>förhindra större skogsstörningar och förbättra beredskapen inför dem</w:t>
      </w:r>
      <w:r>
        <w:rPr>
          <w:rFonts w:ascii="Times New Roman" w:hAnsi="Times New Roman"/>
          <w:noProof/>
          <w:color w:val="000000" w:themeColor="text1"/>
          <w:sz w:val="24"/>
        </w:rPr>
        <w:t xml:space="preserve">. Kommissionen kommer att använda unionens civilskyddsmekanism för att främja förebyggandet av skogsbränder, och de föreslagna förordningarna om en övervakningsram för resilienta europeiska skogar och för skogsodlingsmaterial, samt beakta klimatbelastningen när den uppskattar koldioxidsänkornas potentiella bidrag till EU:s nettonollutsläppsmål. </w:t>
      </w:r>
    </w:p>
    <w:p w14:paraId="2BACEF58" w14:textId="5D31F238" w:rsidR="002A4652" w:rsidRPr="005120FA" w:rsidRDefault="002D71AA" w:rsidP="00A632E5">
      <w:pPr>
        <w:spacing w:after="120"/>
        <w:jc w:val="both"/>
        <w:rPr>
          <w:rFonts w:ascii="Times New Roman" w:hAnsi="Times New Roman" w:cs="Times New Roman"/>
          <w:noProof/>
          <w:sz w:val="24"/>
          <w:szCs w:val="24"/>
        </w:rPr>
      </w:pPr>
      <w:r>
        <w:rPr>
          <w:rFonts w:ascii="Times New Roman" w:hAnsi="Times New Roman"/>
          <w:noProof/>
          <w:sz w:val="24"/>
        </w:rPr>
        <w:t xml:space="preserve">Medlemsstaterna måste </w:t>
      </w:r>
      <w:r>
        <w:rPr>
          <w:rFonts w:ascii="Times New Roman" w:hAnsi="Times New Roman"/>
          <w:noProof/>
          <w:sz w:val="24"/>
          <w:u w:val="single"/>
        </w:rPr>
        <w:t>förbättra de marina ekosystemens hälsa</w:t>
      </w:r>
      <w:r>
        <w:rPr>
          <w:rFonts w:ascii="Times New Roman" w:hAnsi="Times New Roman"/>
          <w:noProof/>
          <w:sz w:val="24"/>
        </w:rPr>
        <w:t>. Kommissionen uppmanar medlemsstaterna att på bästa sätt utnyttja ramdirektivet om en marin strategi, förordningen om restaurering av natur, och handlingsplanen för marina ekosystem</w:t>
      </w:r>
      <w:r w:rsidR="002A4652" w:rsidRPr="001A3A0E">
        <w:rPr>
          <w:rStyle w:val="FootnoteReference"/>
          <w:rFonts w:ascii="Times New Roman" w:hAnsi="Times New Roman" w:cs="Times New Roman"/>
          <w:noProof/>
          <w:sz w:val="24"/>
          <w:szCs w:val="24"/>
        </w:rPr>
        <w:footnoteReference w:id="39"/>
      </w:r>
      <w:r>
        <w:rPr>
          <w:rFonts w:ascii="Times New Roman" w:hAnsi="Times New Roman"/>
          <w:noProof/>
          <w:sz w:val="24"/>
        </w:rPr>
        <w:t xml:space="preserve"> för att öka resiliensen och bevara mångfalden i alla marina ekosystem, i syfte att upprätthålla deras produktiva kapacitet att tillhandahålla livsmedel, material och ekosystemtjänster. Åtgärder inom ramen för EU:s uppdrag för att återställa hav och vatten</w:t>
      </w:r>
      <w:r w:rsidR="00507E1A">
        <w:rPr>
          <w:rStyle w:val="FootnoteReference"/>
          <w:rFonts w:ascii="Times New Roman" w:hAnsi="Times New Roman" w:cs="Times New Roman"/>
          <w:noProof/>
          <w:sz w:val="24"/>
          <w:szCs w:val="24"/>
        </w:rPr>
        <w:footnoteReference w:id="40"/>
      </w:r>
      <w:r>
        <w:rPr>
          <w:rFonts w:ascii="Times New Roman" w:hAnsi="Times New Roman"/>
          <w:noProof/>
          <w:sz w:val="24"/>
        </w:rPr>
        <w:t xml:space="preserve"> bidrar till ett brett spektrum av sådana lösningar. För att säkerställa ett hållbart fiske i ett föränderligt klimat bör synergierna mellan den gemensamma fiskeripolitiken och miljölagstiftningen, vilket föreslås i pakten för fisket och haven, utnyttjas fullt ut för att säkerställa livsmedelstrygghet och försörjning för fiskare och kustsamhällen.</w:t>
      </w:r>
    </w:p>
    <w:p w14:paraId="2466D47E" w14:textId="6026276F" w:rsidR="002A4652" w:rsidRPr="001A3A0E" w:rsidRDefault="00C512C3" w:rsidP="00A632E5">
      <w:pPr>
        <w:spacing w:after="120"/>
        <w:jc w:val="both"/>
        <w:rPr>
          <w:rFonts w:ascii="Times New Roman" w:hAnsi="Times New Roman" w:cs="Times New Roman"/>
          <w:noProof/>
          <w:sz w:val="24"/>
          <w:szCs w:val="24"/>
        </w:rPr>
      </w:pPr>
      <w:r>
        <w:rPr>
          <w:rFonts w:ascii="Times New Roman" w:hAnsi="Times New Roman"/>
          <w:noProof/>
          <w:sz w:val="24"/>
        </w:rPr>
        <w:t xml:space="preserve">De huvudsakliga inslagen i ett </w:t>
      </w:r>
      <w:r>
        <w:rPr>
          <w:rFonts w:ascii="Times New Roman" w:hAnsi="Times New Roman"/>
          <w:noProof/>
          <w:sz w:val="24"/>
          <w:u w:val="single"/>
        </w:rPr>
        <w:t>klimatresilient landskap</w:t>
      </w:r>
      <w:r>
        <w:rPr>
          <w:rFonts w:ascii="Times New Roman" w:hAnsi="Times New Roman"/>
          <w:noProof/>
          <w:sz w:val="24"/>
        </w:rPr>
        <w:t xml:space="preserve"> måste hanteras samtidigt för att bevara landskapets kapacitet att minska risken för torka, översvämningar, stormar, skogsbränder eller erosion tillsammans med tillhandahållandet av övriga ekosystemtjänster. Landsbygden står för merparten av EU:s mark och silotänkandet kring mark-, vatten- och skogsförvaltning i samma område har nått sina gränser. Det behövs en heltäckande och integrerad strategi för att se till att ekosystem över stora områden kan hantera de multipla hoten. För att stödja den bästa användningen av befintliga planeringsdokument och i synergi med medlemsstaternas planer för fysisk planering och restaurering av natur </w:t>
      </w:r>
      <w:r>
        <w:rPr>
          <w:rFonts w:ascii="Times New Roman" w:hAnsi="Times New Roman"/>
          <w:noProof/>
          <w:sz w:val="24"/>
          <w:u w:val="single"/>
        </w:rPr>
        <w:t>kommer kommissionen, i samarbete med medlemsstaterna, att utarbeta riktlinjer för utvecklingen av resilienta landskap</w:t>
      </w:r>
      <w:r>
        <w:rPr>
          <w:rFonts w:ascii="Times New Roman" w:hAnsi="Times New Roman"/>
          <w:noProof/>
          <w:sz w:val="24"/>
        </w:rPr>
        <w:t xml:space="preserve"> som kan mildra klimatförändringarnas konsekvenser. </w:t>
      </w:r>
    </w:p>
    <w:p w14:paraId="61E8835D" w14:textId="77777777" w:rsidR="0049438C" w:rsidRPr="00801B76" w:rsidRDefault="0049438C" w:rsidP="00B11E0C">
      <w:pPr>
        <w:spacing w:after="120" w:line="240" w:lineRule="auto"/>
        <w:rPr>
          <w:rFonts w:ascii="Times New Roman" w:hAnsi="Times New Roman" w:cs="Times New Roman"/>
          <w:noProof/>
          <w:color w:val="000000" w:themeColor="text1"/>
          <w:sz w:val="24"/>
          <w:szCs w:val="24"/>
          <w:lang w:eastAsia="en-IE"/>
        </w:rPr>
      </w:pPr>
    </w:p>
    <w:p w14:paraId="587C50CD" w14:textId="39987522" w:rsidR="003664D6" w:rsidRPr="00420C4C" w:rsidRDefault="003F09F0"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0" w:name="_Toc159792208"/>
      <w:r>
        <w:rPr>
          <w:rFonts w:ascii="Times New Roman" w:hAnsi="Times New Roman"/>
          <w:b/>
          <w:noProof/>
          <w:color w:val="000000" w:themeColor="text1"/>
          <w:sz w:val="24"/>
        </w:rPr>
        <w:t>Vatten</w:t>
      </w:r>
      <w:bookmarkEnd w:id="50"/>
    </w:p>
    <w:p w14:paraId="600A86CE" w14:textId="77777777" w:rsidR="00B2476E" w:rsidRDefault="00B2476E" w:rsidP="0016331B">
      <w:pPr>
        <w:jc w:val="both"/>
        <w:textAlignment w:val="baseline"/>
        <w:rPr>
          <w:rFonts w:ascii="Times New Roman" w:eastAsia="Times New Roman" w:hAnsi="Times New Roman" w:cs="Times New Roman"/>
          <w:noProof/>
          <w:color w:val="000000" w:themeColor="text1"/>
          <w:sz w:val="24"/>
          <w:szCs w:val="24"/>
          <w:lang w:val="en-IE" w:eastAsia="en-IE"/>
        </w:rPr>
      </w:pPr>
    </w:p>
    <w:p w14:paraId="03AA7CB2" w14:textId="399E0CFD" w:rsidR="0016331B" w:rsidRDefault="0016331B" w:rsidP="00A632E5">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sz w:val="24"/>
        </w:rPr>
        <w:t>Vatten är en viktig resurs som redan är pressad i många delar av Europa på grund av strukturell misskötsel, ohållbar markanvändning, hydromorfologiska förändringar och föroreningar.</w:t>
      </w:r>
      <w:r>
        <w:rPr>
          <w:rFonts w:ascii="Times New Roman" w:hAnsi="Times New Roman"/>
          <w:noProof/>
          <w:color w:val="000000" w:themeColor="text1"/>
          <w:sz w:val="24"/>
        </w:rPr>
        <w:t xml:space="preserve"> Klimatförändringarna förvärrar dessa belastningar och ökar de vattenrelaterade riskerna i form av mer frekvent eller långvarig torka eller extrem nederbörd. Dessa kommer att förvärras i framtiden och större delar av Europa kommer att påverkas av vattenstress, liksom en allt större risk för extrem torka (som sträcker sig över stora regioner och pågår flera år), skogsbränder, fler översvämningar och stigande havsnivåer som ökar risken för kustöversvämningar och stormar, kusterosion och inträngning av saltvatten.</w:t>
      </w:r>
    </w:p>
    <w:p w14:paraId="13FBC7C3" w14:textId="38129A7E" w:rsidR="0016331B"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I den europeiska klimatriskbedömningen betonas att de vattenrelaterade riskerna sträcker sig över alla huvudsektorer som tas upp i detta meddelande och att allvarliga översvämningar, torka och skogsbränder håller på att bli ett hälsohot och en återkommande orsak till sociala, miljömässiga och ekonomiska förluster. Dessa risker kan uppstå i flera olika former, bland annat som torka som kan påverka stora områden under långa perioder, med negativa konsekvenser för vegetabilieproduktionen, livsmedelstryggheten, dricksvattenförsörjningen och energiproduktionen eller vattenvägarnas användbarhet, och som förvärrar risken för skogsbränder, liksom risker för kritisk infrastruktur, ekonomisk verksamhet och människors hälsa till följd av översvämningar och mer generellt ökad konkurrens om vattenresurser mellan sektorer och användningsområden, inbegripet den potentiella risken för konflikter inom och mellan medlemsstaterna om gränsöverskridande vattenresurser. Den europeiska klimatriskbedömningen visar att kostnaderna för ett otillräckligt eller försenat genomförande av integrerad vattenförvaltning kommer att vara oöverkomliga. Uppskattningsvis uppgår kostnaderna för torka till 9 miljarder euro per år och för översvämningar till mer än 170 miljarder euro totalt sedan 1980. </w:t>
      </w:r>
    </w:p>
    <w:p w14:paraId="3D24198A" w14:textId="0A98BDBC" w:rsidR="0016331B"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Att skydda och återställa vattnets kretslopp, främja en vattensmart ekonomi i EU och </w:t>
      </w:r>
      <w:r>
        <w:rPr>
          <w:rFonts w:ascii="Times New Roman" w:hAnsi="Times New Roman"/>
          <w:noProof/>
          <w:color w:val="000000" w:themeColor="text1"/>
          <w:sz w:val="24"/>
          <w:u w:val="single"/>
        </w:rPr>
        <w:t>skydda</w:t>
      </w:r>
      <w:r>
        <w:rPr>
          <w:rFonts w:ascii="Times New Roman" w:hAnsi="Times New Roman"/>
          <w:noProof/>
          <w:sz w:val="24"/>
          <w:u w:val="single"/>
        </w:rPr>
        <w:t xml:space="preserve"> en högkvalitativ, överkomlig och tillgänglig </w:t>
      </w:r>
      <w:r>
        <w:rPr>
          <w:rFonts w:ascii="Times New Roman" w:hAnsi="Times New Roman"/>
          <w:noProof/>
          <w:color w:val="000000" w:themeColor="text1"/>
          <w:sz w:val="24"/>
          <w:u w:val="single"/>
        </w:rPr>
        <w:t>sötvattenförsörjning för alla</w:t>
      </w:r>
      <w:r>
        <w:rPr>
          <w:rFonts w:ascii="Times New Roman" w:hAnsi="Times New Roman"/>
          <w:noProof/>
          <w:color w:val="000000" w:themeColor="text1"/>
          <w:sz w:val="24"/>
        </w:rPr>
        <w:t xml:space="preserve"> är avgörande för att säkerställa ett vattenresilient Europa. För att uppnå vattenresiliens måste vi främja vår gemensamma förmåga att förvalta och använda vatten på ett mer flexibelt sätt med tanke på den snabbt föränderliga och delvis oförutsägbara geopolitiska, ekonomiska, samhälleliga och miljömässiga utvecklingen.</w:t>
      </w:r>
      <w:r>
        <w:rPr>
          <w:rFonts w:ascii="Times New Roman" w:hAnsi="Times New Roman"/>
          <w:noProof/>
          <w:color w:val="000000" w:themeColor="text1"/>
          <w:sz w:val="24"/>
          <w:u w:val="single"/>
        </w:rPr>
        <w:t xml:space="preserve"> </w:t>
      </w:r>
      <w:r>
        <w:rPr>
          <w:rFonts w:ascii="Times New Roman" w:hAnsi="Times New Roman"/>
          <w:noProof/>
          <w:color w:val="000000" w:themeColor="text1"/>
          <w:sz w:val="24"/>
        </w:rPr>
        <w:t xml:space="preserve">Vattnet måste förvaltas och den mänskliga efterfrågan måste anpassas till den nya och knappare tillgången. </w:t>
      </w:r>
    </w:p>
    <w:p w14:paraId="65198D33" w14:textId="23A0B11E" w:rsidR="00E60205" w:rsidRDefault="00760A8B" w:rsidP="00FE74B1">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Med tanke på den grundläggande roll som vattnet spelar för våra liv och som en ekonomisk insatsvara kommer </w:t>
      </w:r>
      <w:r>
        <w:rPr>
          <w:rFonts w:ascii="Times New Roman" w:hAnsi="Times New Roman"/>
          <w:noProof/>
          <w:color w:val="000000" w:themeColor="text1"/>
          <w:sz w:val="24"/>
          <w:u w:val="single"/>
        </w:rPr>
        <w:t>kommissionen att utföra en omfattande inventering av alla vattenaspekter</w:t>
      </w:r>
      <w:r>
        <w:rPr>
          <w:rFonts w:ascii="Times New Roman" w:hAnsi="Times New Roman"/>
          <w:noProof/>
          <w:color w:val="000000" w:themeColor="text1"/>
          <w:sz w:val="24"/>
        </w:rPr>
        <w:t>, på grundval av resultaten av de pågående bedömningarna av förvaltningsplanerna för avrinningsdistrikt och planerna för hantering av översvämningsrisker samt av de marina åtgärdsprogram som medlemsstaterna har inrättat, och på grundval av denna bedöma behovet av åtgärder.</w:t>
      </w:r>
    </w:p>
    <w:p w14:paraId="05410DDA" w14:textId="77777777" w:rsidR="00CB66D1" w:rsidRPr="00A632E5" w:rsidRDefault="00CB66D1" w:rsidP="00BE25FA">
      <w:pPr>
        <w:spacing w:after="200" w:line="276" w:lineRule="auto"/>
        <w:rPr>
          <w:rFonts w:ascii="Times New Roman" w:eastAsia="Times New Roman" w:hAnsi="Times New Roman" w:cs="Times New Roman"/>
          <w:noProof/>
          <w:color w:val="000000" w:themeColor="text1"/>
          <w:sz w:val="24"/>
          <w:szCs w:val="24"/>
          <w:lang w:eastAsia="en-IE"/>
        </w:rPr>
      </w:pPr>
    </w:p>
    <w:p w14:paraId="141F1ABA" w14:textId="0AEA4596"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1" w:name="_Toc159792209"/>
      <w:r>
        <w:rPr>
          <w:rFonts w:ascii="Times New Roman" w:hAnsi="Times New Roman"/>
          <w:b/>
          <w:noProof/>
          <w:color w:val="000000" w:themeColor="text1"/>
          <w:sz w:val="24"/>
        </w:rPr>
        <w:t>Hälsa</w:t>
      </w:r>
      <w:bookmarkEnd w:id="51"/>
    </w:p>
    <w:p w14:paraId="4257B5F7" w14:textId="77777777" w:rsidR="00ED251E" w:rsidRDefault="00ED251E" w:rsidP="00FE40B8">
      <w:pPr>
        <w:spacing w:line="240" w:lineRule="auto"/>
        <w:jc w:val="both"/>
        <w:rPr>
          <w:rFonts w:ascii="Times New Roman" w:hAnsi="Times New Roman" w:cs="Times New Roman"/>
          <w:noProof/>
          <w:color w:val="000000" w:themeColor="text1"/>
          <w:sz w:val="24"/>
          <w:szCs w:val="24"/>
          <w:lang w:val="en-IE" w:eastAsia="en-IE"/>
        </w:rPr>
      </w:pPr>
    </w:p>
    <w:p w14:paraId="4D21F872" w14:textId="364ADEDF" w:rsidR="00DA1886" w:rsidRDefault="00FB12BB"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Klimatförändringarna påverkar människors hälsa. </w:t>
      </w:r>
      <w:bookmarkStart w:id="52" w:name="_Hlk160816429"/>
      <w:r>
        <w:rPr>
          <w:rFonts w:ascii="Times New Roman" w:hAnsi="Times New Roman"/>
          <w:noProof/>
          <w:color w:val="000000" w:themeColor="text1"/>
          <w:sz w:val="24"/>
        </w:rPr>
        <w:t>Mellan 60 000 och 70 000 förtida dödsfall tillskrevs värmeböljan 2022 enbart i Europa.</w:t>
      </w:r>
      <w:bookmarkEnd w:id="52"/>
      <w:r>
        <w:rPr>
          <w:rFonts w:ascii="Times New Roman" w:hAnsi="Times New Roman"/>
          <w:noProof/>
          <w:color w:val="000000" w:themeColor="text1"/>
          <w:sz w:val="24"/>
        </w:rPr>
        <w:t xml:space="preserve"> Prognoserna visar på en kraftig nettoökning av den temperaturrelaterade dödligheten redan i mitten av århundradet</w:t>
      </w:r>
      <w:r w:rsidR="00C879A9" w:rsidRPr="00100668">
        <w:rPr>
          <w:rStyle w:val="FootnoteReference"/>
          <w:rFonts w:ascii="Times New Roman" w:hAnsi="Times New Roman" w:cs="Times New Roman"/>
          <w:noProof/>
          <w:color w:val="000000" w:themeColor="text1"/>
          <w:sz w:val="24"/>
          <w:szCs w:val="24"/>
          <w:lang w:val="en-IE" w:eastAsia="en-IE"/>
        </w:rPr>
        <w:footnoteReference w:id="41"/>
      </w:r>
      <w:r>
        <w:rPr>
          <w:rFonts w:ascii="Times New Roman" w:hAnsi="Times New Roman"/>
          <w:noProof/>
          <w:color w:val="000000" w:themeColor="text1"/>
          <w:sz w:val="24"/>
        </w:rPr>
        <w:t>. Genom kontinuerlig uppvärmning och extrema väderhändelser kan klimatförändringarna bidra till eller förvärra icke-överförbara sjukdomar, som orsakar omkring två tredjedelar av alla dödsfall i Europa. EU:s initiativ för icke-smittsamma sjukdomar ”Healtier together”</w:t>
      </w:r>
      <w:r w:rsidR="0016213D">
        <w:rPr>
          <w:rStyle w:val="FootnoteReference"/>
          <w:rFonts w:ascii="Times New Roman" w:hAnsi="Times New Roman" w:cs="Times New Roman"/>
          <w:noProof/>
          <w:color w:val="000000" w:themeColor="text1"/>
          <w:sz w:val="24"/>
          <w:szCs w:val="24"/>
          <w:lang w:val="en-IE" w:eastAsia="en-IE"/>
        </w:rPr>
        <w:footnoteReference w:id="42"/>
      </w:r>
      <w:r>
        <w:rPr>
          <w:rFonts w:ascii="Times New Roman" w:hAnsi="Times New Roman"/>
          <w:noProof/>
          <w:color w:val="000000" w:themeColor="text1"/>
          <w:sz w:val="24"/>
        </w:rPr>
        <w:t xml:space="preserve"> hjälper medlemsstaterna att vidta lämpliga förebyggande åtgärder. </w:t>
      </w:r>
    </w:p>
    <w:p w14:paraId="785A1026" w14:textId="7A80C290" w:rsidR="00DE54C7" w:rsidRDefault="00660C68"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Arbetsproduktiviteten kommer att sjunka och arbetstid riskerar att gå förlorad om inte verksamma anpassningsåtgärder vidtas. Individuell och regional sårbarhet och vilken åtgärd som är lämpligast beror på faktorer som beredskapsnivå, urbaniseringsgrad, åldersstruktur eller samtidig exponering för luftföroreningar. Såsom konstateras i meddelandet om en övergripande strategi för psykisk hälsa</w:t>
      </w:r>
      <w:r w:rsidR="00CE4000">
        <w:rPr>
          <w:rStyle w:val="FootnoteReference"/>
          <w:rFonts w:ascii="Times New Roman" w:hAnsi="Times New Roman" w:cs="Times New Roman"/>
          <w:noProof/>
          <w:color w:val="000000" w:themeColor="text1"/>
          <w:sz w:val="24"/>
          <w:szCs w:val="24"/>
          <w:lang w:val="en-IE" w:eastAsia="en-IE"/>
        </w:rPr>
        <w:footnoteReference w:id="43"/>
      </w:r>
      <w:r>
        <w:rPr>
          <w:rFonts w:ascii="Times New Roman" w:hAnsi="Times New Roman"/>
          <w:noProof/>
          <w:color w:val="000000" w:themeColor="text1"/>
          <w:sz w:val="24"/>
        </w:rPr>
        <w:t xml:space="preserve"> påverkar klimatkrisen i hög grad den psykiska hälsan. </w:t>
      </w:r>
    </w:p>
    <w:p w14:paraId="27BDB047" w14:textId="1698A0B5" w:rsidR="00660C68" w:rsidRDefault="007F71D3"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Förekomsten av klimatkänsliga infektionssjukdomar kommer att öka, där sjukdomar som West Nile-viruset, denguefeber och chikungunya blir endemiska i delar av Europa och livsmedelsburna och vattenburna patogener sprider sig lättare. I de flesta fall finns det dock få effektiva medicinska motåtgärder för att hantera dessa sjukdomar, eller så har de ännu inte utvecklats. Extrema vädermönster kan också leda till spridning av resistenta bakterier och ökad genöverföring, vilket leder till fler infektioner med resistenta bakterier. </w:t>
      </w:r>
    </w:p>
    <w:p w14:paraId="3C940946" w14:textId="38B506F3" w:rsidR="00F77E66" w:rsidRPr="00915255" w:rsidRDefault="008579C7"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Dessa och andra risker kommer att sätta ytterligare press på de redan ansträngda hälso- och sjukvårdssystemen, hälso- och sjukvårdspersonalen och hälsobudgetarna. De primära lösningarna finns i strategier som kan minska sårbarheter och begränsa människors utsatthet. Hälso- och sjukvårdspersonal och byggnader som är direkt utsatta för klimatrisker bör förvaltas på lämpligt sätt. För att ytterligare stärka sina åtgärder och genomföra de mål och åtaganden som anges i Budapest- och COP28-deklarationerna</w:t>
      </w:r>
      <w:r w:rsidR="002E16D5" w:rsidRPr="00915255">
        <w:rPr>
          <w:rStyle w:val="FootnoteReference"/>
          <w:rFonts w:ascii="Times New Roman" w:hAnsi="Times New Roman" w:cs="Times New Roman"/>
          <w:bCs/>
          <w:noProof/>
          <w:color w:val="000000" w:themeColor="text1"/>
          <w:sz w:val="24"/>
          <w:szCs w:val="24"/>
          <w:lang w:eastAsia="en-IE"/>
        </w:rPr>
        <w:footnoteReference w:id="44"/>
      </w:r>
      <w:r>
        <w:rPr>
          <w:rFonts w:ascii="Times New Roman" w:hAnsi="Times New Roman"/>
          <w:noProof/>
          <w:color w:val="000000" w:themeColor="text1"/>
          <w:sz w:val="24"/>
        </w:rPr>
        <w:t xml:space="preserve"> om klimat och hälsa </w:t>
      </w:r>
      <w:r>
        <w:rPr>
          <w:rFonts w:ascii="Times New Roman" w:hAnsi="Times New Roman"/>
          <w:noProof/>
          <w:color w:val="000000" w:themeColor="text1"/>
          <w:sz w:val="24"/>
          <w:u w:val="single"/>
        </w:rPr>
        <w:t>kommer kommissionen att göra följande:</w:t>
      </w:r>
    </w:p>
    <w:p w14:paraId="30CEA357" w14:textId="0803FAA5" w:rsidR="004E167D" w:rsidRPr="009248B3" w:rsidRDefault="280FBBC2"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Intensifiera åtgärderna för att se till att arbetstagare som utsätts för klimatrisker skyddas på lämpligt sätt.</w:t>
      </w:r>
      <w:r>
        <w:rPr>
          <w:rFonts w:ascii="Times New Roman" w:hAnsi="Times New Roman"/>
          <w:noProof/>
          <w:color w:val="000000" w:themeColor="text1"/>
          <w:sz w:val="24"/>
        </w:rPr>
        <w:t xml:space="preserve"> </w:t>
      </w:r>
      <w:r>
        <w:rPr>
          <w:rFonts w:ascii="Times New Roman" w:hAnsi="Times New Roman"/>
          <w:noProof/>
          <w:sz w:val="24"/>
        </w:rPr>
        <w:t>I samband med översynen av arbetsmiljölagstiftningen, som skyddar arbetstagare från alla yrkesrisker, inklusive de risker som hör ihop med förhöjda omgivningstemperaturer och värmestress, kommer kommissionen att överväga behovet av fler åtgärder för att skydda arbetstagare mot klimatrisker, även med utgångspunkt i befintliga riktlinjer och verktyg</w:t>
      </w:r>
      <w:r w:rsidR="006E78CB" w:rsidRPr="00915255">
        <w:rPr>
          <w:rStyle w:val="FootnoteReference"/>
          <w:rFonts w:ascii="Times New Roman" w:hAnsi="Times New Roman" w:cs="Times New Roman"/>
          <w:noProof/>
          <w:color w:val="000000" w:themeColor="text1"/>
          <w:sz w:val="24"/>
          <w:szCs w:val="24"/>
          <w:lang w:val="en-IE" w:eastAsia="en-IE"/>
        </w:rPr>
        <w:footnoteReference w:id="45"/>
      </w:r>
      <w:r>
        <w:rPr>
          <w:rFonts w:ascii="Times New Roman" w:hAnsi="Times New Roman"/>
          <w:noProof/>
          <w:sz w:val="24"/>
        </w:rPr>
        <w:t>.</w:t>
      </w:r>
      <w:r>
        <w:rPr>
          <w:rFonts w:ascii="Times New Roman" w:hAnsi="Times New Roman"/>
          <w:noProof/>
          <w:color w:val="000000" w:themeColor="text1"/>
          <w:sz w:val="24"/>
        </w:rPr>
        <w:t xml:space="preserve"> Kommissionen har inrättat en ny dialog med berörda parter</w:t>
      </w:r>
      <w:r w:rsidR="005848F9">
        <w:rPr>
          <w:rStyle w:val="FootnoteReference"/>
          <w:rFonts w:ascii="Times New Roman" w:hAnsi="Times New Roman" w:cs="Times New Roman"/>
          <w:noProof/>
          <w:color w:val="000000" w:themeColor="text1"/>
          <w:sz w:val="24"/>
          <w:szCs w:val="24"/>
          <w:lang w:val="en-IE" w:eastAsia="en-IE"/>
        </w:rPr>
        <w:footnoteReference w:id="46"/>
      </w:r>
      <w:r>
        <w:rPr>
          <w:rFonts w:ascii="Times New Roman" w:hAnsi="Times New Roman"/>
          <w:noProof/>
          <w:color w:val="000000" w:themeColor="text1"/>
          <w:sz w:val="24"/>
        </w:rPr>
        <w:t>. Europeiska arbetsmiljöbyrån (EU-Osha) stärker framsynen om kopplingen mellan klimat och arbetsmiljö</w:t>
      </w:r>
      <w:r w:rsidR="007A6FC7" w:rsidRPr="007A6FC7">
        <w:rPr>
          <w:rFonts w:ascii="Times New Roman" w:hAnsi="Times New Roman" w:cs="Times New Roman"/>
          <w:noProof/>
          <w:color w:val="000000" w:themeColor="text1"/>
          <w:sz w:val="24"/>
          <w:szCs w:val="24"/>
          <w:vertAlign w:val="superscript"/>
          <w:lang w:eastAsia="en-IE"/>
        </w:rPr>
        <w:footnoteReference w:id="47"/>
      </w:r>
      <w:r>
        <w:rPr>
          <w:rFonts w:ascii="Times New Roman" w:hAnsi="Times New Roman"/>
          <w:noProof/>
          <w:color w:val="000000" w:themeColor="text1"/>
          <w:sz w:val="24"/>
        </w:rPr>
        <w:t xml:space="preserve"> och kommer att inleda ett projekt 2025 för att förbättra klimatresiliensen på arbetsplatserna.</w:t>
      </w:r>
    </w:p>
    <w:p w14:paraId="4496ABC6" w14:textId="667CF84F" w:rsidR="0060302A" w:rsidRPr="00915255" w:rsidRDefault="00DC3522"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Stärka Europeiska observatoriet för klimat och hälsa</w:t>
      </w:r>
      <w:r>
        <w:rPr>
          <w:rFonts w:ascii="Times New Roman" w:hAnsi="Times New Roman"/>
          <w:noProof/>
          <w:color w:val="000000" w:themeColor="text1"/>
          <w:sz w:val="24"/>
        </w:rPr>
        <w:t>, som bidrar till att förbereda lokala och nationella hälso- och sjukvårdssystem på klimatförändringarna, bygga upp ytterligare kapacitet, stärka mekanismerna för övervakning och tidig varning, utbilda hälso- och sjukvårdspersonal samt främja evidensbaserade anpassningslösningar och hälso- och sjukvårdsinsatser.</w:t>
      </w:r>
    </w:p>
    <w:p w14:paraId="51FEC4ED" w14:textId="1A5BB866" w:rsidR="00EF5B4A" w:rsidRDefault="00EF5B4A" w:rsidP="00A632E5">
      <w:pPr>
        <w:spacing w:after="120"/>
        <w:jc w:val="both"/>
        <w:rPr>
          <w:rFonts w:ascii="Times New Roman" w:hAnsi="Times New Roman" w:cs="Times New Roman"/>
          <w:noProof/>
          <w:color w:val="000000"/>
          <w:sz w:val="24"/>
          <w:szCs w:val="24"/>
        </w:rPr>
      </w:pPr>
      <w:r>
        <w:rPr>
          <w:rFonts w:ascii="Times New Roman" w:hAnsi="Times New Roman"/>
          <w:noProof/>
          <w:color w:val="000000"/>
          <w:sz w:val="24"/>
          <w:u w:val="single"/>
        </w:rPr>
        <w:t>Stärka övervaknings- och insatsmekanismerna för klimatrelaterade hälsohot</w:t>
      </w:r>
      <w:r>
        <w:rPr>
          <w:rFonts w:ascii="Times New Roman" w:hAnsi="Times New Roman"/>
          <w:noProof/>
          <w:color w:val="000000"/>
          <w:sz w:val="24"/>
        </w:rPr>
        <w:t xml:space="preserve"> genom att genomföra förordningen om allvarliga gränsöverskridande hot mot människors hälsa, genom att koppla samman systemet för tidig varning och reaktion med andra varningssystem (t.ex. för klimat- och vädervarningar) för att underlätta en samordnad hantering av hälsorisker. EU:s nya arbetsgrupp för hälsa kommer att stödja insatser på EU-nivå i samband med allvarliga hälsohot, däribland klimatrelaterade händelser.</w:t>
      </w:r>
    </w:p>
    <w:p w14:paraId="0D5AA4A9" w14:textId="13D85CD7" w:rsidR="00FA23AA" w:rsidRPr="001A3A0E" w:rsidRDefault="00F23550"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Stärka den gränsöverskridande mobiliseringen av medicinsk personal och patientöverföring,</w:t>
      </w:r>
      <w:r>
        <w:rPr>
          <w:rFonts w:ascii="Times New Roman" w:hAnsi="Times New Roman"/>
          <w:noProof/>
          <w:color w:val="000000" w:themeColor="text1"/>
          <w:sz w:val="24"/>
        </w:rPr>
        <w:t xml:space="preserve"> bland annat genom att utveckla en ram för att stödja medlemsstater med överbelastad hälso- och sjukvård. </w:t>
      </w:r>
    </w:p>
    <w:p w14:paraId="5CD4C242" w14:textId="5F333800" w:rsidR="00A632E5" w:rsidRPr="00B2476E" w:rsidRDefault="00934538"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Säker tillgång till och utveckling av kritiska medicinska motåtgärder</w:t>
      </w:r>
      <w:r>
        <w:rPr>
          <w:rFonts w:ascii="Times New Roman" w:hAnsi="Times New Roman"/>
          <w:noProof/>
          <w:color w:val="000000" w:themeColor="text1"/>
          <w:sz w:val="24"/>
        </w:rPr>
        <w:t>. Stigande temperaturer och mer vanligt förekommande extrema väderhändelser kan störa tillverkningen eller begränsa tillgången till råvaror. Klimatrelaterade förändringar i sjukdomsmönster kan också leda till oväntad ökning av efterfrågan på vissa läkemedel, eller skapa efterfrågan på helt nya produkter, överbelasta befintliga försörjningskedjor eller kräva investeringar i nya försörjningskedjor. För att minska sårbarheterna kommer kommissionen att bedöma de relevanta riskerna och vidareutveckla strategiska lager för viktiga motåtgärder. Inom ramen för Horisont Europa och programmet EU för hälsa har kommissionen stöttat utvecklingen av nya vaccin och behandlingar mot försummade tropiska och framväxande smittsamma sjukdomar. Detta har till exempel möjliggjort de senaste framstegen när det gäller ett vaccin mot chikungunyaviruset.</w:t>
      </w:r>
    </w:p>
    <w:p w14:paraId="686FCC0B" w14:textId="77777777" w:rsidR="00FE74B1" w:rsidRPr="00B2476E" w:rsidRDefault="00FE74B1" w:rsidP="00A632E5">
      <w:pPr>
        <w:spacing w:after="120"/>
        <w:jc w:val="both"/>
        <w:rPr>
          <w:rFonts w:ascii="Times New Roman" w:hAnsi="Times New Roman" w:cs="Times New Roman"/>
          <w:noProof/>
          <w:color w:val="000000" w:themeColor="text1"/>
          <w:sz w:val="24"/>
          <w:szCs w:val="24"/>
          <w:lang w:eastAsia="en-IE"/>
        </w:rPr>
      </w:pPr>
    </w:p>
    <w:p w14:paraId="73172863" w14:textId="761F2B3B"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4" w:name="_Toc159792210"/>
      <w:r>
        <w:rPr>
          <w:rFonts w:ascii="Times New Roman" w:hAnsi="Times New Roman"/>
          <w:b/>
          <w:noProof/>
          <w:color w:val="000000" w:themeColor="text1"/>
          <w:sz w:val="24"/>
        </w:rPr>
        <w:t>Livsmedel</w:t>
      </w:r>
      <w:bookmarkEnd w:id="54"/>
    </w:p>
    <w:p w14:paraId="4324F463" w14:textId="77777777" w:rsidR="00ED251E" w:rsidRDefault="00ED251E" w:rsidP="00A63CA1">
      <w:pPr>
        <w:spacing w:line="240" w:lineRule="auto"/>
        <w:jc w:val="both"/>
        <w:rPr>
          <w:rFonts w:ascii="Times New Roman" w:hAnsi="Times New Roman" w:cs="Times New Roman"/>
          <w:bCs/>
          <w:noProof/>
          <w:sz w:val="24"/>
          <w:szCs w:val="24"/>
          <w:lang w:val="en-IE" w:eastAsia="en-IE"/>
        </w:rPr>
      </w:pPr>
    </w:p>
    <w:p w14:paraId="3138714A" w14:textId="630A19A3" w:rsidR="00625A71" w:rsidRDefault="00D02150" w:rsidP="00A632E5">
      <w:pPr>
        <w:spacing w:after="120"/>
        <w:jc w:val="both"/>
        <w:rPr>
          <w:rFonts w:ascii="Times New Roman" w:hAnsi="Times New Roman" w:cs="Times New Roman"/>
          <w:bCs/>
          <w:noProof/>
          <w:sz w:val="24"/>
          <w:szCs w:val="24"/>
        </w:rPr>
      </w:pPr>
      <w:r>
        <w:rPr>
          <w:rFonts w:ascii="Times New Roman" w:hAnsi="Times New Roman"/>
          <w:noProof/>
          <w:sz w:val="24"/>
        </w:rPr>
        <w:t xml:space="preserve">Livsmedelsförsörjningen i EU utsätts i allt högre grad för klimatrisker, både när det gäller jordbruksproduktion, särskilt i Sydeuropa, fiske och vattenbruk, liksom livsmedelsbearbetning och internationella försörjningskedjor. Klimatförändringarna påverkar livsmedelstrygghetens fyra pelare på kort, medellång och lång sikt: tillgänglighet, åtkomst, användning och stabilitet. Den samverkar med många andra drivkrafter för livsmedelstrygghet på flera olika sätt, t.ex. vattenstress, överskott av näringsämnen, markhälsa, kost och hälsa. Livsmedelsproduktionen löper särskild risk att drabbas av översvämningar, värmeböljor, torka, ökad press från skadedjur och sjukdomar samt förlust av biologisk mångfald, markförstöring och förändrad fiskvandring. </w:t>
      </w:r>
    </w:p>
    <w:p w14:paraId="43C5B7A5" w14:textId="6E6E5F4C" w:rsidR="00B0505E" w:rsidRPr="00915255" w:rsidRDefault="00F81F91"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 xml:space="preserve">För jordbrukare kommer värmen att försvåra utomhusarbetet. Förändrade odlingszoner kommer att sätta press på urvalet av grödor och öka andelen grödor som misslyckas, samtidigt som priserna på insatsvaror och de globala marknadernas instabila karaktär kommer att begränsa slutresultatet. För fiskare kan ytterligare belastning från klimatförändringar, eutrofiering och försurning av havet leda till att fiskbeståndens produktivitet minskar, vilket leder till mycket mindre fångster utöver att vissa bestånd har överfiskats. </w:t>
      </w:r>
      <w:bookmarkStart w:id="55" w:name="_Hlk160442132"/>
      <w:r>
        <w:rPr>
          <w:rFonts w:ascii="Times New Roman" w:hAnsi="Times New Roman"/>
          <w:noProof/>
          <w:color w:val="000000" w:themeColor="text1"/>
          <w:sz w:val="24"/>
        </w:rPr>
        <w:t>Med försörjningsmöjligheter och hållbarheten i EU:s livsmedelsproduktion i riskzonen kommer skapandet av alternativa anpassningsåtgärder på jordbruksföretags- eller fiskenivå inte att vara tillräckliga, utan dessa måste kompletteras med lämpliga stödåtgärder</w:t>
      </w:r>
      <w:bookmarkEnd w:id="55"/>
      <w:r>
        <w:rPr>
          <w:rFonts w:ascii="Times New Roman" w:hAnsi="Times New Roman"/>
          <w:noProof/>
          <w:color w:val="000000" w:themeColor="text1"/>
          <w:sz w:val="24"/>
        </w:rPr>
        <w:t xml:space="preserve"> för att möjliggöra en omställning till ett resilient jordbruk och fiske. </w:t>
      </w:r>
      <w:r>
        <w:rPr>
          <w:rFonts w:ascii="Times New Roman" w:hAnsi="Times New Roman"/>
          <w:noProof/>
          <w:sz w:val="24"/>
        </w:rPr>
        <w:t xml:space="preserve">Sådana stödåtgärder bör också säkerställa att konsumenterna har tillgång till hälsosamma och hållbara livsmedel till överkomliga priser, och bör garantera en hållbar inkomst till jordbrukare. </w:t>
      </w:r>
    </w:p>
    <w:p w14:paraId="55B47773" w14:textId="5024BAD2" w:rsidR="003641C6" w:rsidRPr="00915255" w:rsidRDefault="006C1C31"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sz w:val="24"/>
        </w:rPr>
        <w:t>Även om EU:s livsmedelsimport ännu inte är särskilt hotad kan samtidiga misslyckade skördar i flera av världens livsmedelsproducerande regioner eller inom det storskaliga fisket driva upp livsmedelspriserna i EU (eftersom EU-producenter säljer till globala priser) och därmed påverka konsumenternas köpkraft och äventyra livsmedelstryggheten och en överkomlig hälsosam kost för de fattigaste hushållen i EU.</w:t>
      </w:r>
      <w:r>
        <w:rPr>
          <w:rFonts w:ascii="Times New Roman" w:hAnsi="Times New Roman"/>
          <w:noProof/>
          <w:color w:val="000000" w:themeColor="text1"/>
          <w:sz w:val="24"/>
        </w:rPr>
        <w:t xml:space="preserve"> Även om detta ännu inte sker på systemnivå löper livsmedelssäkerheten redan en högre risk till följd av patogener som gynnas av värme och andra patogener. </w:t>
      </w:r>
    </w:p>
    <w:p w14:paraId="23EF1797" w14:textId="7FD8A25D" w:rsidR="00567CC4" w:rsidRDefault="00567CC4" w:rsidP="00A632E5">
      <w:pPr>
        <w:spacing w:after="120"/>
        <w:jc w:val="both"/>
        <w:rPr>
          <w:rFonts w:ascii="Times New Roman" w:hAnsi="Times New Roman" w:cs="Times New Roman"/>
          <w:bCs/>
          <w:noProof/>
          <w:sz w:val="24"/>
          <w:szCs w:val="24"/>
        </w:rPr>
      </w:pPr>
      <w:r>
        <w:rPr>
          <w:rFonts w:ascii="Times New Roman" w:hAnsi="Times New Roman"/>
          <w:noProof/>
          <w:sz w:val="24"/>
        </w:rPr>
        <w:t>Tekniska framsteg, förbättrad jordbruksförvaltning och en kontinuerlig anpassning av jordbruksmetoderna har bidragit till klimatanpassning på kort sikt. EU-strategin för klimatanpassning och den gemensamma jordbrukspolitiken har möjliggjort anpassningsåtgärder, men det finns begränsade belägg för strukturell beredskap inför klimatrelaterade katastrofer. Dessutom kan en bättre användning av genetisk mångfald och icke-skadliga växtgenetiska resurser för anpassning till och resiliens mot klimatförändringar hjälpa jordbrukare och markförvaltare att hantera klimatriskerna. Förslaget till förordning om växter som framställts med vissa nya genomiska metoder och därav framställda livsmedel och foder</w:t>
      </w:r>
      <w:r w:rsidR="00C04ACD">
        <w:rPr>
          <w:rStyle w:val="FootnoteReference"/>
          <w:rFonts w:ascii="Times New Roman" w:hAnsi="Times New Roman" w:cs="Times New Roman"/>
          <w:bCs/>
          <w:noProof/>
          <w:sz w:val="24"/>
          <w:szCs w:val="24"/>
          <w:lang w:val="en-IE" w:eastAsia="en-IE"/>
        </w:rPr>
        <w:footnoteReference w:id="48"/>
      </w:r>
      <w:r>
        <w:rPr>
          <w:rFonts w:ascii="Times New Roman" w:hAnsi="Times New Roman"/>
          <w:noProof/>
          <w:sz w:val="24"/>
        </w:rPr>
        <w:t xml:space="preserve"> kan stödja sådana lösningar.</w:t>
      </w:r>
    </w:p>
    <w:p w14:paraId="09DB08DE" w14:textId="5E10C9DB" w:rsidR="00BB3E81" w:rsidRPr="00915255" w:rsidRDefault="004840A1"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Framtidssäkringen av EU:s livsmedelsproduktion</w:t>
      </w:r>
      <w:r>
        <w:rPr>
          <w:rFonts w:ascii="Times New Roman" w:hAnsi="Times New Roman"/>
          <w:noProof/>
          <w:color w:val="000000" w:themeColor="text1"/>
          <w:sz w:val="24"/>
        </w:rPr>
        <w:t xml:space="preserve"> kommer att vara en prioriterad fråga för kommissionen. Kommissionen kommer att fortsätta att samarbeta med medlemsstaterna för att dra nytta av den fulla potentialen i den </w:t>
      </w:r>
      <w:r>
        <w:rPr>
          <w:rFonts w:ascii="Times New Roman" w:hAnsi="Times New Roman"/>
          <w:noProof/>
          <w:color w:val="000000" w:themeColor="text1"/>
          <w:sz w:val="24"/>
          <w:u w:val="single"/>
        </w:rPr>
        <w:t>gemensamma jordbrukspolitikens strategiska planer</w:t>
      </w:r>
      <w:r>
        <w:rPr>
          <w:rFonts w:ascii="Times New Roman" w:hAnsi="Times New Roman"/>
          <w:noProof/>
          <w:color w:val="000000" w:themeColor="text1"/>
          <w:sz w:val="24"/>
        </w:rPr>
        <w:t xml:space="preserve"> för att förbättra klimatresiliensen och säkerställa en mer utbredd användning av riskhanteringsverktyg. Eftersom markförstöringen utgör ett stort hot mot vår livsmedelsproduktion kommer kommissionen i samarbete med medlemsstaterna att stärka </w:t>
      </w:r>
      <w:r>
        <w:rPr>
          <w:rFonts w:ascii="Times New Roman" w:hAnsi="Times New Roman"/>
          <w:noProof/>
          <w:color w:val="000000" w:themeColor="text1"/>
          <w:sz w:val="24"/>
          <w:u w:val="single"/>
        </w:rPr>
        <w:t>övervakningen av markhälsan</w:t>
      </w:r>
      <w:r>
        <w:rPr>
          <w:rFonts w:ascii="Times New Roman" w:hAnsi="Times New Roman"/>
          <w:noProof/>
          <w:color w:val="000000" w:themeColor="text1"/>
          <w:sz w:val="24"/>
        </w:rPr>
        <w:t xml:space="preserve">. Jordbrukarnas bidrag till skyddet av ekosystemtjänsterna bör värderas högre. </w:t>
      </w:r>
      <w:r>
        <w:rPr>
          <w:rFonts w:ascii="Times New Roman" w:hAnsi="Times New Roman"/>
          <w:noProof/>
          <w:sz w:val="24"/>
        </w:rPr>
        <w:t xml:space="preserve">Kommissionen kommer också att genomföra en </w:t>
      </w:r>
      <w:r>
        <w:rPr>
          <w:rFonts w:ascii="Times New Roman" w:hAnsi="Times New Roman"/>
          <w:noProof/>
          <w:sz w:val="24"/>
          <w:u w:val="single"/>
        </w:rPr>
        <w:t>studie om anpassning inom jordbruket</w:t>
      </w:r>
      <w:r>
        <w:rPr>
          <w:rFonts w:ascii="Times New Roman" w:hAnsi="Times New Roman"/>
          <w:noProof/>
          <w:sz w:val="24"/>
        </w:rPr>
        <w:t>, som ska slutföras i slutet av 2025.</w:t>
      </w:r>
    </w:p>
    <w:p w14:paraId="73E0C565" w14:textId="0FB6E462" w:rsidR="00203897" w:rsidRPr="00B2476E" w:rsidRDefault="001E4A3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Uppvärmningen och försurningen av havet, inklusive det ökade antalet värmeböljor till havs och allt fler områden med låga syrenivåer, förändrar redan artsammansättningen och påverkar fiskbestånden som rör sig mot djupare vatten och mot polerna. Detta kommer att skapa obalanser mellan de fastställda kvoterna och faktiska fiskemöjligheterna. </w:t>
      </w:r>
      <w:r>
        <w:rPr>
          <w:rFonts w:ascii="Times New Roman" w:hAnsi="Times New Roman"/>
          <w:noProof/>
          <w:color w:val="000000" w:themeColor="text1"/>
          <w:sz w:val="24"/>
          <w:u w:val="single"/>
        </w:rPr>
        <w:t>Den gemensamma fiskeripolitiken bör integrera klimatförändringarnas konsekvenser.</w:t>
      </w:r>
      <w:r>
        <w:rPr>
          <w:rFonts w:ascii="Times New Roman" w:hAnsi="Times New Roman"/>
          <w:noProof/>
          <w:color w:val="000000" w:themeColor="text1"/>
          <w:sz w:val="24"/>
        </w:rPr>
        <w:t xml:space="preserve"> I fiskbeståndsprognoserna måste hänsyn tas till klimatförändringarnas eventuella framtida konsekvenser och fiskeförvaltningsmetoderna bör kunna stå emot mot framtida ekologiska förändringar. Uppdateringarna av Europeiska havs-, fiskeri- och vattenbruksfonden bör fullt ut integrera klimatrisker i sitt stöd till hållbara fiske- och vattenbruksmetoder som bygger upp resiliens. </w:t>
      </w:r>
    </w:p>
    <w:p w14:paraId="77B59E5C" w14:textId="77777777" w:rsidR="00A632E5" w:rsidRPr="00B2476E" w:rsidRDefault="00A632E5" w:rsidP="00A632E5">
      <w:pPr>
        <w:spacing w:after="120" w:line="22" w:lineRule="atLeast"/>
        <w:jc w:val="both"/>
        <w:rPr>
          <w:rFonts w:ascii="Times New Roman" w:hAnsi="Times New Roman" w:cs="Times New Roman"/>
          <w:noProof/>
          <w:color w:val="000000" w:themeColor="text1"/>
          <w:sz w:val="24"/>
          <w:szCs w:val="24"/>
        </w:rPr>
      </w:pPr>
    </w:p>
    <w:p w14:paraId="788882B3" w14:textId="6E199F54" w:rsidR="00F94DC6" w:rsidRPr="00420C4C" w:rsidRDefault="00F94DC6" w:rsidP="00B11E0C">
      <w:pPr>
        <w:pStyle w:val="Heading3"/>
        <w:numPr>
          <w:ilvl w:val="1"/>
          <w:numId w:val="1"/>
        </w:numPr>
        <w:spacing w:line="259" w:lineRule="auto"/>
        <w:ind w:left="1565" w:hanging="431"/>
        <w:rPr>
          <w:rFonts w:ascii="Times New Roman" w:eastAsia="Times New Roman" w:hAnsi="Times New Roman" w:cs="Times New Roman"/>
          <w:b/>
          <w:bCs/>
          <w:noProof/>
          <w:color w:val="000000" w:themeColor="text1"/>
          <w:sz w:val="24"/>
          <w:szCs w:val="24"/>
        </w:rPr>
      </w:pPr>
      <w:bookmarkStart w:id="56" w:name="_Toc157586314"/>
      <w:bookmarkStart w:id="57" w:name="_Toc157587675"/>
      <w:bookmarkStart w:id="58" w:name="_Toc157587791"/>
      <w:bookmarkStart w:id="59" w:name="_Toc159792211"/>
      <w:bookmarkEnd w:id="56"/>
      <w:bookmarkEnd w:id="57"/>
      <w:bookmarkEnd w:id="58"/>
      <w:r>
        <w:rPr>
          <w:rFonts w:ascii="Times New Roman" w:hAnsi="Times New Roman"/>
          <w:b/>
          <w:noProof/>
          <w:color w:val="000000" w:themeColor="text1"/>
          <w:sz w:val="24"/>
        </w:rPr>
        <w:t>Infrastruktur och bebyggd miljö</w:t>
      </w:r>
      <w:bookmarkEnd w:id="59"/>
      <w:r>
        <w:rPr>
          <w:rFonts w:ascii="Times New Roman" w:hAnsi="Times New Roman"/>
          <w:b/>
          <w:noProof/>
          <w:color w:val="000000" w:themeColor="text1"/>
          <w:sz w:val="24"/>
        </w:rPr>
        <w:t xml:space="preserve"> </w:t>
      </w:r>
    </w:p>
    <w:p w14:paraId="1C395910" w14:textId="77777777" w:rsidR="00ED251E" w:rsidRPr="00420C4C" w:rsidRDefault="00ED251E" w:rsidP="00FE40B8">
      <w:pPr>
        <w:spacing w:line="240" w:lineRule="auto"/>
        <w:jc w:val="both"/>
        <w:rPr>
          <w:rFonts w:ascii="Times New Roman" w:hAnsi="Times New Roman" w:cs="Times New Roman"/>
          <w:b/>
          <w:bCs/>
          <w:noProof/>
          <w:color w:val="000000" w:themeColor="text1"/>
          <w:sz w:val="24"/>
          <w:szCs w:val="24"/>
          <w:lang w:val="en-IE" w:eastAsia="en-IE"/>
        </w:rPr>
      </w:pPr>
    </w:p>
    <w:p w14:paraId="3C96E1D3" w14:textId="76644C0E" w:rsidR="00610647" w:rsidRDefault="002A7034"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Infrastrukturtillgångar löper betydande risk att drabbas av översvämningar, skogsbränder, höga temperaturer och andra extrema händelser, vilket kan leda till omfattande skador. Om samhällena förlorar tillgång till energi, transport och kommunikation kan de lätt slitas isär. I nuläget finns det inga tillförlitliga bedömningar av hur pass väl EU:s infrastruktur kommer att fungera under de föränderliga klimatförhållandena. Kritisk infrastruktur och byggnadsbestånd åldras snabbt. Med tanke på bristen på kunskap och vad som uppfattas som oöverkomliga kostnader har medlemsstaterna svårt att planera och inleda storskaliga insatser för infrastrukturanpassning, även om skadorna från en enda katastrof kan omfattas av flera av de tillgängliga EU</w:t>
      </w:r>
      <w:r>
        <w:rPr>
          <w:rFonts w:ascii="Times New Roman" w:hAnsi="Times New Roman"/>
          <w:noProof/>
          <w:color w:val="000000" w:themeColor="text1"/>
          <w:sz w:val="24"/>
        </w:rPr>
        <w:noBreakHyphen/>
        <w:t>infrastrukturfonderna.</w:t>
      </w:r>
    </w:p>
    <w:p w14:paraId="462DD9E2" w14:textId="225B4505" w:rsidR="00B0505E" w:rsidRPr="00915255" w:rsidRDefault="002E08D6"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 xml:space="preserve">EU:s mål att öka renoveringstakten och minska ekonomins koldioxidutsläpp utgör möjligheter att förbättra klimatresiliensen. Utformningen av den bebyggda miljön avgör vilken resiliens byggnaderna själva, och de som använder dem, har. Samfördelarna med klimatsäkring av bostäder i form av överkomliga priser, en hälsosammare levnadsmiljö och förbättrad energieffektivitet bör maximeras. Det behövs fler sektorsspecifika lösningar, utöver en ordentlig övergripande tillsyn över systemrisker med koppling till infrastruktur och dess belägenhet genom fysisk planering. </w:t>
      </w:r>
    </w:p>
    <w:p w14:paraId="168B4D7D" w14:textId="2F2E7B73" w:rsidR="001C34D5" w:rsidRDefault="006C33BE" w:rsidP="00A632E5">
      <w:pPr>
        <w:pStyle w:val="Text1"/>
        <w:spacing w:after="120" w:line="259" w:lineRule="auto"/>
        <w:ind w:left="0"/>
        <w:rPr>
          <w:rFonts w:eastAsiaTheme="minorEastAsia"/>
          <w:noProof/>
          <w:color w:val="000000" w:themeColor="text1"/>
        </w:rPr>
      </w:pPr>
      <w:r>
        <w:rPr>
          <w:noProof/>
          <w:color w:val="000000" w:themeColor="text1"/>
          <w:u w:val="single"/>
        </w:rPr>
        <w:t>Infrastrukturstandarderna måste stärkas</w:t>
      </w:r>
      <w:r>
        <w:rPr>
          <w:noProof/>
          <w:color w:val="000000" w:themeColor="text1"/>
        </w:rPr>
        <w:t xml:space="preserve">. Kommissionen kommer att be de europeiska standardiseringsorganisationerna att integrera klimatanpassning och klimatresiliens i de europeiska standarderna för utformning av infrastruktur med en livscykel på mer än 30 år, t.ex. kraftverk eller järnvägar. Dessutom kommer kommissionen att be de europeiska standardiseringsorganisationerna att utveckla nya standarder för klimattjänster. </w:t>
      </w:r>
    </w:p>
    <w:p w14:paraId="1E299923" w14:textId="188D20CD" w:rsidR="002E08D6" w:rsidRPr="0044238F" w:rsidRDefault="008C1507" w:rsidP="00A632E5">
      <w:pPr>
        <w:pStyle w:val="Text1"/>
        <w:spacing w:after="120" w:line="259" w:lineRule="auto"/>
        <w:ind w:left="0"/>
        <w:rPr>
          <w:noProof/>
          <w:color w:val="000000" w:themeColor="text1"/>
          <w:u w:val="single"/>
        </w:rPr>
      </w:pPr>
      <w:r>
        <w:rPr>
          <w:noProof/>
          <w:color w:val="000000" w:themeColor="text1"/>
        </w:rPr>
        <w:t>Den planerade uppdatering av standarderna (Eurokoderna</w:t>
      </w:r>
      <w:r w:rsidR="005D61D6" w:rsidRPr="00C72C70">
        <w:rPr>
          <w:rStyle w:val="FootnoteReference"/>
          <w:noProof/>
          <w:color w:val="000000" w:themeColor="text1"/>
        </w:rPr>
        <w:footnoteReference w:id="49"/>
      </w:r>
      <w:r>
        <w:rPr>
          <w:noProof/>
          <w:color w:val="000000" w:themeColor="text1"/>
        </w:rPr>
        <w:t>) för byggnader som anger minimikraven för strukturell utformning i EU från och med 2026 kommer att göra det obligatoriskt att beakta framtida klimatriskers påverkan på byggnadsstrukturer. Kommissionen håller på att genomföra pilotstudier och kommer att ta fram riktlinjer för medlemsstaterna om användningen av fritt tillgängliga uppsättningar av klimatdata för att definiera den förväntade klimatbelastningen på deras territorium.</w:t>
      </w:r>
    </w:p>
    <w:p w14:paraId="2704B49F" w14:textId="3E7C843D" w:rsidR="00755280" w:rsidRPr="00212438" w:rsidRDefault="006805D3" w:rsidP="0044238F">
      <w:pPr>
        <w:pStyle w:val="Text1"/>
        <w:spacing w:after="120" w:line="259" w:lineRule="auto"/>
        <w:ind w:left="0"/>
        <w:rPr>
          <w:noProof/>
          <w:color w:val="000000" w:themeColor="text1"/>
        </w:rPr>
      </w:pPr>
      <w:r>
        <w:rPr>
          <w:noProof/>
          <w:color w:val="000000" w:themeColor="text1"/>
        </w:rPr>
        <w:t xml:space="preserve">Den nya europeiska Bauhausfestivalen i april 2024 utgör ett viktigt tillfälle att föra en dialog med olika delar av byggindustrin för att främja en bättre integrering av klimatanpassning och klimatresiliens inom den sektorn. </w:t>
      </w:r>
    </w:p>
    <w:p w14:paraId="24F619D5" w14:textId="703471F5" w:rsidR="00B2668D" w:rsidRPr="00B2668D" w:rsidRDefault="00B2668D" w:rsidP="0044238F">
      <w:pPr>
        <w:pStyle w:val="Text1"/>
        <w:spacing w:after="120" w:line="259" w:lineRule="auto"/>
        <w:ind w:left="0"/>
        <w:rPr>
          <w:noProof/>
          <w:color w:val="000000" w:themeColor="text1"/>
          <w:szCs w:val="24"/>
        </w:rPr>
      </w:pPr>
      <w:r>
        <w:rPr>
          <w:noProof/>
          <w:color w:val="000000" w:themeColor="text1"/>
        </w:rPr>
        <w:t xml:space="preserve">All </w:t>
      </w:r>
      <w:r>
        <w:rPr>
          <w:noProof/>
          <w:color w:val="000000" w:themeColor="text1"/>
          <w:u w:val="single"/>
        </w:rPr>
        <w:t>transportinfrastruktur</w:t>
      </w:r>
      <w:r>
        <w:rPr>
          <w:noProof/>
          <w:color w:val="000000" w:themeColor="text1"/>
        </w:rPr>
        <w:t xml:space="preserve"> hotas av klimatförändringarna. Det finns dock en brist på kunskap i EU när det gäller den europeiska transportinfrastrukturens resiliens mot klimatförändringarnas konsekvenser sett till riskexponering, anpassningsbehov och lösningar samt investeringsbehoven för att hantera dem. Kommissionen kommer att stödja klimatriskbedömningar och klimatsäkring genom sina reviderade riktlinjer för utvecklingen av det transeuropeiska transportnätet (TEN-T). Den har inlett en studie</w:t>
      </w:r>
      <w:r w:rsidRPr="00B2668D">
        <w:rPr>
          <w:noProof/>
          <w:color w:val="000000" w:themeColor="text1"/>
          <w:szCs w:val="24"/>
          <w:vertAlign w:val="superscript"/>
        </w:rPr>
        <w:footnoteReference w:id="50"/>
      </w:r>
      <w:r>
        <w:rPr>
          <w:noProof/>
          <w:color w:val="000000" w:themeColor="text1"/>
        </w:rPr>
        <w:t xml:space="preserve"> om TEN-T:s klimatresiliens som ett första steg för att ta itu med den identifierade kunskapsbristen och fastställa anpassningsbehov och investeringsprioriteringar.</w:t>
      </w:r>
    </w:p>
    <w:p w14:paraId="5502F2B0" w14:textId="1B4AD37C" w:rsidR="00203897" w:rsidRDefault="00661145"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Klimatriskplaneringen måste stärkas inom energisektorn.</w:t>
      </w:r>
      <w:r>
        <w:rPr>
          <w:rFonts w:ascii="Times New Roman" w:hAnsi="Times New Roman"/>
          <w:noProof/>
          <w:color w:val="000000" w:themeColor="text1"/>
          <w:sz w:val="24"/>
        </w:rPr>
        <w:t xml:space="preserve"> Klimatförändringarna leder till större risker för energitryggheten, särskilt större risker för elavbrott som beror på värme, skogsbränder, torka och översvämningar som påverkar efterfrågetoppar och påverkar produktionen, lagringen, transporten och distributionen. Det är få medlemsstater som i sina utkast till uppdaterade nationella energi- och klimatplaner har inkluderat detaljerade planer för att koppla anpassningen till klimatförändringarna till resiliensen hos deras energisystem. Kommissionen kommer att titta på hur klimatrisker kan integreras på ett bättre sätt, till exempel i samband med den pågående översynen av förordningen om styrningen av energiunionen och klimatåtgärder. Med avstamp i de nationella beredskapsplanerna inom elsektorn kommer kommissionen också att överväga att inleda en dialog om klimatrisker med utvalda intressenter inom energisektorn och uppmanar berörda aktörer (t.ex. elsektorn) att lägga fram förslag.</w:t>
      </w:r>
    </w:p>
    <w:p w14:paraId="2B70AB80" w14:textId="77777777" w:rsidR="00A632E5" w:rsidRPr="00A632E5" w:rsidRDefault="00A632E5" w:rsidP="00A632E5">
      <w:pPr>
        <w:spacing w:after="120"/>
        <w:jc w:val="both"/>
        <w:rPr>
          <w:rFonts w:ascii="Times New Roman" w:hAnsi="Times New Roman" w:cs="Times New Roman"/>
          <w:noProof/>
          <w:color w:val="000000" w:themeColor="text1"/>
          <w:sz w:val="24"/>
          <w:szCs w:val="24"/>
        </w:rPr>
      </w:pPr>
    </w:p>
    <w:p w14:paraId="7105C662" w14:textId="2DAAFFE2"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60" w:name="_Toc157587793"/>
      <w:bookmarkStart w:id="61" w:name="_Toc159792212"/>
      <w:bookmarkEnd w:id="60"/>
      <w:r>
        <w:rPr>
          <w:rFonts w:ascii="Times New Roman" w:hAnsi="Times New Roman"/>
          <w:b/>
          <w:noProof/>
          <w:color w:val="000000" w:themeColor="text1"/>
          <w:sz w:val="24"/>
        </w:rPr>
        <w:t>Ekonomi</w:t>
      </w:r>
      <w:bookmarkEnd w:id="61"/>
    </w:p>
    <w:p w14:paraId="11C6503F" w14:textId="77777777" w:rsidR="00ED251E" w:rsidRDefault="00ED251E" w:rsidP="00FE40B8">
      <w:pPr>
        <w:spacing w:line="240" w:lineRule="auto"/>
        <w:jc w:val="both"/>
        <w:rPr>
          <w:rFonts w:ascii="Times New Roman" w:hAnsi="Times New Roman" w:cs="Times New Roman"/>
          <w:bCs/>
          <w:noProof/>
          <w:color w:val="000000" w:themeColor="text1"/>
          <w:sz w:val="24"/>
          <w:szCs w:val="24"/>
          <w:lang w:val="en-IE" w:eastAsia="en-IE"/>
        </w:rPr>
      </w:pPr>
    </w:p>
    <w:p w14:paraId="4483C1FD" w14:textId="7BC3D33C" w:rsidR="003538B8" w:rsidRDefault="00363162"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Varje klimatförändringsrelaterad katastrof kommer att innebära ytterligare påfrestningar på ekonomin, på grund av förlorad produktivitet och dödsfall, direkta skador, minskad tillväxtpotential och press på offentliga budgetar. När investeringen omdirigeras för ombyggnad efter skador minskar det belopp som finns tillgängligt för produktiva investeringar. Det kan vara svårt att förstå hur det finansiella systemets olika delar samverkar, och klimatriskerna kan driva befintliga sårbarheter över kritiska tröskelvärden för dessa system. De statliga budgetarna är den främsta finansieringskällan för dessa risker, men dessa är redan ansträngda på grund av höga skuldsättningsnivåer. De implicita åtagandena i samband med klimatrisker skulle kunna äventyra medlemsstaternas finanspolitiska stabilitet och hållbarhet. Riskerna för EU:s ekonomi kan vara betydande</w:t>
      </w:r>
      <w:r w:rsidR="003057A0" w:rsidRPr="00915255">
        <w:rPr>
          <w:rStyle w:val="FootnoteReference"/>
          <w:rFonts w:ascii="Times New Roman" w:hAnsi="Times New Roman" w:cs="Times New Roman"/>
          <w:bCs/>
          <w:noProof/>
          <w:color w:val="000000" w:themeColor="text1"/>
          <w:sz w:val="24"/>
          <w:szCs w:val="24"/>
          <w:lang w:val="en-IE" w:eastAsia="en-IE"/>
        </w:rPr>
        <w:footnoteReference w:id="51"/>
      </w:r>
      <w:r>
        <w:rPr>
          <w:rFonts w:ascii="Times New Roman" w:hAnsi="Times New Roman"/>
          <w:noProof/>
          <w:color w:val="000000" w:themeColor="text1"/>
          <w:sz w:val="24"/>
        </w:rPr>
        <w:t xml:space="preserve">. </w:t>
      </w:r>
    </w:p>
    <w:p w14:paraId="723168AD" w14:textId="65AE64DE" w:rsidR="00463C23" w:rsidRPr="00915255" w:rsidRDefault="006A2290"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EU:s ekonomiska säkerhet är också utsatt för klimatrisker i försörjningskedjorna, särskilt när det gäller läkemedel och halvledare. Med tanke på de befintliga data- och kunskapsluckorna är det inte uteslutet att klimatrelaterade risker för närvarande är underprissatta. Detta kan skapa osammanhängande reaktioner på marknaden, till exempel när extrema händelser inträffar eller sannolikt kommer att inträffa. Försäkringsskyddet för klimatexponerade tillgångar och egendomar är lågt i EU, med betydande skillnader mellan medlemsstater och klimatrelaterade faror, och kommer sannolikt att sjunka ännu mer i takt med de stigande premierna när klimatrelaterade händelser inträffar allt oftare och blir allt allvarligare. Det pågår ett omfattande arbete kring de olika hållbarhetsriskerna, särskilt inom EU:s strategi för hållbar finansiering och klimatresiliensdialogen, som syftar till att överbrygga klimatskyddsklyftan på försäkringsområdet</w:t>
      </w:r>
      <w:r w:rsidR="00FD6FC6">
        <w:rPr>
          <w:rStyle w:val="FootnoteReference"/>
          <w:rFonts w:ascii="Times New Roman" w:hAnsi="Times New Roman" w:cs="Times New Roman"/>
          <w:bCs/>
          <w:noProof/>
          <w:color w:val="000000" w:themeColor="text1"/>
          <w:sz w:val="24"/>
          <w:szCs w:val="24"/>
          <w:lang w:val="en-IE" w:eastAsia="en-IE"/>
        </w:rPr>
        <w:footnoteReference w:id="52"/>
      </w:r>
      <w:r>
        <w:rPr>
          <w:rFonts w:ascii="Times New Roman" w:hAnsi="Times New Roman"/>
          <w:noProof/>
          <w:color w:val="000000" w:themeColor="text1"/>
          <w:sz w:val="24"/>
        </w:rPr>
        <w:t xml:space="preserve">. </w:t>
      </w:r>
    </w:p>
    <w:p w14:paraId="70E72712" w14:textId="6E60782E" w:rsidR="003C5D9C" w:rsidRDefault="00453D4B"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EU har redan vidtagit betydande åtgärder för att mobilisera globala klimatåtgärder och handeln. Handelsministrarnas klimatkoalition</w:t>
      </w:r>
      <w:r w:rsidRPr="00915255">
        <w:rPr>
          <w:rFonts w:ascii="Times New Roman" w:hAnsi="Times New Roman" w:cs="Times New Roman"/>
          <w:noProof/>
          <w:color w:val="000000" w:themeColor="text1"/>
          <w:sz w:val="24"/>
          <w:szCs w:val="24"/>
          <w:vertAlign w:val="superscript"/>
          <w:lang w:val="en-IE" w:eastAsia="en-IE"/>
        </w:rPr>
        <w:footnoteReference w:id="53"/>
      </w:r>
      <w:r>
        <w:rPr>
          <w:rFonts w:ascii="Times New Roman" w:hAnsi="Times New Roman"/>
          <w:noProof/>
          <w:color w:val="000000" w:themeColor="text1"/>
          <w:sz w:val="24"/>
        </w:rPr>
        <w:t>, som inrättats och leds av unionen tillsammans med Ecuador, Kenya och Nya Zeeland, återspeglar ett växande erkännande bland regeringarna av de gemensamma intressena vid skärningspunkten mellan klimat och handel för att öka det bidrag som handeln och handelspolitiken kan ge till klimatåtgärderna. EU:s bilaterala handelsavtal kan fungera som viktiga plattformar för att samarbeta med handelspartner om klimat- och miljöåtgärder</w:t>
      </w:r>
      <w:r w:rsidR="00FE4D6B" w:rsidRPr="00C25C60">
        <w:rPr>
          <w:rFonts w:ascii="Times New Roman" w:hAnsi="Times New Roman" w:cs="Times New Roman"/>
          <w:noProof/>
          <w:color w:val="000000" w:themeColor="text1"/>
          <w:sz w:val="24"/>
          <w:szCs w:val="24"/>
          <w:vertAlign w:val="superscript"/>
          <w:lang w:eastAsia="en-IE"/>
        </w:rPr>
        <w:footnoteReference w:id="54"/>
      </w:r>
      <w:r>
        <w:rPr>
          <w:rFonts w:ascii="Times New Roman" w:hAnsi="Times New Roman"/>
          <w:noProof/>
          <w:color w:val="000000" w:themeColor="text1"/>
          <w:sz w:val="24"/>
        </w:rPr>
        <w:t xml:space="preserve">. </w:t>
      </w:r>
    </w:p>
    <w:p w14:paraId="46F23799" w14:textId="258ED593" w:rsidR="007D4C6B" w:rsidRPr="00915255" w:rsidRDefault="001C7367"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Klimatrelaterade risker utgör en stor fara för </w:t>
      </w:r>
      <w:r>
        <w:rPr>
          <w:rFonts w:ascii="Times New Roman" w:hAnsi="Times New Roman"/>
          <w:noProof/>
          <w:color w:val="000000" w:themeColor="text1"/>
          <w:sz w:val="24"/>
          <w:u w:val="single"/>
        </w:rPr>
        <w:t>resiliensen hos företagen i EU, särskilt små och medelstora företag</w:t>
      </w:r>
      <w:r>
        <w:rPr>
          <w:rFonts w:ascii="Times New Roman" w:hAnsi="Times New Roman"/>
          <w:noProof/>
          <w:color w:val="000000" w:themeColor="text1"/>
          <w:sz w:val="24"/>
        </w:rPr>
        <w:t>. Klimatrisker påverkar små och medelstora företags tillgång till finansiering, deras kapitalkostnader och deras förmåga att betala tillbaka skulder</w:t>
      </w:r>
      <w:r w:rsidR="00F74E4A">
        <w:rPr>
          <w:rStyle w:val="FootnoteReference"/>
          <w:rFonts w:ascii="Times New Roman" w:hAnsi="Times New Roman" w:cs="Times New Roman"/>
          <w:noProof/>
          <w:color w:val="000000" w:themeColor="text1"/>
          <w:sz w:val="24"/>
          <w:szCs w:val="24"/>
          <w:lang w:val="en-IE" w:eastAsia="en-IE"/>
        </w:rPr>
        <w:footnoteReference w:id="55"/>
      </w:r>
      <w:r>
        <w:rPr>
          <w:rFonts w:ascii="Times New Roman" w:hAnsi="Times New Roman"/>
          <w:noProof/>
          <w:color w:val="000000" w:themeColor="text1"/>
          <w:sz w:val="24"/>
        </w:rPr>
        <w:t>. Nästan hälften av EU:s företag är oroade över naturrelaterade risker, men ändå har eller planerar mindre än en tredjedel av företagen att investera för att minska effekterna av sådana risker</w:t>
      </w:r>
      <w:r w:rsidR="001A31EC" w:rsidRPr="00915255">
        <w:rPr>
          <w:rFonts w:ascii="Times New Roman" w:hAnsi="Times New Roman" w:cs="Times New Roman"/>
          <w:noProof/>
          <w:color w:val="000000" w:themeColor="text1"/>
          <w:sz w:val="24"/>
          <w:szCs w:val="24"/>
          <w:vertAlign w:val="superscript"/>
          <w:lang w:val="en-IE" w:eastAsia="en-IE"/>
        </w:rPr>
        <w:footnoteReference w:id="56"/>
      </w:r>
      <w:r>
        <w:rPr>
          <w:rFonts w:ascii="Times New Roman" w:hAnsi="Times New Roman"/>
          <w:noProof/>
          <w:color w:val="000000" w:themeColor="text1"/>
          <w:sz w:val="24"/>
        </w:rPr>
        <w:t>.</w:t>
      </w:r>
      <w:r>
        <w:rPr>
          <w:rFonts w:ascii="Times New Roman" w:hAnsi="Times New Roman"/>
          <w:noProof/>
          <w:color w:val="000000" w:themeColor="text1"/>
          <w:sz w:val="24"/>
          <w:vertAlign w:val="superscript"/>
        </w:rPr>
        <w:t xml:space="preserve"> </w:t>
      </w:r>
      <w:r>
        <w:rPr>
          <w:rFonts w:ascii="Times New Roman" w:hAnsi="Times New Roman"/>
          <w:noProof/>
          <w:color w:val="000000" w:themeColor="text1"/>
          <w:sz w:val="24"/>
        </w:rPr>
        <w:t>Såsom anges i EU:s strategi för små och medelstora företag är det viktigt att stödja små och medelstora företag så att dessa kan förstå och minska miljöriskerna</w:t>
      </w:r>
      <w:r w:rsidR="00BD486C" w:rsidRPr="001A3A0E">
        <w:rPr>
          <w:rStyle w:val="FootnoteReference"/>
          <w:rFonts w:ascii="Times New Roman" w:hAnsi="Times New Roman" w:cs="Times New Roman"/>
          <w:noProof/>
          <w:color w:val="000000" w:themeColor="text1"/>
          <w:sz w:val="24"/>
          <w:szCs w:val="24"/>
          <w:lang w:val="en-IE" w:eastAsia="en-IE"/>
        </w:rPr>
        <w:footnoteReference w:id="57"/>
      </w:r>
      <w:r>
        <w:rPr>
          <w:rFonts w:ascii="Times New Roman" w:hAnsi="Times New Roman"/>
          <w:noProof/>
          <w:color w:val="000000" w:themeColor="text1"/>
          <w:sz w:val="24"/>
        </w:rPr>
        <w:t>. Som ett led i genomförandet av den europeiska strategin för ekonomisk säkerhet</w:t>
      </w:r>
      <w:r w:rsidR="00D95E11" w:rsidRPr="001A3A0E">
        <w:rPr>
          <w:rStyle w:val="FootnoteReference"/>
          <w:rFonts w:ascii="Times New Roman" w:hAnsi="Times New Roman" w:cs="Times New Roman"/>
          <w:noProof/>
          <w:color w:val="000000" w:themeColor="text1"/>
          <w:sz w:val="24"/>
          <w:szCs w:val="24"/>
          <w:lang w:val="en-IE" w:eastAsia="en-IE"/>
        </w:rPr>
        <w:footnoteReference w:id="58"/>
      </w:r>
      <w:r>
        <w:rPr>
          <w:rFonts w:ascii="Times New Roman" w:hAnsi="Times New Roman"/>
          <w:noProof/>
          <w:color w:val="000000" w:themeColor="text1"/>
          <w:sz w:val="24"/>
        </w:rPr>
        <w:t xml:space="preserve"> kommer kommissionen också att beakta klimatrisker. Åtgärderna i stödpaketet för små och medelstora företag</w:t>
      </w:r>
      <w:r w:rsidR="0086628C" w:rsidRPr="00D45989">
        <w:rPr>
          <w:rStyle w:val="FootnoteReference"/>
          <w:rFonts w:ascii="Times New Roman" w:hAnsi="Times New Roman"/>
          <w:noProof/>
          <w:color w:val="000000" w:themeColor="text1"/>
          <w:sz w:val="24"/>
          <w:lang w:val="en-IE"/>
        </w:rPr>
        <w:footnoteReference w:id="59"/>
      </w:r>
      <w:r>
        <w:rPr>
          <w:rFonts w:ascii="Times New Roman" w:hAnsi="Times New Roman"/>
          <w:noProof/>
          <w:color w:val="000000" w:themeColor="text1"/>
          <w:sz w:val="24"/>
        </w:rPr>
        <w:t>, som bland annat syftar till att göra det lättare för dessa företag att få tillgång till hållbar finansiering och samtidigt minimera den administrativa bördan, hjälper också EU-företag att behålla sin konkurrensställning och potentiellt vara först och leda marknadsutvecklingen inom segment som bidrar till uppbyggnad av klimatresiliens. Det handlar både om stöd till samhället och om att säkra en betydande andel av den globala marknaden för klimatresiliens, riskhanteringsteknik och informationssystem. För att förbättra systemresiliensen i EU:s försörjningskedjor kommer kommissionen att undersöka möjligheterna att beakta fysiska klimatrisker i samband med övervakningen av sårbarheter i försörjningskedjan.</w:t>
      </w:r>
    </w:p>
    <w:p w14:paraId="77DF6DCE" w14:textId="29FBD71F" w:rsidR="00211506" w:rsidRPr="001A3A0E" w:rsidRDefault="00211506" w:rsidP="00A632E5">
      <w:pPr>
        <w:spacing w:after="120"/>
        <w:jc w:val="both"/>
        <w:rPr>
          <w:rFonts w:ascii="Times New Roman" w:hAnsi="Times New Roman" w:cs="Times New Roman"/>
          <w:noProof/>
          <w:color w:val="000000" w:themeColor="text1"/>
          <w:sz w:val="24"/>
          <w:szCs w:val="24"/>
        </w:rPr>
      </w:pPr>
      <w:bookmarkStart w:id="62" w:name="_Hlk160800506"/>
      <w:r>
        <w:rPr>
          <w:rFonts w:ascii="Times New Roman" w:hAnsi="Times New Roman"/>
          <w:noProof/>
          <w:color w:val="000000" w:themeColor="text1"/>
          <w:sz w:val="24"/>
          <w:u w:val="single"/>
        </w:rPr>
        <w:t>Det finns ett tydligt behov av att stärka den finanspolitiska hållbarheten</w:t>
      </w:r>
      <w:r>
        <w:rPr>
          <w:rFonts w:ascii="Times New Roman" w:hAnsi="Times New Roman"/>
          <w:noProof/>
          <w:color w:val="000000" w:themeColor="text1"/>
          <w:sz w:val="24"/>
        </w:rPr>
        <w:t xml:space="preserve">. </w:t>
      </w:r>
      <w:r>
        <w:rPr>
          <w:rFonts w:ascii="Times New Roman" w:hAnsi="Times New Roman"/>
          <w:noProof/>
          <w:color w:val="000000"/>
          <w:sz w:val="24"/>
        </w:rPr>
        <w:t>Den preliminära överenskommelsen om en ny ram för ekonomisk styrning förväntas stärka de offentliga finansernas hållbarhet och främja tillväxt genom reformer och investeringar, inte minst för gemensamma EU-prioriteringar som klimatomställningen</w:t>
      </w:r>
      <w:r w:rsidRPr="00915255">
        <w:rPr>
          <w:rFonts w:ascii="Times New Roman" w:hAnsi="Times New Roman" w:cs="Times New Roman"/>
          <w:noProof/>
          <w:color w:val="000000" w:themeColor="text1"/>
          <w:sz w:val="24"/>
          <w:szCs w:val="24"/>
          <w:vertAlign w:val="superscript"/>
          <w:lang w:val="en-IE" w:eastAsia="en-IE"/>
        </w:rPr>
        <w:footnoteReference w:id="60"/>
      </w:r>
      <w:r>
        <w:rPr>
          <w:rFonts w:ascii="Times New Roman" w:hAnsi="Times New Roman"/>
          <w:noProof/>
          <w:sz w:val="24"/>
        </w:rPr>
        <w:t>.</w:t>
      </w:r>
      <w:r>
        <w:rPr>
          <w:rFonts w:ascii="Times New Roman" w:hAnsi="Times New Roman"/>
          <w:noProof/>
          <w:color w:val="000000" w:themeColor="text1"/>
          <w:sz w:val="24"/>
        </w:rPr>
        <w:t xml:space="preserve"> Arbete pågår för att utveckla prognoser för klimatpåverkan på skuldhållbarheten. Som en del av den preliminära överenskommelsen omfattar ändringarna av direktivet om nationella budgetramar klimatrelaterade rapporteringskrav i de nationella årliga och fleråriga budgetplanerna. Dessa bestämmelser omfattar historiska data om klimatrelaterade katastrofer och uppskattningar av de finanspolitiska riskerna till följd av klimatförändringarna. För att förbättra och integrera klimatriskbudgeteringen i de nationella budgetprocesserna är kommissionen beredd att stödja medlemsstaterna i deras utbyte av bästa praxis och tillhandahålla tekniskt stöd och utbildning. Uppskattningarna av investeringsbehoven för klimatanpassning håller på att finslipas</w:t>
      </w:r>
      <w:r w:rsidR="006F47E3" w:rsidRPr="006F47E3">
        <w:rPr>
          <w:rFonts w:ascii="Times New Roman" w:hAnsi="Times New Roman" w:cs="Times New Roman"/>
          <w:noProof/>
          <w:color w:val="000000" w:themeColor="text1"/>
          <w:sz w:val="24"/>
          <w:szCs w:val="24"/>
          <w:vertAlign w:val="superscript"/>
          <w:lang w:val="en-IE" w:eastAsia="en-IE"/>
        </w:rPr>
        <w:footnoteReference w:id="61"/>
      </w:r>
      <w:r>
        <w:rPr>
          <w:rFonts w:ascii="Times New Roman" w:hAnsi="Times New Roman"/>
          <w:noProof/>
          <w:color w:val="000000" w:themeColor="text1"/>
          <w:sz w:val="24"/>
        </w:rPr>
        <w:t xml:space="preserve"> och kommissionen kommer också att samarbeta med medlemsstaterna för att fylla dataluckorna, bland annat för att uppskatta nationella investeringsbehov för klimatanpassning. Kommissionen är beredd att stödja medlemsstaternas finansministerier som vill ha utbyten när det gäller deras roll i samordningen, utformningen och genomförandet av anpassningspolitiken. </w:t>
      </w:r>
    </w:p>
    <w:bookmarkEnd w:id="62"/>
    <w:p w14:paraId="77A2ACA8" w14:textId="5E6E8800" w:rsidR="008C27E2" w:rsidRDefault="00867C89"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 xml:space="preserve">Finansmarknadspolitiken måste inta en försiktig hållning gentemot klimatriskerna för att skydda den finansiella stabiliteten. </w:t>
      </w:r>
      <w:r>
        <w:rPr>
          <w:rFonts w:ascii="Times New Roman" w:hAnsi="Times New Roman"/>
          <w:noProof/>
          <w:color w:val="000000" w:themeColor="text1"/>
          <w:sz w:val="24"/>
        </w:rPr>
        <w:t>EU:s strategi för hållbar finansiering syftar till att göra information om klimatrisker och andra miljörisker öppnare, och EU:s finansiella system säkrare.</w:t>
      </w:r>
      <w:bookmarkStart w:id="63" w:name="_Hlk160823229"/>
      <w:r>
        <w:rPr>
          <w:rFonts w:ascii="Times New Roman" w:hAnsi="Times New Roman"/>
          <w:noProof/>
          <w:color w:val="000000" w:themeColor="text1"/>
          <w:sz w:val="24"/>
        </w:rPr>
        <w:t xml:space="preserve"> Kommissionen kommer att fortsätta att se till att alla relevanta risker återspeglas på lämpligt sätt i tillsynsregelverken, t.ex. i de nyligen överenskomna förslagen om Solvens II och kapitalkravsförordningen, som utgör grunden för att integrera klimatrisker i bank och försäkring. Kommissionen kommer att säkerställa ett snabbt genomförande.</w:t>
      </w:r>
    </w:p>
    <w:bookmarkEnd w:id="63"/>
    <w:p w14:paraId="42859B86" w14:textId="657A5CC7" w:rsidR="00FE74B1" w:rsidRPr="00915255" w:rsidRDefault="00FE74B1" w:rsidP="00FE74B1">
      <w:pPr>
        <w:spacing w:after="120"/>
        <w:jc w:val="both"/>
        <w:rPr>
          <w:rFonts w:ascii="Times New Roman" w:hAnsi="Times New Roman" w:cs="Times New Roman"/>
          <w:noProof/>
          <w:color w:val="000000" w:themeColor="text1"/>
          <w:sz w:val="24"/>
          <w:szCs w:val="24"/>
          <w:u w:val="single"/>
          <w:lang w:val="en-IE" w:eastAsia="en-IE"/>
        </w:rPr>
      </w:pPr>
    </w:p>
    <w:p w14:paraId="4E4E36AE" w14:textId="53B0D8EE" w:rsidR="0053389F" w:rsidRPr="00420C4C"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64" w:name="_Toc159792213"/>
      <w:r>
        <w:rPr>
          <w:rFonts w:ascii="Times New Roman" w:hAnsi="Times New Roman"/>
          <w:b/>
          <w:noProof/>
          <w:color w:val="000000" w:themeColor="text1"/>
          <w:sz w:val="24"/>
        </w:rPr>
        <w:t>Nästa steg</w:t>
      </w:r>
      <w:bookmarkEnd w:id="64"/>
      <w:r>
        <w:rPr>
          <w:rFonts w:ascii="Times New Roman" w:hAnsi="Times New Roman"/>
          <w:b/>
          <w:noProof/>
          <w:color w:val="000000" w:themeColor="text1"/>
          <w:sz w:val="24"/>
        </w:rPr>
        <w:t xml:space="preserve"> </w:t>
      </w:r>
    </w:p>
    <w:p w14:paraId="22937A63" w14:textId="77777777" w:rsidR="00420C4C" w:rsidRDefault="00420C4C" w:rsidP="006A5049">
      <w:pPr>
        <w:jc w:val="both"/>
        <w:textAlignment w:val="baseline"/>
        <w:rPr>
          <w:rFonts w:ascii="Times New Roman" w:eastAsia="Times New Roman" w:hAnsi="Times New Roman" w:cs="Times New Roman"/>
          <w:noProof/>
          <w:color w:val="000000" w:themeColor="text1"/>
          <w:sz w:val="24"/>
          <w:szCs w:val="24"/>
          <w:lang w:val="en-IE" w:eastAsia="en-IE"/>
        </w:rPr>
      </w:pPr>
    </w:p>
    <w:p w14:paraId="1F616742" w14:textId="11E1FCE1" w:rsidR="00363162" w:rsidRPr="00915255" w:rsidRDefault="0049025D" w:rsidP="00BB3B6A">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Som en del av genomförandet av EU-strategin för klimatanpassning lyfter detta meddelande fram viktiga åtgärder som EU och dess medlemsstater måste vidta för att hantera de ökande klimatriskerna bättre, särskilt för att genomföra befintlig politik och klargöra riskägandet i förvaltningsprocesser. Det handlar om att ge ett kraftfullt och snabbt svar på den tydliga och brådskande risken för fler klimatkatastrofer. </w:t>
      </w:r>
    </w:p>
    <w:p w14:paraId="43AC9216" w14:textId="63125849" w:rsidR="00F370B9" w:rsidRPr="00915255" w:rsidRDefault="49C48264" w:rsidP="00BB3B6A">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I meddelandet betonas behovet av underlag för beslutsfattandet, som den europeiska klimatriskbedömningen, de senaste temperaturobservationerna, lägesrapporter och information om kostnaderna för klimatskador. Här betonas behovet av att använda all tillgänglig information fullt ut, för att ge underlag till beslut inom alla sektorer. Under de kommande åren bör beslutsfattare på alla förvaltningsnivåer proaktivt ta itu med klimatanpassningen med hjälp av redan befintliga verktyg, tekniker och andra medel. </w:t>
      </w:r>
      <w:r>
        <w:rPr>
          <w:rFonts w:ascii="Times New Roman" w:hAnsi="Times New Roman"/>
          <w:b/>
          <w:noProof/>
          <w:color w:val="000000" w:themeColor="text1"/>
          <w:sz w:val="24"/>
        </w:rPr>
        <w:t>Detta kräver att åtgärder samordnas på alla nivåer och att man tar fram en tydlig riktning framåt mot att förbättra beredskapen och resiliensen.</w:t>
      </w:r>
    </w:p>
    <w:p w14:paraId="15BAA7F0" w14:textId="1734C501" w:rsidR="00831DA5" w:rsidRPr="001A3A0E" w:rsidRDefault="00831DA5" w:rsidP="00831DA5">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sz w:val="24"/>
        </w:rPr>
        <w:t>Detta meddelande är inriktat på åtgärder inom Europeiska unionen, men innehåller också åtgärder som handlar om att utbyta och dela erfarenheter och information med EU:s partnerländer. De sektorer och åtgärder som omfattas av detta dokument är i stort sett i linje med de beslut avseende klimatanpassning som fattades vid partskonferensen för FN:s ramkonvention om klimatförändringar COP28 i Dubai. Kommissionen kommer proaktivt att inkludera relevanta ämnen i bilaterala dialoger, genom gröna allianser och gröna partnerskap samt i relevanta FN-forum och andra multilaterala forum (t.ex. G7, G20, OECD, WEF, WTO).</w:t>
      </w:r>
      <w:r>
        <w:rPr>
          <w:rFonts w:ascii="Times New Roman" w:hAnsi="Times New Roman"/>
          <w:noProof/>
          <w:color w:val="000000" w:themeColor="text1"/>
          <w:sz w:val="24"/>
        </w:rPr>
        <w:t xml:space="preserve"> Kommissionen kommer dessutom att undersöka möjligheten att organisera ett internationellt symposium om hantering av globala klimatrisker 2025, som samlar regeringsföreträdare, finansiärer och expertorganisationer från hela världen. </w:t>
      </w:r>
    </w:p>
    <w:p w14:paraId="0FB24F29" w14:textId="60280C48" w:rsidR="003B472B" w:rsidRPr="00755240" w:rsidRDefault="005D1C82" w:rsidP="00F01461">
      <w:pPr>
        <w:spacing w:after="120"/>
        <w:jc w:val="both"/>
        <w:textAlignment w:val="baseline"/>
        <w:rPr>
          <w:rFonts w:ascii="Times New Roman" w:hAnsi="Times New Roman"/>
          <w:b/>
          <w:noProof/>
          <w:sz w:val="24"/>
        </w:rPr>
      </w:pPr>
      <w:r>
        <w:rPr>
          <w:rFonts w:ascii="Times New Roman" w:hAnsi="Times New Roman"/>
          <w:b/>
          <w:noProof/>
          <w:sz w:val="24"/>
        </w:rPr>
        <w:t>Kommissionen kommer att fortsätta att samarbeta med medlemsstaterna, allmänheten, företag och andra EU-institutioner för att förbättra EU:s och vårt samhälles resiliens och ekonomi.</w:t>
      </w:r>
      <w:r>
        <w:rPr>
          <w:rFonts w:ascii="Times New Roman" w:hAnsi="Times New Roman"/>
          <w:b/>
          <w:noProof/>
          <w:color w:val="000000" w:themeColor="text1"/>
          <w:sz w:val="24"/>
        </w:rPr>
        <w:t xml:space="preserve"> Tillsammans kan vi skydda våra medborgare och vårt välstånd.</w:t>
      </w:r>
    </w:p>
    <w:sectPr w:rsidR="003B472B" w:rsidRPr="00755240" w:rsidSect="00915255">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08E36" w14:textId="77777777" w:rsidR="006848B1" w:rsidRDefault="006848B1" w:rsidP="003F1FF2">
      <w:pPr>
        <w:spacing w:after="0" w:line="240" w:lineRule="auto"/>
      </w:pPr>
      <w:r>
        <w:separator/>
      </w:r>
    </w:p>
  </w:endnote>
  <w:endnote w:type="continuationSeparator" w:id="0">
    <w:p w14:paraId="36C1655D" w14:textId="77777777" w:rsidR="006848B1" w:rsidRDefault="006848B1" w:rsidP="003F1FF2">
      <w:pPr>
        <w:spacing w:after="0" w:line="240" w:lineRule="auto"/>
      </w:pPr>
      <w:r>
        <w:continuationSeparator/>
      </w:r>
    </w:p>
  </w:endnote>
  <w:endnote w:type="continuationNotice" w:id="1">
    <w:p w14:paraId="0EB776F2" w14:textId="77777777" w:rsidR="006848B1" w:rsidRDefault="006848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D3777" w14:textId="5805CD43" w:rsidR="00124AE0" w:rsidRPr="00124AE0" w:rsidRDefault="00124AE0" w:rsidP="00124AE0">
    <w:pPr>
      <w:pStyle w:val="FooterCoverPage"/>
      <w:rPr>
        <w:rFonts w:ascii="Arial" w:hAnsi="Arial" w:cs="Arial"/>
        <w:b/>
        <w:sz w:val="48"/>
      </w:rPr>
    </w:pPr>
    <w:r w:rsidRPr="00124AE0">
      <w:rPr>
        <w:rFonts w:ascii="Arial" w:hAnsi="Arial" w:cs="Arial"/>
        <w:b/>
        <w:sz w:val="48"/>
      </w:rPr>
      <w:t>SV</w:t>
    </w:r>
    <w:r w:rsidRPr="00124AE0">
      <w:rPr>
        <w:rFonts w:ascii="Arial" w:hAnsi="Arial" w:cs="Arial"/>
        <w:b/>
        <w:sz w:val="48"/>
      </w:rPr>
      <w:tab/>
    </w:r>
    <w:r w:rsidRPr="00124AE0">
      <w:rPr>
        <w:rFonts w:ascii="Arial" w:hAnsi="Arial" w:cs="Arial"/>
        <w:b/>
        <w:sz w:val="48"/>
      </w:rPr>
      <w:tab/>
    </w:r>
    <w:r w:rsidRPr="00124AE0">
      <w:tab/>
    </w:r>
    <w:r w:rsidRPr="00124AE0">
      <w:rPr>
        <w:rFonts w:ascii="Arial" w:hAnsi="Arial" w:cs="Arial"/>
        <w:b/>
        <w:sz w:val="48"/>
      </w:rPr>
      <w:t>SV</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CB41A" w14:textId="47715A20" w:rsidR="00124AE0" w:rsidRPr="00124AE0" w:rsidRDefault="00124AE0" w:rsidP="00124AE0">
    <w:pPr>
      <w:pStyle w:val="FooterCoverPage"/>
      <w:rPr>
        <w:rFonts w:ascii="Arial" w:hAnsi="Arial" w:cs="Arial"/>
        <w:b/>
        <w:sz w:val="48"/>
      </w:rPr>
    </w:pPr>
    <w:r w:rsidRPr="00124AE0">
      <w:rPr>
        <w:rFonts w:ascii="Arial" w:hAnsi="Arial" w:cs="Arial"/>
        <w:b/>
        <w:sz w:val="48"/>
      </w:rPr>
      <w:t>SV</w:t>
    </w:r>
    <w:r w:rsidRPr="00124AE0">
      <w:rPr>
        <w:rFonts w:ascii="Arial" w:hAnsi="Arial" w:cs="Arial"/>
        <w:b/>
        <w:sz w:val="48"/>
      </w:rPr>
      <w:tab/>
    </w:r>
    <w:r w:rsidRPr="00124AE0">
      <w:rPr>
        <w:rFonts w:ascii="Arial" w:hAnsi="Arial" w:cs="Arial"/>
        <w:b/>
        <w:sz w:val="48"/>
      </w:rPr>
      <w:tab/>
    </w:r>
    <w:r w:rsidRPr="00124AE0">
      <w:tab/>
    </w:r>
    <w:r w:rsidRPr="00124AE0">
      <w:rPr>
        <w:rFonts w:ascii="Arial" w:hAnsi="Arial" w:cs="Arial"/>
        <w:b/>
        <w:sz w:val="48"/>
      </w:rPr>
      <w:t>SV</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A075" w14:textId="77777777" w:rsidR="00124AE0" w:rsidRPr="00124AE0" w:rsidRDefault="00124AE0" w:rsidP="00124AE0">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01DD3" w14:textId="77777777" w:rsidR="00915255" w:rsidRDefault="009152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407010"/>
      <w:docPartObj>
        <w:docPartGallery w:val="Page Numbers (Bottom of Page)"/>
        <w:docPartUnique/>
      </w:docPartObj>
    </w:sdtPr>
    <w:sdtEndPr>
      <w:rPr>
        <w:noProof/>
      </w:rPr>
    </w:sdtEndPr>
    <w:sdtContent>
      <w:p w14:paraId="65F03D3E" w14:textId="03E617A4" w:rsidR="00915255" w:rsidRDefault="00915255">
        <w:pPr>
          <w:pStyle w:val="Footer"/>
          <w:jc w:val="center"/>
        </w:pPr>
        <w:r>
          <w:fldChar w:fldCharType="begin"/>
        </w:r>
        <w:r>
          <w:instrText xml:space="preserve"> PAGE   \* MERGEFORMAT </w:instrText>
        </w:r>
        <w:r>
          <w:fldChar w:fldCharType="separate"/>
        </w:r>
        <w:r w:rsidR="00124AE0">
          <w:rPr>
            <w:noProof/>
          </w:rPr>
          <w:t>1</w:t>
        </w:r>
        <w:r>
          <w:fldChar w:fldCharType="end"/>
        </w:r>
      </w:p>
    </w:sdtContent>
  </w:sdt>
  <w:p w14:paraId="4C6A6D95" w14:textId="77777777" w:rsidR="00915255" w:rsidRDefault="0091525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DA1DE" w14:textId="77777777" w:rsidR="00915255" w:rsidRDefault="009152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A6FC4" w14:textId="77777777" w:rsidR="006848B1" w:rsidRDefault="006848B1" w:rsidP="003F1FF2">
      <w:pPr>
        <w:spacing w:after="0" w:line="240" w:lineRule="auto"/>
      </w:pPr>
      <w:r>
        <w:separator/>
      </w:r>
    </w:p>
  </w:footnote>
  <w:footnote w:type="continuationSeparator" w:id="0">
    <w:p w14:paraId="34618140" w14:textId="77777777" w:rsidR="006848B1" w:rsidRDefault="006848B1" w:rsidP="003F1FF2">
      <w:pPr>
        <w:spacing w:after="0" w:line="240" w:lineRule="auto"/>
      </w:pPr>
      <w:r>
        <w:continuationSeparator/>
      </w:r>
    </w:p>
  </w:footnote>
  <w:footnote w:type="continuationNotice" w:id="1">
    <w:p w14:paraId="1E958A66" w14:textId="77777777" w:rsidR="006848B1" w:rsidRDefault="006848B1">
      <w:pPr>
        <w:spacing w:after="0" w:line="240" w:lineRule="auto"/>
      </w:pPr>
    </w:p>
  </w:footnote>
  <w:footnote w:id="2">
    <w:p w14:paraId="2FB16C84" w14:textId="17F779A7" w:rsidR="0049438C" w:rsidRPr="00801B76" w:rsidRDefault="0049438C">
      <w:pPr>
        <w:pStyle w:val="FootnoteText"/>
        <w:rPr>
          <w:lang w:val="en-IE"/>
        </w:rPr>
      </w:pPr>
      <w:r>
        <w:rPr>
          <w:rStyle w:val="FootnoteReference"/>
        </w:rPr>
        <w:footnoteRef/>
      </w:r>
      <w:r w:rsidRPr="00801B76">
        <w:rPr>
          <w:lang w:val="en-IE"/>
        </w:rPr>
        <w:t xml:space="preserve"> COM(2024) 63 final, </w:t>
      </w:r>
      <w:hyperlink r:id="rId1" w:history="1">
        <w:r w:rsidRPr="00801B76">
          <w:rPr>
            <w:rStyle w:val="Hyperlink"/>
            <w:lang w:val="en-IE"/>
          </w:rPr>
          <w:t>https://eur-lex.europa.eu/legal-content/SV/TXT/?uri=COM%3A2024%3A63%3AFIN</w:t>
        </w:r>
      </w:hyperlink>
      <w:r w:rsidRPr="00801B76">
        <w:rPr>
          <w:lang w:val="en-IE"/>
        </w:rPr>
        <w:t>.</w:t>
      </w:r>
    </w:p>
  </w:footnote>
  <w:footnote w:id="3">
    <w:p w14:paraId="174C2E86" w14:textId="52D8D331" w:rsidR="00A002CB" w:rsidRPr="00801B76" w:rsidRDefault="00A002CB">
      <w:pPr>
        <w:pStyle w:val="FootnoteText"/>
        <w:rPr>
          <w:lang w:val="en-IE"/>
        </w:rPr>
      </w:pPr>
      <w:r>
        <w:rPr>
          <w:rStyle w:val="FootnoteReference"/>
        </w:rPr>
        <w:footnoteRef/>
      </w:r>
      <w:r w:rsidRPr="00801B76">
        <w:rPr>
          <w:lang w:val="en-IE"/>
        </w:rPr>
        <w:t xml:space="preserve"> </w:t>
      </w:r>
      <w:hyperlink r:id="rId2" w:history="1">
        <w:r w:rsidRPr="00801B76">
          <w:rPr>
            <w:rStyle w:val="Hyperlink"/>
            <w:lang w:val="en-IE"/>
          </w:rPr>
          <w:t>https://climate.copernicus.eu/copernicus-2023-hottest-year-record</w:t>
        </w:r>
      </w:hyperlink>
      <w:r w:rsidRPr="00801B76">
        <w:rPr>
          <w:lang w:val="en-IE"/>
        </w:rPr>
        <w:t xml:space="preserve"> </w:t>
      </w:r>
    </w:p>
  </w:footnote>
  <w:footnote w:id="4">
    <w:p w14:paraId="28C2380D" w14:textId="04D73A8B" w:rsidR="001364A4" w:rsidRPr="008B49EC" w:rsidRDefault="001364A4" w:rsidP="00701176">
      <w:pPr>
        <w:pStyle w:val="FootnoteText"/>
        <w:jc w:val="left"/>
      </w:pPr>
      <w:r>
        <w:rPr>
          <w:rStyle w:val="FootnoteReference"/>
        </w:rPr>
        <w:footnoteRef/>
      </w:r>
      <w:r w:rsidRPr="00801B76">
        <w:rPr>
          <w:rFonts w:asciiTheme="minorHAnsi" w:hAnsiTheme="minorHAnsi"/>
          <w:sz w:val="22"/>
          <w:lang w:val="en-IE"/>
        </w:rPr>
        <w:t xml:space="preserve"> </w:t>
      </w:r>
      <w:r w:rsidRPr="00801B76">
        <w:rPr>
          <w:lang w:val="en-IE"/>
        </w:rPr>
        <w:t xml:space="preserve">EEA (2024), </w:t>
      </w:r>
      <w:r w:rsidRPr="00801B76">
        <w:rPr>
          <w:i/>
          <w:lang w:val="en-IE"/>
        </w:rPr>
        <w:t>European Climate Risk Assessment</w:t>
      </w:r>
      <w:r w:rsidRPr="00801B76">
        <w:rPr>
          <w:lang w:val="en-IE"/>
        </w:rPr>
        <w:t xml:space="preserve">, ISSN 1977-8449. </w:t>
      </w:r>
      <w:hyperlink r:id="rId3" w:history="1">
        <w:r>
          <w:rPr>
            <w:rStyle w:val="Hyperlink"/>
          </w:rPr>
          <w:t>https://www.eea.europa.eu/publications/european-climate-risk-assessment</w:t>
        </w:r>
      </w:hyperlink>
      <w:r>
        <w:t xml:space="preserve">. </w:t>
      </w:r>
    </w:p>
  </w:footnote>
  <w:footnote w:id="5">
    <w:p w14:paraId="0F1F6333" w14:textId="77777777" w:rsidR="00202AD4" w:rsidRPr="003439FE" w:rsidRDefault="00202AD4" w:rsidP="00202AD4">
      <w:pPr>
        <w:pStyle w:val="FootnoteText"/>
      </w:pPr>
      <w:r>
        <w:rPr>
          <w:rStyle w:val="FootnoteReference"/>
        </w:rPr>
        <w:footnoteRef/>
      </w:r>
      <w:r>
        <w:t xml:space="preserve"> </w:t>
      </w:r>
      <w:hyperlink r:id="rId4" w:history="1">
        <w:r>
          <w:rPr>
            <w:rStyle w:val="Hyperlink"/>
          </w:rPr>
          <w:t>https://www.weforum.org/publications/global-risks-report-2024/</w:t>
        </w:r>
      </w:hyperlink>
      <w:r>
        <w:t xml:space="preserve">. </w:t>
      </w:r>
    </w:p>
  </w:footnote>
  <w:footnote w:id="6">
    <w:p w14:paraId="422D5DC4" w14:textId="03B0052D" w:rsidR="00202AD4" w:rsidRPr="003439FE" w:rsidRDefault="00202AD4" w:rsidP="00202AD4">
      <w:pPr>
        <w:pStyle w:val="FootnoteText"/>
      </w:pPr>
      <w:r>
        <w:rPr>
          <w:rStyle w:val="FootnoteReference"/>
        </w:rPr>
        <w:footnoteRef/>
      </w:r>
      <w:r>
        <w:t xml:space="preserve"> </w:t>
      </w:r>
      <w:hyperlink r:id="rId5" w:history="1">
        <w:r>
          <w:rPr>
            <w:rStyle w:val="Hyperlink"/>
          </w:rPr>
          <w:t>https://www.ecb.europa.eu/press/pr/date/2023/html/ecb.pr231218_1~6b3bea9532.en.html</w:t>
        </w:r>
      </w:hyperlink>
      <w:r>
        <w:t xml:space="preserve">. </w:t>
      </w:r>
    </w:p>
  </w:footnote>
  <w:footnote w:id="7">
    <w:p w14:paraId="29D84196" w14:textId="22D8E179" w:rsidR="00082DDA" w:rsidRPr="000B0E9A" w:rsidRDefault="00082DDA">
      <w:pPr>
        <w:pStyle w:val="FootnoteText"/>
      </w:pPr>
      <w:r>
        <w:rPr>
          <w:rStyle w:val="FootnoteReference"/>
        </w:rPr>
        <w:footnoteRef/>
      </w:r>
      <w:r>
        <w:t xml:space="preserve"> P9_TA(2022)0330. </w:t>
      </w:r>
      <w:hyperlink r:id="rId6" w:history="1">
        <w:r>
          <w:rPr>
            <w:rStyle w:val="Hyperlink"/>
          </w:rPr>
          <w:t>https://www.europarl.europa.eu/doceo/document/TA-9-2022-0330_SV.html</w:t>
        </w:r>
      </w:hyperlink>
      <w:r>
        <w:t xml:space="preserve"> </w:t>
      </w:r>
    </w:p>
  </w:footnote>
  <w:footnote w:id="8">
    <w:p w14:paraId="3CE6D5B0" w14:textId="77777777" w:rsidR="00566DC0" w:rsidRPr="006E6115" w:rsidRDefault="00566DC0" w:rsidP="00566DC0">
      <w:pPr>
        <w:pStyle w:val="FootnoteText"/>
        <w:rPr>
          <w:lang w:val="fr-BE"/>
        </w:rPr>
      </w:pPr>
      <w:r>
        <w:rPr>
          <w:rStyle w:val="FootnoteReference"/>
        </w:rPr>
        <w:footnoteRef/>
      </w:r>
      <w:r w:rsidRPr="006E6115">
        <w:rPr>
          <w:lang w:val="fr-BE"/>
        </w:rPr>
        <w:t xml:space="preserve"> EUCO 14/23. </w:t>
      </w:r>
      <w:hyperlink r:id="rId7" w:history="1">
        <w:r w:rsidRPr="006E6115">
          <w:rPr>
            <w:rStyle w:val="Hyperlink"/>
            <w:lang w:val="fr-BE"/>
          </w:rPr>
          <w:t>https://www.consilium.europa.eu/media/67654/20231027-european-council-conclusions-sv.pdf</w:t>
        </w:r>
      </w:hyperlink>
      <w:r w:rsidRPr="006E6115">
        <w:rPr>
          <w:lang w:val="fr-BE"/>
        </w:rPr>
        <w:t xml:space="preserve"> </w:t>
      </w:r>
    </w:p>
  </w:footnote>
  <w:footnote w:id="9">
    <w:p w14:paraId="7776C871" w14:textId="77777777" w:rsidR="00050DE4" w:rsidRPr="00801B76" w:rsidRDefault="00050DE4" w:rsidP="00050DE4">
      <w:pPr>
        <w:pStyle w:val="FootnoteText"/>
        <w:rPr>
          <w:color w:val="0000FF" w:themeColor="hyperlink"/>
          <w:u w:val="single"/>
          <w:lang w:val="en-IE"/>
        </w:rPr>
      </w:pPr>
      <w:r>
        <w:rPr>
          <w:rStyle w:val="FootnoteReference"/>
        </w:rPr>
        <w:footnoteRef/>
      </w:r>
      <w:r w:rsidRPr="00801B76">
        <w:rPr>
          <w:lang w:val="en-IE"/>
        </w:rPr>
        <w:t xml:space="preserve"> SWD(2023) 339 final, </w:t>
      </w:r>
      <w:hyperlink r:id="rId8" w:history="1">
        <w:r w:rsidRPr="00801B76">
          <w:rPr>
            <w:rStyle w:val="Hyperlink"/>
            <w:lang w:val="en-IE"/>
          </w:rPr>
          <w:t>https://eur-lex.europa.eu/legal-content/EN/ALL/?uri=CELEX:52023SC0339</w:t>
        </w:r>
      </w:hyperlink>
      <w:r w:rsidRPr="00801B76">
        <w:rPr>
          <w:lang w:val="en-IE"/>
        </w:rPr>
        <w:t>.</w:t>
      </w:r>
    </w:p>
  </w:footnote>
  <w:footnote w:id="10">
    <w:p w14:paraId="1350A12C" w14:textId="67E89D26" w:rsidR="00050DE4" w:rsidRPr="00801B76" w:rsidRDefault="00050DE4" w:rsidP="00050DE4">
      <w:pPr>
        <w:pStyle w:val="FootnoteText"/>
        <w:rPr>
          <w:lang w:val="en-IE"/>
        </w:rPr>
      </w:pPr>
      <w:r>
        <w:rPr>
          <w:rStyle w:val="FootnoteReference"/>
        </w:rPr>
        <w:footnoteRef/>
      </w:r>
      <w:r w:rsidRPr="00801B76">
        <w:rPr>
          <w:lang w:val="en-IE"/>
        </w:rPr>
        <w:t xml:space="preserve"> SWD(2023) 932 final, </w:t>
      </w:r>
      <w:hyperlink r:id="rId9" w:history="1">
        <w:r w:rsidRPr="00801B76">
          <w:rPr>
            <w:rStyle w:val="Hyperlink"/>
            <w:lang w:val="en-IE"/>
          </w:rPr>
          <w:t>https://climate.ec.europa.eu/system/files/2023-12/SWD_2023_932_1_EN.pdf</w:t>
        </w:r>
      </w:hyperlink>
      <w:r w:rsidRPr="00801B76">
        <w:rPr>
          <w:lang w:val="en-IE"/>
        </w:rPr>
        <w:t xml:space="preserve">. </w:t>
      </w:r>
    </w:p>
  </w:footnote>
  <w:footnote w:id="11">
    <w:p w14:paraId="663AD807" w14:textId="600200B2" w:rsidR="00B809D0" w:rsidRPr="00801B76" w:rsidRDefault="00B809D0" w:rsidP="005A32D6">
      <w:pPr>
        <w:pStyle w:val="FootnoteText"/>
        <w:jc w:val="left"/>
        <w:rPr>
          <w:lang w:val="en-IE"/>
        </w:rPr>
      </w:pPr>
      <w:r>
        <w:rPr>
          <w:rStyle w:val="FootnoteReference"/>
        </w:rPr>
        <w:footnoteRef/>
      </w:r>
      <w:r w:rsidRPr="00801B76">
        <w:rPr>
          <w:lang w:val="en-IE"/>
        </w:rPr>
        <w:t xml:space="preserve"> </w:t>
      </w:r>
      <w:hyperlink r:id="rId10" w:history="1">
        <w:r w:rsidRPr="00801B76">
          <w:rPr>
            <w:rStyle w:val="Hyperlink"/>
            <w:lang w:val="en-IE"/>
          </w:rPr>
          <w:t>https://commission.europa.eu/energy-climate-change-environment/implementation-eu-countries/energy-and-climate-governance-and-reporting/national-energy-and-climate-plans_en?prefLang=sv</w:t>
        </w:r>
      </w:hyperlink>
      <w:r w:rsidRPr="00801B76">
        <w:rPr>
          <w:lang w:val="en-IE"/>
        </w:rPr>
        <w:t xml:space="preserve">.  </w:t>
      </w:r>
    </w:p>
  </w:footnote>
  <w:footnote w:id="12">
    <w:p w14:paraId="5B56BA62" w14:textId="4EDF2B27" w:rsidR="008573D8" w:rsidRPr="00801B76" w:rsidRDefault="008573D8" w:rsidP="008573D8">
      <w:pPr>
        <w:pStyle w:val="FootnoteText"/>
        <w:rPr>
          <w:lang w:val="en-IE"/>
        </w:rPr>
      </w:pPr>
      <w:r>
        <w:rPr>
          <w:rStyle w:val="FootnoteReference"/>
        </w:rPr>
        <w:footnoteRef/>
      </w:r>
      <w:r w:rsidRPr="00801B76">
        <w:rPr>
          <w:lang w:val="en-IE"/>
        </w:rPr>
        <w:t xml:space="preserve"> COM(2024) 130 final, </w:t>
      </w:r>
      <w:hyperlink r:id="rId11" w:history="1">
        <w:r w:rsidRPr="00801B76">
          <w:rPr>
            <w:rStyle w:val="Hyperlink"/>
            <w:lang w:val="en-IE"/>
          </w:rPr>
          <w:t>https://civil-protection-humanitarian-aid.ec.europa.eu/what/civil-protection/european-disaster-risk-management_en?prefLang=sv</w:t>
        </w:r>
      </w:hyperlink>
      <w:r w:rsidRPr="00801B76">
        <w:rPr>
          <w:lang w:val="en-IE"/>
        </w:rPr>
        <w:t xml:space="preserve">. </w:t>
      </w:r>
    </w:p>
  </w:footnote>
  <w:footnote w:id="13">
    <w:p w14:paraId="415FDB94" w14:textId="5612A780" w:rsidR="008E56D1" w:rsidRPr="00801B76" w:rsidRDefault="008E56D1" w:rsidP="008E56D1">
      <w:pPr>
        <w:pStyle w:val="FootnoteText"/>
        <w:rPr>
          <w:lang w:val="en-IE"/>
        </w:rPr>
      </w:pPr>
      <w:r>
        <w:rPr>
          <w:rStyle w:val="FootnoteReference"/>
        </w:rPr>
        <w:footnoteRef/>
      </w:r>
      <w:r w:rsidRPr="00801B76">
        <w:rPr>
          <w:lang w:val="en-IE"/>
        </w:rPr>
        <w:t xml:space="preserve"> JOIN(2023) 19 final, </w:t>
      </w:r>
      <w:hyperlink r:id="rId12" w:history="1">
        <w:r w:rsidRPr="00801B76">
          <w:rPr>
            <w:rStyle w:val="Hyperlink"/>
            <w:lang w:val="en-IE"/>
          </w:rPr>
          <w:t>https://eur-lex.europa.eu/legal-content/SV/TXT/?uri=CELEX%3A52023JC0019</w:t>
        </w:r>
      </w:hyperlink>
      <w:r w:rsidRPr="00801B76">
        <w:rPr>
          <w:lang w:val="en-IE"/>
        </w:rPr>
        <w:t xml:space="preserve">. </w:t>
      </w:r>
    </w:p>
  </w:footnote>
  <w:footnote w:id="14">
    <w:p w14:paraId="4C7AF43B" w14:textId="77777777" w:rsidR="00A70A3C" w:rsidRPr="00801B76" w:rsidRDefault="00A70A3C" w:rsidP="00A70A3C">
      <w:pPr>
        <w:pStyle w:val="FootnoteText"/>
        <w:rPr>
          <w:lang w:val="en-IE"/>
        </w:rPr>
      </w:pPr>
      <w:r>
        <w:rPr>
          <w:rStyle w:val="FootnoteReference"/>
        </w:rPr>
        <w:footnoteRef/>
      </w:r>
      <w:r w:rsidRPr="00801B76">
        <w:rPr>
          <w:lang w:val="en-IE"/>
        </w:rPr>
        <w:t xml:space="preserve"> COM(2021) 82 final. </w:t>
      </w:r>
      <w:hyperlink r:id="rId13" w:history="1">
        <w:r w:rsidRPr="00801B76">
          <w:rPr>
            <w:rStyle w:val="Hyperlink"/>
            <w:lang w:val="en-IE"/>
          </w:rPr>
          <w:t>eur-lex.europa.eu/legal-content/SV/TXT/PDF/?uri=CELEX:52021DC0082&amp;from=SV</w:t>
        </w:r>
      </w:hyperlink>
    </w:p>
  </w:footnote>
  <w:footnote w:id="15">
    <w:p w14:paraId="6D62BDB8" w14:textId="0CAECF1C" w:rsidR="00D7188A" w:rsidRPr="0090450C" w:rsidRDefault="00D7188A" w:rsidP="00D7188A">
      <w:pPr>
        <w:pStyle w:val="FootnoteText"/>
      </w:pPr>
      <w:r>
        <w:rPr>
          <w:rStyle w:val="FootnoteReference"/>
        </w:rPr>
        <w:footnoteRef/>
      </w:r>
      <w:r>
        <w:t xml:space="preserve"> CMA.5-beslutet om arbetsprogrammet från Glasgow/Sharm el-Sheikh gällande det globala anpassningsmålet. </w:t>
      </w:r>
    </w:p>
  </w:footnote>
  <w:footnote w:id="16">
    <w:p w14:paraId="67984363" w14:textId="77777777" w:rsidR="00582114" w:rsidRPr="00801B76" w:rsidRDefault="00582114" w:rsidP="00582114">
      <w:pPr>
        <w:pStyle w:val="FootnoteText"/>
        <w:jc w:val="left"/>
        <w:rPr>
          <w:lang w:val="en-IE"/>
        </w:rPr>
      </w:pPr>
      <w:r>
        <w:rPr>
          <w:rStyle w:val="FootnoteReference"/>
        </w:rPr>
        <w:footnoteRef/>
      </w:r>
      <w:r w:rsidRPr="00801B76">
        <w:rPr>
          <w:lang w:val="en-IE"/>
        </w:rPr>
        <w:t xml:space="preserve"> SWD(2024) 63 final, </w:t>
      </w:r>
      <w:hyperlink r:id="rId14" w:history="1">
        <w:r w:rsidRPr="00801B76">
          <w:rPr>
            <w:rStyle w:val="Hyperlink"/>
            <w:lang w:val="en-IE"/>
          </w:rPr>
          <w:t>https://climate.ec.europa.eu/document/download/768bc81f-5f48-48e3-b4d4-e02ba09faca1_en</w:t>
        </w:r>
      </w:hyperlink>
      <w:r w:rsidRPr="00801B76">
        <w:rPr>
          <w:lang w:val="en-IE"/>
        </w:rPr>
        <w:t xml:space="preserve">. </w:t>
      </w:r>
    </w:p>
  </w:footnote>
  <w:footnote w:id="17">
    <w:p w14:paraId="575E217A" w14:textId="70CAA85E" w:rsidR="00582114" w:rsidRPr="00801B76" w:rsidRDefault="00582114" w:rsidP="00582114">
      <w:pPr>
        <w:pStyle w:val="FootnoteText"/>
        <w:rPr>
          <w:lang w:val="en-IE"/>
        </w:rPr>
      </w:pPr>
      <w:r>
        <w:rPr>
          <w:rStyle w:val="FootnoteReference"/>
        </w:rPr>
        <w:footnoteRef/>
      </w:r>
      <w:r w:rsidRPr="00801B76">
        <w:rPr>
          <w:lang w:val="en-IE"/>
        </w:rPr>
        <w:t xml:space="preserve"> </w:t>
      </w:r>
      <w:r w:rsidRPr="00801B76">
        <w:rPr>
          <w:rStyle w:val="cf01"/>
          <w:rFonts w:ascii="Times New Roman" w:hAnsi="Times New Roman"/>
          <w:color w:val="0000FF"/>
          <w:sz w:val="20"/>
          <w:u w:val="single"/>
          <w:lang w:val="en-IE"/>
        </w:rPr>
        <w:t>https://www.nature.com/articles/s41467-020-15665-3</w:t>
      </w:r>
    </w:p>
  </w:footnote>
  <w:footnote w:id="18">
    <w:p w14:paraId="78404492" w14:textId="2F93C928" w:rsidR="000B141D" w:rsidRPr="000B141D" w:rsidRDefault="000B141D">
      <w:pPr>
        <w:pStyle w:val="FootnoteText"/>
      </w:pPr>
      <w:r>
        <w:rPr>
          <w:rStyle w:val="FootnoteReference"/>
        </w:rPr>
        <w:footnoteRef/>
      </w:r>
      <w:r>
        <w:t xml:space="preserve"> När det gäller unionens politik, såsom anges i artikel 191 i fördraget om Europeiska unionens funktionssätt.</w:t>
      </w:r>
    </w:p>
  </w:footnote>
  <w:footnote w:id="19">
    <w:p w14:paraId="4B61E419" w14:textId="62875F64" w:rsidR="00FF67E3" w:rsidRPr="00C51152" w:rsidRDefault="00FF67E3" w:rsidP="00FF67E3">
      <w:pPr>
        <w:pStyle w:val="FootnoteText"/>
      </w:pPr>
      <w:r>
        <w:rPr>
          <w:rStyle w:val="FootnoteReference"/>
        </w:rPr>
        <w:footnoteRef/>
      </w:r>
      <w:r>
        <w:t xml:space="preserve"> 2021, Internationella banken för återuppbyggnad och utveckling/Världsbanken, </w:t>
      </w:r>
      <w:r>
        <w:rPr>
          <w:i/>
          <w:iCs/>
        </w:rPr>
        <w:t>Economics for Disaster Prevention and Preparedness:</w:t>
      </w:r>
      <w:r>
        <w:t xml:space="preserve"> </w:t>
      </w:r>
      <w:r>
        <w:rPr>
          <w:i/>
        </w:rPr>
        <w:t>Investment in Disaster Risk management in Europe Makes Economic Sense</w:t>
      </w:r>
      <w:r>
        <w:t>.</w:t>
      </w:r>
    </w:p>
  </w:footnote>
  <w:footnote w:id="20">
    <w:p w14:paraId="05787910" w14:textId="1A5BACBA" w:rsidR="00FF67E3" w:rsidRPr="00DC1F2B" w:rsidRDefault="00FF67E3" w:rsidP="00FF67E3">
      <w:pPr>
        <w:pStyle w:val="FootnoteText"/>
      </w:pPr>
      <w:r>
        <w:rPr>
          <w:rStyle w:val="FootnoteReference"/>
        </w:rPr>
        <w:footnoteRef/>
      </w:r>
      <w:r>
        <w:t xml:space="preserve"> Kommissionens rekommendation om unionsmål för resiliens mot katastrofer, EUT C 56, 15.2.2023.</w:t>
      </w:r>
    </w:p>
  </w:footnote>
  <w:footnote w:id="21">
    <w:p w14:paraId="5E0B3D0D" w14:textId="5C857355" w:rsidR="001355AB" w:rsidRDefault="001355AB" w:rsidP="001355AB">
      <w:pPr>
        <w:pStyle w:val="FootnoteText"/>
      </w:pPr>
      <w:r>
        <w:rPr>
          <w:rStyle w:val="FootnoteReference"/>
        </w:rPr>
        <w:footnoteRef/>
      </w:r>
      <w:r>
        <w:t xml:space="preserve"> </w:t>
      </w:r>
      <w:hyperlink r:id="rId15" w:history="1">
        <w:r>
          <w:rPr>
            <w:rStyle w:val="Hyperlink"/>
          </w:rPr>
          <w:t>https://dataspace.copernicus.eu/</w:t>
        </w:r>
      </w:hyperlink>
      <w:r>
        <w:t xml:space="preserve">. </w:t>
      </w:r>
    </w:p>
  </w:footnote>
  <w:footnote w:id="22">
    <w:p w14:paraId="7031F8A2" w14:textId="6FA27646" w:rsidR="001355AB" w:rsidRDefault="001355AB" w:rsidP="001355AB">
      <w:pPr>
        <w:pStyle w:val="FootnoteText"/>
      </w:pPr>
      <w:r>
        <w:rPr>
          <w:rStyle w:val="FootnoteReference"/>
        </w:rPr>
        <w:footnoteRef/>
      </w:r>
      <w:r>
        <w:t xml:space="preserve"> </w:t>
      </w:r>
      <w:hyperlink r:id="rId16" w:history="1">
        <w:r>
          <w:rPr>
            <w:rStyle w:val="Hyperlink"/>
          </w:rPr>
          <w:t>https://www.wekeo.eu/</w:t>
        </w:r>
      </w:hyperlink>
      <w:r>
        <w:t xml:space="preserve">. </w:t>
      </w:r>
    </w:p>
  </w:footnote>
  <w:footnote w:id="23">
    <w:p w14:paraId="41EA95C6" w14:textId="482F0C74" w:rsidR="002F1D2F" w:rsidRPr="00801B76" w:rsidRDefault="002F1D2F" w:rsidP="002F1D2F">
      <w:pPr>
        <w:pStyle w:val="FootnoteText"/>
        <w:rPr>
          <w:lang w:val="en-IE"/>
        </w:rPr>
      </w:pPr>
      <w:r>
        <w:rPr>
          <w:rStyle w:val="FootnoteReference"/>
        </w:rPr>
        <w:footnoteRef/>
      </w:r>
      <w:r w:rsidRPr="00801B76">
        <w:rPr>
          <w:lang w:val="en-IE"/>
        </w:rPr>
        <w:t xml:space="preserve"> COM(2023) 728 final, </w:t>
      </w:r>
      <w:hyperlink r:id="rId17" w:history="1">
        <w:r w:rsidRPr="00801B76">
          <w:rPr>
            <w:rStyle w:val="Hyperlink"/>
            <w:lang w:val="en-IE"/>
          </w:rPr>
          <w:t>https://eur-lex.europa.eu/legal-content/SV/TXT/?uri=COM%3A2023%3A728%3AFIN</w:t>
        </w:r>
      </w:hyperlink>
      <w:r w:rsidRPr="00801B76">
        <w:rPr>
          <w:lang w:val="en-IE"/>
        </w:rPr>
        <w:t xml:space="preserve">. </w:t>
      </w:r>
    </w:p>
  </w:footnote>
  <w:footnote w:id="24">
    <w:p w14:paraId="5B8663C5" w14:textId="4C49A60C" w:rsidR="007B69D8" w:rsidRPr="00801B76" w:rsidRDefault="007B69D8" w:rsidP="007B69D8">
      <w:pPr>
        <w:pStyle w:val="FootnoteText"/>
        <w:rPr>
          <w:lang w:val="en-IE"/>
        </w:rPr>
      </w:pPr>
      <w:r>
        <w:rPr>
          <w:rStyle w:val="FootnoteReference"/>
        </w:rPr>
        <w:footnoteRef/>
      </w:r>
      <w:r w:rsidRPr="00801B76">
        <w:rPr>
          <w:lang w:val="en-IE"/>
        </w:rPr>
        <w:t xml:space="preserve"> COM(2023) 416 final, </w:t>
      </w:r>
      <w:hyperlink r:id="rId18" w:history="1">
        <w:r w:rsidRPr="00801B76">
          <w:rPr>
            <w:rStyle w:val="Hyperlink"/>
            <w:lang w:val="en-IE"/>
          </w:rPr>
          <w:t>https://eur-lex.europa.eu/legal-content/SV/TXT/?uri=CELEX%3A52023PC0416</w:t>
        </w:r>
      </w:hyperlink>
      <w:r w:rsidRPr="00801B76">
        <w:rPr>
          <w:lang w:val="en-IE"/>
        </w:rPr>
        <w:t xml:space="preserve">. </w:t>
      </w:r>
    </w:p>
  </w:footnote>
  <w:footnote w:id="25">
    <w:p w14:paraId="78A50AC1" w14:textId="2AAA18BB" w:rsidR="00FD5E36" w:rsidRPr="00F434C8" w:rsidRDefault="00FD5E36" w:rsidP="00FD5E36">
      <w:pPr>
        <w:pStyle w:val="FootnoteText"/>
      </w:pPr>
      <w:r>
        <w:rPr>
          <w:rStyle w:val="FootnoteReference"/>
        </w:rPr>
        <w:footnoteRef/>
      </w:r>
      <w:r>
        <w:t xml:space="preserve"> T.ex. det europeiska varningssystemet för översvämningar, det europeiska informationssystemet för skogsbränder och europeiska observationsorganet för torka.</w:t>
      </w:r>
    </w:p>
  </w:footnote>
  <w:footnote w:id="26">
    <w:p w14:paraId="77D728A7" w14:textId="77777777" w:rsidR="00F40219" w:rsidRPr="00F434C8" w:rsidRDefault="00F40219" w:rsidP="00F40219">
      <w:pPr>
        <w:pStyle w:val="FootnoteText"/>
      </w:pPr>
      <w:r>
        <w:rPr>
          <w:rStyle w:val="FootnoteReference"/>
        </w:rPr>
        <w:footnoteRef/>
      </w:r>
      <w:r>
        <w:t xml:space="preserve"> </w:t>
      </w:r>
      <w:hyperlink r:id="rId19" w:history="1">
        <w:r>
          <w:rPr>
            <w:rStyle w:val="Hyperlink"/>
          </w:rPr>
          <w:t>https://climate-adapt.eea.europa.eu/en/knowledge/european-climate-data-explorer/</w:t>
        </w:r>
      </w:hyperlink>
      <w:r>
        <w:t xml:space="preserve"> </w:t>
      </w:r>
    </w:p>
  </w:footnote>
  <w:footnote w:id="27">
    <w:p w14:paraId="1EFAEF15" w14:textId="79B529FB" w:rsidR="00A66FC2" w:rsidRPr="00F434C8" w:rsidRDefault="00A66FC2" w:rsidP="00A66FC2">
      <w:pPr>
        <w:pStyle w:val="FootnoteText"/>
      </w:pPr>
      <w:r>
        <w:rPr>
          <w:rStyle w:val="FootnoteReference"/>
        </w:rPr>
        <w:footnoteRef/>
      </w:r>
      <w:r>
        <w:t xml:space="preserve"> </w:t>
      </w:r>
      <w:r>
        <w:rPr>
          <w:rStyle w:val="Hyperlink"/>
        </w:rPr>
        <w:t>https://discomap.eea.europa.eu/MKH/MapViewer/index.html</w:t>
      </w:r>
    </w:p>
  </w:footnote>
  <w:footnote w:id="28">
    <w:p w14:paraId="26CF0EB1" w14:textId="2877A7E9" w:rsidR="006B0A95" w:rsidRPr="00F434C8" w:rsidRDefault="006B0A95" w:rsidP="00870A15">
      <w:pPr>
        <w:pStyle w:val="FootnoteText"/>
        <w:jc w:val="left"/>
      </w:pPr>
      <w:r>
        <w:rPr>
          <w:rStyle w:val="FootnoteReference"/>
        </w:rPr>
        <w:footnoteRef/>
      </w:r>
      <w:r>
        <w:t xml:space="preserve"> </w:t>
      </w:r>
      <w:hyperlink r:id="rId20" w:anchor="/" w:history="1">
        <w:r>
          <w:rPr>
            <w:rStyle w:val="Hyperlink"/>
          </w:rPr>
          <w:t>https://drmkc.jrc.ec.europa.eu/risk-data-hub#/</w:t>
        </w:r>
      </w:hyperlink>
      <w:r>
        <w:t xml:space="preserve"> </w:t>
      </w:r>
    </w:p>
  </w:footnote>
  <w:footnote w:id="29">
    <w:p w14:paraId="143F7925" w14:textId="77777777" w:rsidR="00F40219" w:rsidRPr="00F434C8" w:rsidRDefault="00F40219" w:rsidP="00F40219">
      <w:pPr>
        <w:pStyle w:val="FootnoteText"/>
      </w:pPr>
      <w:r>
        <w:rPr>
          <w:rStyle w:val="FootnoteReference"/>
        </w:rPr>
        <w:footnoteRef/>
      </w:r>
      <w:r>
        <w:t xml:space="preserve"> </w:t>
      </w:r>
      <w:hyperlink r:id="rId21" w:history="1">
        <w:r>
          <w:rPr>
            <w:rStyle w:val="Hyperlink"/>
          </w:rPr>
          <w:t>https://climate-risk-dashboard.climateanalytics.org/</w:t>
        </w:r>
      </w:hyperlink>
      <w:r>
        <w:t xml:space="preserve"> </w:t>
      </w:r>
    </w:p>
  </w:footnote>
  <w:footnote w:id="30">
    <w:p w14:paraId="671478EE" w14:textId="7CA052C1" w:rsidR="00CD5F6E" w:rsidRPr="00E8443B" w:rsidRDefault="00CD5F6E">
      <w:pPr>
        <w:pStyle w:val="FootnoteText"/>
      </w:pPr>
      <w:r>
        <w:rPr>
          <w:rStyle w:val="FootnoteReference"/>
        </w:rPr>
        <w:footnoteRef/>
      </w:r>
      <w:r>
        <w:t xml:space="preserve"> Beskrivs i den sjätte utvärderingsrapporten från FN:s klimatpanel, som en del av scenariot SSP2–4,5 med en ungefärlig global strålningsdrivningseffekt på 4,5. </w:t>
      </w:r>
    </w:p>
  </w:footnote>
  <w:footnote w:id="31">
    <w:p w14:paraId="64B2A218" w14:textId="001C82BB" w:rsidR="00E351C4" w:rsidRPr="006E6115" w:rsidRDefault="00E351C4" w:rsidP="00E351C4">
      <w:pPr>
        <w:pStyle w:val="FootnoteText"/>
      </w:pPr>
      <w:r>
        <w:rPr>
          <w:rStyle w:val="FootnoteReference"/>
        </w:rPr>
        <w:footnoteRef/>
      </w:r>
      <w:r w:rsidRPr="006E6115">
        <w:t xml:space="preserve"> </w:t>
      </w:r>
      <w:r w:rsidRPr="006E6115">
        <w:rPr>
          <w:color w:val="000000"/>
        </w:rPr>
        <w:t xml:space="preserve">COM(2023) 667, </w:t>
      </w:r>
      <w:hyperlink r:id="rId22" w:history="1">
        <w:r w:rsidRPr="006E6115">
          <w:rPr>
            <w:rStyle w:val="Hyperlink"/>
          </w:rPr>
          <w:t>https://eur-lex.europa.eu/legal-content/SV/ALL/?uri=COM:2023:667:FIN</w:t>
        </w:r>
      </w:hyperlink>
      <w:r w:rsidRPr="006E6115">
        <w:t>.</w:t>
      </w:r>
      <w:r w:rsidRPr="006E6115">
        <w:rPr>
          <w:color w:val="000000"/>
        </w:rPr>
        <w:t xml:space="preserve"> </w:t>
      </w:r>
    </w:p>
  </w:footnote>
  <w:footnote w:id="32">
    <w:p w14:paraId="4E8D63CB" w14:textId="77777777" w:rsidR="006840A6" w:rsidRPr="006E6115" w:rsidRDefault="006840A6" w:rsidP="006840A6">
      <w:pPr>
        <w:pStyle w:val="FootnoteText"/>
      </w:pPr>
      <w:r>
        <w:rPr>
          <w:rStyle w:val="FootnoteReference"/>
        </w:rPr>
        <w:footnoteRef/>
      </w:r>
      <w:r w:rsidRPr="006E6115">
        <w:t xml:space="preserve"> </w:t>
      </w:r>
      <w:hyperlink r:id="rId23" w:history="1">
        <w:r w:rsidRPr="006E6115">
          <w:rPr>
            <w:rStyle w:val="Hyperlink"/>
          </w:rPr>
          <w:t>https://new-european-bauhaus.europa.eu/get-involved/use-compass_en?prefLang=sv</w:t>
        </w:r>
      </w:hyperlink>
      <w:r w:rsidRPr="006E6115">
        <w:t xml:space="preserve">. </w:t>
      </w:r>
    </w:p>
  </w:footnote>
  <w:footnote w:id="33">
    <w:p w14:paraId="791B1005" w14:textId="062C5259" w:rsidR="002743A3" w:rsidRPr="00BB6BA8" w:rsidRDefault="002743A3">
      <w:pPr>
        <w:pStyle w:val="FootnoteText"/>
      </w:pPr>
      <w:r>
        <w:rPr>
          <w:rStyle w:val="FootnoteReference"/>
        </w:rPr>
        <w:footnoteRef/>
      </w:r>
      <w:r>
        <w:t xml:space="preserve"> Direktiv (EU) 2022/2557 (EUT L 333, 27.12.2022, s. 164).</w:t>
      </w:r>
    </w:p>
  </w:footnote>
  <w:footnote w:id="34">
    <w:p w14:paraId="0695C598" w14:textId="09FF3419" w:rsidR="009C6C0A" w:rsidRPr="00EF5256" w:rsidRDefault="009C6C0A" w:rsidP="000B572F">
      <w:pPr>
        <w:pStyle w:val="FootnoteText"/>
        <w:jc w:val="left"/>
      </w:pPr>
      <w:r>
        <w:rPr>
          <w:rStyle w:val="FootnoteReference"/>
        </w:rPr>
        <w:footnoteRef/>
      </w:r>
      <w:r>
        <w:t xml:space="preserve"> COM(2023) 61. Rekommendation, EUT C 56, 15.2.2023, s. 1. </w:t>
      </w:r>
      <w:hyperlink r:id="rId24" w:history="1">
        <w:r>
          <w:rPr>
            <w:rStyle w:val="Hyperlink"/>
          </w:rPr>
          <w:t>https://eur-lex.europa.eu/legal-content/SV/TXT/?uri=CELEX:52023DC0061</w:t>
        </w:r>
      </w:hyperlink>
      <w:r>
        <w:t xml:space="preserve"> </w:t>
      </w:r>
    </w:p>
  </w:footnote>
  <w:footnote w:id="35">
    <w:p w14:paraId="3ACA03AE" w14:textId="4413A8DC" w:rsidR="009C6C0A" w:rsidRPr="00801B76" w:rsidRDefault="009C6C0A" w:rsidP="009C6C0A">
      <w:pPr>
        <w:pStyle w:val="FootnoteText"/>
        <w:rPr>
          <w:lang w:val="en-IE"/>
        </w:rPr>
      </w:pPr>
      <w:r>
        <w:rPr>
          <w:rStyle w:val="FootnoteReference"/>
        </w:rPr>
        <w:footnoteRef/>
      </w:r>
      <w:r w:rsidRPr="00801B76">
        <w:rPr>
          <w:lang w:val="en-IE"/>
        </w:rPr>
        <w:t xml:space="preserve"> COM(2024) 130. </w:t>
      </w:r>
    </w:p>
  </w:footnote>
  <w:footnote w:id="36">
    <w:p w14:paraId="59A7CA8A" w14:textId="3DACFD2A" w:rsidR="00CA7DFD" w:rsidRPr="00801B76" w:rsidRDefault="00CA7DFD">
      <w:pPr>
        <w:pStyle w:val="FootnoteText"/>
        <w:rPr>
          <w:lang w:val="en-IE"/>
        </w:rPr>
      </w:pPr>
      <w:r>
        <w:rPr>
          <w:rStyle w:val="FootnoteReference"/>
        </w:rPr>
        <w:footnoteRef/>
      </w:r>
      <w:r w:rsidRPr="00801B76">
        <w:rPr>
          <w:lang w:val="en-IE"/>
        </w:rPr>
        <w:t xml:space="preserve"> COM(2023) 161.</w:t>
      </w:r>
    </w:p>
  </w:footnote>
  <w:footnote w:id="37">
    <w:p w14:paraId="3E9387FF" w14:textId="361874AD" w:rsidR="00CA14DC" w:rsidRPr="00801B76" w:rsidRDefault="00CA14DC">
      <w:pPr>
        <w:pStyle w:val="FootnoteText"/>
        <w:rPr>
          <w:lang w:val="en-IE"/>
        </w:rPr>
      </w:pPr>
      <w:r>
        <w:rPr>
          <w:rStyle w:val="FootnoteReference"/>
        </w:rPr>
        <w:footnoteRef/>
      </w:r>
      <w:r w:rsidRPr="00801B76">
        <w:rPr>
          <w:lang w:val="en-IE"/>
        </w:rPr>
        <w:t xml:space="preserve"> IPCC AR6. </w:t>
      </w:r>
      <w:hyperlink r:id="rId25" w:history="1">
        <w:r w:rsidRPr="00801B76">
          <w:rPr>
            <w:rStyle w:val="Hyperlink"/>
            <w:lang w:val="en-IE"/>
          </w:rPr>
          <w:t>https://www.ipcc.ch/assessment-report/ar6/</w:t>
        </w:r>
      </w:hyperlink>
      <w:r w:rsidRPr="00801B76">
        <w:rPr>
          <w:lang w:val="en-IE"/>
        </w:rPr>
        <w:t xml:space="preserve"> </w:t>
      </w:r>
    </w:p>
  </w:footnote>
  <w:footnote w:id="38">
    <w:p w14:paraId="6363F420" w14:textId="6340D94D" w:rsidR="00E01EF8" w:rsidRPr="00801B76" w:rsidRDefault="00E01EF8" w:rsidP="00E01EF8">
      <w:pPr>
        <w:pStyle w:val="FootnoteText"/>
        <w:rPr>
          <w:lang w:val="en-IE"/>
        </w:rPr>
      </w:pPr>
      <w:r>
        <w:rPr>
          <w:rStyle w:val="FootnoteReference"/>
        </w:rPr>
        <w:footnoteRef/>
      </w:r>
      <w:r w:rsidRPr="00801B76">
        <w:rPr>
          <w:lang w:val="en-IE"/>
        </w:rPr>
        <w:t xml:space="preserve"> Dasgupta, P (2021), </w:t>
      </w:r>
      <w:r w:rsidRPr="00801B76">
        <w:rPr>
          <w:i/>
          <w:iCs/>
          <w:lang w:val="en-IE"/>
        </w:rPr>
        <w:t>The Economics of Biodiversity:</w:t>
      </w:r>
      <w:r w:rsidRPr="00801B76">
        <w:rPr>
          <w:lang w:val="en-IE"/>
        </w:rPr>
        <w:t xml:space="preserve"> </w:t>
      </w:r>
      <w:r w:rsidRPr="00801B76">
        <w:rPr>
          <w:i/>
          <w:lang w:val="en-IE"/>
        </w:rPr>
        <w:t>The Dasgupta Review</w:t>
      </w:r>
      <w:r w:rsidRPr="00801B76">
        <w:rPr>
          <w:lang w:val="en-IE"/>
        </w:rPr>
        <w:t xml:space="preserve">, London: HM Treasury; </w:t>
      </w:r>
      <w:bookmarkStart w:id="49" w:name="_Hlk160963836"/>
      <w:r w:rsidR="000E4168">
        <w:fldChar w:fldCharType="begin"/>
      </w:r>
      <w:r w:rsidR="000E4168" w:rsidRPr="00801B76">
        <w:rPr>
          <w:lang w:val="en-IE"/>
        </w:rPr>
        <w:instrText>HYPERLINK ""</w:instrText>
      </w:r>
      <w:r w:rsidR="000E4168">
        <w:fldChar w:fldCharType="end"/>
      </w:r>
      <w:bookmarkEnd w:id="49"/>
      <w:r w:rsidR="00EF5256">
        <w:fldChar w:fldCharType="begin"/>
      </w:r>
      <w:r w:rsidR="00EF5256" w:rsidRPr="00801B76">
        <w:rPr>
          <w:lang w:val="en-IE"/>
        </w:rPr>
        <w:instrText xml:space="preserve"> HYPERLINK "https://www.worldbank.org/en/publication/changing-wealth-of-nations" </w:instrText>
      </w:r>
      <w:r w:rsidR="00EF5256">
        <w:fldChar w:fldCharType="separate"/>
      </w:r>
      <w:r w:rsidRPr="00801B76">
        <w:rPr>
          <w:rStyle w:val="Hyperlink"/>
          <w:lang w:val="en-IE"/>
        </w:rPr>
        <w:t>https://www.worldbank.org/en/publication/changing-wealth-of-nations</w:t>
      </w:r>
      <w:r w:rsidR="00EF5256">
        <w:rPr>
          <w:rStyle w:val="Hyperlink"/>
        </w:rPr>
        <w:fldChar w:fldCharType="end"/>
      </w:r>
      <w:r w:rsidRPr="00801B76">
        <w:rPr>
          <w:rStyle w:val="Hyperlink"/>
          <w:lang w:val="en-IE"/>
        </w:rPr>
        <w:t xml:space="preserve"> </w:t>
      </w:r>
    </w:p>
  </w:footnote>
  <w:footnote w:id="39">
    <w:p w14:paraId="44C87ABC" w14:textId="3DC1FF4D" w:rsidR="002A4652" w:rsidRPr="00801B76" w:rsidRDefault="002A4652" w:rsidP="002A4652">
      <w:pPr>
        <w:pStyle w:val="FootnoteText"/>
        <w:rPr>
          <w:lang w:val="en-IE"/>
        </w:rPr>
      </w:pPr>
      <w:r>
        <w:rPr>
          <w:rStyle w:val="FootnoteReference"/>
        </w:rPr>
        <w:footnoteRef/>
      </w:r>
      <w:r w:rsidRPr="00801B76">
        <w:rPr>
          <w:lang w:val="en-IE"/>
        </w:rPr>
        <w:t xml:space="preserve"> COM(2023) 102 final, </w:t>
      </w:r>
      <w:hyperlink r:id="rId26" w:history="1">
        <w:r w:rsidRPr="00801B76">
          <w:rPr>
            <w:rStyle w:val="Hyperlink"/>
            <w:lang w:val="en-IE"/>
          </w:rPr>
          <w:t>https://eur-lex.europa.eu/legal-content/SV/TXT/?uri=CELEX%3A52023DC0102</w:t>
        </w:r>
      </w:hyperlink>
      <w:r w:rsidRPr="00801B76">
        <w:rPr>
          <w:lang w:val="en-IE"/>
        </w:rPr>
        <w:t xml:space="preserve">. </w:t>
      </w:r>
    </w:p>
  </w:footnote>
  <w:footnote w:id="40">
    <w:p w14:paraId="70BD6574" w14:textId="4D0D8700" w:rsidR="00507E1A" w:rsidRPr="00801B76" w:rsidRDefault="00507E1A">
      <w:pPr>
        <w:pStyle w:val="FootnoteText"/>
        <w:rPr>
          <w:lang w:val="en-IE"/>
        </w:rPr>
      </w:pPr>
      <w:r>
        <w:rPr>
          <w:rStyle w:val="FootnoteReference"/>
        </w:rPr>
        <w:footnoteRef/>
      </w:r>
      <w:r w:rsidRPr="00801B76">
        <w:rPr>
          <w:lang w:val="en-IE"/>
        </w:rPr>
        <w:t xml:space="preserve"> </w:t>
      </w:r>
      <w:hyperlink r:id="rId27" w:history="1">
        <w:r w:rsidRPr="00801B76">
          <w:rPr>
            <w:rStyle w:val="Hyperlink"/>
            <w:lang w:val="en-IE"/>
          </w:rPr>
          <w:t>https://research-and-innovation.ec.europa.eu/funding/funding-opportunities/funding-programmes-and-open-calls/horizon-europe/eu-missions-horizon-europe/restore-our-ocean-and-waters_sv</w:t>
        </w:r>
      </w:hyperlink>
      <w:r w:rsidRPr="00801B76">
        <w:rPr>
          <w:lang w:val="en-IE"/>
        </w:rPr>
        <w:t xml:space="preserve"> </w:t>
      </w:r>
    </w:p>
  </w:footnote>
  <w:footnote w:id="41">
    <w:p w14:paraId="303479BD" w14:textId="3C6B66A6" w:rsidR="00C879A9" w:rsidRPr="009248B3" w:rsidRDefault="00C879A9">
      <w:pPr>
        <w:pStyle w:val="FootnoteText"/>
        <w:rPr>
          <w:b/>
          <w:bCs/>
        </w:rPr>
      </w:pPr>
      <w:bookmarkStart w:id="53" w:name="_Hlk158909971"/>
      <w:r>
        <w:rPr>
          <w:rStyle w:val="FootnoteReference"/>
        </w:rPr>
        <w:footnoteRef/>
      </w:r>
      <w:r>
        <w:t xml:space="preserve"> Det interaktiva verktyget EXHAUSTION: </w:t>
      </w:r>
      <w:hyperlink r:id="rId28" w:history="1">
        <w:r>
          <w:rPr>
            <w:rStyle w:val="Hyperlink"/>
          </w:rPr>
          <w:t>https://www.exhaustion.eu/</w:t>
        </w:r>
      </w:hyperlink>
    </w:p>
    <w:bookmarkEnd w:id="53"/>
  </w:footnote>
  <w:footnote w:id="42">
    <w:p w14:paraId="7D0A162E" w14:textId="0BCE9C02" w:rsidR="0016213D" w:rsidRPr="007E5CF7" w:rsidRDefault="0016213D" w:rsidP="0044238F">
      <w:pPr>
        <w:pStyle w:val="FootnoteText"/>
        <w:jc w:val="left"/>
      </w:pPr>
      <w:r>
        <w:rPr>
          <w:rStyle w:val="FootnoteReference"/>
        </w:rPr>
        <w:footnoteRef/>
      </w:r>
      <w:r>
        <w:t xml:space="preserve"> </w:t>
      </w:r>
      <w:hyperlink r:id="rId29" w:history="1">
        <w:r>
          <w:rPr>
            <w:rStyle w:val="Hyperlink"/>
          </w:rPr>
          <w:t>https://health.ec.europa.eu/non-communicable-diseases/healthier-together-eu-non-communicable-diseases-initiative_en?prefLang=sv</w:t>
        </w:r>
      </w:hyperlink>
      <w:r>
        <w:t xml:space="preserve"> </w:t>
      </w:r>
    </w:p>
  </w:footnote>
  <w:footnote w:id="43">
    <w:p w14:paraId="778A79D0" w14:textId="72FD8AC7" w:rsidR="00CE4000" w:rsidRPr="00801B76" w:rsidRDefault="00CE4000">
      <w:pPr>
        <w:pStyle w:val="FootnoteText"/>
        <w:rPr>
          <w:lang w:val="en-IE"/>
        </w:rPr>
      </w:pPr>
      <w:r>
        <w:rPr>
          <w:rStyle w:val="FootnoteReference"/>
        </w:rPr>
        <w:footnoteRef/>
      </w:r>
      <w:r w:rsidRPr="00801B76">
        <w:rPr>
          <w:lang w:val="en-IE"/>
        </w:rPr>
        <w:t xml:space="preserve"> COM(2023) 298 final, </w:t>
      </w:r>
      <w:hyperlink r:id="rId30" w:history="1">
        <w:r w:rsidRPr="00801B76">
          <w:rPr>
            <w:rStyle w:val="Hyperlink"/>
            <w:lang w:val="en-IE"/>
          </w:rPr>
          <w:t>https://health.ec.europa.eu/publications/comprehensive-approach-mental-health_en?prefLang=sv</w:t>
        </w:r>
      </w:hyperlink>
      <w:r w:rsidRPr="00801B76">
        <w:rPr>
          <w:lang w:val="en-IE"/>
        </w:rPr>
        <w:t xml:space="preserve"> </w:t>
      </w:r>
    </w:p>
  </w:footnote>
  <w:footnote w:id="44">
    <w:p w14:paraId="18BD2D0E" w14:textId="63A71D4C" w:rsidR="002E16D5" w:rsidRPr="002E16D5" w:rsidRDefault="002E16D5" w:rsidP="000B572F">
      <w:pPr>
        <w:pStyle w:val="FootnoteText"/>
        <w:jc w:val="left"/>
      </w:pPr>
      <w:r>
        <w:rPr>
          <w:rStyle w:val="FootnoteReference"/>
        </w:rPr>
        <w:footnoteRef/>
      </w:r>
      <w:r>
        <w:t xml:space="preserve"> Deklarationen från den sjunde ministerkonferensen för miljö och hälsa (</w:t>
      </w:r>
      <w:hyperlink r:id="rId31" w:history="1">
        <w:r>
          <w:rPr>
            <w:rStyle w:val="Hyperlink"/>
          </w:rPr>
          <w:t>https://www.who.int/europe/publications/i/item/EURO-Budapest2023-6</w:t>
        </w:r>
      </w:hyperlink>
      <w:r>
        <w:t>), COP28, Deklarationen om klimat och hälsa från Förenade Arabemiraten (</w:t>
      </w:r>
      <w:hyperlink r:id="rId32" w:history="1">
        <w:r>
          <w:rPr>
            <w:rStyle w:val="Hyperlink"/>
          </w:rPr>
          <w:t>https://www.cop28.com/en/cop28-uae-declaration-on-climate-and-health</w:t>
        </w:r>
      </w:hyperlink>
      <w:r>
        <w:t>).</w:t>
      </w:r>
    </w:p>
  </w:footnote>
  <w:footnote w:id="45">
    <w:p w14:paraId="15D0A2FA" w14:textId="47DA88CD" w:rsidR="006E78CB" w:rsidRPr="006E78CB" w:rsidRDefault="006E78CB">
      <w:pPr>
        <w:pStyle w:val="FootnoteText"/>
      </w:pPr>
      <w:r>
        <w:rPr>
          <w:rStyle w:val="FootnoteReference"/>
        </w:rPr>
        <w:footnoteRef/>
      </w:r>
      <w:r>
        <w:t xml:space="preserve"> </w:t>
      </w:r>
      <w:hyperlink r:id="rId33" w:history="1">
        <w:r>
          <w:rPr>
            <w:rStyle w:val="Hyperlink"/>
          </w:rPr>
          <w:t>https://osha.europa.eu/sites/default/files/Heat-at-work-Guidance-for-workplaces_SV.pdf</w:t>
        </w:r>
      </w:hyperlink>
      <w:r>
        <w:t xml:space="preserve">. </w:t>
      </w:r>
    </w:p>
  </w:footnote>
  <w:footnote w:id="46">
    <w:p w14:paraId="70C30146" w14:textId="53CB9D8F" w:rsidR="005848F9" w:rsidRPr="005848F9" w:rsidRDefault="005848F9">
      <w:pPr>
        <w:pStyle w:val="FootnoteText"/>
      </w:pPr>
      <w:r>
        <w:rPr>
          <w:rStyle w:val="FootnoteReference"/>
        </w:rPr>
        <w:footnoteRef/>
      </w:r>
      <w:r>
        <w:t xml:space="preserve"> Arbetsgruppen för klimatförändringar och arbetsmiljöfrågor vid den rådgivande trepartskommittén för arbetsmiljöfrågor.</w:t>
      </w:r>
    </w:p>
  </w:footnote>
  <w:footnote w:id="47">
    <w:p w14:paraId="2A3D2D4A" w14:textId="01537A15" w:rsidR="007A6FC7" w:rsidRPr="00801B76" w:rsidRDefault="007A6FC7" w:rsidP="007A6FC7">
      <w:pPr>
        <w:rPr>
          <w:color w:val="000000" w:themeColor="text1"/>
          <w:sz w:val="24"/>
          <w:szCs w:val="24"/>
          <w:lang w:val="en-IE"/>
        </w:rPr>
      </w:pPr>
      <w:r>
        <w:rPr>
          <w:rStyle w:val="FootnoteReference"/>
          <w:rFonts w:ascii="Times New Roman" w:hAnsi="Times New Roman" w:cs="Times New Roman"/>
          <w:sz w:val="20"/>
          <w:szCs w:val="20"/>
        </w:rPr>
        <w:footnoteRef/>
      </w:r>
      <w:r w:rsidRPr="00801B76">
        <w:rPr>
          <w:rFonts w:ascii="Times New Roman" w:hAnsi="Times New Roman"/>
          <w:sz w:val="20"/>
          <w:lang w:val="en-IE"/>
        </w:rPr>
        <w:t xml:space="preserve"> Framtidsstudien </w:t>
      </w:r>
      <w:r w:rsidRPr="00801B76">
        <w:rPr>
          <w:rFonts w:ascii="Times New Roman" w:hAnsi="Times New Roman"/>
          <w:i/>
          <w:iCs/>
          <w:sz w:val="20"/>
          <w:lang w:val="en-IE"/>
        </w:rPr>
        <w:t>OSH implications of future climate change-related developments and crises</w:t>
      </w:r>
      <w:r w:rsidRPr="00801B76">
        <w:rPr>
          <w:rFonts w:ascii="Times New Roman" w:hAnsi="Times New Roman"/>
          <w:sz w:val="20"/>
          <w:lang w:val="en-IE"/>
        </w:rPr>
        <w:t xml:space="preserve"> (som inleddes 2024</w:t>
      </w:r>
      <w:r w:rsidRPr="00801B76">
        <w:rPr>
          <w:rFonts w:ascii="Times New Roman" w:hAnsi="Times New Roman"/>
          <w:color w:val="000000" w:themeColor="text1"/>
          <w:sz w:val="20"/>
          <w:lang w:val="en-IE"/>
        </w:rPr>
        <w:t>)</w:t>
      </w:r>
      <w:r w:rsidRPr="00801B76">
        <w:rPr>
          <w:lang w:val="en-IE"/>
        </w:rPr>
        <w:t>.</w:t>
      </w:r>
      <w:r w:rsidRPr="00801B76">
        <w:rPr>
          <w:color w:val="000000" w:themeColor="text1"/>
          <w:sz w:val="24"/>
          <w:lang w:val="en-IE"/>
        </w:rPr>
        <w:t xml:space="preserve"> </w:t>
      </w:r>
    </w:p>
  </w:footnote>
  <w:footnote w:id="48">
    <w:p w14:paraId="271534AF" w14:textId="0F96BD7D" w:rsidR="00C04ACD" w:rsidRPr="00801B76" w:rsidRDefault="00C04ACD">
      <w:pPr>
        <w:pStyle w:val="FootnoteText"/>
        <w:rPr>
          <w:lang w:val="en-IE"/>
        </w:rPr>
      </w:pPr>
      <w:r>
        <w:rPr>
          <w:rStyle w:val="FootnoteReference"/>
        </w:rPr>
        <w:footnoteRef/>
      </w:r>
      <w:r w:rsidRPr="00801B76">
        <w:rPr>
          <w:lang w:val="en-IE"/>
        </w:rPr>
        <w:t xml:space="preserve">   COM(2023) 411 final.</w:t>
      </w:r>
    </w:p>
  </w:footnote>
  <w:footnote w:id="49">
    <w:p w14:paraId="53944F2C" w14:textId="77777777" w:rsidR="005D61D6" w:rsidRPr="00801B76" w:rsidRDefault="005D61D6" w:rsidP="005D61D6">
      <w:pPr>
        <w:pStyle w:val="FootnoteText"/>
        <w:rPr>
          <w:lang w:val="en-IE"/>
        </w:rPr>
      </w:pPr>
      <w:r>
        <w:rPr>
          <w:rStyle w:val="FootnoteReference"/>
        </w:rPr>
        <w:footnoteRef/>
      </w:r>
      <w:r w:rsidRPr="00801B76">
        <w:rPr>
          <w:lang w:val="en-IE"/>
        </w:rPr>
        <w:t xml:space="preserve"> </w:t>
      </w:r>
      <w:hyperlink r:id="rId34" w:history="1">
        <w:r w:rsidRPr="00801B76">
          <w:rPr>
            <w:rStyle w:val="Hyperlink"/>
            <w:lang w:val="en-IE"/>
          </w:rPr>
          <w:t>https://eurocodes.jrc.ec.europa.eu/2nd-generation/second-generation-eurocodes-what-new</w:t>
        </w:r>
      </w:hyperlink>
      <w:r w:rsidRPr="00801B76">
        <w:rPr>
          <w:lang w:val="en-IE"/>
        </w:rPr>
        <w:t xml:space="preserve">. </w:t>
      </w:r>
    </w:p>
  </w:footnote>
  <w:footnote w:id="50">
    <w:p w14:paraId="75FCF0FA" w14:textId="77777777" w:rsidR="00B2668D" w:rsidRPr="009248B3" w:rsidRDefault="00B2668D" w:rsidP="00B2668D">
      <w:pPr>
        <w:pStyle w:val="FootnoteText"/>
      </w:pPr>
      <w:r>
        <w:rPr>
          <w:rStyle w:val="FootnoteReference"/>
        </w:rPr>
        <w:footnoteRef/>
      </w:r>
      <w:r w:rsidRPr="00801B76">
        <w:rPr>
          <w:lang w:val="en-IE"/>
        </w:rPr>
        <w:t xml:space="preserve"> Schade, W., Khanna, A.A., Mader, S., Streif, M., Abkai, T., de Stasio, C., Thiery, W., Deidda, C., Maatsch, S., Kramer, H. (2023): </w:t>
      </w:r>
      <w:r w:rsidRPr="00801B76">
        <w:rPr>
          <w:i/>
          <w:lang w:val="en-IE"/>
        </w:rPr>
        <w:t>Support study on the climate adaptation &amp; cross-border investment needs to realize the TEN-T network.</w:t>
      </w:r>
      <w:r w:rsidRPr="00801B76">
        <w:rPr>
          <w:lang w:val="en-IE"/>
        </w:rPr>
        <w:t xml:space="preserve"> </w:t>
      </w:r>
      <w:r>
        <w:t>Rapport på Europeiska kommissionens vägnar (kommande).</w:t>
      </w:r>
    </w:p>
  </w:footnote>
  <w:footnote w:id="51">
    <w:p w14:paraId="69169EE4" w14:textId="356834FF" w:rsidR="003057A0" w:rsidRPr="00BC538A" w:rsidRDefault="003057A0" w:rsidP="00D63A43">
      <w:pPr>
        <w:pStyle w:val="FootnoteText"/>
        <w:jc w:val="left"/>
      </w:pPr>
      <w:r>
        <w:rPr>
          <w:rStyle w:val="FootnoteReference"/>
        </w:rPr>
        <w:footnoteRef/>
      </w:r>
      <w:r>
        <w:t xml:space="preserve"> SWD(2024) 63 final, </w:t>
      </w:r>
      <w:hyperlink r:id="rId35" w:history="1">
        <w:r>
          <w:rPr>
            <w:rStyle w:val="Hyperlink"/>
          </w:rPr>
          <w:t>https://climate.ec.europa.eu/document/download/768bc81f-5f48-48e3-b4d4-e02ba09faca1_en</w:t>
        </w:r>
      </w:hyperlink>
      <w:r>
        <w:t xml:space="preserve">. </w:t>
      </w:r>
    </w:p>
  </w:footnote>
  <w:footnote w:id="52">
    <w:p w14:paraId="406BD2AA" w14:textId="54F0BAF9" w:rsidR="00FD6FC6" w:rsidRPr="00BB6BA8" w:rsidRDefault="00FD6FC6">
      <w:pPr>
        <w:pStyle w:val="FootnoteText"/>
      </w:pPr>
      <w:r>
        <w:rPr>
          <w:rStyle w:val="FootnoteReference"/>
        </w:rPr>
        <w:footnoteRef/>
      </w:r>
      <w:r>
        <w:t xml:space="preserve"> Rapporten om klimatresiliensdialogen beräknas vara klar till sommaren 2024.</w:t>
      </w:r>
    </w:p>
  </w:footnote>
  <w:footnote w:id="53">
    <w:p w14:paraId="61110D59" w14:textId="6E03CD70" w:rsidR="0059141A" w:rsidRPr="00801B76" w:rsidRDefault="00453D4B" w:rsidP="00453D4B">
      <w:pPr>
        <w:pStyle w:val="FootnoteText"/>
        <w:rPr>
          <w:lang w:val="en-IE"/>
        </w:rPr>
      </w:pPr>
      <w:r>
        <w:rPr>
          <w:rStyle w:val="FootnoteReference"/>
        </w:rPr>
        <w:footnoteRef/>
      </w:r>
      <w:r w:rsidRPr="00801B76">
        <w:rPr>
          <w:lang w:val="en-IE"/>
        </w:rPr>
        <w:t xml:space="preserve"> </w:t>
      </w:r>
      <w:hyperlink r:id="rId36" w:history="1">
        <w:r w:rsidRPr="00801B76">
          <w:rPr>
            <w:rStyle w:val="Hyperlink"/>
            <w:lang w:val="en-IE"/>
          </w:rPr>
          <w:t>http://www.tradeministersonclimate.org/</w:t>
        </w:r>
      </w:hyperlink>
      <w:r w:rsidRPr="00801B76">
        <w:rPr>
          <w:lang w:val="en-IE"/>
        </w:rPr>
        <w:t>.</w:t>
      </w:r>
    </w:p>
  </w:footnote>
  <w:footnote w:id="54">
    <w:p w14:paraId="1A279E0D" w14:textId="03FDD8D8" w:rsidR="00FE4D6B" w:rsidRPr="00801B76" w:rsidRDefault="00FE4D6B" w:rsidP="00FE4D6B">
      <w:pPr>
        <w:pStyle w:val="FootnoteText"/>
        <w:rPr>
          <w:rFonts w:asciiTheme="minorHAnsi" w:hAnsiTheme="minorHAnsi"/>
          <w:lang w:val="en-IE"/>
        </w:rPr>
      </w:pPr>
      <w:r>
        <w:rPr>
          <w:rStyle w:val="FootnoteReference"/>
        </w:rPr>
        <w:footnoteRef/>
      </w:r>
      <w:r w:rsidRPr="00801B76">
        <w:rPr>
          <w:lang w:val="en-IE"/>
        </w:rPr>
        <w:t xml:space="preserve"> COM(2022) 409 final, </w:t>
      </w:r>
      <w:hyperlink r:id="rId37" w:history="1">
        <w:r w:rsidRPr="00801B76">
          <w:rPr>
            <w:rStyle w:val="Hyperlink"/>
            <w:lang w:val="en-IE"/>
          </w:rPr>
          <w:t>https://eur-lex.europa.eu/legal-content/SV/TXT/?uri=CELEX%3A52022DC0409</w:t>
        </w:r>
      </w:hyperlink>
      <w:r w:rsidRPr="00801B76">
        <w:rPr>
          <w:lang w:val="en-IE"/>
        </w:rPr>
        <w:t xml:space="preserve">. </w:t>
      </w:r>
    </w:p>
  </w:footnote>
  <w:footnote w:id="55">
    <w:p w14:paraId="7247A17F" w14:textId="1F85DCF5" w:rsidR="00F74E4A" w:rsidRPr="00801B76" w:rsidRDefault="00F74E4A" w:rsidP="00F74E4A">
      <w:pPr>
        <w:pStyle w:val="FootnoteText"/>
        <w:rPr>
          <w:lang w:val="en-IE"/>
        </w:rPr>
      </w:pPr>
      <w:r>
        <w:rPr>
          <w:rStyle w:val="FootnoteReference"/>
        </w:rPr>
        <w:footnoteRef/>
      </w:r>
      <w:r w:rsidRPr="00801B76">
        <w:rPr>
          <w:lang w:val="en-IE"/>
        </w:rPr>
        <w:t xml:space="preserve"> </w:t>
      </w:r>
      <w:hyperlink r:id="rId38" w:history="1">
        <w:r w:rsidRPr="00801B76">
          <w:rPr>
            <w:rStyle w:val="Hyperlink"/>
            <w:color w:val="000000" w:themeColor="text1"/>
            <w:u w:val="none"/>
            <w:lang w:val="en-IE"/>
          </w:rPr>
          <w:t xml:space="preserve">Barbaglia, L., Fatica, S. och Rho, C., </w:t>
        </w:r>
        <w:r w:rsidRPr="00801B76">
          <w:rPr>
            <w:rStyle w:val="Hyperlink"/>
            <w:i/>
            <w:iCs/>
            <w:color w:val="000000" w:themeColor="text1"/>
            <w:u w:val="none"/>
            <w:lang w:val="en-IE"/>
          </w:rPr>
          <w:t>Flooded credit markets:</w:t>
        </w:r>
      </w:hyperlink>
      <w:hyperlink r:id="rId39" w:history="1">
        <w:r w:rsidRPr="00801B76">
          <w:rPr>
            <w:rStyle w:val="Hyperlink"/>
            <w:color w:val="000000" w:themeColor="text1"/>
            <w:u w:val="none"/>
            <w:lang w:val="en-IE"/>
          </w:rPr>
          <w:t xml:space="preserve"> </w:t>
        </w:r>
        <w:r w:rsidRPr="00801B76">
          <w:rPr>
            <w:rStyle w:val="Hyperlink"/>
            <w:i/>
            <w:color w:val="000000" w:themeColor="text1"/>
            <w:u w:val="none"/>
            <w:lang w:val="en-IE"/>
          </w:rPr>
          <w:t>physical climate risk and small business lending</w:t>
        </w:r>
        <w:r w:rsidRPr="00801B76">
          <w:rPr>
            <w:rStyle w:val="Hyperlink"/>
            <w:color w:val="000000" w:themeColor="text1"/>
            <w:u w:val="none"/>
            <w:lang w:val="en-IE"/>
          </w:rPr>
          <w:t>, Europeiska kommissionen, 2023, JRC136274.</w:t>
        </w:r>
      </w:hyperlink>
    </w:p>
  </w:footnote>
  <w:footnote w:id="56">
    <w:p w14:paraId="4AAAEADE" w14:textId="77777777" w:rsidR="001A31EC" w:rsidRPr="00801B76" w:rsidRDefault="001A31EC" w:rsidP="001A31EC">
      <w:pPr>
        <w:pStyle w:val="FootnoteText"/>
        <w:jc w:val="left"/>
        <w:rPr>
          <w:lang w:val="en-IE"/>
        </w:rPr>
      </w:pPr>
      <w:r>
        <w:rPr>
          <w:rStyle w:val="FootnoteReference"/>
        </w:rPr>
        <w:footnoteRef/>
      </w:r>
      <w:r w:rsidRPr="00801B76">
        <w:rPr>
          <w:lang w:val="en-IE"/>
        </w:rPr>
        <w:t xml:space="preserve"> </w:t>
      </w:r>
      <w:hyperlink r:id="rId40" w:history="1">
        <w:r w:rsidRPr="00801B76">
          <w:rPr>
            <w:rStyle w:val="Hyperlink"/>
            <w:lang w:val="en-IE"/>
          </w:rPr>
          <w:t>https://www.ecb.europa.eu/pub/economic-bulletin/focus/2023/html/ecb.ebbox202306_05~f5ec994b9e.en.html</w:t>
        </w:r>
      </w:hyperlink>
    </w:p>
  </w:footnote>
  <w:footnote w:id="57">
    <w:p w14:paraId="77E7DC42" w14:textId="05ECE764" w:rsidR="00BD486C" w:rsidRPr="00801B76" w:rsidRDefault="00BD486C">
      <w:pPr>
        <w:pStyle w:val="FootnoteText"/>
        <w:rPr>
          <w:lang w:val="en-IE"/>
        </w:rPr>
      </w:pPr>
      <w:r>
        <w:rPr>
          <w:rStyle w:val="FootnoteReference"/>
        </w:rPr>
        <w:footnoteRef/>
      </w:r>
      <w:r w:rsidRPr="00801B76">
        <w:rPr>
          <w:lang w:val="en-IE"/>
        </w:rPr>
        <w:t xml:space="preserve"> COM(2020) 103 final, </w:t>
      </w:r>
      <w:hyperlink r:id="rId41" w:history="1">
        <w:r w:rsidRPr="00801B76">
          <w:rPr>
            <w:rStyle w:val="Hyperlink"/>
            <w:lang w:val="en-IE"/>
          </w:rPr>
          <w:t>https://eur-lex.europa.eu/legal-content/sv/ALL/?uri=CELEX%3A52020DC0103</w:t>
        </w:r>
      </w:hyperlink>
      <w:r w:rsidRPr="00801B76">
        <w:rPr>
          <w:lang w:val="en-IE"/>
        </w:rPr>
        <w:t xml:space="preserve">. </w:t>
      </w:r>
    </w:p>
  </w:footnote>
  <w:footnote w:id="58">
    <w:p w14:paraId="19E1506E" w14:textId="4E9D2474" w:rsidR="00D95E11" w:rsidRPr="00801B76" w:rsidRDefault="00D95E11">
      <w:pPr>
        <w:pStyle w:val="FootnoteText"/>
        <w:rPr>
          <w:lang w:val="en-IE"/>
        </w:rPr>
      </w:pPr>
      <w:r>
        <w:rPr>
          <w:rStyle w:val="FootnoteReference"/>
        </w:rPr>
        <w:footnoteRef/>
      </w:r>
      <w:r w:rsidRPr="00801B76">
        <w:rPr>
          <w:lang w:val="en-IE"/>
        </w:rPr>
        <w:t xml:space="preserve"> JOIN(2023) 20 final, </w:t>
      </w:r>
      <w:hyperlink r:id="rId42" w:history="1">
        <w:r w:rsidRPr="00801B76">
          <w:rPr>
            <w:rStyle w:val="Hyperlink"/>
            <w:lang w:val="en-IE"/>
          </w:rPr>
          <w:t>https://eur-lex.europa.eu/legal-content/SV/TXT/?uri=CELEX%3A52023JC0020</w:t>
        </w:r>
      </w:hyperlink>
      <w:r w:rsidRPr="00801B76">
        <w:rPr>
          <w:lang w:val="en-IE"/>
        </w:rPr>
        <w:t xml:space="preserve">. </w:t>
      </w:r>
    </w:p>
  </w:footnote>
  <w:footnote w:id="59">
    <w:p w14:paraId="7A5C3D6E" w14:textId="54393DBE" w:rsidR="0086628C" w:rsidRPr="00801B76" w:rsidRDefault="0086628C">
      <w:pPr>
        <w:pStyle w:val="FootnoteText"/>
        <w:rPr>
          <w:lang w:val="en-IE"/>
        </w:rPr>
      </w:pPr>
      <w:r>
        <w:rPr>
          <w:rStyle w:val="FootnoteReference"/>
        </w:rPr>
        <w:footnoteRef/>
      </w:r>
      <w:r w:rsidRPr="00801B76">
        <w:rPr>
          <w:lang w:val="en-IE"/>
        </w:rPr>
        <w:t xml:space="preserve"> COM(2023) 535 final, </w:t>
      </w:r>
      <w:hyperlink r:id="rId43" w:history="1">
        <w:r w:rsidRPr="00801B76">
          <w:rPr>
            <w:rStyle w:val="Hyperlink"/>
            <w:lang w:val="en-IE"/>
          </w:rPr>
          <w:t>https://eur-lex.europa.eu/legal-content/SV/TXT/?uri=COM%3A2023%3A535%3AFIN</w:t>
        </w:r>
      </w:hyperlink>
      <w:r w:rsidRPr="00801B76">
        <w:rPr>
          <w:lang w:val="en-IE"/>
        </w:rPr>
        <w:t xml:space="preserve">. </w:t>
      </w:r>
    </w:p>
  </w:footnote>
  <w:footnote w:id="60">
    <w:p w14:paraId="52C84E5A" w14:textId="2D0324BB" w:rsidR="00211506" w:rsidRPr="00801B76" w:rsidRDefault="00211506" w:rsidP="00211506">
      <w:pPr>
        <w:pStyle w:val="FootnoteText"/>
        <w:rPr>
          <w:lang w:val="en-IE"/>
        </w:rPr>
      </w:pPr>
      <w:r>
        <w:rPr>
          <w:rStyle w:val="FootnoteReference"/>
        </w:rPr>
        <w:footnoteRef/>
      </w:r>
      <w:r w:rsidRPr="00801B76">
        <w:rPr>
          <w:lang w:val="en-IE"/>
        </w:rPr>
        <w:t xml:space="preserve"> COM(2023) 240 final, </w:t>
      </w:r>
      <w:hyperlink r:id="rId44" w:history="1">
        <w:r w:rsidRPr="00801B76">
          <w:rPr>
            <w:rStyle w:val="Hyperlink"/>
            <w:lang w:val="en-IE"/>
          </w:rPr>
          <w:t>https://eur-lex.europa.eu/legal-content/SV/TXT/?uri=CELEX%3A52023PC0240</w:t>
        </w:r>
      </w:hyperlink>
      <w:r w:rsidRPr="00801B76">
        <w:rPr>
          <w:lang w:val="en-IE"/>
        </w:rPr>
        <w:t xml:space="preserve">. </w:t>
      </w:r>
    </w:p>
  </w:footnote>
  <w:footnote w:id="61">
    <w:p w14:paraId="6A3B86B3" w14:textId="1E7E66E5" w:rsidR="006F47E3" w:rsidRPr="00801B76" w:rsidRDefault="006F47E3" w:rsidP="006F47E3">
      <w:pPr>
        <w:pStyle w:val="FootnoteText"/>
        <w:rPr>
          <w:lang w:val="en-IE"/>
        </w:rPr>
      </w:pPr>
      <w:r>
        <w:rPr>
          <w:rStyle w:val="FootnoteReference"/>
        </w:rPr>
        <w:footnoteRef/>
      </w:r>
      <w:r>
        <w:t xml:space="preserve"> Om man extrapolerar de enskilda ländernas skattningar till EU-nivå kan den årliga kostnaden för anpassning till klimatförändringarna ligga på mellan 15 miljarder euro och 64 miljarder euro per år (0,1–0,4 % av EU:s BNP) till 2030, med en medianskattning på omkring 21 miljarder euro (Världsbanken (kommande, 2024) </w:t>
      </w:r>
      <w:r>
        <w:rPr>
          <w:i/>
          <w:iCs/>
        </w:rPr>
        <w:t>Investing in Resilience:</w:t>
      </w:r>
      <w:r>
        <w:t xml:space="preserve"> </w:t>
      </w:r>
      <w:r>
        <w:rPr>
          <w:i/>
          <w:iCs/>
        </w:rPr>
        <w:t>Climate Adaptation Costing in a Changing World.</w:t>
      </w:r>
      <w:r>
        <w:t xml:space="preserve"> </w:t>
      </w:r>
      <w:r w:rsidRPr="00801B76">
        <w:rPr>
          <w:i/>
          <w:iCs/>
          <w:lang w:val="en-IE"/>
        </w:rPr>
        <w:t>Phase II study under Economics for Disaster Prevention and Preparedness:</w:t>
      </w:r>
      <w:r w:rsidRPr="00801B76">
        <w:rPr>
          <w:lang w:val="en-IE"/>
        </w:rPr>
        <w:t xml:space="preserve"> </w:t>
      </w:r>
      <w:r w:rsidRPr="00801B76">
        <w:rPr>
          <w:i/>
          <w:iCs/>
          <w:lang w:val="en-IE"/>
        </w:rPr>
        <w:t>Prioritizing and Financing Resilient Investments</w:t>
      </w:r>
      <w:r w:rsidRPr="00801B76">
        <w:rPr>
          <w:lang w:val="en-I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B2C8D" w14:textId="77777777" w:rsidR="00124AE0" w:rsidRPr="00124AE0" w:rsidRDefault="00124AE0" w:rsidP="00124AE0">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9D89F" w14:textId="77777777" w:rsidR="00124AE0" w:rsidRPr="00124AE0" w:rsidRDefault="00124AE0" w:rsidP="00124AE0">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7A6B" w14:textId="77777777" w:rsidR="00124AE0" w:rsidRPr="00124AE0" w:rsidRDefault="00124AE0" w:rsidP="00124AE0">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61C4C" w14:textId="77777777" w:rsidR="00915255" w:rsidRDefault="009152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A65F3" w14:textId="77777777" w:rsidR="00915255" w:rsidRDefault="009152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3438B" w14:textId="77777777" w:rsidR="00915255" w:rsidRDefault="00915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EBE"/>
    <w:multiLevelType w:val="multilevel"/>
    <w:tmpl w:val="2FA891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60CC3"/>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906B92"/>
    <w:multiLevelType w:val="hybridMultilevel"/>
    <w:tmpl w:val="486E22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142A61"/>
    <w:multiLevelType w:val="multilevel"/>
    <w:tmpl w:val="2A00BA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793F72"/>
    <w:multiLevelType w:val="hybridMultilevel"/>
    <w:tmpl w:val="27507C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6E7B88"/>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F552B5"/>
    <w:multiLevelType w:val="hybridMultilevel"/>
    <w:tmpl w:val="60D8AE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54788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012D86"/>
    <w:multiLevelType w:val="multilevel"/>
    <w:tmpl w:val="4D6A73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A5181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78081F"/>
    <w:multiLevelType w:val="multilevel"/>
    <w:tmpl w:val="7EA85E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C8147B5"/>
    <w:multiLevelType w:val="hybridMultilevel"/>
    <w:tmpl w:val="63982DDC"/>
    <w:lvl w:ilvl="0" w:tplc="D65C0078">
      <w:start w:val="1"/>
      <w:numFmt w:val="bullet"/>
      <w:lvlText w:val=""/>
      <w:lvlJc w:val="left"/>
      <w:pPr>
        <w:ind w:left="720" w:hanging="360"/>
      </w:pPr>
      <w:rPr>
        <w:rFonts w:ascii="Symbol" w:hAnsi="Symbol"/>
      </w:rPr>
    </w:lvl>
    <w:lvl w:ilvl="1" w:tplc="44D4F288">
      <w:start w:val="1"/>
      <w:numFmt w:val="bullet"/>
      <w:lvlText w:val=""/>
      <w:lvlJc w:val="left"/>
      <w:pPr>
        <w:ind w:left="720" w:hanging="360"/>
      </w:pPr>
      <w:rPr>
        <w:rFonts w:ascii="Symbol" w:hAnsi="Symbol"/>
      </w:rPr>
    </w:lvl>
    <w:lvl w:ilvl="2" w:tplc="EBA83878">
      <w:start w:val="1"/>
      <w:numFmt w:val="bullet"/>
      <w:lvlText w:val=""/>
      <w:lvlJc w:val="left"/>
      <w:pPr>
        <w:ind w:left="720" w:hanging="360"/>
      </w:pPr>
      <w:rPr>
        <w:rFonts w:ascii="Symbol" w:hAnsi="Symbol"/>
      </w:rPr>
    </w:lvl>
    <w:lvl w:ilvl="3" w:tplc="CB1C7342">
      <w:start w:val="1"/>
      <w:numFmt w:val="bullet"/>
      <w:lvlText w:val=""/>
      <w:lvlJc w:val="left"/>
      <w:pPr>
        <w:ind w:left="720" w:hanging="360"/>
      </w:pPr>
      <w:rPr>
        <w:rFonts w:ascii="Symbol" w:hAnsi="Symbol"/>
      </w:rPr>
    </w:lvl>
    <w:lvl w:ilvl="4" w:tplc="38E61770">
      <w:start w:val="1"/>
      <w:numFmt w:val="bullet"/>
      <w:lvlText w:val=""/>
      <w:lvlJc w:val="left"/>
      <w:pPr>
        <w:ind w:left="720" w:hanging="360"/>
      </w:pPr>
      <w:rPr>
        <w:rFonts w:ascii="Symbol" w:hAnsi="Symbol"/>
      </w:rPr>
    </w:lvl>
    <w:lvl w:ilvl="5" w:tplc="AA4C99F4">
      <w:start w:val="1"/>
      <w:numFmt w:val="bullet"/>
      <w:lvlText w:val=""/>
      <w:lvlJc w:val="left"/>
      <w:pPr>
        <w:ind w:left="720" w:hanging="360"/>
      </w:pPr>
      <w:rPr>
        <w:rFonts w:ascii="Symbol" w:hAnsi="Symbol"/>
      </w:rPr>
    </w:lvl>
    <w:lvl w:ilvl="6" w:tplc="C1D6D30A">
      <w:start w:val="1"/>
      <w:numFmt w:val="bullet"/>
      <w:lvlText w:val=""/>
      <w:lvlJc w:val="left"/>
      <w:pPr>
        <w:ind w:left="720" w:hanging="360"/>
      </w:pPr>
      <w:rPr>
        <w:rFonts w:ascii="Symbol" w:hAnsi="Symbol"/>
      </w:rPr>
    </w:lvl>
    <w:lvl w:ilvl="7" w:tplc="AF5C02EC">
      <w:start w:val="1"/>
      <w:numFmt w:val="bullet"/>
      <w:lvlText w:val=""/>
      <w:lvlJc w:val="left"/>
      <w:pPr>
        <w:ind w:left="720" w:hanging="360"/>
      </w:pPr>
      <w:rPr>
        <w:rFonts w:ascii="Symbol" w:hAnsi="Symbol"/>
      </w:rPr>
    </w:lvl>
    <w:lvl w:ilvl="8" w:tplc="97528FD4">
      <w:start w:val="1"/>
      <w:numFmt w:val="bullet"/>
      <w:lvlText w:val=""/>
      <w:lvlJc w:val="left"/>
      <w:pPr>
        <w:ind w:left="720" w:hanging="360"/>
      </w:pPr>
      <w:rPr>
        <w:rFonts w:ascii="Symbol" w:hAnsi="Symbol"/>
      </w:rPr>
    </w:lvl>
  </w:abstractNum>
  <w:abstractNum w:abstractNumId="12" w15:restartNumberingAfterBreak="0">
    <w:nsid w:val="1C971491"/>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130AB0"/>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981556"/>
    <w:multiLevelType w:val="multilevel"/>
    <w:tmpl w:val="9572E5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E75984"/>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437AB6"/>
    <w:multiLevelType w:val="hybridMultilevel"/>
    <w:tmpl w:val="B0A08FCE"/>
    <w:lvl w:ilvl="0" w:tplc="18090001">
      <w:start w:val="1"/>
      <w:numFmt w:val="bullet"/>
      <w:lvlText w:val=""/>
      <w:lvlJc w:val="left"/>
      <w:pPr>
        <w:ind w:left="720" w:hanging="360"/>
      </w:pPr>
      <w:rPr>
        <w:rFonts w:ascii="Symbol" w:eastAsia="Times New Roman" w:hAnsi="Symbol"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15:restartNumberingAfterBreak="0">
    <w:nsid w:val="27A946FC"/>
    <w:multiLevelType w:val="multilevel"/>
    <w:tmpl w:val="A1560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DC66CC"/>
    <w:multiLevelType w:val="hybridMultilevel"/>
    <w:tmpl w:val="D41CF4B8"/>
    <w:lvl w:ilvl="0" w:tplc="FA72B0EC">
      <w:start w:val="1"/>
      <w:numFmt w:val="bullet"/>
      <w:lvlText w:val=""/>
      <w:lvlJc w:val="left"/>
      <w:pPr>
        <w:ind w:left="720" w:hanging="360"/>
      </w:pPr>
      <w:rPr>
        <w:rFonts w:ascii="Symbol" w:hAnsi="Symbol"/>
      </w:rPr>
    </w:lvl>
    <w:lvl w:ilvl="1" w:tplc="B92C430A">
      <w:start w:val="1"/>
      <w:numFmt w:val="bullet"/>
      <w:lvlText w:val=""/>
      <w:lvlJc w:val="left"/>
      <w:pPr>
        <w:ind w:left="720" w:hanging="360"/>
      </w:pPr>
      <w:rPr>
        <w:rFonts w:ascii="Symbol" w:hAnsi="Symbol"/>
      </w:rPr>
    </w:lvl>
    <w:lvl w:ilvl="2" w:tplc="4A6C88BA">
      <w:start w:val="1"/>
      <w:numFmt w:val="bullet"/>
      <w:lvlText w:val=""/>
      <w:lvlJc w:val="left"/>
      <w:pPr>
        <w:ind w:left="720" w:hanging="360"/>
      </w:pPr>
      <w:rPr>
        <w:rFonts w:ascii="Symbol" w:hAnsi="Symbol"/>
      </w:rPr>
    </w:lvl>
    <w:lvl w:ilvl="3" w:tplc="EB965748">
      <w:start w:val="1"/>
      <w:numFmt w:val="bullet"/>
      <w:lvlText w:val=""/>
      <w:lvlJc w:val="left"/>
      <w:pPr>
        <w:ind w:left="720" w:hanging="360"/>
      </w:pPr>
      <w:rPr>
        <w:rFonts w:ascii="Symbol" w:hAnsi="Symbol"/>
      </w:rPr>
    </w:lvl>
    <w:lvl w:ilvl="4" w:tplc="BF78F00A">
      <w:start w:val="1"/>
      <w:numFmt w:val="bullet"/>
      <w:lvlText w:val=""/>
      <w:lvlJc w:val="left"/>
      <w:pPr>
        <w:ind w:left="720" w:hanging="360"/>
      </w:pPr>
      <w:rPr>
        <w:rFonts w:ascii="Symbol" w:hAnsi="Symbol"/>
      </w:rPr>
    </w:lvl>
    <w:lvl w:ilvl="5" w:tplc="5E266956">
      <w:start w:val="1"/>
      <w:numFmt w:val="bullet"/>
      <w:lvlText w:val=""/>
      <w:lvlJc w:val="left"/>
      <w:pPr>
        <w:ind w:left="720" w:hanging="360"/>
      </w:pPr>
      <w:rPr>
        <w:rFonts w:ascii="Symbol" w:hAnsi="Symbol"/>
      </w:rPr>
    </w:lvl>
    <w:lvl w:ilvl="6" w:tplc="67D0FB34">
      <w:start w:val="1"/>
      <w:numFmt w:val="bullet"/>
      <w:lvlText w:val=""/>
      <w:lvlJc w:val="left"/>
      <w:pPr>
        <w:ind w:left="720" w:hanging="360"/>
      </w:pPr>
      <w:rPr>
        <w:rFonts w:ascii="Symbol" w:hAnsi="Symbol"/>
      </w:rPr>
    </w:lvl>
    <w:lvl w:ilvl="7" w:tplc="BE80E966">
      <w:start w:val="1"/>
      <w:numFmt w:val="bullet"/>
      <w:lvlText w:val=""/>
      <w:lvlJc w:val="left"/>
      <w:pPr>
        <w:ind w:left="720" w:hanging="360"/>
      </w:pPr>
      <w:rPr>
        <w:rFonts w:ascii="Symbol" w:hAnsi="Symbol"/>
      </w:rPr>
    </w:lvl>
    <w:lvl w:ilvl="8" w:tplc="97A62044">
      <w:start w:val="1"/>
      <w:numFmt w:val="bullet"/>
      <w:lvlText w:val=""/>
      <w:lvlJc w:val="left"/>
      <w:pPr>
        <w:ind w:left="720" w:hanging="360"/>
      </w:pPr>
      <w:rPr>
        <w:rFonts w:ascii="Symbol" w:hAnsi="Symbol"/>
      </w:rPr>
    </w:lvl>
  </w:abstractNum>
  <w:abstractNum w:abstractNumId="19" w15:restartNumberingAfterBreak="0">
    <w:nsid w:val="2EFF2113"/>
    <w:multiLevelType w:val="hybridMultilevel"/>
    <w:tmpl w:val="3B30222A"/>
    <w:lvl w:ilvl="0" w:tplc="2716DEEE">
      <w:start w:val="1"/>
      <w:numFmt w:val="bullet"/>
      <w:lvlText w:val=""/>
      <w:lvlJc w:val="left"/>
      <w:pPr>
        <w:ind w:left="720" w:hanging="360"/>
      </w:pPr>
      <w:rPr>
        <w:rFonts w:ascii="Symbol" w:hAnsi="Symbol"/>
      </w:rPr>
    </w:lvl>
    <w:lvl w:ilvl="1" w:tplc="CD12B078">
      <w:start w:val="1"/>
      <w:numFmt w:val="bullet"/>
      <w:lvlText w:val=""/>
      <w:lvlJc w:val="left"/>
      <w:pPr>
        <w:ind w:left="720" w:hanging="360"/>
      </w:pPr>
      <w:rPr>
        <w:rFonts w:ascii="Symbol" w:hAnsi="Symbol"/>
      </w:rPr>
    </w:lvl>
    <w:lvl w:ilvl="2" w:tplc="6D086B84">
      <w:start w:val="1"/>
      <w:numFmt w:val="bullet"/>
      <w:lvlText w:val=""/>
      <w:lvlJc w:val="left"/>
      <w:pPr>
        <w:ind w:left="720" w:hanging="360"/>
      </w:pPr>
      <w:rPr>
        <w:rFonts w:ascii="Symbol" w:hAnsi="Symbol"/>
      </w:rPr>
    </w:lvl>
    <w:lvl w:ilvl="3" w:tplc="1D9C73B0">
      <w:start w:val="1"/>
      <w:numFmt w:val="bullet"/>
      <w:lvlText w:val=""/>
      <w:lvlJc w:val="left"/>
      <w:pPr>
        <w:ind w:left="720" w:hanging="360"/>
      </w:pPr>
      <w:rPr>
        <w:rFonts w:ascii="Symbol" w:hAnsi="Symbol"/>
      </w:rPr>
    </w:lvl>
    <w:lvl w:ilvl="4" w:tplc="A5FA0224">
      <w:start w:val="1"/>
      <w:numFmt w:val="bullet"/>
      <w:lvlText w:val=""/>
      <w:lvlJc w:val="left"/>
      <w:pPr>
        <w:ind w:left="720" w:hanging="360"/>
      </w:pPr>
      <w:rPr>
        <w:rFonts w:ascii="Symbol" w:hAnsi="Symbol"/>
      </w:rPr>
    </w:lvl>
    <w:lvl w:ilvl="5" w:tplc="6F580270">
      <w:start w:val="1"/>
      <w:numFmt w:val="bullet"/>
      <w:lvlText w:val=""/>
      <w:lvlJc w:val="left"/>
      <w:pPr>
        <w:ind w:left="720" w:hanging="360"/>
      </w:pPr>
      <w:rPr>
        <w:rFonts w:ascii="Symbol" w:hAnsi="Symbol"/>
      </w:rPr>
    </w:lvl>
    <w:lvl w:ilvl="6" w:tplc="CA5CBCD6">
      <w:start w:val="1"/>
      <w:numFmt w:val="bullet"/>
      <w:lvlText w:val=""/>
      <w:lvlJc w:val="left"/>
      <w:pPr>
        <w:ind w:left="720" w:hanging="360"/>
      </w:pPr>
      <w:rPr>
        <w:rFonts w:ascii="Symbol" w:hAnsi="Symbol"/>
      </w:rPr>
    </w:lvl>
    <w:lvl w:ilvl="7" w:tplc="E40653AE">
      <w:start w:val="1"/>
      <w:numFmt w:val="bullet"/>
      <w:lvlText w:val=""/>
      <w:lvlJc w:val="left"/>
      <w:pPr>
        <w:ind w:left="720" w:hanging="360"/>
      </w:pPr>
      <w:rPr>
        <w:rFonts w:ascii="Symbol" w:hAnsi="Symbol"/>
      </w:rPr>
    </w:lvl>
    <w:lvl w:ilvl="8" w:tplc="8C121CE2">
      <w:start w:val="1"/>
      <w:numFmt w:val="bullet"/>
      <w:lvlText w:val=""/>
      <w:lvlJc w:val="left"/>
      <w:pPr>
        <w:ind w:left="720" w:hanging="360"/>
      </w:pPr>
      <w:rPr>
        <w:rFonts w:ascii="Symbol" w:hAnsi="Symbol"/>
      </w:rPr>
    </w:lvl>
  </w:abstractNum>
  <w:abstractNum w:abstractNumId="20" w15:restartNumberingAfterBreak="0">
    <w:nsid w:val="39A94022"/>
    <w:multiLevelType w:val="multilevel"/>
    <w:tmpl w:val="2A6491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AC4C35"/>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9B21281"/>
    <w:multiLevelType w:val="multilevel"/>
    <w:tmpl w:val="412A46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E07F3A"/>
    <w:multiLevelType w:val="hybridMultilevel"/>
    <w:tmpl w:val="3EAA6476"/>
    <w:lvl w:ilvl="0" w:tplc="9DDA3F20">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 w15:restartNumberingAfterBreak="0">
    <w:nsid w:val="3F847391"/>
    <w:multiLevelType w:val="multilevel"/>
    <w:tmpl w:val="8A962B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C11F14"/>
    <w:multiLevelType w:val="hybridMultilevel"/>
    <w:tmpl w:val="D2802AC0"/>
    <w:lvl w:ilvl="0" w:tplc="833AC21C">
      <w:start w:val="1"/>
      <w:numFmt w:val="bullet"/>
      <w:lvlText w:val=""/>
      <w:lvlJc w:val="left"/>
      <w:pPr>
        <w:ind w:left="1440" w:hanging="360"/>
      </w:pPr>
      <w:rPr>
        <w:rFonts w:ascii="Symbol" w:hAnsi="Symbol"/>
      </w:rPr>
    </w:lvl>
    <w:lvl w:ilvl="1" w:tplc="2EB099CA">
      <w:start w:val="1"/>
      <w:numFmt w:val="bullet"/>
      <w:lvlText w:val=""/>
      <w:lvlJc w:val="left"/>
      <w:pPr>
        <w:ind w:left="1440" w:hanging="360"/>
      </w:pPr>
      <w:rPr>
        <w:rFonts w:ascii="Symbol" w:hAnsi="Symbol"/>
      </w:rPr>
    </w:lvl>
    <w:lvl w:ilvl="2" w:tplc="7C289D7A">
      <w:start w:val="1"/>
      <w:numFmt w:val="bullet"/>
      <w:lvlText w:val=""/>
      <w:lvlJc w:val="left"/>
      <w:pPr>
        <w:ind w:left="1440" w:hanging="360"/>
      </w:pPr>
      <w:rPr>
        <w:rFonts w:ascii="Symbol" w:hAnsi="Symbol"/>
      </w:rPr>
    </w:lvl>
    <w:lvl w:ilvl="3" w:tplc="DC52F9C8">
      <w:start w:val="1"/>
      <w:numFmt w:val="bullet"/>
      <w:lvlText w:val=""/>
      <w:lvlJc w:val="left"/>
      <w:pPr>
        <w:ind w:left="1440" w:hanging="360"/>
      </w:pPr>
      <w:rPr>
        <w:rFonts w:ascii="Symbol" w:hAnsi="Symbol"/>
      </w:rPr>
    </w:lvl>
    <w:lvl w:ilvl="4" w:tplc="F2C07A40">
      <w:start w:val="1"/>
      <w:numFmt w:val="bullet"/>
      <w:lvlText w:val=""/>
      <w:lvlJc w:val="left"/>
      <w:pPr>
        <w:ind w:left="1440" w:hanging="360"/>
      </w:pPr>
      <w:rPr>
        <w:rFonts w:ascii="Symbol" w:hAnsi="Symbol"/>
      </w:rPr>
    </w:lvl>
    <w:lvl w:ilvl="5" w:tplc="7E2E3CC8">
      <w:start w:val="1"/>
      <w:numFmt w:val="bullet"/>
      <w:lvlText w:val=""/>
      <w:lvlJc w:val="left"/>
      <w:pPr>
        <w:ind w:left="1440" w:hanging="360"/>
      </w:pPr>
      <w:rPr>
        <w:rFonts w:ascii="Symbol" w:hAnsi="Symbol"/>
      </w:rPr>
    </w:lvl>
    <w:lvl w:ilvl="6" w:tplc="40C8A7F6">
      <w:start w:val="1"/>
      <w:numFmt w:val="bullet"/>
      <w:lvlText w:val=""/>
      <w:lvlJc w:val="left"/>
      <w:pPr>
        <w:ind w:left="1440" w:hanging="360"/>
      </w:pPr>
      <w:rPr>
        <w:rFonts w:ascii="Symbol" w:hAnsi="Symbol"/>
      </w:rPr>
    </w:lvl>
    <w:lvl w:ilvl="7" w:tplc="300201DE">
      <w:start w:val="1"/>
      <w:numFmt w:val="bullet"/>
      <w:lvlText w:val=""/>
      <w:lvlJc w:val="left"/>
      <w:pPr>
        <w:ind w:left="1440" w:hanging="360"/>
      </w:pPr>
      <w:rPr>
        <w:rFonts w:ascii="Symbol" w:hAnsi="Symbol"/>
      </w:rPr>
    </w:lvl>
    <w:lvl w:ilvl="8" w:tplc="F5401D9E">
      <w:start w:val="1"/>
      <w:numFmt w:val="bullet"/>
      <w:lvlText w:val=""/>
      <w:lvlJc w:val="left"/>
      <w:pPr>
        <w:ind w:left="1440" w:hanging="360"/>
      </w:pPr>
      <w:rPr>
        <w:rFonts w:ascii="Symbol" w:hAnsi="Symbol"/>
      </w:rPr>
    </w:lvl>
  </w:abstractNum>
  <w:abstractNum w:abstractNumId="26" w15:restartNumberingAfterBreak="0">
    <w:nsid w:val="42FD19F6"/>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644B68"/>
    <w:multiLevelType w:val="multilevel"/>
    <w:tmpl w:val="206AC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39438E"/>
    <w:multiLevelType w:val="multilevel"/>
    <w:tmpl w:val="6030AC8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4F6E14"/>
    <w:multiLevelType w:val="hybridMultilevel"/>
    <w:tmpl w:val="67AA85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86509AE"/>
    <w:multiLevelType w:val="hybridMultilevel"/>
    <w:tmpl w:val="F13654BA"/>
    <w:lvl w:ilvl="0" w:tplc="18090001">
      <w:start w:val="1"/>
      <w:numFmt w:val="bullet"/>
      <w:lvlText w:val=""/>
      <w:lvlJc w:val="left"/>
      <w:pPr>
        <w:ind w:left="1202" w:hanging="360"/>
      </w:pPr>
      <w:rPr>
        <w:rFonts w:ascii="Symbol" w:hAnsi="Symbol" w:hint="default"/>
      </w:rPr>
    </w:lvl>
    <w:lvl w:ilvl="1" w:tplc="18090003" w:tentative="1">
      <w:start w:val="1"/>
      <w:numFmt w:val="bullet"/>
      <w:lvlText w:val="o"/>
      <w:lvlJc w:val="left"/>
      <w:pPr>
        <w:ind w:left="1922" w:hanging="360"/>
      </w:pPr>
      <w:rPr>
        <w:rFonts w:ascii="Courier New" w:hAnsi="Courier New" w:cs="Courier New" w:hint="default"/>
      </w:rPr>
    </w:lvl>
    <w:lvl w:ilvl="2" w:tplc="18090005" w:tentative="1">
      <w:start w:val="1"/>
      <w:numFmt w:val="bullet"/>
      <w:lvlText w:val=""/>
      <w:lvlJc w:val="left"/>
      <w:pPr>
        <w:ind w:left="2642" w:hanging="360"/>
      </w:pPr>
      <w:rPr>
        <w:rFonts w:ascii="Wingdings" w:hAnsi="Wingdings" w:hint="default"/>
      </w:rPr>
    </w:lvl>
    <w:lvl w:ilvl="3" w:tplc="18090001" w:tentative="1">
      <w:start w:val="1"/>
      <w:numFmt w:val="bullet"/>
      <w:lvlText w:val=""/>
      <w:lvlJc w:val="left"/>
      <w:pPr>
        <w:ind w:left="3362" w:hanging="360"/>
      </w:pPr>
      <w:rPr>
        <w:rFonts w:ascii="Symbol" w:hAnsi="Symbol" w:hint="default"/>
      </w:rPr>
    </w:lvl>
    <w:lvl w:ilvl="4" w:tplc="18090003" w:tentative="1">
      <w:start w:val="1"/>
      <w:numFmt w:val="bullet"/>
      <w:lvlText w:val="o"/>
      <w:lvlJc w:val="left"/>
      <w:pPr>
        <w:ind w:left="4082" w:hanging="360"/>
      </w:pPr>
      <w:rPr>
        <w:rFonts w:ascii="Courier New" w:hAnsi="Courier New" w:cs="Courier New" w:hint="default"/>
      </w:rPr>
    </w:lvl>
    <w:lvl w:ilvl="5" w:tplc="18090005" w:tentative="1">
      <w:start w:val="1"/>
      <w:numFmt w:val="bullet"/>
      <w:lvlText w:val=""/>
      <w:lvlJc w:val="left"/>
      <w:pPr>
        <w:ind w:left="4802" w:hanging="360"/>
      </w:pPr>
      <w:rPr>
        <w:rFonts w:ascii="Wingdings" w:hAnsi="Wingdings" w:hint="default"/>
      </w:rPr>
    </w:lvl>
    <w:lvl w:ilvl="6" w:tplc="18090001" w:tentative="1">
      <w:start w:val="1"/>
      <w:numFmt w:val="bullet"/>
      <w:lvlText w:val=""/>
      <w:lvlJc w:val="left"/>
      <w:pPr>
        <w:ind w:left="5522" w:hanging="360"/>
      </w:pPr>
      <w:rPr>
        <w:rFonts w:ascii="Symbol" w:hAnsi="Symbol" w:hint="default"/>
      </w:rPr>
    </w:lvl>
    <w:lvl w:ilvl="7" w:tplc="18090003" w:tentative="1">
      <w:start w:val="1"/>
      <w:numFmt w:val="bullet"/>
      <w:lvlText w:val="o"/>
      <w:lvlJc w:val="left"/>
      <w:pPr>
        <w:ind w:left="6242" w:hanging="360"/>
      </w:pPr>
      <w:rPr>
        <w:rFonts w:ascii="Courier New" w:hAnsi="Courier New" w:cs="Courier New" w:hint="default"/>
      </w:rPr>
    </w:lvl>
    <w:lvl w:ilvl="8" w:tplc="18090005" w:tentative="1">
      <w:start w:val="1"/>
      <w:numFmt w:val="bullet"/>
      <w:lvlText w:val=""/>
      <w:lvlJc w:val="left"/>
      <w:pPr>
        <w:ind w:left="6962" w:hanging="360"/>
      </w:pPr>
      <w:rPr>
        <w:rFonts w:ascii="Wingdings" w:hAnsi="Wingdings" w:hint="default"/>
      </w:rPr>
    </w:lvl>
  </w:abstractNum>
  <w:abstractNum w:abstractNumId="31" w15:restartNumberingAfterBreak="0">
    <w:nsid w:val="48EC5204"/>
    <w:multiLevelType w:val="multilevel"/>
    <w:tmpl w:val="FD94D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A1660F"/>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B54686"/>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BAC514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C163A02"/>
    <w:multiLevelType w:val="multilevel"/>
    <w:tmpl w:val="2604CA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3C3BA9"/>
    <w:multiLevelType w:val="hybridMultilevel"/>
    <w:tmpl w:val="E5FCAE2C"/>
    <w:lvl w:ilvl="0" w:tplc="68E22FC2">
      <w:start w:val="1"/>
      <w:numFmt w:val="bullet"/>
      <w:lvlText w:val=""/>
      <w:lvlJc w:val="left"/>
      <w:pPr>
        <w:ind w:left="1780" w:hanging="360"/>
      </w:pPr>
      <w:rPr>
        <w:rFonts w:ascii="Symbol" w:hAnsi="Symbol"/>
      </w:rPr>
    </w:lvl>
    <w:lvl w:ilvl="1" w:tplc="A3D0EC82">
      <w:start w:val="1"/>
      <w:numFmt w:val="bullet"/>
      <w:lvlText w:val=""/>
      <w:lvlJc w:val="left"/>
      <w:pPr>
        <w:ind w:left="1780" w:hanging="360"/>
      </w:pPr>
      <w:rPr>
        <w:rFonts w:ascii="Symbol" w:hAnsi="Symbol"/>
      </w:rPr>
    </w:lvl>
    <w:lvl w:ilvl="2" w:tplc="B436FF50">
      <w:start w:val="1"/>
      <w:numFmt w:val="bullet"/>
      <w:lvlText w:val=""/>
      <w:lvlJc w:val="left"/>
      <w:pPr>
        <w:ind w:left="1780" w:hanging="360"/>
      </w:pPr>
      <w:rPr>
        <w:rFonts w:ascii="Symbol" w:hAnsi="Symbol"/>
      </w:rPr>
    </w:lvl>
    <w:lvl w:ilvl="3" w:tplc="427E3F2C">
      <w:start w:val="1"/>
      <w:numFmt w:val="bullet"/>
      <w:lvlText w:val=""/>
      <w:lvlJc w:val="left"/>
      <w:pPr>
        <w:ind w:left="1780" w:hanging="360"/>
      </w:pPr>
      <w:rPr>
        <w:rFonts w:ascii="Symbol" w:hAnsi="Symbol"/>
      </w:rPr>
    </w:lvl>
    <w:lvl w:ilvl="4" w:tplc="DCAEC042">
      <w:start w:val="1"/>
      <w:numFmt w:val="bullet"/>
      <w:lvlText w:val=""/>
      <w:lvlJc w:val="left"/>
      <w:pPr>
        <w:ind w:left="1780" w:hanging="360"/>
      </w:pPr>
      <w:rPr>
        <w:rFonts w:ascii="Symbol" w:hAnsi="Symbol"/>
      </w:rPr>
    </w:lvl>
    <w:lvl w:ilvl="5" w:tplc="51A0B7DA">
      <w:start w:val="1"/>
      <w:numFmt w:val="bullet"/>
      <w:lvlText w:val=""/>
      <w:lvlJc w:val="left"/>
      <w:pPr>
        <w:ind w:left="1780" w:hanging="360"/>
      </w:pPr>
      <w:rPr>
        <w:rFonts w:ascii="Symbol" w:hAnsi="Symbol"/>
      </w:rPr>
    </w:lvl>
    <w:lvl w:ilvl="6" w:tplc="D5C69496">
      <w:start w:val="1"/>
      <w:numFmt w:val="bullet"/>
      <w:lvlText w:val=""/>
      <w:lvlJc w:val="left"/>
      <w:pPr>
        <w:ind w:left="1780" w:hanging="360"/>
      </w:pPr>
      <w:rPr>
        <w:rFonts w:ascii="Symbol" w:hAnsi="Symbol"/>
      </w:rPr>
    </w:lvl>
    <w:lvl w:ilvl="7" w:tplc="B034292C">
      <w:start w:val="1"/>
      <w:numFmt w:val="bullet"/>
      <w:lvlText w:val=""/>
      <w:lvlJc w:val="left"/>
      <w:pPr>
        <w:ind w:left="1780" w:hanging="360"/>
      </w:pPr>
      <w:rPr>
        <w:rFonts w:ascii="Symbol" w:hAnsi="Symbol"/>
      </w:rPr>
    </w:lvl>
    <w:lvl w:ilvl="8" w:tplc="002AC438">
      <w:start w:val="1"/>
      <w:numFmt w:val="bullet"/>
      <w:lvlText w:val=""/>
      <w:lvlJc w:val="left"/>
      <w:pPr>
        <w:ind w:left="1780" w:hanging="360"/>
      </w:pPr>
      <w:rPr>
        <w:rFonts w:ascii="Symbol" w:hAnsi="Symbol"/>
      </w:rPr>
    </w:lvl>
  </w:abstractNum>
  <w:abstractNum w:abstractNumId="37" w15:restartNumberingAfterBreak="0">
    <w:nsid w:val="4F8F6D02"/>
    <w:multiLevelType w:val="hybridMultilevel"/>
    <w:tmpl w:val="71EAAA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1160BA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40C139F"/>
    <w:multiLevelType w:val="hybridMultilevel"/>
    <w:tmpl w:val="CAFA9612"/>
    <w:lvl w:ilvl="0" w:tplc="B5889958">
      <w:start w:val="1"/>
      <w:numFmt w:val="bullet"/>
      <w:lvlText w:val=""/>
      <w:lvlJc w:val="left"/>
      <w:pPr>
        <w:ind w:left="720" w:hanging="360"/>
      </w:pPr>
      <w:rPr>
        <w:rFonts w:ascii="Symbol" w:hAnsi="Symbol"/>
      </w:rPr>
    </w:lvl>
    <w:lvl w:ilvl="1" w:tplc="2F206D76">
      <w:start w:val="1"/>
      <w:numFmt w:val="bullet"/>
      <w:lvlText w:val=""/>
      <w:lvlJc w:val="left"/>
      <w:pPr>
        <w:ind w:left="720" w:hanging="360"/>
      </w:pPr>
      <w:rPr>
        <w:rFonts w:ascii="Symbol" w:hAnsi="Symbol"/>
      </w:rPr>
    </w:lvl>
    <w:lvl w:ilvl="2" w:tplc="B282ADE0">
      <w:start w:val="1"/>
      <w:numFmt w:val="bullet"/>
      <w:lvlText w:val=""/>
      <w:lvlJc w:val="left"/>
      <w:pPr>
        <w:ind w:left="720" w:hanging="360"/>
      </w:pPr>
      <w:rPr>
        <w:rFonts w:ascii="Symbol" w:hAnsi="Symbol"/>
      </w:rPr>
    </w:lvl>
    <w:lvl w:ilvl="3" w:tplc="1856E85A">
      <w:start w:val="1"/>
      <w:numFmt w:val="bullet"/>
      <w:lvlText w:val=""/>
      <w:lvlJc w:val="left"/>
      <w:pPr>
        <w:ind w:left="720" w:hanging="360"/>
      </w:pPr>
      <w:rPr>
        <w:rFonts w:ascii="Symbol" w:hAnsi="Symbol"/>
      </w:rPr>
    </w:lvl>
    <w:lvl w:ilvl="4" w:tplc="810E5556">
      <w:start w:val="1"/>
      <w:numFmt w:val="bullet"/>
      <w:lvlText w:val=""/>
      <w:lvlJc w:val="left"/>
      <w:pPr>
        <w:ind w:left="720" w:hanging="360"/>
      </w:pPr>
      <w:rPr>
        <w:rFonts w:ascii="Symbol" w:hAnsi="Symbol"/>
      </w:rPr>
    </w:lvl>
    <w:lvl w:ilvl="5" w:tplc="4D726534">
      <w:start w:val="1"/>
      <w:numFmt w:val="bullet"/>
      <w:lvlText w:val=""/>
      <w:lvlJc w:val="left"/>
      <w:pPr>
        <w:ind w:left="720" w:hanging="360"/>
      </w:pPr>
      <w:rPr>
        <w:rFonts w:ascii="Symbol" w:hAnsi="Symbol"/>
      </w:rPr>
    </w:lvl>
    <w:lvl w:ilvl="6" w:tplc="DF4618B6">
      <w:start w:val="1"/>
      <w:numFmt w:val="bullet"/>
      <w:lvlText w:val=""/>
      <w:lvlJc w:val="left"/>
      <w:pPr>
        <w:ind w:left="720" w:hanging="360"/>
      </w:pPr>
      <w:rPr>
        <w:rFonts w:ascii="Symbol" w:hAnsi="Symbol"/>
      </w:rPr>
    </w:lvl>
    <w:lvl w:ilvl="7" w:tplc="53B26F2C">
      <w:start w:val="1"/>
      <w:numFmt w:val="bullet"/>
      <w:lvlText w:val=""/>
      <w:lvlJc w:val="left"/>
      <w:pPr>
        <w:ind w:left="720" w:hanging="360"/>
      </w:pPr>
      <w:rPr>
        <w:rFonts w:ascii="Symbol" w:hAnsi="Symbol"/>
      </w:rPr>
    </w:lvl>
    <w:lvl w:ilvl="8" w:tplc="5E30D5F6">
      <w:start w:val="1"/>
      <w:numFmt w:val="bullet"/>
      <w:lvlText w:val=""/>
      <w:lvlJc w:val="left"/>
      <w:pPr>
        <w:ind w:left="720" w:hanging="360"/>
      </w:pPr>
      <w:rPr>
        <w:rFonts w:ascii="Symbol" w:hAnsi="Symbol"/>
      </w:rPr>
    </w:lvl>
  </w:abstractNum>
  <w:abstractNum w:abstractNumId="40" w15:restartNumberingAfterBreak="0">
    <w:nsid w:val="57BF0C26"/>
    <w:multiLevelType w:val="hybridMultilevel"/>
    <w:tmpl w:val="795E714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8382113"/>
    <w:multiLevelType w:val="multilevel"/>
    <w:tmpl w:val="E9560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6E0B3C"/>
    <w:multiLevelType w:val="multilevel"/>
    <w:tmpl w:val="47C495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9AD178B"/>
    <w:multiLevelType w:val="hybridMultilevel"/>
    <w:tmpl w:val="ED0A398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E1E6C28"/>
    <w:multiLevelType w:val="hybridMultilevel"/>
    <w:tmpl w:val="31481A7E"/>
    <w:lvl w:ilvl="0" w:tplc="CA441392">
      <w:start w:val="1"/>
      <w:numFmt w:val="bullet"/>
      <w:lvlText w:val=""/>
      <w:lvlJc w:val="left"/>
      <w:pPr>
        <w:ind w:left="1440" w:hanging="360"/>
      </w:pPr>
      <w:rPr>
        <w:rFonts w:ascii="Symbol" w:hAnsi="Symbol"/>
      </w:rPr>
    </w:lvl>
    <w:lvl w:ilvl="1" w:tplc="43603F02">
      <w:start w:val="1"/>
      <w:numFmt w:val="bullet"/>
      <w:lvlText w:val=""/>
      <w:lvlJc w:val="left"/>
      <w:pPr>
        <w:ind w:left="1440" w:hanging="360"/>
      </w:pPr>
      <w:rPr>
        <w:rFonts w:ascii="Symbol" w:hAnsi="Symbol"/>
      </w:rPr>
    </w:lvl>
    <w:lvl w:ilvl="2" w:tplc="878A4A34">
      <w:start w:val="1"/>
      <w:numFmt w:val="bullet"/>
      <w:lvlText w:val=""/>
      <w:lvlJc w:val="left"/>
      <w:pPr>
        <w:ind w:left="1440" w:hanging="360"/>
      </w:pPr>
      <w:rPr>
        <w:rFonts w:ascii="Symbol" w:hAnsi="Symbol"/>
      </w:rPr>
    </w:lvl>
    <w:lvl w:ilvl="3" w:tplc="315E4810">
      <w:start w:val="1"/>
      <w:numFmt w:val="bullet"/>
      <w:lvlText w:val=""/>
      <w:lvlJc w:val="left"/>
      <w:pPr>
        <w:ind w:left="1440" w:hanging="360"/>
      </w:pPr>
      <w:rPr>
        <w:rFonts w:ascii="Symbol" w:hAnsi="Symbol"/>
      </w:rPr>
    </w:lvl>
    <w:lvl w:ilvl="4" w:tplc="23CA48E6">
      <w:start w:val="1"/>
      <w:numFmt w:val="bullet"/>
      <w:lvlText w:val=""/>
      <w:lvlJc w:val="left"/>
      <w:pPr>
        <w:ind w:left="1440" w:hanging="360"/>
      </w:pPr>
      <w:rPr>
        <w:rFonts w:ascii="Symbol" w:hAnsi="Symbol"/>
      </w:rPr>
    </w:lvl>
    <w:lvl w:ilvl="5" w:tplc="EE220BEC">
      <w:start w:val="1"/>
      <w:numFmt w:val="bullet"/>
      <w:lvlText w:val=""/>
      <w:lvlJc w:val="left"/>
      <w:pPr>
        <w:ind w:left="1440" w:hanging="360"/>
      </w:pPr>
      <w:rPr>
        <w:rFonts w:ascii="Symbol" w:hAnsi="Symbol"/>
      </w:rPr>
    </w:lvl>
    <w:lvl w:ilvl="6" w:tplc="D3062440">
      <w:start w:val="1"/>
      <w:numFmt w:val="bullet"/>
      <w:lvlText w:val=""/>
      <w:lvlJc w:val="left"/>
      <w:pPr>
        <w:ind w:left="1440" w:hanging="360"/>
      </w:pPr>
      <w:rPr>
        <w:rFonts w:ascii="Symbol" w:hAnsi="Symbol"/>
      </w:rPr>
    </w:lvl>
    <w:lvl w:ilvl="7" w:tplc="13843606">
      <w:start w:val="1"/>
      <w:numFmt w:val="bullet"/>
      <w:lvlText w:val=""/>
      <w:lvlJc w:val="left"/>
      <w:pPr>
        <w:ind w:left="1440" w:hanging="360"/>
      </w:pPr>
      <w:rPr>
        <w:rFonts w:ascii="Symbol" w:hAnsi="Symbol"/>
      </w:rPr>
    </w:lvl>
    <w:lvl w:ilvl="8" w:tplc="01486AB2">
      <w:start w:val="1"/>
      <w:numFmt w:val="bullet"/>
      <w:lvlText w:val=""/>
      <w:lvlJc w:val="left"/>
      <w:pPr>
        <w:ind w:left="1440" w:hanging="360"/>
      </w:pPr>
      <w:rPr>
        <w:rFonts w:ascii="Symbol" w:hAnsi="Symbol"/>
      </w:rPr>
    </w:lvl>
  </w:abstractNum>
  <w:abstractNum w:abstractNumId="45" w15:restartNumberingAfterBreak="0">
    <w:nsid w:val="608A5C15"/>
    <w:multiLevelType w:val="multilevel"/>
    <w:tmpl w:val="711811D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6" w15:restartNumberingAfterBreak="0">
    <w:nsid w:val="60F3258F"/>
    <w:multiLevelType w:val="hybridMultilevel"/>
    <w:tmpl w:val="0962434E"/>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61C2174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2260BF1"/>
    <w:multiLevelType w:val="hybridMultilevel"/>
    <w:tmpl w:val="986C0D6C"/>
    <w:lvl w:ilvl="0" w:tplc="30C2DC86">
      <w:start w:val="1"/>
      <w:numFmt w:val="bullet"/>
      <w:lvlText w:val=""/>
      <w:lvlJc w:val="left"/>
      <w:pPr>
        <w:ind w:left="1440" w:hanging="360"/>
      </w:pPr>
      <w:rPr>
        <w:rFonts w:ascii="Symbol" w:hAnsi="Symbol"/>
      </w:rPr>
    </w:lvl>
    <w:lvl w:ilvl="1" w:tplc="8F8ECBB2">
      <w:start w:val="1"/>
      <w:numFmt w:val="bullet"/>
      <w:lvlText w:val=""/>
      <w:lvlJc w:val="left"/>
      <w:pPr>
        <w:ind w:left="1440" w:hanging="360"/>
      </w:pPr>
      <w:rPr>
        <w:rFonts w:ascii="Symbol" w:hAnsi="Symbol"/>
      </w:rPr>
    </w:lvl>
    <w:lvl w:ilvl="2" w:tplc="F4B2DD48">
      <w:start w:val="1"/>
      <w:numFmt w:val="bullet"/>
      <w:lvlText w:val=""/>
      <w:lvlJc w:val="left"/>
      <w:pPr>
        <w:ind w:left="1440" w:hanging="360"/>
      </w:pPr>
      <w:rPr>
        <w:rFonts w:ascii="Symbol" w:hAnsi="Symbol"/>
      </w:rPr>
    </w:lvl>
    <w:lvl w:ilvl="3" w:tplc="B0ECC5BA">
      <w:start w:val="1"/>
      <w:numFmt w:val="bullet"/>
      <w:lvlText w:val=""/>
      <w:lvlJc w:val="left"/>
      <w:pPr>
        <w:ind w:left="1440" w:hanging="360"/>
      </w:pPr>
      <w:rPr>
        <w:rFonts w:ascii="Symbol" w:hAnsi="Symbol"/>
      </w:rPr>
    </w:lvl>
    <w:lvl w:ilvl="4" w:tplc="252C89B2">
      <w:start w:val="1"/>
      <w:numFmt w:val="bullet"/>
      <w:lvlText w:val=""/>
      <w:lvlJc w:val="left"/>
      <w:pPr>
        <w:ind w:left="1440" w:hanging="360"/>
      </w:pPr>
      <w:rPr>
        <w:rFonts w:ascii="Symbol" w:hAnsi="Symbol"/>
      </w:rPr>
    </w:lvl>
    <w:lvl w:ilvl="5" w:tplc="1A522DC6">
      <w:start w:val="1"/>
      <w:numFmt w:val="bullet"/>
      <w:lvlText w:val=""/>
      <w:lvlJc w:val="left"/>
      <w:pPr>
        <w:ind w:left="1440" w:hanging="360"/>
      </w:pPr>
      <w:rPr>
        <w:rFonts w:ascii="Symbol" w:hAnsi="Symbol"/>
      </w:rPr>
    </w:lvl>
    <w:lvl w:ilvl="6" w:tplc="6AB4DAA2">
      <w:start w:val="1"/>
      <w:numFmt w:val="bullet"/>
      <w:lvlText w:val=""/>
      <w:lvlJc w:val="left"/>
      <w:pPr>
        <w:ind w:left="1440" w:hanging="360"/>
      </w:pPr>
      <w:rPr>
        <w:rFonts w:ascii="Symbol" w:hAnsi="Symbol"/>
      </w:rPr>
    </w:lvl>
    <w:lvl w:ilvl="7" w:tplc="FEA6BAAA">
      <w:start w:val="1"/>
      <w:numFmt w:val="bullet"/>
      <w:lvlText w:val=""/>
      <w:lvlJc w:val="left"/>
      <w:pPr>
        <w:ind w:left="1440" w:hanging="360"/>
      </w:pPr>
      <w:rPr>
        <w:rFonts w:ascii="Symbol" w:hAnsi="Symbol"/>
      </w:rPr>
    </w:lvl>
    <w:lvl w:ilvl="8" w:tplc="7A9C4510">
      <w:start w:val="1"/>
      <w:numFmt w:val="bullet"/>
      <w:lvlText w:val=""/>
      <w:lvlJc w:val="left"/>
      <w:pPr>
        <w:ind w:left="1440" w:hanging="360"/>
      </w:pPr>
      <w:rPr>
        <w:rFonts w:ascii="Symbol" w:hAnsi="Symbol"/>
      </w:rPr>
    </w:lvl>
  </w:abstractNum>
  <w:abstractNum w:abstractNumId="49" w15:restartNumberingAfterBreak="0">
    <w:nsid w:val="64820F3B"/>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66B5C6B"/>
    <w:multiLevelType w:val="hybridMultilevel"/>
    <w:tmpl w:val="6D641952"/>
    <w:lvl w:ilvl="0" w:tplc="BBB6E35E">
      <w:start w:val="1"/>
      <w:numFmt w:val="bullet"/>
      <w:lvlText w:val=""/>
      <w:lvlJc w:val="left"/>
      <w:pPr>
        <w:ind w:left="720" w:hanging="360"/>
      </w:pPr>
      <w:rPr>
        <w:rFonts w:ascii="Symbol" w:hAnsi="Symbol"/>
      </w:rPr>
    </w:lvl>
    <w:lvl w:ilvl="1" w:tplc="14E613BA">
      <w:start w:val="1"/>
      <w:numFmt w:val="bullet"/>
      <w:lvlText w:val=""/>
      <w:lvlJc w:val="left"/>
      <w:pPr>
        <w:ind w:left="720" w:hanging="360"/>
      </w:pPr>
      <w:rPr>
        <w:rFonts w:ascii="Symbol" w:hAnsi="Symbol"/>
      </w:rPr>
    </w:lvl>
    <w:lvl w:ilvl="2" w:tplc="3D72A1C8">
      <w:start w:val="1"/>
      <w:numFmt w:val="bullet"/>
      <w:lvlText w:val=""/>
      <w:lvlJc w:val="left"/>
      <w:pPr>
        <w:ind w:left="720" w:hanging="360"/>
      </w:pPr>
      <w:rPr>
        <w:rFonts w:ascii="Symbol" w:hAnsi="Symbol"/>
      </w:rPr>
    </w:lvl>
    <w:lvl w:ilvl="3" w:tplc="1E3EA968">
      <w:start w:val="1"/>
      <w:numFmt w:val="bullet"/>
      <w:lvlText w:val=""/>
      <w:lvlJc w:val="left"/>
      <w:pPr>
        <w:ind w:left="720" w:hanging="360"/>
      </w:pPr>
      <w:rPr>
        <w:rFonts w:ascii="Symbol" w:hAnsi="Symbol"/>
      </w:rPr>
    </w:lvl>
    <w:lvl w:ilvl="4" w:tplc="90CAFD24">
      <w:start w:val="1"/>
      <w:numFmt w:val="bullet"/>
      <w:lvlText w:val=""/>
      <w:lvlJc w:val="left"/>
      <w:pPr>
        <w:ind w:left="720" w:hanging="360"/>
      </w:pPr>
      <w:rPr>
        <w:rFonts w:ascii="Symbol" w:hAnsi="Symbol"/>
      </w:rPr>
    </w:lvl>
    <w:lvl w:ilvl="5" w:tplc="0E705430">
      <w:start w:val="1"/>
      <w:numFmt w:val="bullet"/>
      <w:lvlText w:val=""/>
      <w:lvlJc w:val="left"/>
      <w:pPr>
        <w:ind w:left="720" w:hanging="360"/>
      </w:pPr>
      <w:rPr>
        <w:rFonts w:ascii="Symbol" w:hAnsi="Symbol"/>
      </w:rPr>
    </w:lvl>
    <w:lvl w:ilvl="6" w:tplc="1B4C95B4">
      <w:start w:val="1"/>
      <w:numFmt w:val="bullet"/>
      <w:lvlText w:val=""/>
      <w:lvlJc w:val="left"/>
      <w:pPr>
        <w:ind w:left="720" w:hanging="360"/>
      </w:pPr>
      <w:rPr>
        <w:rFonts w:ascii="Symbol" w:hAnsi="Symbol"/>
      </w:rPr>
    </w:lvl>
    <w:lvl w:ilvl="7" w:tplc="8772860C">
      <w:start w:val="1"/>
      <w:numFmt w:val="bullet"/>
      <w:lvlText w:val=""/>
      <w:lvlJc w:val="left"/>
      <w:pPr>
        <w:ind w:left="720" w:hanging="360"/>
      </w:pPr>
      <w:rPr>
        <w:rFonts w:ascii="Symbol" w:hAnsi="Symbol"/>
      </w:rPr>
    </w:lvl>
    <w:lvl w:ilvl="8" w:tplc="EB56DE96">
      <w:start w:val="1"/>
      <w:numFmt w:val="bullet"/>
      <w:lvlText w:val=""/>
      <w:lvlJc w:val="left"/>
      <w:pPr>
        <w:ind w:left="720" w:hanging="360"/>
      </w:pPr>
      <w:rPr>
        <w:rFonts w:ascii="Symbol" w:hAnsi="Symbol"/>
      </w:rPr>
    </w:lvl>
  </w:abstractNum>
  <w:abstractNum w:abstractNumId="51" w15:restartNumberingAfterBreak="0">
    <w:nsid w:val="66ED4C83"/>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839298A"/>
    <w:multiLevelType w:val="multilevel"/>
    <w:tmpl w:val="B3AC47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B6C53BE"/>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E230169"/>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F653A52"/>
    <w:multiLevelType w:val="hybridMultilevel"/>
    <w:tmpl w:val="182CA628"/>
    <w:lvl w:ilvl="0" w:tplc="DA2C5A06">
      <w:numFmt w:val="bullet"/>
      <w:lvlText w:val="-"/>
      <w:lvlJc w:val="left"/>
      <w:pPr>
        <w:ind w:left="360" w:hanging="360"/>
      </w:pPr>
      <w:rPr>
        <w:rFonts w:ascii="Times New Roman" w:eastAsia="Times New Roman" w:hAnsi="Times New Roman"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6" w15:restartNumberingAfterBreak="0">
    <w:nsid w:val="6F752763"/>
    <w:multiLevelType w:val="multilevel"/>
    <w:tmpl w:val="853A6E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1CC7370"/>
    <w:multiLevelType w:val="hybridMultilevel"/>
    <w:tmpl w:val="A47227C8"/>
    <w:lvl w:ilvl="0" w:tplc="B0320138">
      <w:start w:val="1"/>
      <w:numFmt w:val="bullet"/>
      <w:lvlText w:val=""/>
      <w:lvlJc w:val="left"/>
      <w:pPr>
        <w:ind w:left="1780" w:hanging="360"/>
      </w:pPr>
      <w:rPr>
        <w:rFonts w:ascii="Symbol" w:hAnsi="Symbol"/>
      </w:rPr>
    </w:lvl>
    <w:lvl w:ilvl="1" w:tplc="2FCE377E">
      <w:start w:val="1"/>
      <w:numFmt w:val="bullet"/>
      <w:lvlText w:val=""/>
      <w:lvlJc w:val="left"/>
      <w:pPr>
        <w:ind w:left="1780" w:hanging="360"/>
      </w:pPr>
      <w:rPr>
        <w:rFonts w:ascii="Symbol" w:hAnsi="Symbol"/>
      </w:rPr>
    </w:lvl>
    <w:lvl w:ilvl="2" w:tplc="2A7C1A30">
      <w:start w:val="1"/>
      <w:numFmt w:val="bullet"/>
      <w:lvlText w:val=""/>
      <w:lvlJc w:val="left"/>
      <w:pPr>
        <w:ind w:left="1780" w:hanging="360"/>
      </w:pPr>
      <w:rPr>
        <w:rFonts w:ascii="Symbol" w:hAnsi="Symbol"/>
      </w:rPr>
    </w:lvl>
    <w:lvl w:ilvl="3" w:tplc="16D8D48C">
      <w:start w:val="1"/>
      <w:numFmt w:val="bullet"/>
      <w:lvlText w:val=""/>
      <w:lvlJc w:val="left"/>
      <w:pPr>
        <w:ind w:left="1780" w:hanging="360"/>
      </w:pPr>
      <w:rPr>
        <w:rFonts w:ascii="Symbol" w:hAnsi="Symbol"/>
      </w:rPr>
    </w:lvl>
    <w:lvl w:ilvl="4" w:tplc="7C60CE46">
      <w:start w:val="1"/>
      <w:numFmt w:val="bullet"/>
      <w:lvlText w:val=""/>
      <w:lvlJc w:val="left"/>
      <w:pPr>
        <w:ind w:left="1780" w:hanging="360"/>
      </w:pPr>
      <w:rPr>
        <w:rFonts w:ascii="Symbol" w:hAnsi="Symbol"/>
      </w:rPr>
    </w:lvl>
    <w:lvl w:ilvl="5" w:tplc="ED1A8BBE">
      <w:start w:val="1"/>
      <w:numFmt w:val="bullet"/>
      <w:lvlText w:val=""/>
      <w:lvlJc w:val="left"/>
      <w:pPr>
        <w:ind w:left="1780" w:hanging="360"/>
      </w:pPr>
      <w:rPr>
        <w:rFonts w:ascii="Symbol" w:hAnsi="Symbol"/>
      </w:rPr>
    </w:lvl>
    <w:lvl w:ilvl="6" w:tplc="95008466">
      <w:start w:val="1"/>
      <w:numFmt w:val="bullet"/>
      <w:lvlText w:val=""/>
      <w:lvlJc w:val="left"/>
      <w:pPr>
        <w:ind w:left="1780" w:hanging="360"/>
      </w:pPr>
      <w:rPr>
        <w:rFonts w:ascii="Symbol" w:hAnsi="Symbol"/>
      </w:rPr>
    </w:lvl>
    <w:lvl w:ilvl="7" w:tplc="A7E690B2">
      <w:start w:val="1"/>
      <w:numFmt w:val="bullet"/>
      <w:lvlText w:val=""/>
      <w:lvlJc w:val="left"/>
      <w:pPr>
        <w:ind w:left="1780" w:hanging="360"/>
      </w:pPr>
      <w:rPr>
        <w:rFonts w:ascii="Symbol" w:hAnsi="Symbol"/>
      </w:rPr>
    </w:lvl>
    <w:lvl w:ilvl="8" w:tplc="7868A59C">
      <w:start w:val="1"/>
      <w:numFmt w:val="bullet"/>
      <w:lvlText w:val=""/>
      <w:lvlJc w:val="left"/>
      <w:pPr>
        <w:ind w:left="1780" w:hanging="360"/>
      </w:pPr>
      <w:rPr>
        <w:rFonts w:ascii="Symbol" w:hAnsi="Symbol"/>
      </w:rPr>
    </w:lvl>
  </w:abstractNum>
  <w:abstractNum w:abstractNumId="58" w15:restartNumberingAfterBreak="0">
    <w:nsid w:val="72FA3433"/>
    <w:multiLevelType w:val="hybridMultilevel"/>
    <w:tmpl w:val="6496404C"/>
    <w:lvl w:ilvl="0" w:tplc="737CF57E">
      <w:numFmt w:val="bullet"/>
      <w:lvlText w:val="-"/>
      <w:lvlJc w:val="left"/>
      <w:pPr>
        <w:ind w:left="720" w:hanging="360"/>
      </w:pPr>
      <w:rPr>
        <w:rFonts w:ascii="Times New Roman" w:eastAsiaTheme="minorHAnsi" w:hAnsi="Times New Roman" w:cs="Times New Roman" w:hint="default"/>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744C5F91"/>
    <w:multiLevelType w:val="multilevel"/>
    <w:tmpl w:val="293672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46C1629"/>
    <w:multiLevelType w:val="hybridMultilevel"/>
    <w:tmpl w:val="9202EF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747460AA"/>
    <w:multiLevelType w:val="multilevel"/>
    <w:tmpl w:val="8C089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49C4A37"/>
    <w:multiLevelType w:val="hybridMultilevel"/>
    <w:tmpl w:val="DEFA961E"/>
    <w:lvl w:ilvl="0" w:tplc="8FD456CA">
      <w:start w:val="1"/>
      <w:numFmt w:val="bullet"/>
      <w:lvlText w:val=""/>
      <w:lvlJc w:val="left"/>
      <w:pPr>
        <w:ind w:left="720" w:hanging="360"/>
      </w:pPr>
      <w:rPr>
        <w:rFonts w:ascii="Symbol" w:hAnsi="Symbol"/>
      </w:rPr>
    </w:lvl>
    <w:lvl w:ilvl="1" w:tplc="04CEBB6E">
      <w:start w:val="1"/>
      <w:numFmt w:val="bullet"/>
      <w:lvlText w:val=""/>
      <w:lvlJc w:val="left"/>
      <w:pPr>
        <w:ind w:left="720" w:hanging="360"/>
      </w:pPr>
      <w:rPr>
        <w:rFonts w:ascii="Symbol" w:hAnsi="Symbol"/>
      </w:rPr>
    </w:lvl>
    <w:lvl w:ilvl="2" w:tplc="E6920A22">
      <w:start w:val="1"/>
      <w:numFmt w:val="bullet"/>
      <w:lvlText w:val=""/>
      <w:lvlJc w:val="left"/>
      <w:pPr>
        <w:ind w:left="720" w:hanging="360"/>
      </w:pPr>
      <w:rPr>
        <w:rFonts w:ascii="Symbol" w:hAnsi="Symbol"/>
      </w:rPr>
    </w:lvl>
    <w:lvl w:ilvl="3" w:tplc="2A06B4B4">
      <w:start w:val="1"/>
      <w:numFmt w:val="bullet"/>
      <w:lvlText w:val=""/>
      <w:lvlJc w:val="left"/>
      <w:pPr>
        <w:ind w:left="720" w:hanging="360"/>
      </w:pPr>
      <w:rPr>
        <w:rFonts w:ascii="Symbol" w:hAnsi="Symbol"/>
      </w:rPr>
    </w:lvl>
    <w:lvl w:ilvl="4" w:tplc="E4BE0588">
      <w:start w:val="1"/>
      <w:numFmt w:val="bullet"/>
      <w:lvlText w:val=""/>
      <w:lvlJc w:val="left"/>
      <w:pPr>
        <w:ind w:left="720" w:hanging="360"/>
      </w:pPr>
      <w:rPr>
        <w:rFonts w:ascii="Symbol" w:hAnsi="Symbol"/>
      </w:rPr>
    </w:lvl>
    <w:lvl w:ilvl="5" w:tplc="81AAF516">
      <w:start w:val="1"/>
      <w:numFmt w:val="bullet"/>
      <w:lvlText w:val=""/>
      <w:lvlJc w:val="left"/>
      <w:pPr>
        <w:ind w:left="720" w:hanging="360"/>
      </w:pPr>
      <w:rPr>
        <w:rFonts w:ascii="Symbol" w:hAnsi="Symbol"/>
      </w:rPr>
    </w:lvl>
    <w:lvl w:ilvl="6" w:tplc="D4A8D962">
      <w:start w:val="1"/>
      <w:numFmt w:val="bullet"/>
      <w:lvlText w:val=""/>
      <w:lvlJc w:val="left"/>
      <w:pPr>
        <w:ind w:left="720" w:hanging="360"/>
      </w:pPr>
      <w:rPr>
        <w:rFonts w:ascii="Symbol" w:hAnsi="Symbol"/>
      </w:rPr>
    </w:lvl>
    <w:lvl w:ilvl="7" w:tplc="2FD0C322">
      <w:start w:val="1"/>
      <w:numFmt w:val="bullet"/>
      <w:lvlText w:val=""/>
      <w:lvlJc w:val="left"/>
      <w:pPr>
        <w:ind w:left="720" w:hanging="360"/>
      </w:pPr>
      <w:rPr>
        <w:rFonts w:ascii="Symbol" w:hAnsi="Symbol"/>
      </w:rPr>
    </w:lvl>
    <w:lvl w:ilvl="8" w:tplc="6316B8B8">
      <w:start w:val="1"/>
      <w:numFmt w:val="bullet"/>
      <w:lvlText w:val=""/>
      <w:lvlJc w:val="left"/>
      <w:pPr>
        <w:ind w:left="720" w:hanging="360"/>
      </w:pPr>
      <w:rPr>
        <w:rFonts w:ascii="Symbol" w:hAnsi="Symbol"/>
      </w:rPr>
    </w:lvl>
  </w:abstractNum>
  <w:abstractNum w:abstractNumId="63" w15:restartNumberingAfterBreak="0">
    <w:nsid w:val="79243CA2"/>
    <w:multiLevelType w:val="multilevel"/>
    <w:tmpl w:val="D26E3F9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AAC736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C824D80"/>
    <w:multiLevelType w:val="multilevel"/>
    <w:tmpl w:val="C106A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D207868"/>
    <w:multiLevelType w:val="hybridMultilevel"/>
    <w:tmpl w:val="ECF0515E"/>
    <w:lvl w:ilvl="0" w:tplc="F05EE8B0">
      <w:start w:val="1"/>
      <w:numFmt w:val="bullet"/>
      <w:lvlText w:val=""/>
      <w:lvlJc w:val="left"/>
      <w:pPr>
        <w:ind w:left="720" w:hanging="360"/>
      </w:pPr>
      <w:rPr>
        <w:rFonts w:ascii="Symbol" w:hAnsi="Symbol"/>
      </w:rPr>
    </w:lvl>
    <w:lvl w:ilvl="1" w:tplc="532411DA">
      <w:start w:val="1"/>
      <w:numFmt w:val="bullet"/>
      <w:lvlText w:val=""/>
      <w:lvlJc w:val="left"/>
      <w:pPr>
        <w:ind w:left="720" w:hanging="360"/>
      </w:pPr>
      <w:rPr>
        <w:rFonts w:ascii="Symbol" w:hAnsi="Symbol"/>
      </w:rPr>
    </w:lvl>
    <w:lvl w:ilvl="2" w:tplc="519415D6">
      <w:start w:val="1"/>
      <w:numFmt w:val="bullet"/>
      <w:lvlText w:val=""/>
      <w:lvlJc w:val="left"/>
      <w:pPr>
        <w:ind w:left="720" w:hanging="360"/>
      </w:pPr>
      <w:rPr>
        <w:rFonts w:ascii="Symbol" w:hAnsi="Symbol"/>
      </w:rPr>
    </w:lvl>
    <w:lvl w:ilvl="3" w:tplc="2F04F1B6">
      <w:start w:val="1"/>
      <w:numFmt w:val="bullet"/>
      <w:lvlText w:val=""/>
      <w:lvlJc w:val="left"/>
      <w:pPr>
        <w:ind w:left="720" w:hanging="360"/>
      </w:pPr>
      <w:rPr>
        <w:rFonts w:ascii="Symbol" w:hAnsi="Symbol"/>
      </w:rPr>
    </w:lvl>
    <w:lvl w:ilvl="4" w:tplc="69A43C62">
      <w:start w:val="1"/>
      <w:numFmt w:val="bullet"/>
      <w:lvlText w:val=""/>
      <w:lvlJc w:val="left"/>
      <w:pPr>
        <w:ind w:left="720" w:hanging="360"/>
      </w:pPr>
      <w:rPr>
        <w:rFonts w:ascii="Symbol" w:hAnsi="Symbol"/>
      </w:rPr>
    </w:lvl>
    <w:lvl w:ilvl="5" w:tplc="C55CD730">
      <w:start w:val="1"/>
      <w:numFmt w:val="bullet"/>
      <w:lvlText w:val=""/>
      <w:lvlJc w:val="left"/>
      <w:pPr>
        <w:ind w:left="720" w:hanging="360"/>
      </w:pPr>
      <w:rPr>
        <w:rFonts w:ascii="Symbol" w:hAnsi="Symbol"/>
      </w:rPr>
    </w:lvl>
    <w:lvl w:ilvl="6" w:tplc="F8FA3D6E">
      <w:start w:val="1"/>
      <w:numFmt w:val="bullet"/>
      <w:lvlText w:val=""/>
      <w:lvlJc w:val="left"/>
      <w:pPr>
        <w:ind w:left="720" w:hanging="360"/>
      </w:pPr>
      <w:rPr>
        <w:rFonts w:ascii="Symbol" w:hAnsi="Symbol"/>
      </w:rPr>
    </w:lvl>
    <w:lvl w:ilvl="7" w:tplc="0FD60396">
      <w:start w:val="1"/>
      <w:numFmt w:val="bullet"/>
      <w:lvlText w:val=""/>
      <w:lvlJc w:val="left"/>
      <w:pPr>
        <w:ind w:left="720" w:hanging="360"/>
      </w:pPr>
      <w:rPr>
        <w:rFonts w:ascii="Symbol" w:hAnsi="Symbol"/>
      </w:rPr>
    </w:lvl>
    <w:lvl w:ilvl="8" w:tplc="E498385A">
      <w:start w:val="1"/>
      <w:numFmt w:val="bullet"/>
      <w:lvlText w:val=""/>
      <w:lvlJc w:val="left"/>
      <w:pPr>
        <w:ind w:left="720" w:hanging="360"/>
      </w:pPr>
      <w:rPr>
        <w:rFonts w:ascii="Symbol" w:hAnsi="Symbol"/>
      </w:rPr>
    </w:lvl>
  </w:abstractNum>
  <w:abstractNum w:abstractNumId="67" w15:restartNumberingAfterBreak="0">
    <w:nsid w:val="7FCB61CA"/>
    <w:multiLevelType w:val="multilevel"/>
    <w:tmpl w:val="379A7796"/>
    <w:lvl w:ilvl="0">
      <w:start w:val="1"/>
      <w:numFmt w:val="decimal"/>
      <w:lvlText w:val="%1."/>
      <w:lvlJc w:val="left"/>
      <w:pPr>
        <w:ind w:left="360" w:hanging="360"/>
      </w:pPr>
    </w:lvl>
    <w:lvl w:ilvl="1">
      <w:start w:val="1"/>
      <w:numFmt w:val="decimal"/>
      <w:pStyle w:val="Heading2"/>
      <w:lvlText w:val="%1.%2."/>
      <w:lvlJc w:val="left"/>
      <w:pPr>
        <w:ind w:left="1566"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7"/>
  </w:num>
  <w:num w:numId="2">
    <w:abstractNumId w:val="57"/>
  </w:num>
  <w:num w:numId="3">
    <w:abstractNumId w:val="11"/>
  </w:num>
  <w:num w:numId="4">
    <w:abstractNumId w:val="36"/>
  </w:num>
  <w:num w:numId="5">
    <w:abstractNumId w:val="19"/>
  </w:num>
  <w:num w:numId="6">
    <w:abstractNumId w:val="25"/>
  </w:num>
  <w:num w:numId="7">
    <w:abstractNumId w:val="44"/>
  </w:num>
  <w:num w:numId="8">
    <w:abstractNumId w:val="48"/>
  </w:num>
  <w:num w:numId="9">
    <w:abstractNumId w:val="30"/>
  </w:num>
  <w:num w:numId="10">
    <w:abstractNumId w:val="27"/>
  </w:num>
  <w:num w:numId="11">
    <w:abstractNumId w:val="20"/>
  </w:num>
  <w:num w:numId="12">
    <w:abstractNumId w:val="42"/>
  </w:num>
  <w:num w:numId="13">
    <w:abstractNumId w:val="52"/>
  </w:num>
  <w:num w:numId="14">
    <w:abstractNumId w:val="56"/>
  </w:num>
  <w:num w:numId="15">
    <w:abstractNumId w:val="8"/>
  </w:num>
  <w:num w:numId="16">
    <w:abstractNumId w:val="7"/>
  </w:num>
  <w:num w:numId="17">
    <w:abstractNumId w:val="0"/>
  </w:num>
  <w:num w:numId="18">
    <w:abstractNumId w:val="3"/>
  </w:num>
  <w:num w:numId="19">
    <w:abstractNumId w:val="49"/>
  </w:num>
  <w:num w:numId="20">
    <w:abstractNumId w:val="14"/>
  </w:num>
  <w:num w:numId="21">
    <w:abstractNumId w:val="35"/>
  </w:num>
  <w:num w:numId="22">
    <w:abstractNumId w:val="59"/>
  </w:num>
  <w:num w:numId="23">
    <w:abstractNumId w:val="24"/>
  </w:num>
  <w:num w:numId="24">
    <w:abstractNumId w:val="22"/>
  </w:num>
  <w:num w:numId="25">
    <w:abstractNumId w:val="17"/>
  </w:num>
  <w:num w:numId="26">
    <w:abstractNumId w:val="65"/>
  </w:num>
  <w:num w:numId="27">
    <w:abstractNumId w:val="45"/>
  </w:num>
  <w:num w:numId="28">
    <w:abstractNumId w:val="41"/>
  </w:num>
  <w:num w:numId="29">
    <w:abstractNumId w:val="31"/>
  </w:num>
  <w:num w:numId="30">
    <w:abstractNumId w:val="53"/>
  </w:num>
  <w:num w:numId="31">
    <w:abstractNumId w:val="26"/>
  </w:num>
  <w:num w:numId="32">
    <w:abstractNumId w:val="51"/>
  </w:num>
  <w:num w:numId="33">
    <w:abstractNumId w:val="29"/>
  </w:num>
  <w:num w:numId="34">
    <w:abstractNumId w:val="61"/>
  </w:num>
  <w:num w:numId="35">
    <w:abstractNumId w:val="6"/>
  </w:num>
  <w:num w:numId="36">
    <w:abstractNumId w:val="64"/>
  </w:num>
  <w:num w:numId="37">
    <w:abstractNumId w:val="32"/>
  </w:num>
  <w:num w:numId="38">
    <w:abstractNumId w:val="38"/>
  </w:num>
  <w:num w:numId="39">
    <w:abstractNumId w:val="54"/>
  </w:num>
  <w:num w:numId="40">
    <w:abstractNumId w:val="1"/>
  </w:num>
  <w:num w:numId="41">
    <w:abstractNumId w:val="34"/>
  </w:num>
  <w:num w:numId="42">
    <w:abstractNumId w:val="47"/>
  </w:num>
  <w:num w:numId="43">
    <w:abstractNumId w:val="13"/>
  </w:num>
  <w:num w:numId="44">
    <w:abstractNumId w:val="33"/>
  </w:num>
  <w:num w:numId="45">
    <w:abstractNumId w:val="5"/>
  </w:num>
  <w:num w:numId="46">
    <w:abstractNumId w:val="28"/>
  </w:num>
  <w:num w:numId="47">
    <w:abstractNumId w:val="43"/>
  </w:num>
  <w:num w:numId="48">
    <w:abstractNumId w:val="40"/>
  </w:num>
  <w:num w:numId="49">
    <w:abstractNumId w:val="60"/>
  </w:num>
  <w:num w:numId="50">
    <w:abstractNumId w:val="2"/>
  </w:num>
  <w:num w:numId="51">
    <w:abstractNumId w:val="9"/>
  </w:num>
  <w:num w:numId="52">
    <w:abstractNumId w:val="37"/>
  </w:num>
  <w:num w:numId="53">
    <w:abstractNumId w:val="63"/>
  </w:num>
  <w:num w:numId="54">
    <w:abstractNumId w:val="12"/>
  </w:num>
  <w:num w:numId="55">
    <w:abstractNumId w:val="21"/>
  </w:num>
  <w:num w:numId="56">
    <w:abstractNumId w:val="15"/>
  </w:num>
  <w:num w:numId="57">
    <w:abstractNumId w:val="58"/>
  </w:num>
  <w:num w:numId="58">
    <w:abstractNumId w:val="46"/>
  </w:num>
  <w:num w:numId="59">
    <w:abstractNumId w:val="10"/>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6"/>
  </w:num>
  <w:num w:numId="62">
    <w:abstractNumId w:val="62"/>
  </w:num>
  <w:num w:numId="63">
    <w:abstractNumId w:val="23"/>
  </w:num>
  <w:num w:numId="64">
    <w:abstractNumId w:val="4"/>
  </w:num>
  <w:num w:numId="65">
    <w:abstractNumId w:val="55"/>
  </w:num>
  <w:num w:numId="66">
    <w:abstractNumId w:val="18"/>
  </w:num>
  <w:num w:numId="67">
    <w:abstractNumId w:val="16"/>
  </w:num>
  <w:num w:numId="68">
    <w:abstractNumId w:val="16"/>
  </w:num>
  <w:num w:numId="69">
    <w:abstractNumId w:val="50"/>
  </w:num>
  <w:num w:numId="70">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revisionView w:markup="0"/>
  <w:documentProtection w:edit="readOnly" w:enforcement="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D85852EA-4F3E-4F70-9B6B-65EB9C91092D"/>
    <w:docVar w:name="LW_COVERPAGE_TYPE" w:val="1"/>
    <w:docVar w:name="LW_CROSSREFERENCE" w:val="&lt;UNUSED&gt;"/>
    <w:docVar w:name="LW_DocType" w:val="NORMAL"/>
    <w:docVar w:name="LW_EMISSION" w:val="12.3.2024"/>
    <w:docVar w:name="LW_EMISSION_ISODATE" w:val="2024-03-12"/>
    <w:docVar w:name="LW_EMISSION_LOCATION" w:val="STR"/>
    <w:docVar w:name="LW_EMISSION_PREFIX" w:val="Strasbourg den "/>
    <w:docVar w:name="LW_EMISSION_SUFFIX" w:val=" "/>
    <w:docVar w:name="LW_ID_DOCTYPE_NONLW" w:val="CP-014"/>
    <w:docVar w:name="LW_LANGUE" w:val="SV"/>
    <w:docVar w:name="LW_LEVEL_OF_SENSITIVITY" w:val="Standard treatment"/>
    <w:docVar w:name="LW_NOM.INST" w:val="EUROPEISKA KOMMISSIONEN"/>
    <w:docVar w:name="LW_NOM.INST_JOINTDOC" w:val="&lt;EMPTY&gt;"/>
    <w:docVar w:name="LW_PART_NBR" w:val="1"/>
    <w:docVar w:name="LW_PART_NBR_TOTAL" w:val="1"/>
    <w:docVar w:name="LW_REF.INST.NEW" w:val="COM"/>
    <w:docVar w:name="LW_REF.INST.NEW_ADOPTED" w:val="final"/>
    <w:docVar w:name="LW_REF.INST.NEW_TEXT" w:val="(2024) 9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Hantera klimatriskerna \u8211? skydda människor och välstånd"/>
    <w:docVar w:name="LW_TYPE.DOC.CP" w:val="MEDDELANDE FRÅN KOMMISSIONEN TILL EUROPAPARLAMENTET, RÅDET, EUROPEISKA EKONOMISKA OCH SOCIALA KOMMITTÉN SAMT REGIONKOMMITTÉN"/>
    <w:docVar w:name="LW_TYPE.DOC.CP.USERTEXT" w:val="&lt;EMPTY&gt;"/>
    <w:docVar w:name="LwApiVersions" w:val="LW4CoDe 1.24.5.0; LW 9.0, Build 20240221"/>
  </w:docVars>
  <w:rsids>
    <w:rsidRoot w:val="0053389F"/>
    <w:rsid w:val="00000066"/>
    <w:rsid w:val="00000455"/>
    <w:rsid w:val="000005EC"/>
    <w:rsid w:val="000008B7"/>
    <w:rsid w:val="0000095D"/>
    <w:rsid w:val="0000096D"/>
    <w:rsid w:val="000009B7"/>
    <w:rsid w:val="00000A80"/>
    <w:rsid w:val="0000104D"/>
    <w:rsid w:val="000012FA"/>
    <w:rsid w:val="000013CC"/>
    <w:rsid w:val="0000165B"/>
    <w:rsid w:val="0000173F"/>
    <w:rsid w:val="00001819"/>
    <w:rsid w:val="0000187B"/>
    <w:rsid w:val="00001CE7"/>
    <w:rsid w:val="00001CF8"/>
    <w:rsid w:val="00001DEC"/>
    <w:rsid w:val="00001E5A"/>
    <w:rsid w:val="00001EB2"/>
    <w:rsid w:val="00001ED4"/>
    <w:rsid w:val="000022DA"/>
    <w:rsid w:val="00002309"/>
    <w:rsid w:val="000023F2"/>
    <w:rsid w:val="000024B5"/>
    <w:rsid w:val="0000254B"/>
    <w:rsid w:val="0000259A"/>
    <w:rsid w:val="00002703"/>
    <w:rsid w:val="00002735"/>
    <w:rsid w:val="00002B07"/>
    <w:rsid w:val="00002B52"/>
    <w:rsid w:val="00002B56"/>
    <w:rsid w:val="00002C91"/>
    <w:rsid w:val="00002F4F"/>
    <w:rsid w:val="0000334C"/>
    <w:rsid w:val="0000341B"/>
    <w:rsid w:val="00003592"/>
    <w:rsid w:val="0000375A"/>
    <w:rsid w:val="000037DF"/>
    <w:rsid w:val="000038FC"/>
    <w:rsid w:val="00003B97"/>
    <w:rsid w:val="00003C18"/>
    <w:rsid w:val="00003C5B"/>
    <w:rsid w:val="00003CA6"/>
    <w:rsid w:val="00003CD2"/>
    <w:rsid w:val="000040FA"/>
    <w:rsid w:val="00004170"/>
    <w:rsid w:val="000041CA"/>
    <w:rsid w:val="0000428B"/>
    <w:rsid w:val="000042E8"/>
    <w:rsid w:val="00004536"/>
    <w:rsid w:val="00004609"/>
    <w:rsid w:val="00004616"/>
    <w:rsid w:val="00004847"/>
    <w:rsid w:val="00004879"/>
    <w:rsid w:val="00004C19"/>
    <w:rsid w:val="00004FEE"/>
    <w:rsid w:val="0000549D"/>
    <w:rsid w:val="0000554F"/>
    <w:rsid w:val="00005789"/>
    <w:rsid w:val="00005898"/>
    <w:rsid w:val="0000599C"/>
    <w:rsid w:val="00005A2F"/>
    <w:rsid w:val="00005B11"/>
    <w:rsid w:val="00005C39"/>
    <w:rsid w:val="0000602C"/>
    <w:rsid w:val="00006080"/>
    <w:rsid w:val="000060E5"/>
    <w:rsid w:val="00006220"/>
    <w:rsid w:val="0000627B"/>
    <w:rsid w:val="00006337"/>
    <w:rsid w:val="00006463"/>
    <w:rsid w:val="000065AC"/>
    <w:rsid w:val="00006716"/>
    <w:rsid w:val="000067F3"/>
    <w:rsid w:val="0000693C"/>
    <w:rsid w:val="00006D40"/>
    <w:rsid w:val="00007186"/>
    <w:rsid w:val="000072C8"/>
    <w:rsid w:val="00007397"/>
    <w:rsid w:val="000073BB"/>
    <w:rsid w:val="00007528"/>
    <w:rsid w:val="00007718"/>
    <w:rsid w:val="0000772E"/>
    <w:rsid w:val="0000789E"/>
    <w:rsid w:val="000079A8"/>
    <w:rsid w:val="000079AD"/>
    <w:rsid w:val="00007B54"/>
    <w:rsid w:val="00007ED2"/>
    <w:rsid w:val="0001017B"/>
    <w:rsid w:val="00010493"/>
    <w:rsid w:val="0001053E"/>
    <w:rsid w:val="000105AA"/>
    <w:rsid w:val="000105E0"/>
    <w:rsid w:val="0001084E"/>
    <w:rsid w:val="00010BCC"/>
    <w:rsid w:val="00010C38"/>
    <w:rsid w:val="00010E22"/>
    <w:rsid w:val="00010E7B"/>
    <w:rsid w:val="000113BA"/>
    <w:rsid w:val="000113BB"/>
    <w:rsid w:val="000114CF"/>
    <w:rsid w:val="000114DC"/>
    <w:rsid w:val="0001159C"/>
    <w:rsid w:val="000115A7"/>
    <w:rsid w:val="000116A0"/>
    <w:rsid w:val="000117B9"/>
    <w:rsid w:val="00011813"/>
    <w:rsid w:val="00011973"/>
    <w:rsid w:val="00011A71"/>
    <w:rsid w:val="00011DEF"/>
    <w:rsid w:val="00011E39"/>
    <w:rsid w:val="00011F2B"/>
    <w:rsid w:val="00011F99"/>
    <w:rsid w:val="0001222E"/>
    <w:rsid w:val="000123D9"/>
    <w:rsid w:val="00012500"/>
    <w:rsid w:val="000125DD"/>
    <w:rsid w:val="000125F6"/>
    <w:rsid w:val="000128EE"/>
    <w:rsid w:val="00012988"/>
    <w:rsid w:val="000129C9"/>
    <w:rsid w:val="00012AE4"/>
    <w:rsid w:val="00012B0B"/>
    <w:rsid w:val="00012B72"/>
    <w:rsid w:val="00012C81"/>
    <w:rsid w:val="00012D47"/>
    <w:rsid w:val="00012D93"/>
    <w:rsid w:val="00012DC6"/>
    <w:rsid w:val="00012F68"/>
    <w:rsid w:val="00012FAC"/>
    <w:rsid w:val="00013133"/>
    <w:rsid w:val="000135BA"/>
    <w:rsid w:val="000138A8"/>
    <w:rsid w:val="00013A3F"/>
    <w:rsid w:val="00013C11"/>
    <w:rsid w:val="00013DDB"/>
    <w:rsid w:val="00013E15"/>
    <w:rsid w:val="00013EAF"/>
    <w:rsid w:val="0001450F"/>
    <w:rsid w:val="000145B6"/>
    <w:rsid w:val="00014617"/>
    <w:rsid w:val="000147C5"/>
    <w:rsid w:val="00014841"/>
    <w:rsid w:val="000149EE"/>
    <w:rsid w:val="00014A4F"/>
    <w:rsid w:val="00014BAC"/>
    <w:rsid w:val="00014D4A"/>
    <w:rsid w:val="000152F0"/>
    <w:rsid w:val="0001579C"/>
    <w:rsid w:val="0001581E"/>
    <w:rsid w:val="00015E38"/>
    <w:rsid w:val="000160C9"/>
    <w:rsid w:val="00016212"/>
    <w:rsid w:val="000162D3"/>
    <w:rsid w:val="00016421"/>
    <w:rsid w:val="000167E8"/>
    <w:rsid w:val="00016E48"/>
    <w:rsid w:val="00016F15"/>
    <w:rsid w:val="00017346"/>
    <w:rsid w:val="0001735A"/>
    <w:rsid w:val="0001735C"/>
    <w:rsid w:val="000173E5"/>
    <w:rsid w:val="0001744F"/>
    <w:rsid w:val="000175CC"/>
    <w:rsid w:val="00017C82"/>
    <w:rsid w:val="00017CFD"/>
    <w:rsid w:val="00017E7F"/>
    <w:rsid w:val="00017FA4"/>
    <w:rsid w:val="000200FC"/>
    <w:rsid w:val="0002021B"/>
    <w:rsid w:val="000202D7"/>
    <w:rsid w:val="00020367"/>
    <w:rsid w:val="00020567"/>
    <w:rsid w:val="00020588"/>
    <w:rsid w:val="0002115D"/>
    <w:rsid w:val="0002118F"/>
    <w:rsid w:val="0002122B"/>
    <w:rsid w:val="0002140F"/>
    <w:rsid w:val="00021631"/>
    <w:rsid w:val="00021663"/>
    <w:rsid w:val="000216DC"/>
    <w:rsid w:val="000217EA"/>
    <w:rsid w:val="0002198F"/>
    <w:rsid w:val="00021A06"/>
    <w:rsid w:val="00021B57"/>
    <w:rsid w:val="00021C49"/>
    <w:rsid w:val="00021D45"/>
    <w:rsid w:val="00021D66"/>
    <w:rsid w:val="00021F07"/>
    <w:rsid w:val="00021F9F"/>
    <w:rsid w:val="00022052"/>
    <w:rsid w:val="0002208D"/>
    <w:rsid w:val="00022123"/>
    <w:rsid w:val="000221BB"/>
    <w:rsid w:val="00022431"/>
    <w:rsid w:val="000225D3"/>
    <w:rsid w:val="00022633"/>
    <w:rsid w:val="0002267F"/>
    <w:rsid w:val="000227D1"/>
    <w:rsid w:val="000228C3"/>
    <w:rsid w:val="00022984"/>
    <w:rsid w:val="00022A38"/>
    <w:rsid w:val="00022B16"/>
    <w:rsid w:val="00022B3C"/>
    <w:rsid w:val="0002310F"/>
    <w:rsid w:val="00023153"/>
    <w:rsid w:val="000232F3"/>
    <w:rsid w:val="00023303"/>
    <w:rsid w:val="00023390"/>
    <w:rsid w:val="00023E46"/>
    <w:rsid w:val="00023FCC"/>
    <w:rsid w:val="00024066"/>
    <w:rsid w:val="00024110"/>
    <w:rsid w:val="0002415E"/>
    <w:rsid w:val="000244E5"/>
    <w:rsid w:val="0002475C"/>
    <w:rsid w:val="00024B92"/>
    <w:rsid w:val="00024CF2"/>
    <w:rsid w:val="00024EAA"/>
    <w:rsid w:val="00025099"/>
    <w:rsid w:val="00025166"/>
    <w:rsid w:val="00025168"/>
    <w:rsid w:val="0002528A"/>
    <w:rsid w:val="0002561B"/>
    <w:rsid w:val="000257F3"/>
    <w:rsid w:val="00025931"/>
    <w:rsid w:val="00025A33"/>
    <w:rsid w:val="00025B39"/>
    <w:rsid w:val="00025CF8"/>
    <w:rsid w:val="00025D3A"/>
    <w:rsid w:val="00025E3C"/>
    <w:rsid w:val="00025F0D"/>
    <w:rsid w:val="000260B7"/>
    <w:rsid w:val="0002618D"/>
    <w:rsid w:val="000262C8"/>
    <w:rsid w:val="0002638C"/>
    <w:rsid w:val="0002650A"/>
    <w:rsid w:val="0002651F"/>
    <w:rsid w:val="00026691"/>
    <w:rsid w:val="0002686A"/>
    <w:rsid w:val="0002690E"/>
    <w:rsid w:val="00026A9B"/>
    <w:rsid w:val="00026AC3"/>
    <w:rsid w:val="00026AFC"/>
    <w:rsid w:val="00026AFF"/>
    <w:rsid w:val="00026F51"/>
    <w:rsid w:val="0002702D"/>
    <w:rsid w:val="000275BC"/>
    <w:rsid w:val="00027601"/>
    <w:rsid w:val="00027655"/>
    <w:rsid w:val="0002775F"/>
    <w:rsid w:val="000278E0"/>
    <w:rsid w:val="00027ACE"/>
    <w:rsid w:val="00027C6C"/>
    <w:rsid w:val="00027CD1"/>
    <w:rsid w:val="00027DF7"/>
    <w:rsid w:val="000303B2"/>
    <w:rsid w:val="00030482"/>
    <w:rsid w:val="000305F7"/>
    <w:rsid w:val="0003067E"/>
    <w:rsid w:val="00030800"/>
    <w:rsid w:val="0003082B"/>
    <w:rsid w:val="00030B2B"/>
    <w:rsid w:val="00030BAF"/>
    <w:rsid w:val="00030BE6"/>
    <w:rsid w:val="00030C95"/>
    <w:rsid w:val="00030DAB"/>
    <w:rsid w:val="000310DB"/>
    <w:rsid w:val="00031269"/>
    <w:rsid w:val="00031389"/>
    <w:rsid w:val="00031420"/>
    <w:rsid w:val="00031709"/>
    <w:rsid w:val="00031C4E"/>
    <w:rsid w:val="00031C99"/>
    <w:rsid w:val="00031CCC"/>
    <w:rsid w:val="00031D7F"/>
    <w:rsid w:val="00031D9F"/>
    <w:rsid w:val="0003202F"/>
    <w:rsid w:val="00032096"/>
    <w:rsid w:val="00032669"/>
    <w:rsid w:val="0003276F"/>
    <w:rsid w:val="00032ADC"/>
    <w:rsid w:val="00032C02"/>
    <w:rsid w:val="00032C0D"/>
    <w:rsid w:val="00032C65"/>
    <w:rsid w:val="00032D11"/>
    <w:rsid w:val="00032DB0"/>
    <w:rsid w:val="00032FEE"/>
    <w:rsid w:val="00033756"/>
    <w:rsid w:val="000338F4"/>
    <w:rsid w:val="00033AA4"/>
    <w:rsid w:val="00033CE6"/>
    <w:rsid w:val="00033EA4"/>
    <w:rsid w:val="00033F82"/>
    <w:rsid w:val="00034010"/>
    <w:rsid w:val="000343DF"/>
    <w:rsid w:val="0003457C"/>
    <w:rsid w:val="000346A4"/>
    <w:rsid w:val="0003471B"/>
    <w:rsid w:val="00034853"/>
    <w:rsid w:val="000348B8"/>
    <w:rsid w:val="00034B07"/>
    <w:rsid w:val="00034BD7"/>
    <w:rsid w:val="00034C63"/>
    <w:rsid w:val="00034DD5"/>
    <w:rsid w:val="00034EEC"/>
    <w:rsid w:val="0003504E"/>
    <w:rsid w:val="00035246"/>
    <w:rsid w:val="000352EE"/>
    <w:rsid w:val="000353A7"/>
    <w:rsid w:val="000353E2"/>
    <w:rsid w:val="000355A9"/>
    <w:rsid w:val="00035991"/>
    <w:rsid w:val="00035A49"/>
    <w:rsid w:val="00035BD4"/>
    <w:rsid w:val="00035E05"/>
    <w:rsid w:val="00035E26"/>
    <w:rsid w:val="00035FB6"/>
    <w:rsid w:val="00036035"/>
    <w:rsid w:val="00036181"/>
    <w:rsid w:val="00036C47"/>
    <w:rsid w:val="00036DB2"/>
    <w:rsid w:val="000374E1"/>
    <w:rsid w:val="00037838"/>
    <w:rsid w:val="00037A30"/>
    <w:rsid w:val="00037CD5"/>
    <w:rsid w:val="00037D92"/>
    <w:rsid w:val="00037F7C"/>
    <w:rsid w:val="00037FFE"/>
    <w:rsid w:val="00040039"/>
    <w:rsid w:val="00040260"/>
    <w:rsid w:val="00040539"/>
    <w:rsid w:val="00040652"/>
    <w:rsid w:val="00040BB4"/>
    <w:rsid w:val="00040C6C"/>
    <w:rsid w:val="00040CC6"/>
    <w:rsid w:val="00040E8A"/>
    <w:rsid w:val="00040F07"/>
    <w:rsid w:val="0004109A"/>
    <w:rsid w:val="00041112"/>
    <w:rsid w:val="0004138A"/>
    <w:rsid w:val="000419BB"/>
    <w:rsid w:val="00041A9E"/>
    <w:rsid w:val="00041BEF"/>
    <w:rsid w:val="00041F41"/>
    <w:rsid w:val="000424C2"/>
    <w:rsid w:val="00042935"/>
    <w:rsid w:val="00042936"/>
    <w:rsid w:val="000429AB"/>
    <w:rsid w:val="00042B57"/>
    <w:rsid w:val="00042B60"/>
    <w:rsid w:val="00042CF3"/>
    <w:rsid w:val="00042E44"/>
    <w:rsid w:val="00042FB7"/>
    <w:rsid w:val="00043029"/>
    <w:rsid w:val="000430C3"/>
    <w:rsid w:val="0004357B"/>
    <w:rsid w:val="000435FD"/>
    <w:rsid w:val="000438EF"/>
    <w:rsid w:val="00043BDF"/>
    <w:rsid w:val="00043CAF"/>
    <w:rsid w:val="00043CC4"/>
    <w:rsid w:val="00043CD0"/>
    <w:rsid w:val="000442D2"/>
    <w:rsid w:val="000444E6"/>
    <w:rsid w:val="0004458B"/>
    <w:rsid w:val="0004477D"/>
    <w:rsid w:val="00044BFC"/>
    <w:rsid w:val="00044CB7"/>
    <w:rsid w:val="00044DC7"/>
    <w:rsid w:val="00044FAB"/>
    <w:rsid w:val="000450BC"/>
    <w:rsid w:val="000452AD"/>
    <w:rsid w:val="00045390"/>
    <w:rsid w:val="0004542D"/>
    <w:rsid w:val="00045478"/>
    <w:rsid w:val="0004549D"/>
    <w:rsid w:val="0004571B"/>
    <w:rsid w:val="0004577A"/>
    <w:rsid w:val="0004584B"/>
    <w:rsid w:val="00045BF1"/>
    <w:rsid w:val="00045D79"/>
    <w:rsid w:val="00045DCE"/>
    <w:rsid w:val="00046670"/>
    <w:rsid w:val="000466C3"/>
    <w:rsid w:val="00046843"/>
    <w:rsid w:val="0004693C"/>
    <w:rsid w:val="000469F4"/>
    <w:rsid w:val="00046B05"/>
    <w:rsid w:val="00046B2C"/>
    <w:rsid w:val="00046BE9"/>
    <w:rsid w:val="00046C2F"/>
    <w:rsid w:val="00046D6D"/>
    <w:rsid w:val="000473DB"/>
    <w:rsid w:val="00047541"/>
    <w:rsid w:val="000475FA"/>
    <w:rsid w:val="0004762C"/>
    <w:rsid w:val="00047648"/>
    <w:rsid w:val="000476CD"/>
    <w:rsid w:val="00047AB3"/>
    <w:rsid w:val="00047BDF"/>
    <w:rsid w:val="00047C13"/>
    <w:rsid w:val="00047D30"/>
    <w:rsid w:val="00047D33"/>
    <w:rsid w:val="00047E4A"/>
    <w:rsid w:val="00047FA1"/>
    <w:rsid w:val="0005002D"/>
    <w:rsid w:val="00050093"/>
    <w:rsid w:val="000502CB"/>
    <w:rsid w:val="00050376"/>
    <w:rsid w:val="0005053E"/>
    <w:rsid w:val="00050631"/>
    <w:rsid w:val="00050845"/>
    <w:rsid w:val="000508EB"/>
    <w:rsid w:val="00050DE4"/>
    <w:rsid w:val="00050EF6"/>
    <w:rsid w:val="00050FFE"/>
    <w:rsid w:val="0005109D"/>
    <w:rsid w:val="000511D9"/>
    <w:rsid w:val="0005122F"/>
    <w:rsid w:val="00051310"/>
    <w:rsid w:val="000514D3"/>
    <w:rsid w:val="0005158B"/>
    <w:rsid w:val="0005159B"/>
    <w:rsid w:val="000515F4"/>
    <w:rsid w:val="000516FA"/>
    <w:rsid w:val="0005172F"/>
    <w:rsid w:val="000517D0"/>
    <w:rsid w:val="000518D6"/>
    <w:rsid w:val="00051A8B"/>
    <w:rsid w:val="00051B1D"/>
    <w:rsid w:val="00051BBD"/>
    <w:rsid w:val="00051D06"/>
    <w:rsid w:val="00051E81"/>
    <w:rsid w:val="00051F02"/>
    <w:rsid w:val="00051FAE"/>
    <w:rsid w:val="00052051"/>
    <w:rsid w:val="000520C7"/>
    <w:rsid w:val="000525E7"/>
    <w:rsid w:val="000525FD"/>
    <w:rsid w:val="00052813"/>
    <w:rsid w:val="00052C60"/>
    <w:rsid w:val="00052F72"/>
    <w:rsid w:val="00053099"/>
    <w:rsid w:val="000533AE"/>
    <w:rsid w:val="000536C9"/>
    <w:rsid w:val="000536CB"/>
    <w:rsid w:val="00053B22"/>
    <w:rsid w:val="00053D11"/>
    <w:rsid w:val="00053D1A"/>
    <w:rsid w:val="00053DCE"/>
    <w:rsid w:val="00053F02"/>
    <w:rsid w:val="000543CF"/>
    <w:rsid w:val="0005442D"/>
    <w:rsid w:val="00054447"/>
    <w:rsid w:val="000545E2"/>
    <w:rsid w:val="00054732"/>
    <w:rsid w:val="00054736"/>
    <w:rsid w:val="000548B4"/>
    <w:rsid w:val="00054991"/>
    <w:rsid w:val="000549ED"/>
    <w:rsid w:val="000549F5"/>
    <w:rsid w:val="00054A9D"/>
    <w:rsid w:val="00054B9F"/>
    <w:rsid w:val="00054BEB"/>
    <w:rsid w:val="00054CD7"/>
    <w:rsid w:val="00054D16"/>
    <w:rsid w:val="00054D2F"/>
    <w:rsid w:val="00054E6B"/>
    <w:rsid w:val="00055119"/>
    <w:rsid w:val="00055256"/>
    <w:rsid w:val="00055298"/>
    <w:rsid w:val="000554A6"/>
    <w:rsid w:val="00055559"/>
    <w:rsid w:val="000555DA"/>
    <w:rsid w:val="000555ED"/>
    <w:rsid w:val="000556FA"/>
    <w:rsid w:val="0005583B"/>
    <w:rsid w:val="00055AB6"/>
    <w:rsid w:val="00055B1D"/>
    <w:rsid w:val="0005600B"/>
    <w:rsid w:val="00056835"/>
    <w:rsid w:val="000569C8"/>
    <w:rsid w:val="00056AE1"/>
    <w:rsid w:val="00056C5A"/>
    <w:rsid w:val="00057080"/>
    <w:rsid w:val="000570DF"/>
    <w:rsid w:val="000573EB"/>
    <w:rsid w:val="000574E2"/>
    <w:rsid w:val="00057594"/>
    <w:rsid w:val="0005761E"/>
    <w:rsid w:val="0005763C"/>
    <w:rsid w:val="000576D9"/>
    <w:rsid w:val="000577B0"/>
    <w:rsid w:val="00057B5E"/>
    <w:rsid w:val="00057EED"/>
    <w:rsid w:val="0006002F"/>
    <w:rsid w:val="000604E2"/>
    <w:rsid w:val="00060759"/>
    <w:rsid w:val="00060797"/>
    <w:rsid w:val="00060C28"/>
    <w:rsid w:val="00060C8F"/>
    <w:rsid w:val="00060C94"/>
    <w:rsid w:val="00060CB9"/>
    <w:rsid w:val="00060D94"/>
    <w:rsid w:val="00060F20"/>
    <w:rsid w:val="00061176"/>
    <w:rsid w:val="000613F8"/>
    <w:rsid w:val="0006147C"/>
    <w:rsid w:val="000614E9"/>
    <w:rsid w:val="0006166F"/>
    <w:rsid w:val="000617A9"/>
    <w:rsid w:val="000619BB"/>
    <w:rsid w:val="00061D9E"/>
    <w:rsid w:val="00061DE5"/>
    <w:rsid w:val="00062016"/>
    <w:rsid w:val="0006216F"/>
    <w:rsid w:val="00062709"/>
    <w:rsid w:val="00062794"/>
    <w:rsid w:val="0006282B"/>
    <w:rsid w:val="00062C55"/>
    <w:rsid w:val="0006302B"/>
    <w:rsid w:val="00063558"/>
    <w:rsid w:val="0006367A"/>
    <w:rsid w:val="00063783"/>
    <w:rsid w:val="000638EA"/>
    <w:rsid w:val="00063A57"/>
    <w:rsid w:val="00063BA5"/>
    <w:rsid w:val="000640A1"/>
    <w:rsid w:val="000643E3"/>
    <w:rsid w:val="000646D1"/>
    <w:rsid w:val="00064A66"/>
    <w:rsid w:val="00064A97"/>
    <w:rsid w:val="00064B1D"/>
    <w:rsid w:val="00064ED3"/>
    <w:rsid w:val="00065193"/>
    <w:rsid w:val="0006538D"/>
    <w:rsid w:val="00065599"/>
    <w:rsid w:val="000655E9"/>
    <w:rsid w:val="0006563C"/>
    <w:rsid w:val="000656E9"/>
    <w:rsid w:val="00065A89"/>
    <w:rsid w:val="00065BF6"/>
    <w:rsid w:val="000660E6"/>
    <w:rsid w:val="00066224"/>
    <w:rsid w:val="00066642"/>
    <w:rsid w:val="0006665E"/>
    <w:rsid w:val="00066717"/>
    <w:rsid w:val="00066927"/>
    <w:rsid w:val="00066A31"/>
    <w:rsid w:val="00066B51"/>
    <w:rsid w:val="00066C0C"/>
    <w:rsid w:val="00066C60"/>
    <w:rsid w:val="00066F9F"/>
    <w:rsid w:val="00066FC1"/>
    <w:rsid w:val="00066FDF"/>
    <w:rsid w:val="00067351"/>
    <w:rsid w:val="00067400"/>
    <w:rsid w:val="0006744E"/>
    <w:rsid w:val="00067946"/>
    <w:rsid w:val="00067BB2"/>
    <w:rsid w:val="00067E12"/>
    <w:rsid w:val="00067F95"/>
    <w:rsid w:val="0007009E"/>
    <w:rsid w:val="00070253"/>
    <w:rsid w:val="000702AB"/>
    <w:rsid w:val="00070861"/>
    <w:rsid w:val="00070880"/>
    <w:rsid w:val="00070995"/>
    <w:rsid w:val="00070A0B"/>
    <w:rsid w:val="00070E20"/>
    <w:rsid w:val="00070FA3"/>
    <w:rsid w:val="0007115C"/>
    <w:rsid w:val="000711A2"/>
    <w:rsid w:val="00071280"/>
    <w:rsid w:val="0007135C"/>
    <w:rsid w:val="0007168A"/>
    <w:rsid w:val="00071694"/>
    <w:rsid w:val="000719CB"/>
    <w:rsid w:val="00071A95"/>
    <w:rsid w:val="00071F9A"/>
    <w:rsid w:val="00072078"/>
    <w:rsid w:val="000721A7"/>
    <w:rsid w:val="000722BE"/>
    <w:rsid w:val="000722D0"/>
    <w:rsid w:val="000723A9"/>
    <w:rsid w:val="000723CA"/>
    <w:rsid w:val="00072457"/>
    <w:rsid w:val="0007263D"/>
    <w:rsid w:val="000726DF"/>
    <w:rsid w:val="00072797"/>
    <w:rsid w:val="00072849"/>
    <w:rsid w:val="00072B55"/>
    <w:rsid w:val="00072B7A"/>
    <w:rsid w:val="00072C8A"/>
    <w:rsid w:val="0007312A"/>
    <w:rsid w:val="00073451"/>
    <w:rsid w:val="00073767"/>
    <w:rsid w:val="000737F6"/>
    <w:rsid w:val="00073A7A"/>
    <w:rsid w:val="00073B68"/>
    <w:rsid w:val="00073F90"/>
    <w:rsid w:val="0007407A"/>
    <w:rsid w:val="00074092"/>
    <w:rsid w:val="00074188"/>
    <w:rsid w:val="000741F5"/>
    <w:rsid w:val="0007426B"/>
    <w:rsid w:val="000742AE"/>
    <w:rsid w:val="00074761"/>
    <w:rsid w:val="000749CB"/>
    <w:rsid w:val="00074A1D"/>
    <w:rsid w:val="00074D23"/>
    <w:rsid w:val="00074D72"/>
    <w:rsid w:val="00074E20"/>
    <w:rsid w:val="0007551E"/>
    <w:rsid w:val="0007561A"/>
    <w:rsid w:val="000758EC"/>
    <w:rsid w:val="00075A83"/>
    <w:rsid w:val="00075E96"/>
    <w:rsid w:val="000761BB"/>
    <w:rsid w:val="00076314"/>
    <w:rsid w:val="00076B49"/>
    <w:rsid w:val="00076D06"/>
    <w:rsid w:val="000770F1"/>
    <w:rsid w:val="00077346"/>
    <w:rsid w:val="00077412"/>
    <w:rsid w:val="00077685"/>
    <w:rsid w:val="0007777E"/>
    <w:rsid w:val="000777CC"/>
    <w:rsid w:val="00077BB3"/>
    <w:rsid w:val="00077C76"/>
    <w:rsid w:val="00077E3F"/>
    <w:rsid w:val="00077F5A"/>
    <w:rsid w:val="000800DA"/>
    <w:rsid w:val="000801C7"/>
    <w:rsid w:val="000805A4"/>
    <w:rsid w:val="00080641"/>
    <w:rsid w:val="0008073B"/>
    <w:rsid w:val="00080808"/>
    <w:rsid w:val="00080914"/>
    <w:rsid w:val="0008091F"/>
    <w:rsid w:val="000809B5"/>
    <w:rsid w:val="00080A7A"/>
    <w:rsid w:val="00080B82"/>
    <w:rsid w:val="00080CAC"/>
    <w:rsid w:val="00080E84"/>
    <w:rsid w:val="00080EF0"/>
    <w:rsid w:val="00080F04"/>
    <w:rsid w:val="00080F43"/>
    <w:rsid w:val="0008101D"/>
    <w:rsid w:val="000814C2"/>
    <w:rsid w:val="000815C6"/>
    <w:rsid w:val="00081840"/>
    <w:rsid w:val="00081B92"/>
    <w:rsid w:val="00081F1B"/>
    <w:rsid w:val="00082179"/>
    <w:rsid w:val="00082217"/>
    <w:rsid w:val="00082575"/>
    <w:rsid w:val="000825C1"/>
    <w:rsid w:val="000827BB"/>
    <w:rsid w:val="00082A2F"/>
    <w:rsid w:val="00082AFF"/>
    <w:rsid w:val="00082B29"/>
    <w:rsid w:val="00082B5C"/>
    <w:rsid w:val="00082B9D"/>
    <w:rsid w:val="00082CB9"/>
    <w:rsid w:val="00082D47"/>
    <w:rsid w:val="00082DDA"/>
    <w:rsid w:val="00082ECD"/>
    <w:rsid w:val="00082FF6"/>
    <w:rsid w:val="000839D0"/>
    <w:rsid w:val="00083B5A"/>
    <w:rsid w:val="00083D02"/>
    <w:rsid w:val="00083D3E"/>
    <w:rsid w:val="00083EF3"/>
    <w:rsid w:val="00084257"/>
    <w:rsid w:val="00084438"/>
    <w:rsid w:val="00084449"/>
    <w:rsid w:val="000847A0"/>
    <w:rsid w:val="00084A8A"/>
    <w:rsid w:val="00084B54"/>
    <w:rsid w:val="00084CC1"/>
    <w:rsid w:val="00085146"/>
    <w:rsid w:val="000851DA"/>
    <w:rsid w:val="000852A7"/>
    <w:rsid w:val="000852B6"/>
    <w:rsid w:val="000853BD"/>
    <w:rsid w:val="0008548B"/>
    <w:rsid w:val="00085544"/>
    <w:rsid w:val="000855FE"/>
    <w:rsid w:val="00085FC1"/>
    <w:rsid w:val="0008602A"/>
    <w:rsid w:val="00086346"/>
    <w:rsid w:val="00086597"/>
    <w:rsid w:val="000865D0"/>
    <w:rsid w:val="00086BC5"/>
    <w:rsid w:val="00086D1D"/>
    <w:rsid w:val="00086DCC"/>
    <w:rsid w:val="00086FB7"/>
    <w:rsid w:val="00086FBE"/>
    <w:rsid w:val="0008708C"/>
    <w:rsid w:val="0008737F"/>
    <w:rsid w:val="000875B4"/>
    <w:rsid w:val="000879D1"/>
    <w:rsid w:val="00087AA8"/>
    <w:rsid w:val="00087DE1"/>
    <w:rsid w:val="00087EC2"/>
    <w:rsid w:val="00087EE5"/>
    <w:rsid w:val="00087F94"/>
    <w:rsid w:val="00087FDA"/>
    <w:rsid w:val="00090136"/>
    <w:rsid w:val="000901D2"/>
    <w:rsid w:val="00090342"/>
    <w:rsid w:val="0009053D"/>
    <w:rsid w:val="00090547"/>
    <w:rsid w:val="00090D73"/>
    <w:rsid w:val="00090F5D"/>
    <w:rsid w:val="00090F79"/>
    <w:rsid w:val="0009120A"/>
    <w:rsid w:val="000912B4"/>
    <w:rsid w:val="000915F5"/>
    <w:rsid w:val="00091680"/>
    <w:rsid w:val="0009180B"/>
    <w:rsid w:val="00091876"/>
    <w:rsid w:val="00091914"/>
    <w:rsid w:val="00091C0A"/>
    <w:rsid w:val="00091C0B"/>
    <w:rsid w:val="00091C37"/>
    <w:rsid w:val="00091E2C"/>
    <w:rsid w:val="00091EEE"/>
    <w:rsid w:val="000926CD"/>
    <w:rsid w:val="0009282D"/>
    <w:rsid w:val="00092B43"/>
    <w:rsid w:val="00092D6E"/>
    <w:rsid w:val="0009328D"/>
    <w:rsid w:val="000932D8"/>
    <w:rsid w:val="000933A6"/>
    <w:rsid w:val="0009347C"/>
    <w:rsid w:val="000934E7"/>
    <w:rsid w:val="00093B5B"/>
    <w:rsid w:val="00093C2D"/>
    <w:rsid w:val="00093E5C"/>
    <w:rsid w:val="0009420C"/>
    <w:rsid w:val="00094225"/>
    <w:rsid w:val="00094449"/>
    <w:rsid w:val="00094691"/>
    <w:rsid w:val="000947E8"/>
    <w:rsid w:val="000947EF"/>
    <w:rsid w:val="000948C1"/>
    <w:rsid w:val="000948F6"/>
    <w:rsid w:val="0009498F"/>
    <w:rsid w:val="00094B8A"/>
    <w:rsid w:val="00094C53"/>
    <w:rsid w:val="00094DE6"/>
    <w:rsid w:val="00094F07"/>
    <w:rsid w:val="00094FE0"/>
    <w:rsid w:val="0009510A"/>
    <w:rsid w:val="000951D8"/>
    <w:rsid w:val="0009534D"/>
    <w:rsid w:val="000956A3"/>
    <w:rsid w:val="000957D6"/>
    <w:rsid w:val="000958BC"/>
    <w:rsid w:val="0009590F"/>
    <w:rsid w:val="000959D2"/>
    <w:rsid w:val="00095AC9"/>
    <w:rsid w:val="00095CA3"/>
    <w:rsid w:val="00095CA8"/>
    <w:rsid w:val="00095D0A"/>
    <w:rsid w:val="00095E0B"/>
    <w:rsid w:val="00095FAD"/>
    <w:rsid w:val="00096024"/>
    <w:rsid w:val="00096031"/>
    <w:rsid w:val="0009604B"/>
    <w:rsid w:val="0009605C"/>
    <w:rsid w:val="000961C4"/>
    <w:rsid w:val="0009639C"/>
    <w:rsid w:val="000963AC"/>
    <w:rsid w:val="0009658D"/>
    <w:rsid w:val="00096EE9"/>
    <w:rsid w:val="00097057"/>
    <w:rsid w:val="000970CC"/>
    <w:rsid w:val="0009715E"/>
    <w:rsid w:val="00097182"/>
    <w:rsid w:val="000971A3"/>
    <w:rsid w:val="000972BD"/>
    <w:rsid w:val="000975E2"/>
    <w:rsid w:val="00097650"/>
    <w:rsid w:val="000976D0"/>
    <w:rsid w:val="0009799A"/>
    <w:rsid w:val="00097BA6"/>
    <w:rsid w:val="00097D24"/>
    <w:rsid w:val="000A04AA"/>
    <w:rsid w:val="000A06E5"/>
    <w:rsid w:val="000A0722"/>
    <w:rsid w:val="000A0E98"/>
    <w:rsid w:val="000A1050"/>
    <w:rsid w:val="000A108D"/>
    <w:rsid w:val="000A10A1"/>
    <w:rsid w:val="000A1501"/>
    <w:rsid w:val="000A1B83"/>
    <w:rsid w:val="000A1C63"/>
    <w:rsid w:val="000A1DA6"/>
    <w:rsid w:val="000A1DEC"/>
    <w:rsid w:val="000A1E7B"/>
    <w:rsid w:val="000A229E"/>
    <w:rsid w:val="000A2E27"/>
    <w:rsid w:val="000A2F22"/>
    <w:rsid w:val="000A32FC"/>
    <w:rsid w:val="000A35EE"/>
    <w:rsid w:val="000A37E3"/>
    <w:rsid w:val="000A386D"/>
    <w:rsid w:val="000A3917"/>
    <w:rsid w:val="000A3E80"/>
    <w:rsid w:val="000A432B"/>
    <w:rsid w:val="000A43BB"/>
    <w:rsid w:val="000A43E7"/>
    <w:rsid w:val="000A440A"/>
    <w:rsid w:val="000A454D"/>
    <w:rsid w:val="000A4712"/>
    <w:rsid w:val="000A492A"/>
    <w:rsid w:val="000A4BB9"/>
    <w:rsid w:val="000A4F56"/>
    <w:rsid w:val="000A4F67"/>
    <w:rsid w:val="000A53DE"/>
    <w:rsid w:val="000A5418"/>
    <w:rsid w:val="000A56FA"/>
    <w:rsid w:val="000A5769"/>
    <w:rsid w:val="000A59EE"/>
    <w:rsid w:val="000A5EF7"/>
    <w:rsid w:val="000A5F64"/>
    <w:rsid w:val="000A6286"/>
    <w:rsid w:val="000A6424"/>
    <w:rsid w:val="000A6442"/>
    <w:rsid w:val="000A661D"/>
    <w:rsid w:val="000A6CDD"/>
    <w:rsid w:val="000A6D37"/>
    <w:rsid w:val="000A6E21"/>
    <w:rsid w:val="000A6F34"/>
    <w:rsid w:val="000A6F3F"/>
    <w:rsid w:val="000A6F95"/>
    <w:rsid w:val="000A71F7"/>
    <w:rsid w:val="000A7200"/>
    <w:rsid w:val="000A72AF"/>
    <w:rsid w:val="000A7312"/>
    <w:rsid w:val="000A741E"/>
    <w:rsid w:val="000A7711"/>
    <w:rsid w:val="000A7844"/>
    <w:rsid w:val="000A79CA"/>
    <w:rsid w:val="000A7A18"/>
    <w:rsid w:val="000A7A72"/>
    <w:rsid w:val="000A7B35"/>
    <w:rsid w:val="000A7B81"/>
    <w:rsid w:val="000A7C09"/>
    <w:rsid w:val="000B00B5"/>
    <w:rsid w:val="000B0214"/>
    <w:rsid w:val="000B0347"/>
    <w:rsid w:val="000B0B1F"/>
    <w:rsid w:val="000B0B25"/>
    <w:rsid w:val="000B0C0F"/>
    <w:rsid w:val="000B0E9A"/>
    <w:rsid w:val="000B0FF2"/>
    <w:rsid w:val="000B113E"/>
    <w:rsid w:val="000B1345"/>
    <w:rsid w:val="000B1388"/>
    <w:rsid w:val="000B1414"/>
    <w:rsid w:val="000B141D"/>
    <w:rsid w:val="000B15D6"/>
    <w:rsid w:val="000B1B3E"/>
    <w:rsid w:val="000B1CA7"/>
    <w:rsid w:val="000B1CD4"/>
    <w:rsid w:val="000B1F76"/>
    <w:rsid w:val="000B20FB"/>
    <w:rsid w:val="000B2131"/>
    <w:rsid w:val="000B2195"/>
    <w:rsid w:val="000B2315"/>
    <w:rsid w:val="000B2520"/>
    <w:rsid w:val="000B26F3"/>
    <w:rsid w:val="000B27B4"/>
    <w:rsid w:val="000B27FB"/>
    <w:rsid w:val="000B2A3F"/>
    <w:rsid w:val="000B2B92"/>
    <w:rsid w:val="000B2CD4"/>
    <w:rsid w:val="000B2EB5"/>
    <w:rsid w:val="000B3082"/>
    <w:rsid w:val="000B323D"/>
    <w:rsid w:val="000B32D1"/>
    <w:rsid w:val="000B3379"/>
    <w:rsid w:val="000B3387"/>
    <w:rsid w:val="000B3508"/>
    <w:rsid w:val="000B3556"/>
    <w:rsid w:val="000B3782"/>
    <w:rsid w:val="000B37C6"/>
    <w:rsid w:val="000B397B"/>
    <w:rsid w:val="000B3A7B"/>
    <w:rsid w:val="000B3CD0"/>
    <w:rsid w:val="000B4040"/>
    <w:rsid w:val="000B4279"/>
    <w:rsid w:val="000B428B"/>
    <w:rsid w:val="000B437C"/>
    <w:rsid w:val="000B4421"/>
    <w:rsid w:val="000B4569"/>
    <w:rsid w:val="000B4A4D"/>
    <w:rsid w:val="000B4A9D"/>
    <w:rsid w:val="000B4AA1"/>
    <w:rsid w:val="000B4C4B"/>
    <w:rsid w:val="000B4DED"/>
    <w:rsid w:val="000B4E0B"/>
    <w:rsid w:val="000B50EC"/>
    <w:rsid w:val="000B51A5"/>
    <w:rsid w:val="000B531E"/>
    <w:rsid w:val="000B5634"/>
    <w:rsid w:val="000B571F"/>
    <w:rsid w:val="000B572F"/>
    <w:rsid w:val="000B582A"/>
    <w:rsid w:val="000B5844"/>
    <w:rsid w:val="000B58E1"/>
    <w:rsid w:val="000B5980"/>
    <w:rsid w:val="000B59AA"/>
    <w:rsid w:val="000B5ABB"/>
    <w:rsid w:val="000B5AC2"/>
    <w:rsid w:val="000B5DED"/>
    <w:rsid w:val="000B5E79"/>
    <w:rsid w:val="000B6032"/>
    <w:rsid w:val="000B622E"/>
    <w:rsid w:val="000B64B9"/>
    <w:rsid w:val="000B6A59"/>
    <w:rsid w:val="000B6DF1"/>
    <w:rsid w:val="000B6FB6"/>
    <w:rsid w:val="000B739E"/>
    <w:rsid w:val="000B745A"/>
    <w:rsid w:val="000B76F2"/>
    <w:rsid w:val="000B7B68"/>
    <w:rsid w:val="000B7D6E"/>
    <w:rsid w:val="000B7FCE"/>
    <w:rsid w:val="000C042F"/>
    <w:rsid w:val="000C04D2"/>
    <w:rsid w:val="000C0562"/>
    <w:rsid w:val="000C064B"/>
    <w:rsid w:val="000C0728"/>
    <w:rsid w:val="000C096C"/>
    <w:rsid w:val="000C0BAB"/>
    <w:rsid w:val="000C0C49"/>
    <w:rsid w:val="000C0F6C"/>
    <w:rsid w:val="000C1036"/>
    <w:rsid w:val="000C10D8"/>
    <w:rsid w:val="000C11EF"/>
    <w:rsid w:val="000C1370"/>
    <w:rsid w:val="000C14EA"/>
    <w:rsid w:val="000C15EF"/>
    <w:rsid w:val="000C1664"/>
    <w:rsid w:val="000C1694"/>
    <w:rsid w:val="000C169B"/>
    <w:rsid w:val="000C1726"/>
    <w:rsid w:val="000C1831"/>
    <w:rsid w:val="000C1C8D"/>
    <w:rsid w:val="000C1D88"/>
    <w:rsid w:val="000C1E0E"/>
    <w:rsid w:val="000C21E6"/>
    <w:rsid w:val="000C223C"/>
    <w:rsid w:val="000C2273"/>
    <w:rsid w:val="000C247E"/>
    <w:rsid w:val="000C26F4"/>
    <w:rsid w:val="000C27CE"/>
    <w:rsid w:val="000C2827"/>
    <w:rsid w:val="000C2C92"/>
    <w:rsid w:val="000C30B4"/>
    <w:rsid w:val="000C3229"/>
    <w:rsid w:val="000C32B2"/>
    <w:rsid w:val="000C33F4"/>
    <w:rsid w:val="000C356A"/>
    <w:rsid w:val="000C36F7"/>
    <w:rsid w:val="000C3969"/>
    <w:rsid w:val="000C3975"/>
    <w:rsid w:val="000C39CE"/>
    <w:rsid w:val="000C3A0A"/>
    <w:rsid w:val="000C3BD4"/>
    <w:rsid w:val="000C3C24"/>
    <w:rsid w:val="000C3E66"/>
    <w:rsid w:val="000C3F55"/>
    <w:rsid w:val="000C419D"/>
    <w:rsid w:val="000C41CB"/>
    <w:rsid w:val="000C4283"/>
    <w:rsid w:val="000C4418"/>
    <w:rsid w:val="000C44A7"/>
    <w:rsid w:val="000C4573"/>
    <w:rsid w:val="000C4995"/>
    <w:rsid w:val="000C5369"/>
    <w:rsid w:val="000C54A6"/>
    <w:rsid w:val="000C5592"/>
    <w:rsid w:val="000C576D"/>
    <w:rsid w:val="000C588F"/>
    <w:rsid w:val="000C5A64"/>
    <w:rsid w:val="000C5AAF"/>
    <w:rsid w:val="000C5E63"/>
    <w:rsid w:val="000C5EF9"/>
    <w:rsid w:val="000C5FF3"/>
    <w:rsid w:val="000C60EA"/>
    <w:rsid w:val="000C639C"/>
    <w:rsid w:val="000C63C5"/>
    <w:rsid w:val="000C6494"/>
    <w:rsid w:val="000C668C"/>
    <w:rsid w:val="000C66A4"/>
    <w:rsid w:val="000C68B9"/>
    <w:rsid w:val="000C6901"/>
    <w:rsid w:val="000C699B"/>
    <w:rsid w:val="000C6AE6"/>
    <w:rsid w:val="000C6CF0"/>
    <w:rsid w:val="000C6D26"/>
    <w:rsid w:val="000C6E0C"/>
    <w:rsid w:val="000C6E40"/>
    <w:rsid w:val="000C6EDB"/>
    <w:rsid w:val="000C7047"/>
    <w:rsid w:val="000C71EC"/>
    <w:rsid w:val="000C7225"/>
    <w:rsid w:val="000C73A4"/>
    <w:rsid w:val="000C756E"/>
    <w:rsid w:val="000C75FC"/>
    <w:rsid w:val="000C78A8"/>
    <w:rsid w:val="000C78CE"/>
    <w:rsid w:val="000C793D"/>
    <w:rsid w:val="000C7968"/>
    <w:rsid w:val="000C7D15"/>
    <w:rsid w:val="000C7D30"/>
    <w:rsid w:val="000C7F7F"/>
    <w:rsid w:val="000C7FD7"/>
    <w:rsid w:val="000C7FEF"/>
    <w:rsid w:val="000D0003"/>
    <w:rsid w:val="000D0102"/>
    <w:rsid w:val="000D0330"/>
    <w:rsid w:val="000D038D"/>
    <w:rsid w:val="000D0418"/>
    <w:rsid w:val="000D05DF"/>
    <w:rsid w:val="000D0720"/>
    <w:rsid w:val="000D0753"/>
    <w:rsid w:val="000D0989"/>
    <w:rsid w:val="000D0ADE"/>
    <w:rsid w:val="000D0DED"/>
    <w:rsid w:val="000D0DF9"/>
    <w:rsid w:val="000D0F34"/>
    <w:rsid w:val="000D0F4A"/>
    <w:rsid w:val="000D105A"/>
    <w:rsid w:val="000D1078"/>
    <w:rsid w:val="000D10D7"/>
    <w:rsid w:val="000D1154"/>
    <w:rsid w:val="000D1311"/>
    <w:rsid w:val="000D135A"/>
    <w:rsid w:val="000D16AB"/>
    <w:rsid w:val="000D19DE"/>
    <w:rsid w:val="000D19E6"/>
    <w:rsid w:val="000D1A66"/>
    <w:rsid w:val="000D1C39"/>
    <w:rsid w:val="000D1D08"/>
    <w:rsid w:val="000D1D3A"/>
    <w:rsid w:val="000D22C5"/>
    <w:rsid w:val="000D2393"/>
    <w:rsid w:val="000D251A"/>
    <w:rsid w:val="000D258F"/>
    <w:rsid w:val="000D2725"/>
    <w:rsid w:val="000D2B40"/>
    <w:rsid w:val="000D2D20"/>
    <w:rsid w:val="000D2DAA"/>
    <w:rsid w:val="000D2EAF"/>
    <w:rsid w:val="000D3035"/>
    <w:rsid w:val="000D3146"/>
    <w:rsid w:val="000D3357"/>
    <w:rsid w:val="000D34CC"/>
    <w:rsid w:val="000D38A8"/>
    <w:rsid w:val="000D3A2B"/>
    <w:rsid w:val="000D3F06"/>
    <w:rsid w:val="000D4106"/>
    <w:rsid w:val="000D4133"/>
    <w:rsid w:val="000D42B0"/>
    <w:rsid w:val="000D45C5"/>
    <w:rsid w:val="000D4979"/>
    <w:rsid w:val="000D49B5"/>
    <w:rsid w:val="000D4D8F"/>
    <w:rsid w:val="000D4E80"/>
    <w:rsid w:val="000D4E86"/>
    <w:rsid w:val="000D4FBB"/>
    <w:rsid w:val="000D5058"/>
    <w:rsid w:val="000D5202"/>
    <w:rsid w:val="000D5352"/>
    <w:rsid w:val="000D536B"/>
    <w:rsid w:val="000D5470"/>
    <w:rsid w:val="000D5722"/>
    <w:rsid w:val="000D57E2"/>
    <w:rsid w:val="000D58A1"/>
    <w:rsid w:val="000D5A62"/>
    <w:rsid w:val="000D5B50"/>
    <w:rsid w:val="000D5EB8"/>
    <w:rsid w:val="000D5EF4"/>
    <w:rsid w:val="000D5EFA"/>
    <w:rsid w:val="000D5F8F"/>
    <w:rsid w:val="000D605F"/>
    <w:rsid w:val="000D60D5"/>
    <w:rsid w:val="000D644A"/>
    <w:rsid w:val="000D647B"/>
    <w:rsid w:val="000D65D3"/>
    <w:rsid w:val="000D6788"/>
    <w:rsid w:val="000D68AB"/>
    <w:rsid w:val="000D6F50"/>
    <w:rsid w:val="000D71D5"/>
    <w:rsid w:val="000D7333"/>
    <w:rsid w:val="000D7408"/>
    <w:rsid w:val="000D75D0"/>
    <w:rsid w:val="000D773E"/>
    <w:rsid w:val="000D784B"/>
    <w:rsid w:val="000D7AD4"/>
    <w:rsid w:val="000D7D4C"/>
    <w:rsid w:val="000D7F80"/>
    <w:rsid w:val="000D7FAE"/>
    <w:rsid w:val="000E000B"/>
    <w:rsid w:val="000E018C"/>
    <w:rsid w:val="000E0198"/>
    <w:rsid w:val="000E0228"/>
    <w:rsid w:val="000E0237"/>
    <w:rsid w:val="000E05C5"/>
    <w:rsid w:val="000E0994"/>
    <w:rsid w:val="000E0A06"/>
    <w:rsid w:val="000E0AC6"/>
    <w:rsid w:val="000E0AF3"/>
    <w:rsid w:val="000E0DB3"/>
    <w:rsid w:val="000E1224"/>
    <w:rsid w:val="000E158F"/>
    <w:rsid w:val="000E16CF"/>
    <w:rsid w:val="000E177C"/>
    <w:rsid w:val="000E199A"/>
    <w:rsid w:val="000E1B1B"/>
    <w:rsid w:val="000E1B3A"/>
    <w:rsid w:val="000E2064"/>
    <w:rsid w:val="000E20F1"/>
    <w:rsid w:val="000E2202"/>
    <w:rsid w:val="000E230B"/>
    <w:rsid w:val="000E2341"/>
    <w:rsid w:val="000E2373"/>
    <w:rsid w:val="000E24A3"/>
    <w:rsid w:val="000E2514"/>
    <w:rsid w:val="000E256D"/>
    <w:rsid w:val="000E2587"/>
    <w:rsid w:val="000E266A"/>
    <w:rsid w:val="000E2908"/>
    <w:rsid w:val="000E2DF9"/>
    <w:rsid w:val="000E2F0A"/>
    <w:rsid w:val="000E3056"/>
    <w:rsid w:val="000E3134"/>
    <w:rsid w:val="000E313A"/>
    <w:rsid w:val="000E38CD"/>
    <w:rsid w:val="000E3D38"/>
    <w:rsid w:val="000E3F66"/>
    <w:rsid w:val="000E40BE"/>
    <w:rsid w:val="000E4142"/>
    <w:rsid w:val="000E4168"/>
    <w:rsid w:val="000E42A6"/>
    <w:rsid w:val="000E42CC"/>
    <w:rsid w:val="000E42DF"/>
    <w:rsid w:val="000E42E6"/>
    <w:rsid w:val="000E46CB"/>
    <w:rsid w:val="000E475F"/>
    <w:rsid w:val="000E4882"/>
    <w:rsid w:val="000E49E4"/>
    <w:rsid w:val="000E4BEF"/>
    <w:rsid w:val="000E4D21"/>
    <w:rsid w:val="000E4D60"/>
    <w:rsid w:val="000E4E23"/>
    <w:rsid w:val="000E50DA"/>
    <w:rsid w:val="000E5332"/>
    <w:rsid w:val="000E5806"/>
    <w:rsid w:val="000E5ABD"/>
    <w:rsid w:val="000E5EE3"/>
    <w:rsid w:val="000E62E2"/>
    <w:rsid w:val="000E644C"/>
    <w:rsid w:val="000E6533"/>
    <w:rsid w:val="000E6607"/>
    <w:rsid w:val="000E66AA"/>
    <w:rsid w:val="000E66C9"/>
    <w:rsid w:val="000E673D"/>
    <w:rsid w:val="000E699D"/>
    <w:rsid w:val="000E6FA4"/>
    <w:rsid w:val="000E6FAD"/>
    <w:rsid w:val="000E70CB"/>
    <w:rsid w:val="000E719D"/>
    <w:rsid w:val="000E7252"/>
    <w:rsid w:val="000E72AF"/>
    <w:rsid w:val="000E7414"/>
    <w:rsid w:val="000E756C"/>
    <w:rsid w:val="000E7688"/>
    <w:rsid w:val="000E76EE"/>
    <w:rsid w:val="000E7792"/>
    <w:rsid w:val="000E7793"/>
    <w:rsid w:val="000E7B1A"/>
    <w:rsid w:val="000E7D5B"/>
    <w:rsid w:val="000E7E07"/>
    <w:rsid w:val="000F038E"/>
    <w:rsid w:val="000F042F"/>
    <w:rsid w:val="000F0968"/>
    <w:rsid w:val="000F0D12"/>
    <w:rsid w:val="000F12A4"/>
    <w:rsid w:val="000F12E7"/>
    <w:rsid w:val="000F14D8"/>
    <w:rsid w:val="000F1537"/>
    <w:rsid w:val="000F17BD"/>
    <w:rsid w:val="000F1865"/>
    <w:rsid w:val="000F1B37"/>
    <w:rsid w:val="000F1DC5"/>
    <w:rsid w:val="000F2116"/>
    <w:rsid w:val="000F23AE"/>
    <w:rsid w:val="000F2488"/>
    <w:rsid w:val="000F259D"/>
    <w:rsid w:val="000F25D0"/>
    <w:rsid w:val="000F280E"/>
    <w:rsid w:val="000F28A3"/>
    <w:rsid w:val="000F29E1"/>
    <w:rsid w:val="000F2A8E"/>
    <w:rsid w:val="000F2B8D"/>
    <w:rsid w:val="000F3165"/>
    <w:rsid w:val="000F32AB"/>
    <w:rsid w:val="000F3622"/>
    <w:rsid w:val="000F3633"/>
    <w:rsid w:val="000F38D5"/>
    <w:rsid w:val="000F3906"/>
    <w:rsid w:val="000F3BF4"/>
    <w:rsid w:val="000F3DBC"/>
    <w:rsid w:val="000F3E51"/>
    <w:rsid w:val="000F424B"/>
    <w:rsid w:val="000F4320"/>
    <w:rsid w:val="000F47EB"/>
    <w:rsid w:val="000F482A"/>
    <w:rsid w:val="000F4889"/>
    <w:rsid w:val="000F4AE8"/>
    <w:rsid w:val="000F4C12"/>
    <w:rsid w:val="000F4D0C"/>
    <w:rsid w:val="000F4E55"/>
    <w:rsid w:val="000F4F1C"/>
    <w:rsid w:val="000F523F"/>
    <w:rsid w:val="000F5503"/>
    <w:rsid w:val="000F5538"/>
    <w:rsid w:val="000F555E"/>
    <w:rsid w:val="000F564A"/>
    <w:rsid w:val="000F5710"/>
    <w:rsid w:val="000F5776"/>
    <w:rsid w:val="000F5869"/>
    <w:rsid w:val="000F586B"/>
    <w:rsid w:val="000F5926"/>
    <w:rsid w:val="000F5AFE"/>
    <w:rsid w:val="000F5D44"/>
    <w:rsid w:val="000F5F05"/>
    <w:rsid w:val="000F61E3"/>
    <w:rsid w:val="000F6B28"/>
    <w:rsid w:val="000F6E9A"/>
    <w:rsid w:val="000F6EEA"/>
    <w:rsid w:val="000F6FB0"/>
    <w:rsid w:val="000F707E"/>
    <w:rsid w:val="000F729C"/>
    <w:rsid w:val="000F7434"/>
    <w:rsid w:val="000F77E1"/>
    <w:rsid w:val="000F7832"/>
    <w:rsid w:val="000F78D1"/>
    <w:rsid w:val="000F78DE"/>
    <w:rsid w:val="000F79F2"/>
    <w:rsid w:val="000F7A9E"/>
    <w:rsid w:val="0010010B"/>
    <w:rsid w:val="00100140"/>
    <w:rsid w:val="00100207"/>
    <w:rsid w:val="00100281"/>
    <w:rsid w:val="0010032F"/>
    <w:rsid w:val="00100331"/>
    <w:rsid w:val="0010035A"/>
    <w:rsid w:val="001003BA"/>
    <w:rsid w:val="001003FA"/>
    <w:rsid w:val="00100668"/>
    <w:rsid w:val="00100DB1"/>
    <w:rsid w:val="00100DBB"/>
    <w:rsid w:val="00100EB9"/>
    <w:rsid w:val="00100FC9"/>
    <w:rsid w:val="00101091"/>
    <w:rsid w:val="001010C6"/>
    <w:rsid w:val="00101456"/>
    <w:rsid w:val="001016C4"/>
    <w:rsid w:val="0010178C"/>
    <w:rsid w:val="00101CF1"/>
    <w:rsid w:val="00101D33"/>
    <w:rsid w:val="00101F41"/>
    <w:rsid w:val="0010228D"/>
    <w:rsid w:val="001022E6"/>
    <w:rsid w:val="0010234B"/>
    <w:rsid w:val="001024A1"/>
    <w:rsid w:val="00102553"/>
    <w:rsid w:val="0010273A"/>
    <w:rsid w:val="00102B37"/>
    <w:rsid w:val="00102B85"/>
    <w:rsid w:val="00102D2E"/>
    <w:rsid w:val="00102EC8"/>
    <w:rsid w:val="00102F31"/>
    <w:rsid w:val="00103062"/>
    <w:rsid w:val="0010355A"/>
    <w:rsid w:val="001035DA"/>
    <w:rsid w:val="00103BBE"/>
    <w:rsid w:val="00103F7E"/>
    <w:rsid w:val="00104025"/>
    <w:rsid w:val="0010407D"/>
    <w:rsid w:val="00104265"/>
    <w:rsid w:val="0010433E"/>
    <w:rsid w:val="00104415"/>
    <w:rsid w:val="001044A1"/>
    <w:rsid w:val="0010454F"/>
    <w:rsid w:val="00104900"/>
    <w:rsid w:val="0010490B"/>
    <w:rsid w:val="00104AF5"/>
    <w:rsid w:val="00104C17"/>
    <w:rsid w:val="00105332"/>
    <w:rsid w:val="00105338"/>
    <w:rsid w:val="001054E4"/>
    <w:rsid w:val="0010554E"/>
    <w:rsid w:val="001059B3"/>
    <w:rsid w:val="00105C25"/>
    <w:rsid w:val="00105D25"/>
    <w:rsid w:val="00105E05"/>
    <w:rsid w:val="00105E1A"/>
    <w:rsid w:val="00105F1F"/>
    <w:rsid w:val="00105FCA"/>
    <w:rsid w:val="00105FF6"/>
    <w:rsid w:val="001060A1"/>
    <w:rsid w:val="00106106"/>
    <w:rsid w:val="0010622D"/>
    <w:rsid w:val="00106239"/>
    <w:rsid w:val="00106449"/>
    <w:rsid w:val="001064FD"/>
    <w:rsid w:val="001069E8"/>
    <w:rsid w:val="00106AA1"/>
    <w:rsid w:val="00106AFB"/>
    <w:rsid w:val="00106DEA"/>
    <w:rsid w:val="00106ED4"/>
    <w:rsid w:val="00106F10"/>
    <w:rsid w:val="001071ED"/>
    <w:rsid w:val="0010742F"/>
    <w:rsid w:val="00107517"/>
    <w:rsid w:val="0010777C"/>
    <w:rsid w:val="001077F6"/>
    <w:rsid w:val="001078A5"/>
    <w:rsid w:val="0010799E"/>
    <w:rsid w:val="001079CC"/>
    <w:rsid w:val="00107B0A"/>
    <w:rsid w:val="00107B68"/>
    <w:rsid w:val="00107D58"/>
    <w:rsid w:val="001106B7"/>
    <w:rsid w:val="00110777"/>
    <w:rsid w:val="00110840"/>
    <w:rsid w:val="00110A5B"/>
    <w:rsid w:val="00110BAC"/>
    <w:rsid w:val="00110F05"/>
    <w:rsid w:val="00110F08"/>
    <w:rsid w:val="001110B6"/>
    <w:rsid w:val="001112A4"/>
    <w:rsid w:val="00111446"/>
    <w:rsid w:val="001114FA"/>
    <w:rsid w:val="00111609"/>
    <w:rsid w:val="001117AA"/>
    <w:rsid w:val="001117D6"/>
    <w:rsid w:val="00111A3A"/>
    <w:rsid w:val="00111D7E"/>
    <w:rsid w:val="00111DF6"/>
    <w:rsid w:val="00111F3B"/>
    <w:rsid w:val="001120F9"/>
    <w:rsid w:val="0011211F"/>
    <w:rsid w:val="0011231A"/>
    <w:rsid w:val="0011254D"/>
    <w:rsid w:val="001127CE"/>
    <w:rsid w:val="0011286E"/>
    <w:rsid w:val="001128A3"/>
    <w:rsid w:val="00113450"/>
    <w:rsid w:val="00113470"/>
    <w:rsid w:val="0011367B"/>
    <w:rsid w:val="00113A16"/>
    <w:rsid w:val="00113AF4"/>
    <w:rsid w:val="00113D65"/>
    <w:rsid w:val="00113E89"/>
    <w:rsid w:val="00113F4D"/>
    <w:rsid w:val="0011400B"/>
    <w:rsid w:val="0011413D"/>
    <w:rsid w:val="001144CA"/>
    <w:rsid w:val="00114690"/>
    <w:rsid w:val="00114731"/>
    <w:rsid w:val="00114879"/>
    <w:rsid w:val="00114A51"/>
    <w:rsid w:val="00114A90"/>
    <w:rsid w:val="00114B28"/>
    <w:rsid w:val="00114CA6"/>
    <w:rsid w:val="00114CA9"/>
    <w:rsid w:val="00114EDA"/>
    <w:rsid w:val="00114F46"/>
    <w:rsid w:val="00115023"/>
    <w:rsid w:val="0011519F"/>
    <w:rsid w:val="00115272"/>
    <w:rsid w:val="0011527A"/>
    <w:rsid w:val="001155B6"/>
    <w:rsid w:val="00115B22"/>
    <w:rsid w:val="00115CC5"/>
    <w:rsid w:val="00115D32"/>
    <w:rsid w:val="00115D76"/>
    <w:rsid w:val="00115DD7"/>
    <w:rsid w:val="00116606"/>
    <w:rsid w:val="001166CB"/>
    <w:rsid w:val="001166DC"/>
    <w:rsid w:val="00116851"/>
    <w:rsid w:val="00116C9F"/>
    <w:rsid w:val="00116DEB"/>
    <w:rsid w:val="00116F2D"/>
    <w:rsid w:val="00117232"/>
    <w:rsid w:val="00117639"/>
    <w:rsid w:val="00117689"/>
    <w:rsid w:val="001178F3"/>
    <w:rsid w:val="00117DD5"/>
    <w:rsid w:val="00120594"/>
    <w:rsid w:val="001207A7"/>
    <w:rsid w:val="001208AD"/>
    <w:rsid w:val="001208CC"/>
    <w:rsid w:val="00120929"/>
    <w:rsid w:val="00120C2A"/>
    <w:rsid w:val="00120CB7"/>
    <w:rsid w:val="00120E41"/>
    <w:rsid w:val="001211B4"/>
    <w:rsid w:val="00121219"/>
    <w:rsid w:val="00121332"/>
    <w:rsid w:val="0012151D"/>
    <w:rsid w:val="001215EE"/>
    <w:rsid w:val="001218F7"/>
    <w:rsid w:val="0012196F"/>
    <w:rsid w:val="001219AD"/>
    <w:rsid w:val="00121BC4"/>
    <w:rsid w:val="00121C26"/>
    <w:rsid w:val="00121F86"/>
    <w:rsid w:val="0012204F"/>
    <w:rsid w:val="00122257"/>
    <w:rsid w:val="00122374"/>
    <w:rsid w:val="001223AD"/>
    <w:rsid w:val="001224B3"/>
    <w:rsid w:val="001224D3"/>
    <w:rsid w:val="001225FC"/>
    <w:rsid w:val="00122676"/>
    <w:rsid w:val="001226D7"/>
    <w:rsid w:val="00122B2C"/>
    <w:rsid w:val="00122CD6"/>
    <w:rsid w:val="00122D8D"/>
    <w:rsid w:val="00122F69"/>
    <w:rsid w:val="001230A3"/>
    <w:rsid w:val="00123332"/>
    <w:rsid w:val="00123457"/>
    <w:rsid w:val="001234C6"/>
    <w:rsid w:val="0012381D"/>
    <w:rsid w:val="0012394E"/>
    <w:rsid w:val="0012398E"/>
    <w:rsid w:val="001239A3"/>
    <w:rsid w:val="00123C01"/>
    <w:rsid w:val="00123F33"/>
    <w:rsid w:val="00123F40"/>
    <w:rsid w:val="00123F72"/>
    <w:rsid w:val="00124071"/>
    <w:rsid w:val="0012427F"/>
    <w:rsid w:val="001243B3"/>
    <w:rsid w:val="001244F9"/>
    <w:rsid w:val="001249A1"/>
    <w:rsid w:val="001249E3"/>
    <w:rsid w:val="00124A0F"/>
    <w:rsid w:val="00124AE0"/>
    <w:rsid w:val="00124C58"/>
    <w:rsid w:val="00124DB3"/>
    <w:rsid w:val="00124FFA"/>
    <w:rsid w:val="0012503C"/>
    <w:rsid w:val="00125480"/>
    <w:rsid w:val="00125488"/>
    <w:rsid w:val="001254E9"/>
    <w:rsid w:val="0012557F"/>
    <w:rsid w:val="001255F4"/>
    <w:rsid w:val="001256E7"/>
    <w:rsid w:val="0012570C"/>
    <w:rsid w:val="00125834"/>
    <w:rsid w:val="00125A9E"/>
    <w:rsid w:val="00125AC7"/>
    <w:rsid w:val="00125DEF"/>
    <w:rsid w:val="001264A1"/>
    <w:rsid w:val="001268A2"/>
    <w:rsid w:val="00126DEC"/>
    <w:rsid w:val="00126E60"/>
    <w:rsid w:val="00126F59"/>
    <w:rsid w:val="001270FF"/>
    <w:rsid w:val="00127142"/>
    <w:rsid w:val="00127175"/>
    <w:rsid w:val="0012727D"/>
    <w:rsid w:val="00127578"/>
    <w:rsid w:val="0012757A"/>
    <w:rsid w:val="0012777B"/>
    <w:rsid w:val="00127B8D"/>
    <w:rsid w:val="00127D5A"/>
    <w:rsid w:val="00127DA6"/>
    <w:rsid w:val="00127EEE"/>
    <w:rsid w:val="00130059"/>
    <w:rsid w:val="001304F2"/>
    <w:rsid w:val="001305FE"/>
    <w:rsid w:val="00130735"/>
    <w:rsid w:val="0013079C"/>
    <w:rsid w:val="001308E2"/>
    <w:rsid w:val="00130A49"/>
    <w:rsid w:val="00130C7B"/>
    <w:rsid w:val="00130E2C"/>
    <w:rsid w:val="00130EB1"/>
    <w:rsid w:val="001310A4"/>
    <w:rsid w:val="0013119F"/>
    <w:rsid w:val="00131422"/>
    <w:rsid w:val="0013176C"/>
    <w:rsid w:val="00131801"/>
    <w:rsid w:val="00131B8E"/>
    <w:rsid w:val="00131CC2"/>
    <w:rsid w:val="00131D0B"/>
    <w:rsid w:val="00131D3F"/>
    <w:rsid w:val="00132157"/>
    <w:rsid w:val="0013233D"/>
    <w:rsid w:val="0013249E"/>
    <w:rsid w:val="001325F7"/>
    <w:rsid w:val="00132920"/>
    <w:rsid w:val="00132961"/>
    <w:rsid w:val="00132C24"/>
    <w:rsid w:val="00132CF5"/>
    <w:rsid w:val="001335A4"/>
    <w:rsid w:val="001335C9"/>
    <w:rsid w:val="00133610"/>
    <w:rsid w:val="00133724"/>
    <w:rsid w:val="00133763"/>
    <w:rsid w:val="0013380C"/>
    <w:rsid w:val="00133871"/>
    <w:rsid w:val="00133900"/>
    <w:rsid w:val="001339B6"/>
    <w:rsid w:val="00133AF2"/>
    <w:rsid w:val="00133CB9"/>
    <w:rsid w:val="00133DB4"/>
    <w:rsid w:val="0013401E"/>
    <w:rsid w:val="001342CC"/>
    <w:rsid w:val="001342F0"/>
    <w:rsid w:val="0013430C"/>
    <w:rsid w:val="001344EF"/>
    <w:rsid w:val="001348EA"/>
    <w:rsid w:val="00134BA3"/>
    <w:rsid w:val="00135139"/>
    <w:rsid w:val="00135177"/>
    <w:rsid w:val="00135201"/>
    <w:rsid w:val="001355AB"/>
    <w:rsid w:val="00135F7B"/>
    <w:rsid w:val="00136296"/>
    <w:rsid w:val="001364A4"/>
    <w:rsid w:val="001367D1"/>
    <w:rsid w:val="0013691C"/>
    <w:rsid w:val="00136AEA"/>
    <w:rsid w:val="00136D33"/>
    <w:rsid w:val="00136DC7"/>
    <w:rsid w:val="00137361"/>
    <w:rsid w:val="001373FA"/>
    <w:rsid w:val="001374CE"/>
    <w:rsid w:val="001379FF"/>
    <w:rsid w:val="00137A4B"/>
    <w:rsid w:val="00137B4F"/>
    <w:rsid w:val="00137BBD"/>
    <w:rsid w:val="00137CB0"/>
    <w:rsid w:val="00137D27"/>
    <w:rsid w:val="00137EEC"/>
    <w:rsid w:val="00137F5B"/>
    <w:rsid w:val="00137F71"/>
    <w:rsid w:val="00137FBA"/>
    <w:rsid w:val="00137FF5"/>
    <w:rsid w:val="001404A2"/>
    <w:rsid w:val="001406EE"/>
    <w:rsid w:val="0014074C"/>
    <w:rsid w:val="001409F8"/>
    <w:rsid w:val="00140AA7"/>
    <w:rsid w:val="00140AC1"/>
    <w:rsid w:val="00140AC8"/>
    <w:rsid w:val="00140B14"/>
    <w:rsid w:val="00140B85"/>
    <w:rsid w:val="00140B90"/>
    <w:rsid w:val="00140F60"/>
    <w:rsid w:val="00140F64"/>
    <w:rsid w:val="00141520"/>
    <w:rsid w:val="0014163E"/>
    <w:rsid w:val="00141852"/>
    <w:rsid w:val="00141E9C"/>
    <w:rsid w:val="00141F03"/>
    <w:rsid w:val="0014207E"/>
    <w:rsid w:val="00142080"/>
    <w:rsid w:val="00142116"/>
    <w:rsid w:val="00142188"/>
    <w:rsid w:val="0014232E"/>
    <w:rsid w:val="0014236F"/>
    <w:rsid w:val="00142555"/>
    <w:rsid w:val="001426C9"/>
    <w:rsid w:val="00142707"/>
    <w:rsid w:val="001427D5"/>
    <w:rsid w:val="0014288C"/>
    <w:rsid w:val="00142959"/>
    <w:rsid w:val="0014297C"/>
    <w:rsid w:val="00142C6E"/>
    <w:rsid w:val="00142F30"/>
    <w:rsid w:val="00142F9D"/>
    <w:rsid w:val="0014372D"/>
    <w:rsid w:val="00143802"/>
    <w:rsid w:val="00143970"/>
    <w:rsid w:val="00143A7C"/>
    <w:rsid w:val="00143B5A"/>
    <w:rsid w:val="00143EAE"/>
    <w:rsid w:val="001440F1"/>
    <w:rsid w:val="0014415A"/>
    <w:rsid w:val="00144212"/>
    <w:rsid w:val="00144262"/>
    <w:rsid w:val="001442A3"/>
    <w:rsid w:val="001444F7"/>
    <w:rsid w:val="00144598"/>
    <w:rsid w:val="00144A0C"/>
    <w:rsid w:val="00144F8E"/>
    <w:rsid w:val="00145026"/>
    <w:rsid w:val="001450E0"/>
    <w:rsid w:val="001450E9"/>
    <w:rsid w:val="0014532F"/>
    <w:rsid w:val="001453A6"/>
    <w:rsid w:val="00145400"/>
    <w:rsid w:val="00145603"/>
    <w:rsid w:val="00145662"/>
    <w:rsid w:val="0014574F"/>
    <w:rsid w:val="00145951"/>
    <w:rsid w:val="001459A2"/>
    <w:rsid w:val="00145A2D"/>
    <w:rsid w:val="00145B33"/>
    <w:rsid w:val="00145D26"/>
    <w:rsid w:val="00145DFC"/>
    <w:rsid w:val="00145EC8"/>
    <w:rsid w:val="00145F72"/>
    <w:rsid w:val="00145FB9"/>
    <w:rsid w:val="00146002"/>
    <w:rsid w:val="00146045"/>
    <w:rsid w:val="00146298"/>
    <w:rsid w:val="00146361"/>
    <w:rsid w:val="001463C9"/>
    <w:rsid w:val="00146A2D"/>
    <w:rsid w:val="00146AEB"/>
    <w:rsid w:val="00146B74"/>
    <w:rsid w:val="00146C0F"/>
    <w:rsid w:val="00146CD9"/>
    <w:rsid w:val="00146E3A"/>
    <w:rsid w:val="00146EC6"/>
    <w:rsid w:val="00146F38"/>
    <w:rsid w:val="001470A0"/>
    <w:rsid w:val="0014710E"/>
    <w:rsid w:val="001472D8"/>
    <w:rsid w:val="0014735F"/>
    <w:rsid w:val="00147551"/>
    <w:rsid w:val="00147733"/>
    <w:rsid w:val="00147B03"/>
    <w:rsid w:val="00150061"/>
    <w:rsid w:val="0015022E"/>
    <w:rsid w:val="001502CD"/>
    <w:rsid w:val="00150321"/>
    <w:rsid w:val="0015063C"/>
    <w:rsid w:val="0015069D"/>
    <w:rsid w:val="00150718"/>
    <w:rsid w:val="001509E9"/>
    <w:rsid w:val="00150B63"/>
    <w:rsid w:val="00150E21"/>
    <w:rsid w:val="00151095"/>
    <w:rsid w:val="00151213"/>
    <w:rsid w:val="00151356"/>
    <w:rsid w:val="00151375"/>
    <w:rsid w:val="00151483"/>
    <w:rsid w:val="00151605"/>
    <w:rsid w:val="0015177C"/>
    <w:rsid w:val="00151C71"/>
    <w:rsid w:val="00151C8C"/>
    <w:rsid w:val="00151CC9"/>
    <w:rsid w:val="00151E7A"/>
    <w:rsid w:val="00151FF0"/>
    <w:rsid w:val="00152191"/>
    <w:rsid w:val="00152419"/>
    <w:rsid w:val="0015286E"/>
    <w:rsid w:val="00152AE9"/>
    <w:rsid w:val="00152FA4"/>
    <w:rsid w:val="00152FEC"/>
    <w:rsid w:val="001530B2"/>
    <w:rsid w:val="001533CC"/>
    <w:rsid w:val="001535D8"/>
    <w:rsid w:val="00153BAB"/>
    <w:rsid w:val="00153C0E"/>
    <w:rsid w:val="00154068"/>
    <w:rsid w:val="0015417C"/>
    <w:rsid w:val="00154370"/>
    <w:rsid w:val="00154375"/>
    <w:rsid w:val="0015444D"/>
    <w:rsid w:val="00154456"/>
    <w:rsid w:val="00154614"/>
    <w:rsid w:val="0015472B"/>
    <w:rsid w:val="00154A07"/>
    <w:rsid w:val="00154C43"/>
    <w:rsid w:val="00154CEB"/>
    <w:rsid w:val="00154CF4"/>
    <w:rsid w:val="00154DAF"/>
    <w:rsid w:val="00154F15"/>
    <w:rsid w:val="00155083"/>
    <w:rsid w:val="0015564F"/>
    <w:rsid w:val="001557D1"/>
    <w:rsid w:val="00155921"/>
    <w:rsid w:val="001559FB"/>
    <w:rsid w:val="00155B20"/>
    <w:rsid w:val="00155DDA"/>
    <w:rsid w:val="00155F1D"/>
    <w:rsid w:val="00155FC4"/>
    <w:rsid w:val="0015601C"/>
    <w:rsid w:val="001561F9"/>
    <w:rsid w:val="00156436"/>
    <w:rsid w:val="0015672A"/>
    <w:rsid w:val="00156758"/>
    <w:rsid w:val="001568EC"/>
    <w:rsid w:val="001569A5"/>
    <w:rsid w:val="00156A49"/>
    <w:rsid w:val="00156A6A"/>
    <w:rsid w:val="00156B8B"/>
    <w:rsid w:val="00156CFA"/>
    <w:rsid w:val="00156D1C"/>
    <w:rsid w:val="00157181"/>
    <w:rsid w:val="00157253"/>
    <w:rsid w:val="0015727F"/>
    <w:rsid w:val="0015739E"/>
    <w:rsid w:val="00157472"/>
    <w:rsid w:val="001575B1"/>
    <w:rsid w:val="00157684"/>
    <w:rsid w:val="0015781F"/>
    <w:rsid w:val="00157933"/>
    <w:rsid w:val="00157991"/>
    <w:rsid w:val="00157A45"/>
    <w:rsid w:val="00157B5F"/>
    <w:rsid w:val="00157C14"/>
    <w:rsid w:val="00157EBD"/>
    <w:rsid w:val="00157EC5"/>
    <w:rsid w:val="00157F04"/>
    <w:rsid w:val="001600F4"/>
    <w:rsid w:val="00160134"/>
    <w:rsid w:val="001603AA"/>
    <w:rsid w:val="00160501"/>
    <w:rsid w:val="00160522"/>
    <w:rsid w:val="001605A5"/>
    <w:rsid w:val="0016068C"/>
    <w:rsid w:val="00160C6D"/>
    <w:rsid w:val="00160C8E"/>
    <w:rsid w:val="00161169"/>
    <w:rsid w:val="00161357"/>
    <w:rsid w:val="00161464"/>
    <w:rsid w:val="0016148B"/>
    <w:rsid w:val="00161998"/>
    <w:rsid w:val="001619C9"/>
    <w:rsid w:val="00161B41"/>
    <w:rsid w:val="00161BAF"/>
    <w:rsid w:val="00161BF1"/>
    <w:rsid w:val="00161C3A"/>
    <w:rsid w:val="00161D8F"/>
    <w:rsid w:val="00161E1F"/>
    <w:rsid w:val="00161FA5"/>
    <w:rsid w:val="0016213D"/>
    <w:rsid w:val="0016223E"/>
    <w:rsid w:val="0016228D"/>
    <w:rsid w:val="00162434"/>
    <w:rsid w:val="001624B1"/>
    <w:rsid w:val="0016254A"/>
    <w:rsid w:val="00162581"/>
    <w:rsid w:val="00162823"/>
    <w:rsid w:val="0016286D"/>
    <w:rsid w:val="00162971"/>
    <w:rsid w:val="00162982"/>
    <w:rsid w:val="001629EC"/>
    <w:rsid w:val="00162C97"/>
    <w:rsid w:val="00162DB0"/>
    <w:rsid w:val="00162E9B"/>
    <w:rsid w:val="00162F4B"/>
    <w:rsid w:val="0016331B"/>
    <w:rsid w:val="00163740"/>
    <w:rsid w:val="00163A81"/>
    <w:rsid w:val="00163C6F"/>
    <w:rsid w:val="00163D0E"/>
    <w:rsid w:val="001642F6"/>
    <w:rsid w:val="00164553"/>
    <w:rsid w:val="001646D9"/>
    <w:rsid w:val="00164B0A"/>
    <w:rsid w:val="00164FA1"/>
    <w:rsid w:val="001651D9"/>
    <w:rsid w:val="001653E9"/>
    <w:rsid w:val="00165607"/>
    <w:rsid w:val="00165839"/>
    <w:rsid w:val="001658F8"/>
    <w:rsid w:val="00165A87"/>
    <w:rsid w:val="00165C49"/>
    <w:rsid w:val="00165E65"/>
    <w:rsid w:val="00165F90"/>
    <w:rsid w:val="0016602A"/>
    <w:rsid w:val="00166244"/>
    <w:rsid w:val="001663CC"/>
    <w:rsid w:val="00166859"/>
    <w:rsid w:val="001669A2"/>
    <w:rsid w:val="00166B9A"/>
    <w:rsid w:val="00166BDD"/>
    <w:rsid w:val="00166D76"/>
    <w:rsid w:val="00167104"/>
    <w:rsid w:val="00167163"/>
    <w:rsid w:val="0016716F"/>
    <w:rsid w:val="00167320"/>
    <w:rsid w:val="00167572"/>
    <w:rsid w:val="001676D2"/>
    <w:rsid w:val="00167727"/>
    <w:rsid w:val="001677B3"/>
    <w:rsid w:val="00167953"/>
    <w:rsid w:val="0016797C"/>
    <w:rsid w:val="00167A25"/>
    <w:rsid w:val="00167C25"/>
    <w:rsid w:val="00167D81"/>
    <w:rsid w:val="00167FA7"/>
    <w:rsid w:val="0017001E"/>
    <w:rsid w:val="001704B4"/>
    <w:rsid w:val="00170533"/>
    <w:rsid w:val="001705C8"/>
    <w:rsid w:val="00170808"/>
    <w:rsid w:val="00170956"/>
    <w:rsid w:val="00170993"/>
    <w:rsid w:val="001709FC"/>
    <w:rsid w:val="00170B72"/>
    <w:rsid w:val="00171043"/>
    <w:rsid w:val="00171204"/>
    <w:rsid w:val="001713EE"/>
    <w:rsid w:val="00171409"/>
    <w:rsid w:val="00171418"/>
    <w:rsid w:val="001714DA"/>
    <w:rsid w:val="0017161A"/>
    <w:rsid w:val="00171734"/>
    <w:rsid w:val="00171857"/>
    <w:rsid w:val="00171897"/>
    <w:rsid w:val="00171B13"/>
    <w:rsid w:val="00172116"/>
    <w:rsid w:val="00172260"/>
    <w:rsid w:val="00172711"/>
    <w:rsid w:val="00172736"/>
    <w:rsid w:val="00172811"/>
    <w:rsid w:val="0017296C"/>
    <w:rsid w:val="00172CC6"/>
    <w:rsid w:val="00172D39"/>
    <w:rsid w:val="00172FFD"/>
    <w:rsid w:val="00173565"/>
    <w:rsid w:val="0017359F"/>
    <w:rsid w:val="001736D5"/>
    <w:rsid w:val="0017370B"/>
    <w:rsid w:val="0017370E"/>
    <w:rsid w:val="0017375E"/>
    <w:rsid w:val="00173A60"/>
    <w:rsid w:val="00173B83"/>
    <w:rsid w:val="00173BF1"/>
    <w:rsid w:val="00173C4C"/>
    <w:rsid w:val="00173D14"/>
    <w:rsid w:val="0017422A"/>
    <w:rsid w:val="0017436E"/>
    <w:rsid w:val="00174400"/>
    <w:rsid w:val="00174404"/>
    <w:rsid w:val="00174413"/>
    <w:rsid w:val="00174566"/>
    <w:rsid w:val="0017463E"/>
    <w:rsid w:val="001746C1"/>
    <w:rsid w:val="00174720"/>
    <w:rsid w:val="00174734"/>
    <w:rsid w:val="00174807"/>
    <w:rsid w:val="001748E9"/>
    <w:rsid w:val="001749A5"/>
    <w:rsid w:val="00174A09"/>
    <w:rsid w:val="00174B3B"/>
    <w:rsid w:val="00174BE8"/>
    <w:rsid w:val="001751D4"/>
    <w:rsid w:val="00175232"/>
    <w:rsid w:val="00175443"/>
    <w:rsid w:val="00175669"/>
    <w:rsid w:val="00175EAF"/>
    <w:rsid w:val="00176025"/>
    <w:rsid w:val="00176028"/>
    <w:rsid w:val="00176048"/>
    <w:rsid w:val="001763EE"/>
    <w:rsid w:val="0017642E"/>
    <w:rsid w:val="00176479"/>
    <w:rsid w:val="0017660D"/>
    <w:rsid w:val="00176A9D"/>
    <w:rsid w:val="00176F36"/>
    <w:rsid w:val="0017700E"/>
    <w:rsid w:val="001770F1"/>
    <w:rsid w:val="0017718F"/>
    <w:rsid w:val="001771AC"/>
    <w:rsid w:val="00177266"/>
    <w:rsid w:val="00177461"/>
    <w:rsid w:val="00177597"/>
    <w:rsid w:val="0017789A"/>
    <w:rsid w:val="001778EA"/>
    <w:rsid w:val="0017795D"/>
    <w:rsid w:val="00177B10"/>
    <w:rsid w:val="00177BDC"/>
    <w:rsid w:val="00177E83"/>
    <w:rsid w:val="0018035F"/>
    <w:rsid w:val="00180397"/>
    <w:rsid w:val="0018060E"/>
    <w:rsid w:val="0018063E"/>
    <w:rsid w:val="00180752"/>
    <w:rsid w:val="00180A9E"/>
    <w:rsid w:val="00180C33"/>
    <w:rsid w:val="00181020"/>
    <w:rsid w:val="001810D3"/>
    <w:rsid w:val="00181141"/>
    <w:rsid w:val="0018119B"/>
    <w:rsid w:val="001814F7"/>
    <w:rsid w:val="001816C8"/>
    <w:rsid w:val="0018171F"/>
    <w:rsid w:val="00181778"/>
    <w:rsid w:val="00181821"/>
    <w:rsid w:val="0018193F"/>
    <w:rsid w:val="00181CD8"/>
    <w:rsid w:val="00181CEC"/>
    <w:rsid w:val="00181D57"/>
    <w:rsid w:val="00181EF9"/>
    <w:rsid w:val="00181F77"/>
    <w:rsid w:val="00181FDE"/>
    <w:rsid w:val="00182095"/>
    <w:rsid w:val="001820A3"/>
    <w:rsid w:val="001823AA"/>
    <w:rsid w:val="001823EC"/>
    <w:rsid w:val="00182532"/>
    <w:rsid w:val="0018263B"/>
    <w:rsid w:val="0018269A"/>
    <w:rsid w:val="001826B2"/>
    <w:rsid w:val="001826DD"/>
    <w:rsid w:val="00182758"/>
    <w:rsid w:val="00182818"/>
    <w:rsid w:val="0018289A"/>
    <w:rsid w:val="001828EF"/>
    <w:rsid w:val="00182F84"/>
    <w:rsid w:val="001830FA"/>
    <w:rsid w:val="00183361"/>
    <w:rsid w:val="00183577"/>
    <w:rsid w:val="001836AA"/>
    <w:rsid w:val="00183EA6"/>
    <w:rsid w:val="001840BB"/>
    <w:rsid w:val="00184239"/>
    <w:rsid w:val="001844A4"/>
    <w:rsid w:val="001845F1"/>
    <w:rsid w:val="00184637"/>
    <w:rsid w:val="0018478F"/>
    <w:rsid w:val="00184CCB"/>
    <w:rsid w:val="00184CF2"/>
    <w:rsid w:val="00184F3B"/>
    <w:rsid w:val="00184F70"/>
    <w:rsid w:val="00184FA5"/>
    <w:rsid w:val="0018512B"/>
    <w:rsid w:val="00185189"/>
    <w:rsid w:val="0018526E"/>
    <w:rsid w:val="0018531C"/>
    <w:rsid w:val="0018539F"/>
    <w:rsid w:val="001853B8"/>
    <w:rsid w:val="001855CD"/>
    <w:rsid w:val="001855F2"/>
    <w:rsid w:val="001859E1"/>
    <w:rsid w:val="00185B01"/>
    <w:rsid w:val="00185B4B"/>
    <w:rsid w:val="00185CC0"/>
    <w:rsid w:val="001861A0"/>
    <w:rsid w:val="00186235"/>
    <w:rsid w:val="0018672B"/>
    <w:rsid w:val="00186BA0"/>
    <w:rsid w:val="00186F42"/>
    <w:rsid w:val="00186F73"/>
    <w:rsid w:val="001870E9"/>
    <w:rsid w:val="001871AE"/>
    <w:rsid w:val="001873B4"/>
    <w:rsid w:val="001873D0"/>
    <w:rsid w:val="0018756F"/>
    <w:rsid w:val="00187588"/>
    <w:rsid w:val="00187679"/>
    <w:rsid w:val="001877C6"/>
    <w:rsid w:val="00187B4E"/>
    <w:rsid w:val="00187C2D"/>
    <w:rsid w:val="00187CE0"/>
    <w:rsid w:val="00187DF1"/>
    <w:rsid w:val="00187F91"/>
    <w:rsid w:val="00190097"/>
    <w:rsid w:val="00190280"/>
    <w:rsid w:val="0019046F"/>
    <w:rsid w:val="00190597"/>
    <w:rsid w:val="00190861"/>
    <w:rsid w:val="00190A88"/>
    <w:rsid w:val="00190A97"/>
    <w:rsid w:val="00190AEA"/>
    <w:rsid w:val="00190C27"/>
    <w:rsid w:val="0019108A"/>
    <w:rsid w:val="001911EA"/>
    <w:rsid w:val="001913CB"/>
    <w:rsid w:val="0019154D"/>
    <w:rsid w:val="0019155C"/>
    <w:rsid w:val="00191A32"/>
    <w:rsid w:val="0019217E"/>
    <w:rsid w:val="001921EE"/>
    <w:rsid w:val="001921F8"/>
    <w:rsid w:val="001922C2"/>
    <w:rsid w:val="00192416"/>
    <w:rsid w:val="00192537"/>
    <w:rsid w:val="00192548"/>
    <w:rsid w:val="001926A8"/>
    <w:rsid w:val="001926D0"/>
    <w:rsid w:val="00192D01"/>
    <w:rsid w:val="00192E39"/>
    <w:rsid w:val="00192FA0"/>
    <w:rsid w:val="0019304E"/>
    <w:rsid w:val="00193389"/>
    <w:rsid w:val="001933A9"/>
    <w:rsid w:val="00193598"/>
    <w:rsid w:val="0019363E"/>
    <w:rsid w:val="00193A3A"/>
    <w:rsid w:val="00193D01"/>
    <w:rsid w:val="00193EC4"/>
    <w:rsid w:val="00193EDD"/>
    <w:rsid w:val="00193F43"/>
    <w:rsid w:val="001940CD"/>
    <w:rsid w:val="001940E3"/>
    <w:rsid w:val="00194400"/>
    <w:rsid w:val="00194472"/>
    <w:rsid w:val="001946F3"/>
    <w:rsid w:val="001948A4"/>
    <w:rsid w:val="001948C1"/>
    <w:rsid w:val="001949DB"/>
    <w:rsid w:val="00194ABE"/>
    <w:rsid w:val="00194ACA"/>
    <w:rsid w:val="00194C7C"/>
    <w:rsid w:val="00194E1E"/>
    <w:rsid w:val="00194E38"/>
    <w:rsid w:val="00194FF5"/>
    <w:rsid w:val="001951B2"/>
    <w:rsid w:val="00195791"/>
    <w:rsid w:val="00195C5C"/>
    <w:rsid w:val="00195D71"/>
    <w:rsid w:val="00195EF0"/>
    <w:rsid w:val="00195FB5"/>
    <w:rsid w:val="0019612E"/>
    <w:rsid w:val="00196184"/>
    <w:rsid w:val="0019619C"/>
    <w:rsid w:val="00196202"/>
    <w:rsid w:val="001965A8"/>
    <w:rsid w:val="00196725"/>
    <w:rsid w:val="001967ED"/>
    <w:rsid w:val="00196807"/>
    <w:rsid w:val="0019697F"/>
    <w:rsid w:val="00196B1E"/>
    <w:rsid w:val="00196E35"/>
    <w:rsid w:val="00196E77"/>
    <w:rsid w:val="001971DF"/>
    <w:rsid w:val="00197291"/>
    <w:rsid w:val="0019751A"/>
    <w:rsid w:val="00197692"/>
    <w:rsid w:val="001977A0"/>
    <w:rsid w:val="00197821"/>
    <w:rsid w:val="0019784A"/>
    <w:rsid w:val="001978D0"/>
    <w:rsid w:val="00197A3A"/>
    <w:rsid w:val="00197ABE"/>
    <w:rsid w:val="00197CAF"/>
    <w:rsid w:val="00197FBB"/>
    <w:rsid w:val="001A0037"/>
    <w:rsid w:val="001A00CA"/>
    <w:rsid w:val="001A03F4"/>
    <w:rsid w:val="001A04D2"/>
    <w:rsid w:val="001A074F"/>
    <w:rsid w:val="001A08F2"/>
    <w:rsid w:val="001A0D2A"/>
    <w:rsid w:val="001A0ED6"/>
    <w:rsid w:val="001A0FCF"/>
    <w:rsid w:val="001A1693"/>
    <w:rsid w:val="001A19A3"/>
    <w:rsid w:val="001A1AFD"/>
    <w:rsid w:val="001A1B13"/>
    <w:rsid w:val="001A1BAB"/>
    <w:rsid w:val="001A1D06"/>
    <w:rsid w:val="001A1DBD"/>
    <w:rsid w:val="001A1DE3"/>
    <w:rsid w:val="001A1E09"/>
    <w:rsid w:val="001A1FD5"/>
    <w:rsid w:val="001A215C"/>
    <w:rsid w:val="001A2173"/>
    <w:rsid w:val="001A2334"/>
    <w:rsid w:val="001A2424"/>
    <w:rsid w:val="001A2471"/>
    <w:rsid w:val="001A25A7"/>
    <w:rsid w:val="001A26C4"/>
    <w:rsid w:val="001A28F9"/>
    <w:rsid w:val="001A2A49"/>
    <w:rsid w:val="001A2B34"/>
    <w:rsid w:val="001A2D5E"/>
    <w:rsid w:val="001A2E03"/>
    <w:rsid w:val="001A308A"/>
    <w:rsid w:val="001A31EC"/>
    <w:rsid w:val="001A329B"/>
    <w:rsid w:val="001A32EC"/>
    <w:rsid w:val="001A3309"/>
    <w:rsid w:val="001A348C"/>
    <w:rsid w:val="001A34BC"/>
    <w:rsid w:val="001A39D0"/>
    <w:rsid w:val="001A3A0E"/>
    <w:rsid w:val="001A3B78"/>
    <w:rsid w:val="001A3C24"/>
    <w:rsid w:val="001A3C60"/>
    <w:rsid w:val="001A3D8B"/>
    <w:rsid w:val="001A3E2E"/>
    <w:rsid w:val="001A3EFD"/>
    <w:rsid w:val="001A4108"/>
    <w:rsid w:val="001A415A"/>
    <w:rsid w:val="001A433F"/>
    <w:rsid w:val="001A43FF"/>
    <w:rsid w:val="001A4546"/>
    <w:rsid w:val="001A4622"/>
    <w:rsid w:val="001A479B"/>
    <w:rsid w:val="001A486B"/>
    <w:rsid w:val="001A48A6"/>
    <w:rsid w:val="001A4BB1"/>
    <w:rsid w:val="001A4E79"/>
    <w:rsid w:val="001A514E"/>
    <w:rsid w:val="001A5198"/>
    <w:rsid w:val="001A5275"/>
    <w:rsid w:val="001A52DE"/>
    <w:rsid w:val="001A55E4"/>
    <w:rsid w:val="001A570B"/>
    <w:rsid w:val="001A5837"/>
    <w:rsid w:val="001A5956"/>
    <w:rsid w:val="001A5A1B"/>
    <w:rsid w:val="001A5A23"/>
    <w:rsid w:val="001A5A36"/>
    <w:rsid w:val="001A5A5E"/>
    <w:rsid w:val="001A5CAC"/>
    <w:rsid w:val="001A6145"/>
    <w:rsid w:val="001A63FB"/>
    <w:rsid w:val="001A6459"/>
    <w:rsid w:val="001A6AA2"/>
    <w:rsid w:val="001A6AC9"/>
    <w:rsid w:val="001A6B41"/>
    <w:rsid w:val="001A6FA7"/>
    <w:rsid w:val="001A7115"/>
    <w:rsid w:val="001A7597"/>
    <w:rsid w:val="001A7689"/>
    <w:rsid w:val="001A77D9"/>
    <w:rsid w:val="001A7848"/>
    <w:rsid w:val="001B015E"/>
    <w:rsid w:val="001B0236"/>
    <w:rsid w:val="001B0301"/>
    <w:rsid w:val="001B030C"/>
    <w:rsid w:val="001B03B3"/>
    <w:rsid w:val="001B04FE"/>
    <w:rsid w:val="001B065A"/>
    <w:rsid w:val="001B0856"/>
    <w:rsid w:val="001B0ACE"/>
    <w:rsid w:val="001B0E99"/>
    <w:rsid w:val="001B11AF"/>
    <w:rsid w:val="001B1481"/>
    <w:rsid w:val="001B16AA"/>
    <w:rsid w:val="001B2051"/>
    <w:rsid w:val="001B2139"/>
    <w:rsid w:val="001B21A9"/>
    <w:rsid w:val="001B21F4"/>
    <w:rsid w:val="001B2352"/>
    <w:rsid w:val="001B24C3"/>
    <w:rsid w:val="001B26CA"/>
    <w:rsid w:val="001B2916"/>
    <w:rsid w:val="001B2A4F"/>
    <w:rsid w:val="001B2A64"/>
    <w:rsid w:val="001B2C35"/>
    <w:rsid w:val="001B2E94"/>
    <w:rsid w:val="001B3297"/>
    <w:rsid w:val="001B35B6"/>
    <w:rsid w:val="001B36EA"/>
    <w:rsid w:val="001B3ADF"/>
    <w:rsid w:val="001B42FF"/>
    <w:rsid w:val="001B4380"/>
    <w:rsid w:val="001B43AB"/>
    <w:rsid w:val="001B47B1"/>
    <w:rsid w:val="001B4CB2"/>
    <w:rsid w:val="001B4D0B"/>
    <w:rsid w:val="001B4D0D"/>
    <w:rsid w:val="001B4D26"/>
    <w:rsid w:val="001B4DF0"/>
    <w:rsid w:val="001B4E0E"/>
    <w:rsid w:val="001B4F1C"/>
    <w:rsid w:val="001B511D"/>
    <w:rsid w:val="001B5121"/>
    <w:rsid w:val="001B517A"/>
    <w:rsid w:val="001B533E"/>
    <w:rsid w:val="001B5345"/>
    <w:rsid w:val="001B53D8"/>
    <w:rsid w:val="001B5453"/>
    <w:rsid w:val="001B5464"/>
    <w:rsid w:val="001B5887"/>
    <w:rsid w:val="001B5B59"/>
    <w:rsid w:val="001B5D48"/>
    <w:rsid w:val="001B5FF4"/>
    <w:rsid w:val="001B6061"/>
    <w:rsid w:val="001B60DD"/>
    <w:rsid w:val="001B6161"/>
    <w:rsid w:val="001B659E"/>
    <w:rsid w:val="001B68EA"/>
    <w:rsid w:val="001B6C72"/>
    <w:rsid w:val="001B6DAB"/>
    <w:rsid w:val="001B6FF0"/>
    <w:rsid w:val="001B7104"/>
    <w:rsid w:val="001B71C6"/>
    <w:rsid w:val="001B742D"/>
    <w:rsid w:val="001B7A58"/>
    <w:rsid w:val="001B7BAA"/>
    <w:rsid w:val="001B7D64"/>
    <w:rsid w:val="001B7E31"/>
    <w:rsid w:val="001C002C"/>
    <w:rsid w:val="001C041E"/>
    <w:rsid w:val="001C067C"/>
    <w:rsid w:val="001C07B3"/>
    <w:rsid w:val="001C0CCC"/>
    <w:rsid w:val="001C0CD4"/>
    <w:rsid w:val="001C0D29"/>
    <w:rsid w:val="001C0E52"/>
    <w:rsid w:val="001C1181"/>
    <w:rsid w:val="001C1232"/>
    <w:rsid w:val="001C1298"/>
    <w:rsid w:val="001C12EA"/>
    <w:rsid w:val="001C152A"/>
    <w:rsid w:val="001C167D"/>
    <w:rsid w:val="001C1904"/>
    <w:rsid w:val="001C1A8A"/>
    <w:rsid w:val="001C1B45"/>
    <w:rsid w:val="001C1FD8"/>
    <w:rsid w:val="001C2111"/>
    <w:rsid w:val="001C23A7"/>
    <w:rsid w:val="001C2673"/>
    <w:rsid w:val="001C26EC"/>
    <w:rsid w:val="001C27CA"/>
    <w:rsid w:val="001C285B"/>
    <w:rsid w:val="001C292C"/>
    <w:rsid w:val="001C30BF"/>
    <w:rsid w:val="001C3241"/>
    <w:rsid w:val="001C337F"/>
    <w:rsid w:val="001C3495"/>
    <w:rsid w:val="001C34D5"/>
    <w:rsid w:val="001C3E44"/>
    <w:rsid w:val="001C4324"/>
    <w:rsid w:val="001C46F1"/>
    <w:rsid w:val="001C4956"/>
    <w:rsid w:val="001C4A57"/>
    <w:rsid w:val="001C4AE9"/>
    <w:rsid w:val="001C4BBE"/>
    <w:rsid w:val="001C4CB3"/>
    <w:rsid w:val="001C4DBF"/>
    <w:rsid w:val="001C4EB6"/>
    <w:rsid w:val="001C4FDF"/>
    <w:rsid w:val="001C5433"/>
    <w:rsid w:val="001C5546"/>
    <w:rsid w:val="001C5638"/>
    <w:rsid w:val="001C5749"/>
    <w:rsid w:val="001C5759"/>
    <w:rsid w:val="001C5A6C"/>
    <w:rsid w:val="001C5B31"/>
    <w:rsid w:val="001C5C60"/>
    <w:rsid w:val="001C5DAA"/>
    <w:rsid w:val="001C5DB9"/>
    <w:rsid w:val="001C6201"/>
    <w:rsid w:val="001C644F"/>
    <w:rsid w:val="001C65A7"/>
    <w:rsid w:val="001C6849"/>
    <w:rsid w:val="001C6932"/>
    <w:rsid w:val="001C696D"/>
    <w:rsid w:val="001C6997"/>
    <w:rsid w:val="001C69D8"/>
    <w:rsid w:val="001C6A96"/>
    <w:rsid w:val="001C6AD6"/>
    <w:rsid w:val="001C6C5B"/>
    <w:rsid w:val="001C6D5E"/>
    <w:rsid w:val="001C7013"/>
    <w:rsid w:val="001C70CC"/>
    <w:rsid w:val="001C7260"/>
    <w:rsid w:val="001C72F5"/>
    <w:rsid w:val="001C7367"/>
    <w:rsid w:val="001C7422"/>
    <w:rsid w:val="001C7456"/>
    <w:rsid w:val="001C79FB"/>
    <w:rsid w:val="001C7C80"/>
    <w:rsid w:val="001C7EA1"/>
    <w:rsid w:val="001C7EA9"/>
    <w:rsid w:val="001D006D"/>
    <w:rsid w:val="001D0105"/>
    <w:rsid w:val="001D0115"/>
    <w:rsid w:val="001D0402"/>
    <w:rsid w:val="001D0404"/>
    <w:rsid w:val="001D046A"/>
    <w:rsid w:val="001D0720"/>
    <w:rsid w:val="001D074B"/>
    <w:rsid w:val="001D0794"/>
    <w:rsid w:val="001D0CA2"/>
    <w:rsid w:val="001D0D71"/>
    <w:rsid w:val="001D0EDB"/>
    <w:rsid w:val="001D0F59"/>
    <w:rsid w:val="001D1190"/>
    <w:rsid w:val="001D1191"/>
    <w:rsid w:val="001D15FB"/>
    <w:rsid w:val="001D191D"/>
    <w:rsid w:val="001D1A33"/>
    <w:rsid w:val="001D1BFE"/>
    <w:rsid w:val="001D1CCC"/>
    <w:rsid w:val="001D2792"/>
    <w:rsid w:val="001D2871"/>
    <w:rsid w:val="001D29ED"/>
    <w:rsid w:val="001D2B57"/>
    <w:rsid w:val="001D2E3D"/>
    <w:rsid w:val="001D2EED"/>
    <w:rsid w:val="001D2F42"/>
    <w:rsid w:val="001D2F9E"/>
    <w:rsid w:val="001D33CC"/>
    <w:rsid w:val="001D367F"/>
    <w:rsid w:val="001D370E"/>
    <w:rsid w:val="001D3878"/>
    <w:rsid w:val="001D3993"/>
    <w:rsid w:val="001D39F5"/>
    <w:rsid w:val="001D3C41"/>
    <w:rsid w:val="001D3C5C"/>
    <w:rsid w:val="001D3E88"/>
    <w:rsid w:val="001D4335"/>
    <w:rsid w:val="001D463E"/>
    <w:rsid w:val="001D46CA"/>
    <w:rsid w:val="001D486C"/>
    <w:rsid w:val="001D48BB"/>
    <w:rsid w:val="001D495E"/>
    <w:rsid w:val="001D514D"/>
    <w:rsid w:val="001D540E"/>
    <w:rsid w:val="001D56E9"/>
    <w:rsid w:val="001D58F2"/>
    <w:rsid w:val="001D5902"/>
    <w:rsid w:val="001D5B3C"/>
    <w:rsid w:val="001D5F94"/>
    <w:rsid w:val="001D6335"/>
    <w:rsid w:val="001D6482"/>
    <w:rsid w:val="001D6489"/>
    <w:rsid w:val="001D657F"/>
    <w:rsid w:val="001D6607"/>
    <w:rsid w:val="001D668D"/>
    <w:rsid w:val="001D671A"/>
    <w:rsid w:val="001D6862"/>
    <w:rsid w:val="001D6ACD"/>
    <w:rsid w:val="001D6B64"/>
    <w:rsid w:val="001D6C5A"/>
    <w:rsid w:val="001D6D8F"/>
    <w:rsid w:val="001D6EA3"/>
    <w:rsid w:val="001D6EBB"/>
    <w:rsid w:val="001D6FD2"/>
    <w:rsid w:val="001D7048"/>
    <w:rsid w:val="001D71A2"/>
    <w:rsid w:val="001D74DA"/>
    <w:rsid w:val="001D7792"/>
    <w:rsid w:val="001D7810"/>
    <w:rsid w:val="001D79A5"/>
    <w:rsid w:val="001D79BE"/>
    <w:rsid w:val="001D7D4C"/>
    <w:rsid w:val="001D7E29"/>
    <w:rsid w:val="001D7FBA"/>
    <w:rsid w:val="001E028B"/>
    <w:rsid w:val="001E0363"/>
    <w:rsid w:val="001E0944"/>
    <w:rsid w:val="001E11F2"/>
    <w:rsid w:val="001E1400"/>
    <w:rsid w:val="001E15F2"/>
    <w:rsid w:val="001E1685"/>
    <w:rsid w:val="001E182D"/>
    <w:rsid w:val="001E19CA"/>
    <w:rsid w:val="001E1A11"/>
    <w:rsid w:val="001E1A16"/>
    <w:rsid w:val="001E1A9C"/>
    <w:rsid w:val="001E1D42"/>
    <w:rsid w:val="001E1E2A"/>
    <w:rsid w:val="001E1F6E"/>
    <w:rsid w:val="001E248F"/>
    <w:rsid w:val="001E293D"/>
    <w:rsid w:val="001E2E6D"/>
    <w:rsid w:val="001E3088"/>
    <w:rsid w:val="001E3283"/>
    <w:rsid w:val="001E33D7"/>
    <w:rsid w:val="001E37CB"/>
    <w:rsid w:val="001E39DA"/>
    <w:rsid w:val="001E3A3F"/>
    <w:rsid w:val="001E3B3E"/>
    <w:rsid w:val="001E3DA8"/>
    <w:rsid w:val="001E3F7C"/>
    <w:rsid w:val="001E4010"/>
    <w:rsid w:val="001E40B2"/>
    <w:rsid w:val="001E4256"/>
    <w:rsid w:val="001E433D"/>
    <w:rsid w:val="001E435A"/>
    <w:rsid w:val="001E43D3"/>
    <w:rsid w:val="001E461C"/>
    <w:rsid w:val="001E4784"/>
    <w:rsid w:val="001E4A34"/>
    <w:rsid w:val="001E4BC0"/>
    <w:rsid w:val="001E4C99"/>
    <w:rsid w:val="001E50D9"/>
    <w:rsid w:val="001E5576"/>
    <w:rsid w:val="001E56FE"/>
    <w:rsid w:val="001E59AE"/>
    <w:rsid w:val="001E5A3E"/>
    <w:rsid w:val="001E5E03"/>
    <w:rsid w:val="001E600F"/>
    <w:rsid w:val="001E6659"/>
    <w:rsid w:val="001E6668"/>
    <w:rsid w:val="001E66B7"/>
    <w:rsid w:val="001E6799"/>
    <w:rsid w:val="001E6ADB"/>
    <w:rsid w:val="001E6AEA"/>
    <w:rsid w:val="001E6B61"/>
    <w:rsid w:val="001E6DF3"/>
    <w:rsid w:val="001E6E49"/>
    <w:rsid w:val="001E6E88"/>
    <w:rsid w:val="001E737D"/>
    <w:rsid w:val="001E74A7"/>
    <w:rsid w:val="001E794B"/>
    <w:rsid w:val="001E7A4E"/>
    <w:rsid w:val="001F0174"/>
    <w:rsid w:val="001F020D"/>
    <w:rsid w:val="001F031D"/>
    <w:rsid w:val="001F0598"/>
    <w:rsid w:val="001F06A9"/>
    <w:rsid w:val="001F08B3"/>
    <w:rsid w:val="001F0940"/>
    <w:rsid w:val="001F0AE2"/>
    <w:rsid w:val="001F0B0B"/>
    <w:rsid w:val="001F0CA9"/>
    <w:rsid w:val="001F0D9B"/>
    <w:rsid w:val="001F1073"/>
    <w:rsid w:val="001F1BBC"/>
    <w:rsid w:val="001F1BEF"/>
    <w:rsid w:val="001F1C41"/>
    <w:rsid w:val="001F1DCD"/>
    <w:rsid w:val="001F1FAB"/>
    <w:rsid w:val="001F2040"/>
    <w:rsid w:val="001F2141"/>
    <w:rsid w:val="001F2365"/>
    <w:rsid w:val="001F2523"/>
    <w:rsid w:val="001F25FE"/>
    <w:rsid w:val="001F2BCB"/>
    <w:rsid w:val="001F2D50"/>
    <w:rsid w:val="001F2EFC"/>
    <w:rsid w:val="001F31F1"/>
    <w:rsid w:val="001F33DF"/>
    <w:rsid w:val="001F35CB"/>
    <w:rsid w:val="001F3923"/>
    <w:rsid w:val="001F392C"/>
    <w:rsid w:val="001F397F"/>
    <w:rsid w:val="001F39B5"/>
    <w:rsid w:val="001F3C61"/>
    <w:rsid w:val="001F3DBE"/>
    <w:rsid w:val="001F3E95"/>
    <w:rsid w:val="001F4324"/>
    <w:rsid w:val="001F44D4"/>
    <w:rsid w:val="001F48E2"/>
    <w:rsid w:val="001F4B02"/>
    <w:rsid w:val="001F4B1D"/>
    <w:rsid w:val="001F4C55"/>
    <w:rsid w:val="001F5044"/>
    <w:rsid w:val="001F50D1"/>
    <w:rsid w:val="001F522D"/>
    <w:rsid w:val="001F52E5"/>
    <w:rsid w:val="001F5660"/>
    <w:rsid w:val="001F5934"/>
    <w:rsid w:val="001F5944"/>
    <w:rsid w:val="001F5A45"/>
    <w:rsid w:val="001F5B2B"/>
    <w:rsid w:val="001F5B2E"/>
    <w:rsid w:val="001F5B95"/>
    <w:rsid w:val="001F5C17"/>
    <w:rsid w:val="001F5DA7"/>
    <w:rsid w:val="001F5DBC"/>
    <w:rsid w:val="001F5E35"/>
    <w:rsid w:val="001F605C"/>
    <w:rsid w:val="001F6197"/>
    <w:rsid w:val="001F631E"/>
    <w:rsid w:val="001F6985"/>
    <w:rsid w:val="001F6992"/>
    <w:rsid w:val="001F69F5"/>
    <w:rsid w:val="001F6A45"/>
    <w:rsid w:val="001F6B5D"/>
    <w:rsid w:val="001F6C4B"/>
    <w:rsid w:val="001F7204"/>
    <w:rsid w:val="001F7297"/>
    <w:rsid w:val="001F7409"/>
    <w:rsid w:val="001F7507"/>
    <w:rsid w:val="001F7A8F"/>
    <w:rsid w:val="001F7AFD"/>
    <w:rsid w:val="001F7E94"/>
    <w:rsid w:val="00200219"/>
    <w:rsid w:val="00200387"/>
    <w:rsid w:val="00200522"/>
    <w:rsid w:val="0020067B"/>
    <w:rsid w:val="00200685"/>
    <w:rsid w:val="002007A8"/>
    <w:rsid w:val="00200823"/>
    <w:rsid w:val="002008B7"/>
    <w:rsid w:val="002008C6"/>
    <w:rsid w:val="00200ABC"/>
    <w:rsid w:val="00200C69"/>
    <w:rsid w:val="00200C77"/>
    <w:rsid w:val="00200FB0"/>
    <w:rsid w:val="00201088"/>
    <w:rsid w:val="002010C8"/>
    <w:rsid w:val="002011A0"/>
    <w:rsid w:val="00201213"/>
    <w:rsid w:val="0020121E"/>
    <w:rsid w:val="002015DA"/>
    <w:rsid w:val="00201937"/>
    <w:rsid w:val="00201CA3"/>
    <w:rsid w:val="00201D59"/>
    <w:rsid w:val="00202079"/>
    <w:rsid w:val="002020FA"/>
    <w:rsid w:val="002021A1"/>
    <w:rsid w:val="002021AC"/>
    <w:rsid w:val="00202757"/>
    <w:rsid w:val="00202881"/>
    <w:rsid w:val="00202AD4"/>
    <w:rsid w:val="00202BD9"/>
    <w:rsid w:val="00202C30"/>
    <w:rsid w:val="00202F0B"/>
    <w:rsid w:val="002033DD"/>
    <w:rsid w:val="002036CF"/>
    <w:rsid w:val="00203897"/>
    <w:rsid w:val="002039C9"/>
    <w:rsid w:val="00203C42"/>
    <w:rsid w:val="00203CBF"/>
    <w:rsid w:val="00203EC0"/>
    <w:rsid w:val="00203F39"/>
    <w:rsid w:val="00203F4B"/>
    <w:rsid w:val="00203F4D"/>
    <w:rsid w:val="00204163"/>
    <w:rsid w:val="00204296"/>
    <w:rsid w:val="002042F0"/>
    <w:rsid w:val="00204578"/>
    <w:rsid w:val="002046A5"/>
    <w:rsid w:val="00204831"/>
    <w:rsid w:val="00204B2A"/>
    <w:rsid w:val="00204C8D"/>
    <w:rsid w:val="002050F7"/>
    <w:rsid w:val="002052D9"/>
    <w:rsid w:val="002054AC"/>
    <w:rsid w:val="00205E03"/>
    <w:rsid w:val="00205E3C"/>
    <w:rsid w:val="00205E46"/>
    <w:rsid w:val="00205F7B"/>
    <w:rsid w:val="00205FDD"/>
    <w:rsid w:val="002060EC"/>
    <w:rsid w:val="002062B9"/>
    <w:rsid w:val="00206375"/>
    <w:rsid w:val="002064CA"/>
    <w:rsid w:val="0020660E"/>
    <w:rsid w:val="00206933"/>
    <w:rsid w:val="0020693D"/>
    <w:rsid w:val="00206BE3"/>
    <w:rsid w:val="00206CAE"/>
    <w:rsid w:val="00206DB1"/>
    <w:rsid w:val="00206E54"/>
    <w:rsid w:val="00206FC5"/>
    <w:rsid w:val="002070EF"/>
    <w:rsid w:val="00207148"/>
    <w:rsid w:val="002072EE"/>
    <w:rsid w:val="00207405"/>
    <w:rsid w:val="00207618"/>
    <w:rsid w:val="00207673"/>
    <w:rsid w:val="002078B5"/>
    <w:rsid w:val="00207984"/>
    <w:rsid w:val="00207DE8"/>
    <w:rsid w:val="0021025A"/>
    <w:rsid w:val="002104DB"/>
    <w:rsid w:val="00210849"/>
    <w:rsid w:val="00210B38"/>
    <w:rsid w:val="00210B77"/>
    <w:rsid w:val="0021123E"/>
    <w:rsid w:val="0021126A"/>
    <w:rsid w:val="00211446"/>
    <w:rsid w:val="00211506"/>
    <w:rsid w:val="00211743"/>
    <w:rsid w:val="00211870"/>
    <w:rsid w:val="00211A9B"/>
    <w:rsid w:val="00211AF8"/>
    <w:rsid w:val="00211E8A"/>
    <w:rsid w:val="00212185"/>
    <w:rsid w:val="002123BA"/>
    <w:rsid w:val="00212438"/>
    <w:rsid w:val="002128FD"/>
    <w:rsid w:val="00212BEE"/>
    <w:rsid w:val="00212C64"/>
    <w:rsid w:val="00212D63"/>
    <w:rsid w:val="00212D72"/>
    <w:rsid w:val="00212E04"/>
    <w:rsid w:val="00212F38"/>
    <w:rsid w:val="00213017"/>
    <w:rsid w:val="0021301C"/>
    <w:rsid w:val="00213255"/>
    <w:rsid w:val="00213325"/>
    <w:rsid w:val="002133DE"/>
    <w:rsid w:val="00213454"/>
    <w:rsid w:val="002135E7"/>
    <w:rsid w:val="002138F7"/>
    <w:rsid w:val="0021390E"/>
    <w:rsid w:val="00213AED"/>
    <w:rsid w:val="00213C3F"/>
    <w:rsid w:val="00213E7C"/>
    <w:rsid w:val="002141B5"/>
    <w:rsid w:val="00214934"/>
    <w:rsid w:val="00214A0A"/>
    <w:rsid w:val="00214AC5"/>
    <w:rsid w:val="00214B8C"/>
    <w:rsid w:val="00214FE8"/>
    <w:rsid w:val="0021509C"/>
    <w:rsid w:val="002150DF"/>
    <w:rsid w:val="00215233"/>
    <w:rsid w:val="00215471"/>
    <w:rsid w:val="002155EB"/>
    <w:rsid w:val="002156EE"/>
    <w:rsid w:val="002159B4"/>
    <w:rsid w:val="00215D1F"/>
    <w:rsid w:val="00215E15"/>
    <w:rsid w:val="00215FB3"/>
    <w:rsid w:val="00216196"/>
    <w:rsid w:val="00216510"/>
    <w:rsid w:val="0021675B"/>
    <w:rsid w:val="002168FB"/>
    <w:rsid w:val="002169C5"/>
    <w:rsid w:val="00216A3A"/>
    <w:rsid w:val="00216EB1"/>
    <w:rsid w:val="002170BA"/>
    <w:rsid w:val="0021717D"/>
    <w:rsid w:val="0021731E"/>
    <w:rsid w:val="002173AD"/>
    <w:rsid w:val="00217405"/>
    <w:rsid w:val="0021740B"/>
    <w:rsid w:val="002174FF"/>
    <w:rsid w:val="0021751B"/>
    <w:rsid w:val="002176EB"/>
    <w:rsid w:val="00217721"/>
    <w:rsid w:val="00217761"/>
    <w:rsid w:val="002177DD"/>
    <w:rsid w:val="00217911"/>
    <w:rsid w:val="0021792A"/>
    <w:rsid w:val="00217A4A"/>
    <w:rsid w:val="00217C53"/>
    <w:rsid w:val="00217EC8"/>
    <w:rsid w:val="00217EE1"/>
    <w:rsid w:val="00217F04"/>
    <w:rsid w:val="0022051F"/>
    <w:rsid w:val="0022094C"/>
    <w:rsid w:val="002209F1"/>
    <w:rsid w:val="00220A2E"/>
    <w:rsid w:val="00220AA1"/>
    <w:rsid w:val="00220E58"/>
    <w:rsid w:val="00220EC7"/>
    <w:rsid w:val="00220F4B"/>
    <w:rsid w:val="00221304"/>
    <w:rsid w:val="0022157E"/>
    <w:rsid w:val="002215A2"/>
    <w:rsid w:val="002216CF"/>
    <w:rsid w:val="0022176C"/>
    <w:rsid w:val="002217C3"/>
    <w:rsid w:val="00221964"/>
    <w:rsid w:val="002219CF"/>
    <w:rsid w:val="00221D9E"/>
    <w:rsid w:val="00221E26"/>
    <w:rsid w:val="0022200E"/>
    <w:rsid w:val="00222041"/>
    <w:rsid w:val="002222B5"/>
    <w:rsid w:val="00222328"/>
    <w:rsid w:val="002224A0"/>
    <w:rsid w:val="0022250C"/>
    <w:rsid w:val="00222820"/>
    <w:rsid w:val="002229A7"/>
    <w:rsid w:val="00222D46"/>
    <w:rsid w:val="00222D71"/>
    <w:rsid w:val="00223250"/>
    <w:rsid w:val="00223336"/>
    <w:rsid w:val="002233D8"/>
    <w:rsid w:val="002234C6"/>
    <w:rsid w:val="0022355C"/>
    <w:rsid w:val="002236F6"/>
    <w:rsid w:val="00223904"/>
    <w:rsid w:val="00223A05"/>
    <w:rsid w:val="00223AEB"/>
    <w:rsid w:val="00223B7B"/>
    <w:rsid w:val="00223BD2"/>
    <w:rsid w:val="00223D1C"/>
    <w:rsid w:val="002241A8"/>
    <w:rsid w:val="002241F0"/>
    <w:rsid w:val="002242C0"/>
    <w:rsid w:val="00224300"/>
    <w:rsid w:val="00224332"/>
    <w:rsid w:val="0022448B"/>
    <w:rsid w:val="00224537"/>
    <w:rsid w:val="0022458A"/>
    <w:rsid w:val="002245AC"/>
    <w:rsid w:val="002245FE"/>
    <w:rsid w:val="00224753"/>
    <w:rsid w:val="00224776"/>
    <w:rsid w:val="00224868"/>
    <w:rsid w:val="002248B1"/>
    <w:rsid w:val="00224907"/>
    <w:rsid w:val="00224B7D"/>
    <w:rsid w:val="00224E2E"/>
    <w:rsid w:val="0022515A"/>
    <w:rsid w:val="002252B8"/>
    <w:rsid w:val="0022559E"/>
    <w:rsid w:val="002257B5"/>
    <w:rsid w:val="00225893"/>
    <w:rsid w:val="002258D7"/>
    <w:rsid w:val="00225929"/>
    <w:rsid w:val="00225AA9"/>
    <w:rsid w:val="00225AD3"/>
    <w:rsid w:val="00225B5C"/>
    <w:rsid w:val="00225BB6"/>
    <w:rsid w:val="00225C70"/>
    <w:rsid w:val="00225E1B"/>
    <w:rsid w:val="00225F23"/>
    <w:rsid w:val="00225FD8"/>
    <w:rsid w:val="00226077"/>
    <w:rsid w:val="002263F8"/>
    <w:rsid w:val="00226444"/>
    <w:rsid w:val="00226900"/>
    <w:rsid w:val="00226CDF"/>
    <w:rsid w:val="00226D20"/>
    <w:rsid w:val="00226DDC"/>
    <w:rsid w:val="00226DED"/>
    <w:rsid w:val="00226E7D"/>
    <w:rsid w:val="00226F3A"/>
    <w:rsid w:val="002273AF"/>
    <w:rsid w:val="002277BD"/>
    <w:rsid w:val="002279F1"/>
    <w:rsid w:val="00227A4B"/>
    <w:rsid w:val="00227A7E"/>
    <w:rsid w:val="00227AE9"/>
    <w:rsid w:val="00227E96"/>
    <w:rsid w:val="00227EC5"/>
    <w:rsid w:val="002300B9"/>
    <w:rsid w:val="0023047A"/>
    <w:rsid w:val="0023047E"/>
    <w:rsid w:val="0023051D"/>
    <w:rsid w:val="00230580"/>
    <w:rsid w:val="0023058F"/>
    <w:rsid w:val="00230650"/>
    <w:rsid w:val="002308AC"/>
    <w:rsid w:val="00230A3E"/>
    <w:rsid w:val="00230ABB"/>
    <w:rsid w:val="00230AD0"/>
    <w:rsid w:val="00230CCF"/>
    <w:rsid w:val="00230F20"/>
    <w:rsid w:val="00230F58"/>
    <w:rsid w:val="00231080"/>
    <w:rsid w:val="00231347"/>
    <w:rsid w:val="002313DB"/>
    <w:rsid w:val="002314D2"/>
    <w:rsid w:val="002315D0"/>
    <w:rsid w:val="002315E1"/>
    <w:rsid w:val="00231810"/>
    <w:rsid w:val="002318E6"/>
    <w:rsid w:val="00231966"/>
    <w:rsid w:val="00231A71"/>
    <w:rsid w:val="00231A82"/>
    <w:rsid w:val="00231AD6"/>
    <w:rsid w:val="00231BF0"/>
    <w:rsid w:val="00231DBB"/>
    <w:rsid w:val="00231E9D"/>
    <w:rsid w:val="00232023"/>
    <w:rsid w:val="00232038"/>
    <w:rsid w:val="00232335"/>
    <w:rsid w:val="0023235A"/>
    <w:rsid w:val="00232439"/>
    <w:rsid w:val="0023244B"/>
    <w:rsid w:val="002325F2"/>
    <w:rsid w:val="002326AA"/>
    <w:rsid w:val="0023280D"/>
    <w:rsid w:val="00232DB6"/>
    <w:rsid w:val="00232E75"/>
    <w:rsid w:val="00232FE0"/>
    <w:rsid w:val="002330A3"/>
    <w:rsid w:val="002336EF"/>
    <w:rsid w:val="00233820"/>
    <w:rsid w:val="00233AE7"/>
    <w:rsid w:val="00233C2A"/>
    <w:rsid w:val="00233FA1"/>
    <w:rsid w:val="002340F0"/>
    <w:rsid w:val="0023424E"/>
    <w:rsid w:val="0023457C"/>
    <w:rsid w:val="002346C2"/>
    <w:rsid w:val="00234763"/>
    <w:rsid w:val="002349F2"/>
    <w:rsid w:val="00234B23"/>
    <w:rsid w:val="00234D1C"/>
    <w:rsid w:val="00234E2F"/>
    <w:rsid w:val="002351A8"/>
    <w:rsid w:val="002352E7"/>
    <w:rsid w:val="002353C0"/>
    <w:rsid w:val="002355FF"/>
    <w:rsid w:val="0023572A"/>
    <w:rsid w:val="00235755"/>
    <w:rsid w:val="00235762"/>
    <w:rsid w:val="002357C6"/>
    <w:rsid w:val="002358FE"/>
    <w:rsid w:val="00235963"/>
    <w:rsid w:val="00235ABE"/>
    <w:rsid w:val="00235C5A"/>
    <w:rsid w:val="00235F49"/>
    <w:rsid w:val="002360AA"/>
    <w:rsid w:val="00236224"/>
    <w:rsid w:val="002363C1"/>
    <w:rsid w:val="00236424"/>
    <w:rsid w:val="002365FE"/>
    <w:rsid w:val="0023668C"/>
    <w:rsid w:val="002366BF"/>
    <w:rsid w:val="00236A32"/>
    <w:rsid w:val="00236B3E"/>
    <w:rsid w:val="00236C7C"/>
    <w:rsid w:val="00236C95"/>
    <w:rsid w:val="00236D90"/>
    <w:rsid w:val="00236E5F"/>
    <w:rsid w:val="00236F6F"/>
    <w:rsid w:val="002371C2"/>
    <w:rsid w:val="00237272"/>
    <w:rsid w:val="002374C3"/>
    <w:rsid w:val="00237579"/>
    <w:rsid w:val="0023766D"/>
    <w:rsid w:val="002379DE"/>
    <w:rsid w:val="00237A38"/>
    <w:rsid w:val="00237E51"/>
    <w:rsid w:val="00237FE5"/>
    <w:rsid w:val="002407DF"/>
    <w:rsid w:val="0024089C"/>
    <w:rsid w:val="002408B6"/>
    <w:rsid w:val="00240FDC"/>
    <w:rsid w:val="002410E9"/>
    <w:rsid w:val="002416D5"/>
    <w:rsid w:val="0024186D"/>
    <w:rsid w:val="00241965"/>
    <w:rsid w:val="00241A6B"/>
    <w:rsid w:val="00241AFE"/>
    <w:rsid w:val="00241B3D"/>
    <w:rsid w:val="00241B68"/>
    <w:rsid w:val="00241D18"/>
    <w:rsid w:val="00241E62"/>
    <w:rsid w:val="00241EAE"/>
    <w:rsid w:val="00241F98"/>
    <w:rsid w:val="0024219B"/>
    <w:rsid w:val="002421AF"/>
    <w:rsid w:val="002423FB"/>
    <w:rsid w:val="0024251C"/>
    <w:rsid w:val="0024256E"/>
    <w:rsid w:val="0024270C"/>
    <w:rsid w:val="002429A3"/>
    <w:rsid w:val="00242A11"/>
    <w:rsid w:val="00242A69"/>
    <w:rsid w:val="00242BDB"/>
    <w:rsid w:val="00242E35"/>
    <w:rsid w:val="002430D4"/>
    <w:rsid w:val="002431F9"/>
    <w:rsid w:val="00243657"/>
    <w:rsid w:val="00243909"/>
    <w:rsid w:val="0024398D"/>
    <w:rsid w:val="002439AA"/>
    <w:rsid w:val="00243BBC"/>
    <w:rsid w:val="00243CE3"/>
    <w:rsid w:val="00244553"/>
    <w:rsid w:val="002446AF"/>
    <w:rsid w:val="002448A3"/>
    <w:rsid w:val="002448CD"/>
    <w:rsid w:val="00244BB8"/>
    <w:rsid w:val="00244C18"/>
    <w:rsid w:val="00244E8B"/>
    <w:rsid w:val="00245005"/>
    <w:rsid w:val="0024502C"/>
    <w:rsid w:val="00245106"/>
    <w:rsid w:val="0024525B"/>
    <w:rsid w:val="00245395"/>
    <w:rsid w:val="002453F5"/>
    <w:rsid w:val="002454D9"/>
    <w:rsid w:val="002455A4"/>
    <w:rsid w:val="0024594D"/>
    <w:rsid w:val="00245989"/>
    <w:rsid w:val="00245D52"/>
    <w:rsid w:val="00245F04"/>
    <w:rsid w:val="00245F36"/>
    <w:rsid w:val="00246238"/>
    <w:rsid w:val="0024626C"/>
    <w:rsid w:val="00246383"/>
    <w:rsid w:val="002465C1"/>
    <w:rsid w:val="00246831"/>
    <w:rsid w:val="00246AA5"/>
    <w:rsid w:val="00246D42"/>
    <w:rsid w:val="00246E20"/>
    <w:rsid w:val="002475B6"/>
    <w:rsid w:val="0024760D"/>
    <w:rsid w:val="00247BDF"/>
    <w:rsid w:val="00247C83"/>
    <w:rsid w:val="00247FC6"/>
    <w:rsid w:val="002503A1"/>
    <w:rsid w:val="002504F4"/>
    <w:rsid w:val="00250740"/>
    <w:rsid w:val="00250ED9"/>
    <w:rsid w:val="00250F51"/>
    <w:rsid w:val="00251076"/>
    <w:rsid w:val="00251081"/>
    <w:rsid w:val="002510BA"/>
    <w:rsid w:val="002512F6"/>
    <w:rsid w:val="0025130B"/>
    <w:rsid w:val="002513BE"/>
    <w:rsid w:val="002515B1"/>
    <w:rsid w:val="002515C8"/>
    <w:rsid w:val="0025176F"/>
    <w:rsid w:val="00251A45"/>
    <w:rsid w:val="00251A8A"/>
    <w:rsid w:val="00251AFB"/>
    <w:rsid w:val="00251D32"/>
    <w:rsid w:val="0025215E"/>
    <w:rsid w:val="00252267"/>
    <w:rsid w:val="00252518"/>
    <w:rsid w:val="002525D7"/>
    <w:rsid w:val="002526CC"/>
    <w:rsid w:val="0025287E"/>
    <w:rsid w:val="00252FE6"/>
    <w:rsid w:val="00252FF2"/>
    <w:rsid w:val="00253174"/>
    <w:rsid w:val="0025317E"/>
    <w:rsid w:val="00253370"/>
    <w:rsid w:val="002536E0"/>
    <w:rsid w:val="00253730"/>
    <w:rsid w:val="00253F79"/>
    <w:rsid w:val="00254223"/>
    <w:rsid w:val="002543D2"/>
    <w:rsid w:val="0025456B"/>
    <w:rsid w:val="002546AA"/>
    <w:rsid w:val="00254EEF"/>
    <w:rsid w:val="0025525D"/>
    <w:rsid w:val="00255294"/>
    <w:rsid w:val="0025558D"/>
    <w:rsid w:val="0025593A"/>
    <w:rsid w:val="00255D63"/>
    <w:rsid w:val="00255FBD"/>
    <w:rsid w:val="00256353"/>
    <w:rsid w:val="002563DB"/>
    <w:rsid w:val="002563F5"/>
    <w:rsid w:val="00256410"/>
    <w:rsid w:val="00256C61"/>
    <w:rsid w:val="0025702E"/>
    <w:rsid w:val="00257197"/>
    <w:rsid w:val="002572E1"/>
    <w:rsid w:val="00257319"/>
    <w:rsid w:val="002573C5"/>
    <w:rsid w:val="002573F6"/>
    <w:rsid w:val="002574EE"/>
    <w:rsid w:val="00257673"/>
    <w:rsid w:val="002576CD"/>
    <w:rsid w:val="0025781A"/>
    <w:rsid w:val="0025793A"/>
    <w:rsid w:val="00257950"/>
    <w:rsid w:val="00257BFE"/>
    <w:rsid w:val="00257E0D"/>
    <w:rsid w:val="00257E71"/>
    <w:rsid w:val="0026001B"/>
    <w:rsid w:val="00260157"/>
    <w:rsid w:val="002605CF"/>
    <w:rsid w:val="002606C8"/>
    <w:rsid w:val="002607E6"/>
    <w:rsid w:val="00260A9A"/>
    <w:rsid w:val="00260AF1"/>
    <w:rsid w:val="00260BD4"/>
    <w:rsid w:val="00260C58"/>
    <w:rsid w:val="00260D7F"/>
    <w:rsid w:val="00260E6F"/>
    <w:rsid w:val="00260FE3"/>
    <w:rsid w:val="002616B6"/>
    <w:rsid w:val="002616D5"/>
    <w:rsid w:val="0026174C"/>
    <w:rsid w:val="00261BA3"/>
    <w:rsid w:val="00261BC6"/>
    <w:rsid w:val="00261CA2"/>
    <w:rsid w:val="00261CF7"/>
    <w:rsid w:val="00261F0A"/>
    <w:rsid w:val="002620E3"/>
    <w:rsid w:val="0026226B"/>
    <w:rsid w:val="00262530"/>
    <w:rsid w:val="00262580"/>
    <w:rsid w:val="002627B3"/>
    <w:rsid w:val="002627E9"/>
    <w:rsid w:val="00262854"/>
    <w:rsid w:val="00262A70"/>
    <w:rsid w:val="00262A7B"/>
    <w:rsid w:val="00262CB9"/>
    <w:rsid w:val="00262D03"/>
    <w:rsid w:val="00262D41"/>
    <w:rsid w:val="00262E6C"/>
    <w:rsid w:val="00262F74"/>
    <w:rsid w:val="002630F1"/>
    <w:rsid w:val="002631B8"/>
    <w:rsid w:val="00263299"/>
    <w:rsid w:val="0026334A"/>
    <w:rsid w:val="0026334C"/>
    <w:rsid w:val="00263366"/>
    <w:rsid w:val="00263370"/>
    <w:rsid w:val="0026338D"/>
    <w:rsid w:val="002633D2"/>
    <w:rsid w:val="0026378B"/>
    <w:rsid w:val="0026393B"/>
    <w:rsid w:val="00263CAB"/>
    <w:rsid w:val="00263E42"/>
    <w:rsid w:val="00263F5E"/>
    <w:rsid w:val="00263FE4"/>
    <w:rsid w:val="002641F9"/>
    <w:rsid w:val="002643A5"/>
    <w:rsid w:val="00264771"/>
    <w:rsid w:val="0026493A"/>
    <w:rsid w:val="00264955"/>
    <w:rsid w:val="002649B6"/>
    <w:rsid w:val="00264C13"/>
    <w:rsid w:val="00264C98"/>
    <w:rsid w:val="00264DB5"/>
    <w:rsid w:val="00264FFF"/>
    <w:rsid w:val="0026526F"/>
    <w:rsid w:val="00265439"/>
    <w:rsid w:val="002654CA"/>
    <w:rsid w:val="002655B4"/>
    <w:rsid w:val="002655D9"/>
    <w:rsid w:val="0026587D"/>
    <w:rsid w:val="00265891"/>
    <w:rsid w:val="00265E70"/>
    <w:rsid w:val="00266143"/>
    <w:rsid w:val="0026650B"/>
    <w:rsid w:val="0026660F"/>
    <w:rsid w:val="00266846"/>
    <w:rsid w:val="002669CF"/>
    <w:rsid w:val="00266AFB"/>
    <w:rsid w:val="00266B19"/>
    <w:rsid w:val="00266CB5"/>
    <w:rsid w:val="00266E5B"/>
    <w:rsid w:val="00267062"/>
    <w:rsid w:val="002670C4"/>
    <w:rsid w:val="002671D2"/>
    <w:rsid w:val="002674BA"/>
    <w:rsid w:val="00267746"/>
    <w:rsid w:val="00267982"/>
    <w:rsid w:val="00267C52"/>
    <w:rsid w:val="00267EA7"/>
    <w:rsid w:val="00267EB7"/>
    <w:rsid w:val="00267EFC"/>
    <w:rsid w:val="002701CF"/>
    <w:rsid w:val="00270280"/>
    <w:rsid w:val="0027029F"/>
    <w:rsid w:val="0027046B"/>
    <w:rsid w:val="002704C5"/>
    <w:rsid w:val="0027058D"/>
    <w:rsid w:val="002706D3"/>
    <w:rsid w:val="00270A4E"/>
    <w:rsid w:val="00270A9E"/>
    <w:rsid w:val="00270B50"/>
    <w:rsid w:val="00270B89"/>
    <w:rsid w:val="00270BE3"/>
    <w:rsid w:val="00270C7B"/>
    <w:rsid w:val="00270EA2"/>
    <w:rsid w:val="00270ED6"/>
    <w:rsid w:val="0027107D"/>
    <w:rsid w:val="0027109A"/>
    <w:rsid w:val="00271155"/>
    <w:rsid w:val="00271277"/>
    <w:rsid w:val="00271376"/>
    <w:rsid w:val="0027148A"/>
    <w:rsid w:val="002714A8"/>
    <w:rsid w:val="002714FD"/>
    <w:rsid w:val="00271694"/>
    <w:rsid w:val="002718BD"/>
    <w:rsid w:val="00271B59"/>
    <w:rsid w:val="00271C5C"/>
    <w:rsid w:val="00271E0E"/>
    <w:rsid w:val="00271F4B"/>
    <w:rsid w:val="002722AB"/>
    <w:rsid w:val="00272414"/>
    <w:rsid w:val="002728B0"/>
    <w:rsid w:val="002728EB"/>
    <w:rsid w:val="00272D27"/>
    <w:rsid w:val="00272F3B"/>
    <w:rsid w:val="00272FA7"/>
    <w:rsid w:val="002731DC"/>
    <w:rsid w:val="002732B8"/>
    <w:rsid w:val="00273398"/>
    <w:rsid w:val="002734A8"/>
    <w:rsid w:val="002735C4"/>
    <w:rsid w:val="00273649"/>
    <w:rsid w:val="0027366E"/>
    <w:rsid w:val="002736DC"/>
    <w:rsid w:val="002736E7"/>
    <w:rsid w:val="00273B42"/>
    <w:rsid w:val="00273C7D"/>
    <w:rsid w:val="00273DDE"/>
    <w:rsid w:val="002743A3"/>
    <w:rsid w:val="0027457F"/>
    <w:rsid w:val="002746E0"/>
    <w:rsid w:val="002749DF"/>
    <w:rsid w:val="00274AF0"/>
    <w:rsid w:val="0027516F"/>
    <w:rsid w:val="002751BF"/>
    <w:rsid w:val="0027537D"/>
    <w:rsid w:val="00275A17"/>
    <w:rsid w:val="00275C81"/>
    <w:rsid w:val="00275F0B"/>
    <w:rsid w:val="00275F35"/>
    <w:rsid w:val="00275FCC"/>
    <w:rsid w:val="00276516"/>
    <w:rsid w:val="00276538"/>
    <w:rsid w:val="002766FC"/>
    <w:rsid w:val="00276910"/>
    <w:rsid w:val="00276A9F"/>
    <w:rsid w:val="00276BB9"/>
    <w:rsid w:val="00276C3C"/>
    <w:rsid w:val="00276D88"/>
    <w:rsid w:val="00276EC2"/>
    <w:rsid w:val="00276EDE"/>
    <w:rsid w:val="00276FB1"/>
    <w:rsid w:val="00277001"/>
    <w:rsid w:val="002772D6"/>
    <w:rsid w:val="0027795B"/>
    <w:rsid w:val="00277A1A"/>
    <w:rsid w:val="00277AEF"/>
    <w:rsid w:val="00277B7B"/>
    <w:rsid w:val="00277BD7"/>
    <w:rsid w:val="00277C29"/>
    <w:rsid w:val="00277F14"/>
    <w:rsid w:val="002805F8"/>
    <w:rsid w:val="00280778"/>
    <w:rsid w:val="002808D3"/>
    <w:rsid w:val="00280942"/>
    <w:rsid w:val="002809F2"/>
    <w:rsid w:val="00280B8F"/>
    <w:rsid w:val="00280C5B"/>
    <w:rsid w:val="00280C92"/>
    <w:rsid w:val="00280E1D"/>
    <w:rsid w:val="00280FD4"/>
    <w:rsid w:val="002812C2"/>
    <w:rsid w:val="002812FA"/>
    <w:rsid w:val="002814CB"/>
    <w:rsid w:val="00281653"/>
    <w:rsid w:val="002816AC"/>
    <w:rsid w:val="00281BC7"/>
    <w:rsid w:val="00281E32"/>
    <w:rsid w:val="00281FC1"/>
    <w:rsid w:val="002820D6"/>
    <w:rsid w:val="002822A0"/>
    <w:rsid w:val="002823F7"/>
    <w:rsid w:val="00282513"/>
    <w:rsid w:val="00282580"/>
    <w:rsid w:val="002827BD"/>
    <w:rsid w:val="00282902"/>
    <w:rsid w:val="00282E8E"/>
    <w:rsid w:val="00282EC0"/>
    <w:rsid w:val="00282F9D"/>
    <w:rsid w:val="0028300D"/>
    <w:rsid w:val="002830BD"/>
    <w:rsid w:val="0028324A"/>
    <w:rsid w:val="002832BA"/>
    <w:rsid w:val="002833A2"/>
    <w:rsid w:val="00283421"/>
    <w:rsid w:val="00283690"/>
    <w:rsid w:val="002838A3"/>
    <w:rsid w:val="00283C12"/>
    <w:rsid w:val="00283DD4"/>
    <w:rsid w:val="00283E6C"/>
    <w:rsid w:val="00283E75"/>
    <w:rsid w:val="00283EFD"/>
    <w:rsid w:val="002842D7"/>
    <w:rsid w:val="0028453A"/>
    <w:rsid w:val="00284605"/>
    <w:rsid w:val="002846CF"/>
    <w:rsid w:val="00284716"/>
    <w:rsid w:val="00284807"/>
    <w:rsid w:val="00284813"/>
    <w:rsid w:val="0028486A"/>
    <w:rsid w:val="00284AAB"/>
    <w:rsid w:val="00284AFA"/>
    <w:rsid w:val="00284BE7"/>
    <w:rsid w:val="00284C6E"/>
    <w:rsid w:val="00284D68"/>
    <w:rsid w:val="002851CF"/>
    <w:rsid w:val="002852B8"/>
    <w:rsid w:val="002854A1"/>
    <w:rsid w:val="002855CB"/>
    <w:rsid w:val="0028576A"/>
    <w:rsid w:val="002857B3"/>
    <w:rsid w:val="002858CD"/>
    <w:rsid w:val="00285A82"/>
    <w:rsid w:val="00285A89"/>
    <w:rsid w:val="00285C3D"/>
    <w:rsid w:val="00285E01"/>
    <w:rsid w:val="00285E80"/>
    <w:rsid w:val="00285F4F"/>
    <w:rsid w:val="002860C7"/>
    <w:rsid w:val="0028611E"/>
    <w:rsid w:val="00286420"/>
    <w:rsid w:val="00286455"/>
    <w:rsid w:val="0028648B"/>
    <w:rsid w:val="002864E9"/>
    <w:rsid w:val="00286F6D"/>
    <w:rsid w:val="002870B2"/>
    <w:rsid w:val="002872AF"/>
    <w:rsid w:val="00287431"/>
    <w:rsid w:val="00287673"/>
    <w:rsid w:val="00287686"/>
    <w:rsid w:val="00287B68"/>
    <w:rsid w:val="00287CFB"/>
    <w:rsid w:val="00287E5B"/>
    <w:rsid w:val="00290006"/>
    <w:rsid w:val="00290232"/>
    <w:rsid w:val="0029025D"/>
    <w:rsid w:val="0029062E"/>
    <w:rsid w:val="00290BCD"/>
    <w:rsid w:val="00290DCF"/>
    <w:rsid w:val="00290F55"/>
    <w:rsid w:val="002910B9"/>
    <w:rsid w:val="00291250"/>
    <w:rsid w:val="00291260"/>
    <w:rsid w:val="002912C3"/>
    <w:rsid w:val="002913A5"/>
    <w:rsid w:val="00291671"/>
    <w:rsid w:val="00291730"/>
    <w:rsid w:val="0029180C"/>
    <w:rsid w:val="00291924"/>
    <w:rsid w:val="00291967"/>
    <w:rsid w:val="00291D56"/>
    <w:rsid w:val="00291FC3"/>
    <w:rsid w:val="00291FCD"/>
    <w:rsid w:val="00292129"/>
    <w:rsid w:val="00292226"/>
    <w:rsid w:val="0029226C"/>
    <w:rsid w:val="002923E2"/>
    <w:rsid w:val="002924E8"/>
    <w:rsid w:val="0029257A"/>
    <w:rsid w:val="0029268C"/>
    <w:rsid w:val="002928F5"/>
    <w:rsid w:val="00292A83"/>
    <w:rsid w:val="00292DD9"/>
    <w:rsid w:val="0029321D"/>
    <w:rsid w:val="0029326B"/>
    <w:rsid w:val="0029333D"/>
    <w:rsid w:val="002933A7"/>
    <w:rsid w:val="002934AF"/>
    <w:rsid w:val="00293674"/>
    <w:rsid w:val="002938E3"/>
    <w:rsid w:val="00293AAE"/>
    <w:rsid w:val="00294168"/>
    <w:rsid w:val="00294198"/>
    <w:rsid w:val="0029425B"/>
    <w:rsid w:val="002943A8"/>
    <w:rsid w:val="002944F6"/>
    <w:rsid w:val="00294687"/>
    <w:rsid w:val="002946E1"/>
    <w:rsid w:val="0029472B"/>
    <w:rsid w:val="00294769"/>
    <w:rsid w:val="00294880"/>
    <w:rsid w:val="00294BA3"/>
    <w:rsid w:val="00294D03"/>
    <w:rsid w:val="00294DCF"/>
    <w:rsid w:val="00294F47"/>
    <w:rsid w:val="00295113"/>
    <w:rsid w:val="0029532F"/>
    <w:rsid w:val="002955E7"/>
    <w:rsid w:val="0029562D"/>
    <w:rsid w:val="0029576B"/>
    <w:rsid w:val="00295851"/>
    <w:rsid w:val="002959AE"/>
    <w:rsid w:val="00295A61"/>
    <w:rsid w:val="00295B1D"/>
    <w:rsid w:val="00295B6C"/>
    <w:rsid w:val="00295CD1"/>
    <w:rsid w:val="00295DA2"/>
    <w:rsid w:val="00295F61"/>
    <w:rsid w:val="00295F78"/>
    <w:rsid w:val="00295FAD"/>
    <w:rsid w:val="00296118"/>
    <w:rsid w:val="002962E1"/>
    <w:rsid w:val="0029640B"/>
    <w:rsid w:val="002965D2"/>
    <w:rsid w:val="002965F1"/>
    <w:rsid w:val="0029684B"/>
    <w:rsid w:val="00296DF1"/>
    <w:rsid w:val="00296E76"/>
    <w:rsid w:val="00296EF1"/>
    <w:rsid w:val="00297006"/>
    <w:rsid w:val="0029707F"/>
    <w:rsid w:val="002970BB"/>
    <w:rsid w:val="00297149"/>
    <w:rsid w:val="002972FD"/>
    <w:rsid w:val="002973B9"/>
    <w:rsid w:val="00297451"/>
    <w:rsid w:val="0029748F"/>
    <w:rsid w:val="00297495"/>
    <w:rsid w:val="00297A16"/>
    <w:rsid w:val="00297AF4"/>
    <w:rsid w:val="00297D67"/>
    <w:rsid w:val="00297E50"/>
    <w:rsid w:val="002A001B"/>
    <w:rsid w:val="002A02BE"/>
    <w:rsid w:val="002A0481"/>
    <w:rsid w:val="002A0522"/>
    <w:rsid w:val="002A0766"/>
    <w:rsid w:val="002A076C"/>
    <w:rsid w:val="002A0845"/>
    <w:rsid w:val="002A091B"/>
    <w:rsid w:val="002A0A89"/>
    <w:rsid w:val="002A0AFA"/>
    <w:rsid w:val="002A0BB1"/>
    <w:rsid w:val="002A0D89"/>
    <w:rsid w:val="002A1022"/>
    <w:rsid w:val="002A10BA"/>
    <w:rsid w:val="002A1227"/>
    <w:rsid w:val="002A13C8"/>
    <w:rsid w:val="002A13D4"/>
    <w:rsid w:val="002A13DA"/>
    <w:rsid w:val="002A1540"/>
    <w:rsid w:val="002A17B0"/>
    <w:rsid w:val="002A21AE"/>
    <w:rsid w:val="002A22AB"/>
    <w:rsid w:val="002A22D1"/>
    <w:rsid w:val="002A2335"/>
    <w:rsid w:val="002A2481"/>
    <w:rsid w:val="002A252A"/>
    <w:rsid w:val="002A25A7"/>
    <w:rsid w:val="002A286D"/>
    <w:rsid w:val="002A2875"/>
    <w:rsid w:val="002A2900"/>
    <w:rsid w:val="002A2906"/>
    <w:rsid w:val="002A2A26"/>
    <w:rsid w:val="002A2E44"/>
    <w:rsid w:val="002A3209"/>
    <w:rsid w:val="002A32DD"/>
    <w:rsid w:val="002A3358"/>
    <w:rsid w:val="002A33F2"/>
    <w:rsid w:val="002A350B"/>
    <w:rsid w:val="002A35E9"/>
    <w:rsid w:val="002A36C2"/>
    <w:rsid w:val="002A3937"/>
    <w:rsid w:val="002A3961"/>
    <w:rsid w:val="002A3B84"/>
    <w:rsid w:val="002A3C40"/>
    <w:rsid w:val="002A3DD9"/>
    <w:rsid w:val="002A3E8F"/>
    <w:rsid w:val="002A3FDD"/>
    <w:rsid w:val="002A4177"/>
    <w:rsid w:val="002A427E"/>
    <w:rsid w:val="002A436D"/>
    <w:rsid w:val="002A4480"/>
    <w:rsid w:val="002A4652"/>
    <w:rsid w:val="002A4714"/>
    <w:rsid w:val="002A4A24"/>
    <w:rsid w:val="002A4A32"/>
    <w:rsid w:val="002A4CAC"/>
    <w:rsid w:val="002A55D2"/>
    <w:rsid w:val="002A56B6"/>
    <w:rsid w:val="002A5844"/>
    <w:rsid w:val="002A594C"/>
    <w:rsid w:val="002A5A44"/>
    <w:rsid w:val="002A5A8A"/>
    <w:rsid w:val="002A5D42"/>
    <w:rsid w:val="002A6282"/>
    <w:rsid w:val="002A62C4"/>
    <w:rsid w:val="002A65D3"/>
    <w:rsid w:val="002A6659"/>
    <w:rsid w:val="002A66D9"/>
    <w:rsid w:val="002A6808"/>
    <w:rsid w:val="002A682B"/>
    <w:rsid w:val="002A68FE"/>
    <w:rsid w:val="002A6DCE"/>
    <w:rsid w:val="002A7034"/>
    <w:rsid w:val="002A719D"/>
    <w:rsid w:val="002A7213"/>
    <w:rsid w:val="002A7284"/>
    <w:rsid w:val="002A77FB"/>
    <w:rsid w:val="002A7A5B"/>
    <w:rsid w:val="002A7AB5"/>
    <w:rsid w:val="002A7CBA"/>
    <w:rsid w:val="002A7D40"/>
    <w:rsid w:val="002A7EB3"/>
    <w:rsid w:val="002A7F1F"/>
    <w:rsid w:val="002A7F86"/>
    <w:rsid w:val="002B019C"/>
    <w:rsid w:val="002B01AC"/>
    <w:rsid w:val="002B01F6"/>
    <w:rsid w:val="002B0299"/>
    <w:rsid w:val="002B04BE"/>
    <w:rsid w:val="002B05C3"/>
    <w:rsid w:val="002B0682"/>
    <w:rsid w:val="002B074B"/>
    <w:rsid w:val="002B0790"/>
    <w:rsid w:val="002B0935"/>
    <w:rsid w:val="002B0E24"/>
    <w:rsid w:val="002B0EEA"/>
    <w:rsid w:val="002B128E"/>
    <w:rsid w:val="002B171B"/>
    <w:rsid w:val="002B1793"/>
    <w:rsid w:val="002B17F5"/>
    <w:rsid w:val="002B188C"/>
    <w:rsid w:val="002B1A4B"/>
    <w:rsid w:val="002B1C83"/>
    <w:rsid w:val="002B1CE5"/>
    <w:rsid w:val="002B2070"/>
    <w:rsid w:val="002B22BA"/>
    <w:rsid w:val="002B23A3"/>
    <w:rsid w:val="002B23C1"/>
    <w:rsid w:val="002B2503"/>
    <w:rsid w:val="002B25DC"/>
    <w:rsid w:val="002B2630"/>
    <w:rsid w:val="002B2B0A"/>
    <w:rsid w:val="002B2D9A"/>
    <w:rsid w:val="002B2FBB"/>
    <w:rsid w:val="002B2FFC"/>
    <w:rsid w:val="002B379D"/>
    <w:rsid w:val="002B3B1A"/>
    <w:rsid w:val="002B3B62"/>
    <w:rsid w:val="002B3B6D"/>
    <w:rsid w:val="002B3E4D"/>
    <w:rsid w:val="002B406B"/>
    <w:rsid w:val="002B42EE"/>
    <w:rsid w:val="002B45D7"/>
    <w:rsid w:val="002B48C6"/>
    <w:rsid w:val="002B499B"/>
    <w:rsid w:val="002B4A90"/>
    <w:rsid w:val="002B4ADA"/>
    <w:rsid w:val="002B4C32"/>
    <w:rsid w:val="002B4E94"/>
    <w:rsid w:val="002B4F38"/>
    <w:rsid w:val="002B527B"/>
    <w:rsid w:val="002B5398"/>
    <w:rsid w:val="002B5795"/>
    <w:rsid w:val="002B58CD"/>
    <w:rsid w:val="002B5982"/>
    <w:rsid w:val="002B59E4"/>
    <w:rsid w:val="002B5A5E"/>
    <w:rsid w:val="002B5B88"/>
    <w:rsid w:val="002B5BB1"/>
    <w:rsid w:val="002B5D02"/>
    <w:rsid w:val="002B654A"/>
    <w:rsid w:val="002B6A9E"/>
    <w:rsid w:val="002B6B0C"/>
    <w:rsid w:val="002B6BD7"/>
    <w:rsid w:val="002B6CE9"/>
    <w:rsid w:val="002B6E47"/>
    <w:rsid w:val="002B7292"/>
    <w:rsid w:val="002B75CB"/>
    <w:rsid w:val="002B7683"/>
    <w:rsid w:val="002B76AC"/>
    <w:rsid w:val="002B7989"/>
    <w:rsid w:val="002B7990"/>
    <w:rsid w:val="002B7A3B"/>
    <w:rsid w:val="002B7DA6"/>
    <w:rsid w:val="002B7E38"/>
    <w:rsid w:val="002C00AC"/>
    <w:rsid w:val="002C0366"/>
    <w:rsid w:val="002C0535"/>
    <w:rsid w:val="002C08E1"/>
    <w:rsid w:val="002C0A1F"/>
    <w:rsid w:val="002C0AE8"/>
    <w:rsid w:val="002C0E7A"/>
    <w:rsid w:val="002C0E85"/>
    <w:rsid w:val="002C0F5F"/>
    <w:rsid w:val="002C11AB"/>
    <w:rsid w:val="002C13C9"/>
    <w:rsid w:val="002C1604"/>
    <w:rsid w:val="002C161F"/>
    <w:rsid w:val="002C164E"/>
    <w:rsid w:val="002C173F"/>
    <w:rsid w:val="002C1B1F"/>
    <w:rsid w:val="002C1BC5"/>
    <w:rsid w:val="002C1C19"/>
    <w:rsid w:val="002C1E5A"/>
    <w:rsid w:val="002C1EB2"/>
    <w:rsid w:val="002C2148"/>
    <w:rsid w:val="002C2184"/>
    <w:rsid w:val="002C2441"/>
    <w:rsid w:val="002C25F5"/>
    <w:rsid w:val="002C2977"/>
    <w:rsid w:val="002C29C9"/>
    <w:rsid w:val="002C2C8D"/>
    <w:rsid w:val="002C2E56"/>
    <w:rsid w:val="002C3091"/>
    <w:rsid w:val="002C3174"/>
    <w:rsid w:val="002C32DE"/>
    <w:rsid w:val="002C33DA"/>
    <w:rsid w:val="002C3BDC"/>
    <w:rsid w:val="002C3ED0"/>
    <w:rsid w:val="002C3F2F"/>
    <w:rsid w:val="002C45F9"/>
    <w:rsid w:val="002C4966"/>
    <w:rsid w:val="002C4BE9"/>
    <w:rsid w:val="002C4BFD"/>
    <w:rsid w:val="002C4CA8"/>
    <w:rsid w:val="002C534A"/>
    <w:rsid w:val="002C5A0A"/>
    <w:rsid w:val="002C5F51"/>
    <w:rsid w:val="002C5FBD"/>
    <w:rsid w:val="002C6170"/>
    <w:rsid w:val="002C6416"/>
    <w:rsid w:val="002C650D"/>
    <w:rsid w:val="002C66CC"/>
    <w:rsid w:val="002C6766"/>
    <w:rsid w:val="002C691A"/>
    <w:rsid w:val="002C6B94"/>
    <w:rsid w:val="002C6C5C"/>
    <w:rsid w:val="002C6ECD"/>
    <w:rsid w:val="002C7092"/>
    <w:rsid w:val="002C7258"/>
    <w:rsid w:val="002C73F4"/>
    <w:rsid w:val="002C7416"/>
    <w:rsid w:val="002C7431"/>
    <w:rsid w:val="002C7BCF"/>
    <w:rsid w:val="002C7F10"/>
    <w:rsid w:val="002D0025"/>
    <w:rsid w:val="002D0211"/>
    <w:rsid w:val="002D02F8"/>
    <w:rsid w:val="002D0385"/>
    <w:rsid w:val="002D0603"/>
    <w:rsid w:val="002D0D23"/>
    <w:rsid w:val="002D1282"/>
    <w:rsid w:val="002D1303"/>
    <w:rsid w:val="002D15E6"/>
    <w:rsid w:val="002D160F"/>
    <w:rsid w:val="002D1674"/>
    <w:rsid w:val="002D1847"/>
    <w:rsid w:val="002D1B96"/>
    <w:rsid w:val="002D1E21"/>
    <w:rsid w:val="002D1E24"/>
    <w:rsid w:val="002D227E"/>
    <w:rsid w:val="002D23EA"/>
    <w:rsid w:val="002D242C"/>
    <w:rsid w:val="002D24BB"/>
    <w:rsid w:val="002D2737"/>
    <w:rsid w:val="002D28F7"/>
    <w:rsid w:val="002D2B72"/>
    <w:rsid w:val="002D2DED"/>
    <w:rsid w:val="002D2F2D"/>
    <w:rsid w:val="002D2F55"/>
    <w:rsid w:val="002D3096"/>
    <w:rsid w:val="002D3283"/>
    <w:rsid w:val="002D33EA"/>
    <w:rsid w:val="002D34C7"/>
    <w:rsid w:val="002D3609"/>
    <w:rsid w:val="002D3898"/>
    <w:rsid w:val="002D3928"/>
    <w:rsid w:val="002D3A5E"/>
    <w:rsid w:val="002D3BC7"/>
    <w:rsid w:val="002D3C93"/>
    <w:rsid w:val="002D3EC7"/>
    <w:rsid w:val="002D3F47"/>
    <w:rsid w:val="002D405F"/>
    <w:rsid w:val="002D40AC"/>
    <w:rsid w:val="002D4164"/>
    <w:rsid w:val="002D41C2"/>
    <w:rsid w:val="002D43A1"/>
    <w:rsid w:val="002D44C2"/>
    <w:rsid w:val="002D4542"/>
    <w:rsid w:val="002D45AB"/>
    <w:rsid w:val="002D4649"/>
    <w:rsid w:val="002D46B5"/>
    <w:rsid w:val="002D4D82"/>
    <w:rsid w:val="002D4FC4"/>
    <w:rsid w:val="002D5138"/>
    <w:rsid w:val="002D53C1"/>
    <w:rsid w:val="002D5501"/>
    <w:rsid w:val="002D550A"/>
    <w:rsid w:val="002D5522"/>
    <w:rsid w:val="002D5676"/>
    <w:rsid w:val="002D64CA"/>
    <w:rsid w:val="002D66B0"/>
    <w:rsid w:val="002D693A"/>
    <w:rsid w:val="002D6D2E"/>
    <w:rsid w:val="002D6D4E"/>
    <w:rsid w:val="002D6D8B"/>
    <w:rsid w:val="002D6E5F"/>
    <w:rsid w:val="002D6E8E"/>
    <w:rsid w:val="002D6EB1"/>
    <w:rsid w:val="002D6ED8"/>
    <w:rsid w:val="002D70D0"/>
    <w:rsid w:val="002D71AA"/>
    <w:rsid w:val="002D7309"/>
    <w:rsid w:val="002D7622"/>
    <w:rsid w:val="002D7689"/>
    <w:rsid w:val="002D7EF9"/>
    <w:rsid w:val="002E02DB"/>
    <w:rsid w:val="002E03C9"/>
    <w:rsid w:val="002E04E1"/>
    <w:rsid w:val="002E078F"/>
    <w:rsid w:val="002E08B7"/>
    <w:rsid w:val="002E08D6"/>
    <w:rsid w:val="002E08FF"/>
    <w:rsid w:val="002E099B"/>
    <w:rsid w:val="002E0A7A"/>
    <w:rsid w:val="002E10C8"/>
    <w:rsid w:val="002E11F5"/>
    <w:rsid w:val="002E1221"/>
    <w:rsid w:val="002E150E"/>
    <w:rsid w:val="002E15BC"/>
    <w:rsid w:val="002E1651"/>
    <w:rsid w:val="002E16CD"/>
    <w:rsid w:val="002E16D5"/>
    <w:rsid w:val="002E17F5"/>
    <w:rsid w:val="002E1806"/>
    <w:rsid w:val="002E1BF7"/>
    <w:rsid w:val="002E1CED"/>
    <w:rsid w:val="002E1EA5"/>
    <w:rsid w:val="002E1FDF"/>
    <w:rsid w:val="002E212D"/>
    <w:rsid w:val="002E2158"/>
    <w:rsid w:val="002E21C8"/>
    <w:rsid w:val="002E246F"/>
    <w:rsid w:val="002E282A"/>
    <w:rsid w:val="002E2947"/>
    <w:rsid w:val="002E2AA7"/>
    <w:rsid w:val="002E2C64"/>
    <w:rsid w:val="002E2F9D"/>
    <w:rsid w:val="002E2FC3"/>
    <w:rsid w:val="002E3100"/>
    <w:rsid w:val="002E328D"/>
    <w:rsid w:val="002E355B"/>
    <w:rsid w:val="002E3823"/>
    <w:rsid w:val="002E38CD"/>
    <w:rsid w:val="002E39AD"/>
    <w:rsid w:val="002E3C2E"/>
    <w:rsid w:val="002E3CAD"/>
    <w:rsid w:val="002E3F7F"/>
    <w:rsid w:val="002E401B"/>
    <w:rsid w:val="002E4262"/>
    <w:rsid w:val="002E4689"/>
    <w:rsid w:val="002E4907"/>
    <w:rsid w:val="002E4A7F"/>
    <w:rsid w:val="002E4AE2"/>
    <w:rsid w:val="002E531B"/>
    <w:rsid w:val="002E537C"/>
    <w:rsid w:val="002E53EF"/>
    <w:rsid w:val="002E54B6"/>
    <w:rsid w:val="002E5971"/>
    <w:rsid w:val="002E5AFB"/>
    <w:rsid w:val="002E6028"/>
    <w:rsid w:val="002E62DF"/>
    <w:rsid w:val="002E62FA"/>
    <w:rsid w:val="002E6C73"/>
    <w:rsid w:val="002E6CF5"/>
    <w:rsid w:val="002E71C7"/>
    <w:rsid w:val="002E7351"/>
    <w:rsid w:val="002E7774"/>
    <w:rsid w:val="002E7794"/>
    <w:rsid w:val="002E7830"/>
    <w:rsid w:val="002E787B"/>
    <w:rsid w:val="002E78AE"/>
    <w:rsid w:val="002E79ED"/>
    <w:rsid w:val="002E7B27"/>
    <w:rsid w:val="002E7B60"/>
    <w:rsid w:val="002E7F29"/>
    <w:rsid w:val="002E7F81"/>
    <w:rsid w:val="002F0004"/>
    <w:rsid w:val="002F005D"/>
    <w:rsid w:val="002F022E"/>
    <w:rsid w:val="002F03F1"/>
    <w:rsid w:val="002F0551"/>
    <w:rsid w:val="002F05AE"/>
    <w:rsid w:val="002F0824"/>
    <w:rsid w:val="002F084B"/>
    <w:rsid w:val="002F09B8"/>
    <w:rsid w:val="002F0A5A"/>
    <w:rsid w:val="002F0B21"/>
    <w:rsid w:val="002F0B73"/>
    <w:rsid w:val="002F0CCA"/>
    <w:rsid w:val="002F0D06"/>
    <w:rsid w:val="002F0E27"/>
    <w:rsid w:val="002F10D3"/>
    <w:rsid w:val="002F1210"/>
    <w:rsid w:val="002F12DE"/>
    <w:rsid w:val="002F13CE"/>
    <w:rsid w:val="002F161C"/>
    <w:rsid w:val="002F17F3"/>
    <w:rsid w:val="002F1860"/>
    <w:rsid w:val="002F1AE0"/>
    <w:rsid w:val="002F1BED"/>
    <w:rsid w:val="002F1D06"/>
    <w:rsid w:val="002F1D2F"/>
    <w:rsid w:val="002F1DE3"/>
    <w:rsid w:val="002F1E24"/>
    <w:rsid w:val="002F2045"/>
    <w:rsid w:val="002F23C1"/>
    <w:rsid w:val="002F2625"/>
    <w:rsid w:val="002F293C"/>
    <w:rsid w:val="002F2AFE"/>
    <w:rsid w:val="002F2B5A"/>
    <w:rsid w:val="002F2DDA"/>
    <w:rsid w:val="002F3167"/>
    <w:rsid w:val="002F350D"/>
    <w:rsid w:val="002F35C0"/>
    <w:rsid w:val="002F36E5"/>
    <w:rsid w:val="002F3A0E"/>
    <w:rsid w:val="002F3C56"/>
    <w:rsid w:val="002F3DA0"/>
    <w:rsid w:val="002F3F0C"/>
    <w:rsid w:val="002F4088"/>
    <w:rsid w:val="002F4126"/>
    <w:rsid w:val="002F41FD"/>
    <w:rsid w:val="002F4237"/>
    <w:rsid w:val="002F467C"/>
    <w:rsid w:val="002F4953"/>
    <w:rsid w:val="002F4DE5"/>
    <w:rsid w:val="002F5440"/>
    <w:rsid w:val="002F5674"/>
    <w:rsid w:val="002F57BD"/>
    <w:rsid w:val="002F5A6A"/>
    <w:rsid w:val="002F5CAF"/>
    <w:rsid w:val="002F5F59"/>
    <w:rsid w:val="002F69C9"/>
    <w:rsid w:val="002F6A6D"/>
    <w:rsid w:val="002F6ACA"/>
    <w:rsid w:val="002F6C15"/>
    <w:rsid w:val="002F6E21"/>
    <w:rsid w:val="002F6FA9"/>
    <w:rsid w:val="002F70BB"/>
    <w:rsid w:val="002F7142"/>
    <w:rsid w:val="002F7193"/>
    <w:rsid w:val="002F721F"/>
    <w:rsid w:val="002F732B"/>
    <w:rsid w:val="002F7374"/>
    <w:rsid w:val="002F7467"/>
    <w:rsid w:val="002F76D5"/>
    <w:rsid w:val="002F7769"/>
    <w:rsid w:val="002F7A6B"/>
    <w:rsid w:val="002F7A8D"/>
    <w:rsid w:val="002F7C35"/>
    <w:rsid w:val="002F7F25"/>
    <w:rsid w:val="003001AF"/>
    <w:rsid w:val="0030024C"/>
    <w:rsid w:val="0030053E"/>
    <w:rsid w:val="00300B2E"/>
    <w:rsid w:val="003010E1"/>
    <w:rsid w:val="0030126B"/>
    <w:rsid w:val="003015B1"/>
    <w:rsid w:val="003017AA"/>
    <w:rsid w:val="00301835"/>
    <w:rsid w:val="00301C03"/>
    <w:rsid w:val="00301CC8"/>
    <w:rsid w:val="00301E93"/>
    <w:rsid w:val="00301F85"/>
    <w:rsid w:val="00302336"/>
    <w:rsid w:val="003023BE"/>
    <w:rsid w:val="003024B1"/>
    <w:rsid w:val="00302CC0"/>
    <w:rsid w:val="00302DAC"/>
    <w:rsid w:val="00303555"/>
    <w:rsid w:val="00303759"/>
    <w:rsid w:val="00303818"/>
    <w:rsid w:val="00303821"/>
    <w:rsid w:val="003039D3"/>
    <w:rsid w:val="00303BE2"/>
    <w:rsid w:val="00303C81"/>
    <w:rsid w:val="003041BE"/>
    <w:rsid w:val="003043CD"/>
    <w:rsid w:val="00304476"/>
    <w:rsid w:val="00304635"/>
    <w:rsid w:val="00304653"/>
    <w:rsid w:val="00304983"/>
    <w:rsid w:val="003049AF"/>
    <w:rsid w:val="003049C9"/>
    <w:rsid w:val="00304B4B"/>
    <w:rsid w:val="00304BFA"/>
    <w:rsid w:val="00304D0D"/>
    <w:rsid w:val="00304D38"/>
    <w:rsid w:val="00304F20"/>
    <w:rsid w:val="0030513E"/>
    <w:rsid w:val="00305153"/>
    <w:rsid w:val="00305223"/>
    <w:rsid w:val="003052D6"/>
    <w:rsid w:val="00305310"/>
    <w:rsid w:val="003053AD"/>
    <w:rsid w:val="003054BC"/>
    <w:rsid w:val="0030550E"/>
    <w:rsid w:val="0030570F"/>
    <w:rsid w:val="003057A0"/>
    <w:rsid w:val="003057B8"/>
    <w:rsid w:val="003058CE"/>
    <w:rsid w:val="00305C46"/>
    <w:rsid w:val="00305C72"/>
    <w:rsid w:val="00305D43"/>
    <w:rsid w:val="00305F4B"/>
    <w:rsid w:val="00305FD4"/>
    <w:rsid w:val="003060A7"/>
    <w:rsid w:val="003060B8"/>
    <w:rsid w:val="003061F7"/>
    <w:rsid w:val="0030626A"/>
    <w:rsid w:val="0030673A"/>
    <w:rsid w:val="0030679B"/>
    <w:rsid w:val="0030693B"/>
    <w:rsid w:val="003069C6"/>
    <w:rsid w:val="003069E3"/>
    <w:rsid w:val="00306A5F"/>
    <w:rsid w:val="00306BBC"/>
    <w:rsid w:val="00306E53"/>
    <w:rsid w:val="003070DF"/>
    <w:rsid w:val="0030719E"/>
    <w:rsid w:val="00307261"/>
    <w:rsid w:val="003072B0"/>
    <w:rsid w:val="00307511"/>
    <w:rsid w:val="003075B8"/>
    <w:rsid w:val="003075BA"/>
    <w:rsid w:val="0030764D"/>
    <w:rsid w:val="003077EF"/>
    <w:rsid w:val="00307AB6"/>
    <w:rsid w:val="00307B2F"/>
    <w:rsid w:val="00307D47"/>
    <w:rsid w:val="00307EED"/>
    <w:rsid w:val="00307FC8"/>
    <w:rsid w:val="0031015E"/>
    <w:rsid w:val="003108A8"/>
    <w:rsid w:val="003108CC"/>
    <w:rsid w:val="0031095D"/>
    <w:rsid w:val="00310E40"/>
    <w:rsid w:val="003110B2"/>
    <w:rsid w:val="00311237"/>
    <w:rsid w:val="0031136A"/>
    <w:rsid w:val="003113C3"/>
    <w:rsid w:val="0031143F"/>
    <w:rsid w:val="00311457"/>
    <w:rsid w:val="003114BB"/>
    <w:rsid w:val="003119E4"/>
    <w:rsid w:val="00311C77"/>
    <w:rsid w:val="00311D91"/>
    <w:rsid w:val="003123E3"/>
    <w:rsid w:val="00312432"/>
    <w:rsid w:val="0031245A"/>
    <w:rsid w:val="00312595"/>
    <w:rsid w:val="003125C3"/>
    <w:rsid w:val="003126F7"/>
    <w:rsid w:val="003129BD"/>
    <w:rsid w:val="00312AAD"/>
    <w:rsid w:val="00312ACD"/>
    <w:rsid w:val="00312C3B"/>
    <w:rsid w:val="00312CBB"/>
    <w:rsid w:val="00312D4A"/>
    <w:rsid w:val="0031308F"/>
    <w:rsid w:val="0031340C"/>
    <w:rsid w:val="00313470"/>
    <w:rsid w:val="003135C8"/>
    <w:rsid w:val="0031372F"/>
    <w:rsid w:val="00313960"/>
    <w:rsid w:val="003139C7"/>
    <w:rsid w:val="00313B78"/>
    <w:rsid w:val="00313D1F"/>
    <w:rsid w:val="00314018"/>
    <w:rsid w:val="003147E2"/>
    <w:rsid w:val="003151C9"/>
    <w:rsid w:val="003151D3"/>
    <w:rsid w:val="00315284"/>
    <w:rsid w:val="00315293"/>
    <w:rsid w:val="00315319"/>
    <w:rsid w:val="00315333"/>
    <w:rsid w:val="00315509"/>
    <w:rsid w:val="00315AF8"/>
    <w:rsid w:val="00315C17"/>
    <w:rsid w:val="00316345"/>
    <w:rsid w:val="00316356"/>
    <w:rsid w:val="00316409"/>
    <w:rsid w:val="003169FD"/>
    <w:rsid w:val="00316A0E"/>
    <w:rsid w:val="00316AA3"/>
    <w:rsid w:val="00316AD5"/>
    <w:rsid w:val="00316DC8"/>
    <w:rsid w:val="00316EAA"/>
    <w:rsid w:val="00316ECF"/>
    <w:rsid w:val="00316F14"/>
    <w:rsid w:val="003177D0"/>
    <w:rsid w:val="0031780B"/>
    <w:rsid w:val="003178E9"/>
    <w:rsid w:val="00317AAE"/>
    <w:rsid w:val="00317BB8"/>
    <w:rsid w:val="00317D82"/>
    <w:rsid w:val="00317E2A"/>
    <w:rsid w:val="0032012F"/>
    <w:rsid w:val="00320150"/>
    <w:rsid w:val="0032026B"/>
    <w:rsid w:val="00320485"/>
    <w:rsid w:val="00320486"/>
    <w:rsid w:val="0032063A"/>
    <w:rsid w:val="003206D7"/>
    <w:rsid w:val="00320DBF"/>
    <w:rsid w:val="00320ED0"/>
    <w:rsid w:val="00321031"/>
    <w:rsid w:val="003213C8"/>
    <w:rsid w:val="003215B6"/>
    <w:rsid w:val="00321675"/>
    <w:rsid w:val="003217AB"/>
    <w:rsid w:val="003217B5"/>
    <w:rsid w:val="003219BA"/>
    <w:rsid w:val="00321B6B"/>
    <w:rsid w:val="00321DB2"/>
    <w:rsid w:val="00321FAA"/>
    <w:rsid w:val="00321FC7"/>
    <w:rsid w:val="00322004"/>
    <w:rsid w:val="003220E7"/>
    <w:rsid w:val="00322124"/>
    <w:rsid w:val="003221BA"/>
    <w:rsid w:val="003225E8"/>
    <w:rsid w:val="003226D5"/>
    <w:rsid w:val="0032274F"/>
    <w:rsid w:val="00322849"/>
    <w:rsid w:val="00322894"/>
    <w:rsid w:val="003228EC"/>
    <w:rsid w:val="003229D7"/>
    <w:rsid w:val="00322CCB"/>
    <w:rsid w:val="00322D8D"/>
    <w:rsid w:val="00322E54"/>
    <w:rsid w:val="00322E79"/>
    <w:rsid w:val="00322E8E"/>
    <w:rsid w:val="00322EDB"/>
    <w:rsid w:val="00323580"/>
    <w:rsid w:val="003238C4"/>
    <w:rsid w:val="00323902"/>
    <w:rsid w:val="00323988"/>
    <w:rsid w:val="00323A42"/>
    <w:rsid w:val="00323BD6"/>
    <w:rsid w:val="00323EAD"/>
    <w:rsid w:val="00323F60"/>
    <w:rsid w:val="00323FA7"/>
    <w:rsid w:val="003240F8"/>
    <w:rsid w:val="0032422F"/>
    <w:rsid w:val="00324395"/>
    <w:rsid w:val="00324683"/>
    <w:rsid w:val="003246A0"/>
    <w:rsid w:val="003247D4"/>
    <w:rsid w:val="003249AE"/>
    <w:rsid w:val="00324A71"/>
    <w:rsid w:val="00324D09"/>
    <w:rsid w:val="0032512E"/>
    <w:rsid w:val="00325292"/>
    <w:rsid w:val="00325681"/>
    <w:rsid w:val="003256F2"/>
    <w:rsid w:val="0032594D"/>
    <w:rsid w:val="003259CA"/>
    <w:rsid w:val="00325AB1"/>
    <w:rsid w:val="00325EBA"/>
    <w:rsid w:val="00326016"/>
    <w:rsid w:val="0032603C"/>
    <w:rsid w:val="00326073"/>
    <w:rsid w:val="003262E4"/>
    <w:rsid w:val="00326575"/>
    <w:rsid w:val="003266DA"/>
    <w:rsid w:val="003267C9"/>
    <w:rsid w:val="00326B7E"/>
    <w:rsid w:val="00326C04"/>
    <w:rsid w:val="0032709E"/>
    <w:rsid w:val="003270CE"/>
    <w:rsid w:val="00327121"/>
    <w:rsid w:val="003271FD"/>
    <w:rsid w:val="00327291"/>
    <w:rsid w:val="0032730D"/>
    <w:rsid w:val="00327375"/>
    <w:rsid w:val="00327596"/>
    <w:rsid w:val="00327778"/>
    <w:rsid w:val="00327A80"/>
    <w:rsid w:val="00327AF5"/>
    <w:rsid w:val="00330044"/>
    <w:rsid w:val="00330066"/>
    <w:rsid w:val="003303CE"/>
    <w:rsid w:val="00330499"/>
    <w:rsid w:val="0033069F"/>
    <w:rsid w:val="00330717"/>
    <w:rsid w:val="003307AF"/>
    <w:rsid w:val="00330911"/>
    <w:rsid w:val="00330AC3"/>
    <w:rsid w:val="00330AFF"/>
    <w:rsid w:val="00330B2A"/>
    <w:rsid w:val="00330FA4"/>
    <w:rsid w:val="00331233"/>
    <w:rsid w:val="003312CF"/>
    <w:rsid w:val="00331796"/>
    <w:rsid w:val="00331A8D"/>
    <w:rsid w:val="00331B1D"/>
    <w:rsid w:val="00331C05"/>
    <w:rsid w:val="00331C6E"/>
    <w:rsid w:val="00331CD3"/>
    <w:rsid w:val="00331D5D"/>
    <w:rsid w:val="00331F73"/>
    <w:rsid w:val="00332821"/>
    <w:rsid w:val="0033285C"/>
    <w:rsid w:val="00332A6C"/>
    <w:rsid w:val="00332B2C"/>
    <w:rsid w:val="00332C3F"/>
    <w:rsid w:val="00332D7C"/>
    <w:rsid w:val="00332E09"/>
    <w:rsid w:val="00332EDC"/>
    <w:rsid w:val="003330B1"/>
    <w:rsid w:val="003332A8"/>
    <w:rsid w:val="00333387"/>
    <w:rsid w:val="003335EB"/>
    <w:rsid w:val="0033363C"/>
    <w:rsid w:val="0033372B"/>
    <w:rsid w:val="00333834"/>
    <w:rsid w:val="00333DC2"/>
    <w:rsid w:val="00333DD1"/>
    <w:rsid w:val="00333EBF"/>
    <w:rsid w:val="0033430D"/>
    <w:rsid w:val="00334394"/>
    <w:rsid w:val="00334532"/>
    <w:rsid w:val="003345A1"/>
    <w:rsid w:val="003345BB"/>
    <w:rsid w:val="0033468F"/>
    <w:rsid w:val="00334887"/>
    <w:rsid w:val="00334B66"/>
    <w:rsid w:val="00334B83"/>
    <w:rsid w:val="00334C84"/>
    <w:rsid w:val="00334CB2"/>
    <w:rsid w:val="00334CCB"/>
    <w:rsid w:val="00334F45"/>
    <w:rsid w:val="00335056"/>
    <w:rsid w:val="00335202"/>
    <w:rsid w:val="003352AA"/>
    <w:rsid w:val="0033535D"/>
    <w:rsid w:val="0033536B"/>
    <w:rsid w:val="0033545E"/>
    <w:rsid w:val="0033553D"/>
    <w:rsid w:val="003357A2"/>
    <w:rsid w:val="00335F9E"/>
    <w:rsid w:val="00335FAA"/>
    <w:rsid w:val="00336013"/>
    <w:rsid w:val="00336119"/>
    <w:rsid w:val="00336183"/>
    <w:rsid w:val="00336245"/>
    <w:rsid w:val="0033626C"/>
    <w:rsid w:val="00336808"/>
    <w:rsid w:val="00336954"/>
    <w:rsid w:val="00336986"/>
    <w:rsid w:val="00336A11"/>
    <w:rsid w:val="00336CF8"/>
    <w:rsid w:val="00336DAD"/>
    <w:rsid w:val="0033707D"/>
    <w:rsid w:val="003370A1"/>
    <w:rsid w:val="00337213"/>
    <w:rsid w:val="00337218"/>
    <w:rsid w:val="00337278"/>
    <w:rsid w:val="003372BC"/>
    <w:rsid w:val="00337396"/>
    <w:rsid w:val="003373E5"/>
    <w:rsid w:val="00337460"/>
    <w:rsid w:val="00337602"/>
    <w:rsid w:val="003378EF"/>
    <w:rsid w:val="00337A81"/>
    <w:rsid w:val="00337AD5"/>
    <w:rsid w:val="00337B85"/>
    <w:rsid w:val="00337BED"/>
    <w:rsid w:val="00337C1F"/>
    <w:rsid w:val="00337D1F"/>
    <w:rsid w:val="00337E61"/>
    <w:rsid w:val="00340715"/>
    <w:rsid w:val="003407AA"/>
    <w:rsid w:val="00340842"/>
    <w:rsid w:val="00340910"/>
    <w:rsid w:val="00340956"/>
    <w:rsid w:val="00340978"/>
    <w:rsid w:val="00340A6F"/>
    <w:rsid w:val="00340CED"/>
    <w:rsid w:val="00340D4A"/>
    <w:rsid w:val="00340D57"/>
    <w:rsid w:val="00340FD6"/>
    <w:rsid w:val="00341229"/>
    <w:rsid w:val="003412BA"/>
    <w:rsid w:val="003414D3"/>
    <w:rsid w:val="0034163B"/>
    <w:rsid w:val="00341B1A"/>
    <w:rsid w:val="00341B20"/>
    <w:rsid w:val="00341DAF"/>
    <w:rsid w:val="00341FE7"/>
    <w:rsid w:val="0034212B"/>
    <w:rsid w:val="003424F0"/>
    <w:rsid w:val="0034262C"/>
    <w:rsid w:val="003428F4"/>
    <w:rsid w:val="00342BBE"/>
    <w:rsid w:val="00342CB8"/>
    <w:rsid w:val="00342CD5"/>
    <w:rsid w:val="00342DB9"/>
    <w:rsid w:val="0034302D"/>
    <w:rsid w:val="00343179"/>
    <w:rsid w:val="003431DE"/>
    <w:rsid w:val="0034343F"/>
    <w:rsid w:val="0034357C"/>
    <w:rsid w:val="00343622"/>
    <w:rsid w:val="00343666"/>
    <w:rsid w:val="003439DA"/>
    <w:rsid w:val="003439FE"/>
    <w:rsid w:val="00343A94"/>
    <w:rsid w:val="00343E86"/>
    <w:rsid w:val="00343F87"/>
    <w:rsid w:val="003442B6"/>
    <w:rsid w:val="003443D3"/>
    <w:rsid w:val="003443E7"/>
    <w:rsid w:val="0034449B"/>
    <w:rsid w:val="003444EC"/>
    <w:rsid w:val="0034479C"/>
    <w:rsid w:val="0034493F"/>
    <w:rsid w:val="0034496D"/>
    <w:rsid w:val="00344A48"/>
    <w:rsid w:val="00344A54"/>
    <w:rsid w:val="00344AF4"/>
    <w:rsid w:val="00344AF8"/>
    <w:rsid w:val="00344C57"/>
    <w:rsid w:val="00344CD5"/>
    <w:rsid w:val="00344D12"/>
    <w:rsid w:val="00344D56"/>
    <w:rsid w:val="00344E6B"/>
    <w:rsid w:val="00344FA2"/>
    <w:rsid w:val="00345013"/>
    <w:rsid w:val="00345095"/>
    <w:rsid w:val="00345264"/>
    <w:rsid w:val="003453CC"/>
    <w:rsid w:val="003457D0"/>
    <w:rsid w:val="003458E7"/>
    <w:rsid w:val="00345ABD"/>
    <w:rsid w:val="00345CC1"/>
    <w:rsid w:val="00345D31"/>
    <w:rsid w:val="00345DDA"/>
    <w:rsid w:val="00345E6E"/>
    <w:rsid w:val="00345EA4"/>
    <w:rsid w:val="00345F8C"/>
    <w:rsid w:val="00345FBB"/>
    <w:rsid w:val="00345FDC"/>
    <w:rsid w:val="00346142"/>
    <w:rsid w:val="003463DE"/>
    <w:rsid w:val="00346554"/>
    <w:rsid w:val="0034657E"/>
    <w:rsid w:val="00346773"/>
    <w:rsid w:val="003467FE"/>
    <w:rsid w:val="003468D9"/>
    <w:rsid w:val="00346941"/>
    <w:rsid w:val="0034695F"/>
    <w:rsid w:val="00346BC1"/>
    <w:rsid w:val="00346F1B"/>
    <w:rsid w:val="00347015"/>
    <w:rsid w:val="0034701F"/>
    <w:rsid w:val="00347095"/>
    <w:rsid w:val="00347167"/>
    <w:rsid w:val="00347527"/>
    <w:rsid w:val="00347559"/>
    <w:rsid w:val="00347613"/>
    <w:rsid w:val="00347802"/>
    <w:rsid w:val="0034783E"/>
    <w:rsid w:val="00347CF7"/>
    <w:rsid w:val="00347EAB"/>
    <w:rsid w:val="00347F51"/>
    <w:rsid w:val="0035028C"/>
    <w:rsid w:val="00350693"/>
    <w:rsid w:val="003507F7"/>
    <w:rsid w:val="0035083D"/>
    <w:rsid w:val="003508A4"/>
    <w:rsid w:val="00350939"/>
    <w:rsid w:val="00350958"/>
    <w:rsid w:val="00350AB9"/>
    <w:rsid w:val="00350C13"/>
    <w:rsid w:val="00350DD1"/>
    <w:rsid w:val="00351266"/>
    <w:rsid w:val="003512FD"/>
    <w:rsid w:val="00351421"/>
    <w:rsid w:val="0035142D"/>
    <w:rsid w:val="003514E3"/>
    <w:rsid w:val="00351507"/>
    <w:rsid w:val="00351966"/>
    <w:rsid w:val="00352008"/>
    <w:rsid w:val="0035207A"/>
    <w:rsid w:val="00352194"/>
    <w:rsid w:val="003521A6"/>
    <w:rsid w:val="00352AB4"/>
    <w:rsid w:val="00352C02"/>
    <w:rsid w:val="00352C4F"/>
    <w:rsid w:val="00352C7F"/>
    <w:rsid w:val="00352E3B"/>
    <w:rsid w:val="00352FFF"/>
    <w:rsid w:val="0035328B"/>
    <w:rsid w:val="00353298"/>
    <w:rsid w:val="00353353"/>
    <w:rsid w:val="00353401"/>
    <w:rsid w:val="0035375D"/>
    <w:rsid w:val="003538B8"/>
    <w:rsid w:val="00353A39"/>
    <w:rsid w:val="00353BBE"/>
    <w:rsid w:val="00353E4F"/>
    <w:rsid w:val="00353F1F"/>
    <w:rsid w:val="00353F7E"/>
    <w:rsid w:val="00354291"/>
    <w:rsid w:val="0035442A"/>
    <w:rsid w:val="003545BF"/>
    <w:rsid w:val="003550FC"/>
    <w:rsid w:val="00355453"/>
    <w:rsid w:val="0035594C"/>
    <w:rsid w:val="00355A81"/>
    <w:rsid w:val="00355AF7"/>
    <w:rsid w:val="003561DC"/>
    <w:rsid w:val="00356497"/>
    <w:rsid w:val="003564E8"/>
    <w:rsid w:val="003566B6"/>
    <w:rsid w:val="00356789"/>
    <w:rsid w:val="00356926"/>
    <w:rsid w:val="00356B35"/>
    <w:rsid w:val="00356BC0"/>
    <w:rsid w:val="00356D3F"/>
    <w:rsid w:val="003571A2"/>
    <w:rsid w:val="00357203"/>
    <w:rsid w:val="0035720E"/>
    <w:rsid w:val="00357262"/>
    <w:rsid w:val="00357B20"/>
    <w:rsid w:val="00357B22"/>
    <w:rsid w:val="00357DD5"/>
    <w:rsid w:val="00357FD5"/>
    <w:rsid w:val="003601BE"/>
    <w:rsid w:val="003601FD"/>
    <w:rsid w:val="0036024F"/>
    <w:rsid w:val="003602FE"/>
    <w:rsid w:val="0036037A"/>
    <w:rsid w:val="003604C6"/>
    <w:rsid w:val="003604F8"/>
    <w:rsid w:val="003605B2"/>
    <w:rsid w:val="003608D6"/>
    <w:rsid w:val="00360A00"/>
    <w:rsid w:val="00360C92"/>
    <w:rsid w:val="00360E8B"/>
    <w:rsid w:val="00360F16"/>
    <w:rsid w:val="0036109C"/>
    <w:rsid w:val="00361181"/>
    <w:rsid w:val="0036123F"/>
    <w:rsid w:val="00361261"/>
    <w:rsid w:val="0036135B"/>
    <w:rsid w:val="00361377"/>
    <w:rsid w:val="003616FD"/>
    <w:rsid w:val="00361936"/>
    <w:rsid w:val="00361AE6"/>
    <w:rsid w:val="00361AF3"/>
    <w:rsid w:val="00361DB7"/>
    <w:rsid w:val="00361F3F"/>
    <w:rsid w:val="00362398"/>
    <w:rsid w:val="0036240F"/>
    <w:rsid w:val="003624F1"/>
    <w:rsid w:val="00362893"/>
    <w:rsid w:val="00362CAA"/>
    <w:rsid w:val="00362E08"/>
    <w:rsid w:val="00362E68"/>
    <w:rsid w:val="00362F93"/>
    <w:rsid w:val="0036300D"/>
    <w:rsid w:val="00363162"/>
    <w:rsid w:val="003632EC"/>
    <w:rsid w:val="0036345E"/>
    <w:rsid w:val="00363567"/>
    <w:rsid w:val="0036374B"/>
    <w:rsid w:val="003638C4"/>
    <w:rsid w:val="003638E1"/>
    <w:rsid w:val="003639F3"/>
    <w:rsid w:val="00363B20"/>
    <w:rsid w:val="00363C34"/>
    <w:rsid w:val="00363CD4"/>
    <w:rsid w:val="00363DEB"/>
    <w:rsid w:val="00363F00"/>
    <w:rsid w:val="00363F3D"/>
    <w:rsid w:val="0036410D"/>
    <w:rsid w:val="00364119"/>
    <w:rsid w:val="003641C6"/>
    <w:rsid w:val="00364263"/>
    <w:rsid w:val="003644E7"/>
    <w:rsid w:val="0036450C"/>
    <w:rsid w:val="003645D9"/>
    <w:rsid w:val="00364642"/>
    <w:rsid w:val="00364677"/>
    <w:rsid w:val="00364B85"/>
    <w:rsid w:val="00364CB3"/>
    <w:rsid w:val="00364FC1"/>
    <w:rsid w:val="003650FB"/>
    <w:rsid w:val="00365250"/>
    <w:rsid w:val="003652C4"/>
    <w:rsid w:val="0036577B"/>
    <w:rsid w:val="00365C93"/>
    <w:rsid w:val="00365CD0"/>
    <w:rsid w:val="00365D68"/>
    <w:rsid w:val="00365F93"/>
    <w:rsid w:val="00366144"/>
    <w:rsid w:val="00366190"/>
    <w:rsid w:val="00366330"/>
    <w:rsid w:val="003663AF"/>
    <w:rsid w:val="003663C4"/>
    <w:rsid w:val="003664D6"/>
    <w:rsid w:val="0036659F"/>
    <w:rsid w:val="00366804"/>
    <w:rsid w:val="0036680E"/>
    <w:rsid w:val="003668C8"/>
    <w:rsid w:val="00366B35"/>
    <w:rsid w:val="00366C70"/>
    <w:rsid w:val="00366E6C"/>
    <w:rsid w:val="00366FA1"/>
    <w:rsid w:val="00367082"/>
    <w:rsid w:val="00367300"/>
    <w:rsid w:val="0036744E"/>
    <w:rsid w:val="00367578"/>
    <w:rsid w:val="0036761A"/>
    <w:rsid w:val="003678F7"/>
    <w:rsid w:val="00367B7A"/>
    <w:rsid w:val="00367BA4"/>
    <w:rsid w:val="00367BD7"/>
    <w:rsid w:val="00367ECD"/>
    <w:rsid w:val="00367ECE"/>
    <w:rsid w:val="00370359"/>
    <w:rsid w:val="00370404"/>
    <w:rsid w:val="00370423"/>
    <w:rsid w:val="00370466"/>
    <w:rsid w:val="0037051E"/>
    <w:rsid w:val="003705E3"/>
    <w:rsid w:val="003707E0"/>
    <w:rsid w:val="00370958"/>
    <w:rsid w:val="00370B19"/>
    <w:rsid w:val="00370D82"/>
    <w:rsid w:val="00370DB9"/>
    <w:rsid w:val="00370FF4"/>
    <w:rsid w:val="003713F4"/>
    <w:rsid w:val="003716BF"/>
    <w:rsid w:val="003716C2"/>
    <w:rsid w:val="00371AB5"/>
    <w:rsid w:val="00371F18"/>
    <w:rsid w:val="00371FAE"/>
    <w:rsid w:val="003720CA"/>
    <w:rsid w:val="003720DC"/>
    <w:rsid w:val="00372225"/>
    <w:rsid w:val="00372606"/>
    <w:rsid w:val="00372891"/>
    <w:rsid w:val="0037289F"/>
    <w:rsid w:val="00372914"/>
    <w:rsid w:val="00372ADE"/>
    <w:rsid w:val="00372B9C"/>
    <w:rsid w:val="00372BE0"/>
    <w:rsid w:val="00373106"/>
    <w:rsid w:val="00373210"/>
    <w:rsid w:val="0037328F"/>
    <w:rsid w:val="0037355D"/>
    <w:rsid w:val="0037394A"/>
    <w:rsid w:val="003739F6"/>
    <w:rsid w:val="00373A62"/>
    <w:rsid w:val="00373D12"/>
    <w:rsid w:val="00373D17"/>
    <w:rsid w:val="00373FEC"/>
    <w:rsid w:val="00374175"/>
    <w:rsid w:val="00374716"/>
    <w:rsid w:val="003747BA"/>
    <w:rsid w:val="00374A21"/>
    <w:rsid w:val="00374A52"/>
    <w:rsid w:val="00374B25"/>
    <w:rsid w:val="00374FD6"/>
    <w:rsid w:val="00375293"/>
    <w:rsid w:val="003752CE"/>
    <w:rsid w:val="003753C5"/>
    <w:rsid w:val="00375555"/>
    <w:rsid w:val="003757AA"/>
    <w:rsid w:val="003758B5"/>
    <w:rsid w:val="0037592E"/>
    <w:rsid w:val="00375D97"/>
    <w:rsid w:val="00375E66"/>
    <w:rsid w:val="00375EC0"/>
    <w:rsid w:val="00376178"/>
    <w:rsid w:val="003761A8"/>
    <w:rsid w:val="003764E3"/>
    <w:rsid w:val="00376905"/>
    <w:rsid w:val="00376983"/>
    <w:rsid w:val="00376B34"/>
    <w:rsid w:val="00376B4E"/>
    <w:rsid w:val="00376CAF"/>
    <w:rsid w:val="00376E83"/>
    <w:rsid w:val="00376EE7"/>
    <w:rsid w:val="003770B2"/>
    <w:rsid w:val="003770C2"/>
    <w:rsid w:val="00377260"/>
    <w:rsid w:val="00377472"/>
    <w:rsid w:val="003774DE"/>
    <w:rsid w:val="0037780D"/>
    <w:rsid w:val="003778DA"/>
    <w:rsid w:val="00377B09"/>
    <w:rsid w:val="00377B92"/>
    <w:rsid w:val="00380007"/>
    <w:rsid w:val="00380335"/>
    <w:rsid w:val="00380574"/>
    <w:rsid w:val="0038058E"/>
    <w:rsid w:val="003805F2"/>
    <w:rsid w:val="003808E8"/>
    <w:rsid w:val="00380B16"/>
    <w:rsid w:val="00380BB3"/>
    <w:rsid w:val="00380E91"/>
    <w:rsid w:val="00381149"/>
    <w:rsid w:val="00381775"/>
    <w:rsid w:val="003817E3"/>
    <w:rsid w:val="003817FD"/>
    <w:rsid w:val="00381913"/>
    <w:rsid w:val="003819C1"/>
    <w:rsid w:val="00381A94"/>
    <w:rsid w:val="00381AC7"/>
    <w:rsid w:val="00381BFC"/>
    <w:rsid w:val="00381C38"/>
    <w:rsid w:val="00381D71"/>
    <w:rsid w:val="00381EDC"/>
    <w:rsid w:val="00381EEC"/>
    <w:rsid w:val="00381F42"/>
    <w:rsid w:val="00381FB9"/>
    <w:rsid w:val="00381FF8"/>
    <w:rsid w:val="003821D2"/>
    <w:rsid w:val="00382240"/>
    <w:rsid w:val="003824C0"/>
    <w:rsid w:val="003826D7"/>
    <w:rsid w:val="003827EA"/>
    <w:rsid w:val="00382C40"/>
    <w:rsid w:val="00382E6E"/>
    <w:rsid w:val="00383280"/>
    <w:rsid w:val="0038329F"/>
    <w:rsid w:val="0038331E"/>
    <w:rsid w:val="0038337D"/>
    <w:rsid w:val="00383442"/>
    <w:rsid w:val="0038359A"/>
    <w:rsid w:val="00383AC3"/>
    <w:rsid w:val="00384545"/>
    <w:rsid w:val="003845C7"/>
    <w:rsid w:val="0038465D"/>
    <w:rsid w:val="0038483A"/>
    <w:rsid w:val="00384A06"/>
    <w:rsid w:val="00384A6E"/>
    <w:rsid w:val="00384AD2"/>
    <w:rsid w:val="00384B29"/>
    <w:rsid w:val="00384D63"/>
    <w:rsid w:val="00384DBD"/>
    <w:rsid w:val="00384F4A"/>
    <w:rsid w:val="00385191"/>
    <w:rsid w:val="00385347"/>
    <w:rsid w:val="0038578C"/>
    <w:rsid w:val="00385A99"/>
    <w:rsid w:val="00385EDE"/>
    <w:rsid w:val="00385F2F"/>
    <w:rsid w:val="00386233"/>
    <w:rsid w:val="0038624E"/>
    <w:rsid w:val="003862D3"/>
    <w:rsid w:val="003862FA"/>
    <w:rsid w:val="0038652B"/>
    <w:rsid w:val="00386552"/>
    <w:rsid w:val="003868AE"/>
    <w:rsid w:val="00386A67"/>
    <w:rsid w:val="00386AD6"/>
    <w:rsid w:val="00386D79"/>
    <w:rsid w:val="00386F1A"/>
    <w:rsid w:val="00387087"/>
    <w:rsid w:val="00387093"/>
    <w:rsid w:val="0038756B"/>
    <w:rsid w:val="003875E8"/>
    <w:rsid w:val="0038766E"/>
    <w:rsid w:val="003877E0"/>
    <w:rsid w:val="003879F6"/>
    <w:rsid w:val="00387A12"/>
    <w:rsid w:val="00387A64"/>
    <w:rsid w:val="00387C88"/>
    <w:rsid w:val="00387D69"/>
    <w:rsid w:val="00387D84"/>
    <w:rsid w:val="0039030B"/>
    <w:rsid w:val="00390497"/>
    <w:rsid w:val="0039053B"/>
    <w:rsid w:val="0039068C"/>
    <w:rsid w:val="003906FD"/>
    <w:rsid w:val="00390753"/>
    <w:rsid w:val="00390983"/>
    <w:rsid w:val="003909B9"/>
    <w:rsid w:val="00390E40"/>
    <w:rsid w:val="00390ED0"/>
    <w:rsid w:val="00390F16"/>
    <w:rsid w:val="00391321"/>
    <w:rsid w:val="00391590"/>
    <w:rsid w:val="0039173C"/>
    <w:rsid w:val="00391868"/>
    <w:rsid w:val="00391C71"/>
    <w:rsid w:val="00391D2A"/>
    <w:rsid w:val="00391D7B"/>
    <w:rsid w:val="00391DAE"/>
    <w:rsid w:val="00391F17"/>
    <w:rsid w:val="00392187"/>
    <w:rsid w:val="003922CE"/>
    <w:rsid w:val="0039268D"/>
    <w:rsid w:val="003927F3"/>
    <w:rsid w:val="00392844"/>
    <w:rsid w:val="003928BE"/>
    <w:rsid w:val="00392B76"/>
    <w:rsid w:val="00392B83"/>
    <w:rsid w:val="00392CD5"/>
    <w:rsid w:val="00392CF4"/>
    <w:rsid w:val="00392DF3"/>
    <w:rsid w:val="00392ECC"/>
    <w:rsid w:val="0039321D"/>
    <w:rsid w:val="00393450"/>
    <w:rsid w:val="00393573"/>
    <w:rsid w:val="00393593"/>
    <w:rsid w:val="003937AC"/>
    <w:rsid w:val="00393907"/>
    <w:rsid w:val="003939F3"/>
    <w:rsid w:val="00393AC2"/>
    <w:rsid w:val="00393BED"/>
    <w:rsid w:val="00393EA2"/>
    <w:rsid w:val="00394716"/>
    <w:rsid w:val="003947A7"/>
    <w:rsid w:val="0039498C"/>
    <w:rsid w:val="00394A28"/>
    <w:rsid w:val="00394E49"/>
    <w:rsid w:val="00394E57"/>
    <w:rsid w:val="00394EBB"/>
    <w:rsid w:val="003950A2"/>
    <w:rsid w:val="00395266"/>
    <w:rsid w:val="0039554B"/>
    <w:rsid w:val="00395949"/>
    <w:rsid w:val="00395A32"/>
    <w:rsid w:val="00395E74"/>
    <w:rsid w:val="00395F79"/>
    <w:rsid w:val="00395FD9"/>
    <w:rsid w:val="003963E9"/>
    <w:rsid w:val="00396861"/>
    <w:rsid w:val="00396987"/>
    <w:rsid w:val="00396DA8"/>
    <w:rsid w:val="00396DE4"/>
    <w:rsid w:val="00396E38"/>
    <w:rsid w:val="00396F43"/>
    <w:rsid w:val="00396FDA"/>
    <w:rsid w:val="003971B6"/>
    <w:rsid w:val="003971E6"/>
    <w:rsid w:val="00397205"/>
    <w:rsid w:val="0039759B"/>
    <w:rsid w:val="00397E02"/>
    <w:rsid w:val="00397FD2"/>
    <w:rsid w:val="003A0236"/>
    <w:rsid w:val="003A02F4"/>
    <w:rsid w:val="003A0410"/>
    <w:rsid w:val="003A0795"/>
    <w:rsid w:val="003A07E0"/>
    <w:rsid w:val="003A08AD"/>
    <w:rsid w:val="003A0BB3"/>
    <w:rsid w:val="003A0BD6"/>
    <w:rsid w:val="003A0DE3"/>
    <w:rsid w:val="003A0F05"/>
    <w:rsid w:val="003A1522"/>
    <w:rsid w:val="003A1770"/>
    <w:rsid w:val="003A17BA"/>
    <w:rsid w:val="003A183D"/>
    <w:rsid w:val="003A18FB"/>
    <w:rsid w:val="003A1930"/>
    <w:rsid w:val="003A1C03"/>
    <w:rsid w:val="003A1CB9"/>
    <w:rsid w:val="003A1F0D"/>
    <w:rsid w:val="003A2099"/>
    <w:rsid w:val="003A227B"/>
    <w:rsid w:val="003A249A"/>
    <w:rsid w:val="003A24EB"/>
    <w:rsid w:val="003A2551"/>
    <w:rsid w:val="003A25A5"/>
    <w:rsid w:val="003A25F2"/>
    <w:rsid w:val="003A2786"/>
    <w:rsid w:val="003A2953"/>
    <w:rsid w:val="003A2AF0"/>
    <w:rsid w:val="003A2CB4"/>
    <w:rsid w:val="003A2D69"/>
    <w:rsid w:val="003A2E2E"/>
    <w:rsid w:val="003A2FE9"/>
    <w:rsid w:val="003A306F"/>
    <w:rsid w:val="003A318F"/>
    <w:rsid w:val="003A3480"/>
    <w:rsid w:val="003A3656"/>
    <w:rsid w:val="003A36B5"/>
    <w:rsid w:val="003A36F4"/>
    <w:rsid w:val="003A3769"/>
    <w:rsid w:val="003A3817"/>
    <w:rsid w:val="003A3A9B"/>
    <w:rsid w:val="003A3D12"/>
    <w:rsid w:val="003A3E32"/>
    <w:rsid w:val="003A3F86"/>
    <w:rsid w:val="003A4076"/>
    <w:rsid w:val="003A4290"/>
    <w:rsid w:val="003A43EB"/>
    <w:rsid w:val="003A4427"/>
    <w:rsid w:val="003A44D1"/>
    <w:rsid w:val="003A47E2"/>
    <w:rsid w:val="003A4800"/>
    <w:rsid w:val="003A4D64"/>
    <w:rsid w:val="003A4E98"/>
    <w:rsid w:val="003A5018"/>
    <w:rsid w:val="003A51C1"/>
    <w:rsid w:val="003A52B8"/>
    <w:rsid w:val="003A5432"/>
    <w:rsid w:val="003A5721"/>
    <w:rsid w:val="003A5977"/>
    <w:rsid w:val="003A59E9"/>
    <w:rsid w:val="003A5BD4"/>
    <w:rsid w:val="003A64BE"/>
    <w:rsid w:val="003A6574"/>
    <w:rsid w:val="003A6583"/>
    <w:rsid w:val="003A66F4"/>
    <w:rsid w:val="003A6837"/>
    <w:rsid w:val="003A6932"/>
    <w:rsid w:val="003A6C2A"/>
    <w:rsid w:val="003A6CD6"/>
    <w:rsid w:val="003A6CF5"/>
    <w:rsid w:val="003A6E33"/>
    <w:rsid w:val="003A6E7E"/>
    <w:rsid w:val="003A6EAD"/>
    <w:rsid w:val="003A700A"/>
    <w:rsid w:val="003A712D"/>
    <w:rsid w:val="003A71D5"/>
    <w:rsid w:val="003A747E"/>
    <w:rsid w:val="003A764C"/>
    <w:rsid w:val="003A779F"/>
    <w:rsid w:val="003A77A0"/>
    <w:rsid w:val="003A77A3"/>
    <w:rsid w:val="003A7C9A"/>
    <w:rsid w:val="003A7CC8"/>
    <w:rsid w:val="003A7E7B"/>
    <w:rsid w:val="003B0206"/>
    <w:rsid w:val="003B0925"/>
    <w:rsid w:val="003B0928"/>
    <w:rsid w:val="003B09A4"/>
    <w:rsid w:val="003B0A05"/>
    <w:rsid w:val="003B0A20"/>
    <w:rsid w:val="003B0A5D"/>
    <w:rsid w:val="003B0B02"/>
    <w:rsid w:val="003B0B2F"/>
    <w:rsid w:val="003B0BA4"/>
    <w:rsid w:val="003B0D72"/>
    <w:rsid w:val="003B0DAF"/>
    <w:rsid w:val="003B0FC3"/>
    <w:rsid w:val="003B0FDA"/>
    <w:rsid w:val="003B10D0"/>
    <w:rsid w:val="003B10DC"/>
    <w:rsid w:val="003B110B"/>
    <w:rsid w:val="003B1186"/>
    <w:rsid w:val="003B124D"/>
    <w:rsid w:val="003B145C"/>
    <w:rsid w:val="003B146B"/>
    <w:rsid w:val="003B14FD"/>
    <w:rsid w:val="003B1523"/>
    <w:rsid w:val="003B1846"/>
    <w:rsid w:val="003B1B72"/>
    <w:rsid w:val="003B1C23"/>
    <w:rsid w:val="003B1C7E"/>
    <w:rsid w:val="003B1DFC"/>
    <w:rsid w:val="003B1EA6"/>
    <w:rsid w:val="003B1EFB"/>
    <w:rsid w:val="003B2178"/>
    <w:rsid w:val="003B2538"/>
    <w:rsid w:val="003B266B"/>
    <w:rsid w:val="003B2AFB"/>
    <w:rsid w:val="003B2B40"/>
    <w:rsid w:val="003B2D44"/>
    <w:rsid w:val="003B2F32"/>
    <w:rsid w:val="003B3030"/>
    <w:rsid w:val="003B304C"/>
    <w:rsid w:val="003B30FB"/>
    <w:rsid w:val="003B3228"/>
    <w:rsid w:val="003B3237"/>
    <w:rsid w:val="003B3260"/>
    <w:rsid w:val="003B3291"/>
    <w:rsid w:val="003B3446"/>
    <w:rsid w:val="003B3595"/>
    <w:rsid w:val="003B3635"/>
    <w:rsid w:val="003B370B"/>
    <w:rsid w:val="003B372E"/>
    <w:rsid w:val="003B397E"/>
    <w:rsid w:val="003B3B3F"/>
    <w:rsid w:val="003B4154"/>
    <w:rsid w:val="003B4193"/>
    <w:rsid w:val="003B41EA"/>
    <w:rsid w:val="003B45A2"/>
    <w:rsid w:val="003B4667"/>
    <w:rsid w:val="003B46B5"/>
    <w:rsid w:val="003B472B"/>
    <w:rsid w:val="003B4797"/>
    <w:rsid w:val="003B4AA4"/>
    <w:rsid w:val="003B4AFA"/>
    <w:rsid w:val="003B4BE7"/>
    <w:rsid w:val="003B4D55"/>
    <w:rsid w:val="003B4D57"/>
    <w:rsid w:val="003B4F0E"/>
    <w:rsid w:val="003B51FF"/>
    <w:rsid w:val="003B53F9"/>
    <w:rsid w:val="003B5536"/>
    <w:rsid w:val="003B564C"/>
    <w:rsid w:val="003B56CB"/>
    <w:rsid w:val="003B58F9"/>
    <w:rsid w:val="003B59CB"/>
    <w:rsid w:val="003B5A54"/>
    <w:rsid w:val="003B5D07"/>
    <w:rsid w:val="003B6060"/>
    <w:rsid w:val="003B607F"/>
    <w:rsid w:val="003B6217"/>
    <w:rsid w:val="003B6233"/>
    <w:rsid w:val="003B6352"/>
    <w:rsid w:val="003B645F"/>
    <w:rsid w:val="003B665B"/>
    <w:rsid w:val="003B66F8"/>
    <w:rsid w:val="003B6985"/>
    <w:rsid w:val="003B6CA5"/>
    <w:rsid w:val="003B6DBC"/>
    <w:rsid w:val="003B6E28"/>
    <w:rsid w:val="003B7345"/>
    <w:rsid w:val="003B74DE"/>
    <w:rsid w:val="003B7519"/>
    <w:rsid w:val="003B7793"/>
    <w:rsid w:val="003B79F0"/>
    <w:rsid w:val="003B7B06"/>
    <w:rsid w:val="003B7B25"/>
    <w:rsid w:val="003B7B31"/>
    <w:rsid w:val="003B7B6B"/>
    <w:rsid w:val="003B7CD6"/>
    <w:rsid w:val="003B7D51"/>
    <w:rsid w:val="003B7F20"/>
    <w:rsid w:val="003C01EA"/>
    <w:rsid w:val="003C048A"/>
    <w:rsid w:val="003C0738"/>
    <w:rsid w:val="003C07A0"/>
    <w:rsid w:val="003C07A9"/>
    <w:rsid w:val="003C07B4"/>
    <w:rsid w:val="003C0851"/>
    <w:rsid w:val="003C09AF"/>
    <w:rsid w:val="003C0ADC"/>
    <w:rsid w:val="003C0F56"/>
    <w:rsid w:val="003C0FFF"/>
    <w:rsid w:val="003C11A0"/>
    <w:rsid w:val="003C12F6"/>
    <w:rsid w:val="003C146F"/>
    <w:rsid w:val="003C14C4"/>
    <w:rsid w:val="003C1504"/>
    <w:rsid w:val="003C1566"/>
    <w:rsid w:val="003C19E2"/>
    <w:rsid w:val="003C1C79"/>
    <w:rsid w:val="003C1E5E"/>
    <w:rsid w:val="003C1EB7"/>
    <w:rsid w:val="003C1FDE"/>
    <w:rsid w:val="003C20B0"/>
    <w:rsid w:val="003C215D"/>
    <w:rsid w:val="003C21F4"/>
    <w:rsid w:val="003C22FC"/>
    <w:rsid w:val="003C2334"/>
    <w:rsid w:val="003C246E"/>
    <w:rsid w:val="003C2528"/>
    <w:rsid w:val="003C25EE"/>
    <w:rsid w:val="003C27C6"/>
    <w:rsid w:val="003C29EE"/>
    <w:rsid w:val="003C2A0A"/>
    <w:rsid w:val="003C2AF8"/>
    <w:rsid w:val="003C2BFC"/>
    <w:rsid w:val="003C2E9E"/>
    <w:rsid w:val="003C2F65"/>
    <w:rsid w:val="003C306A"/>
    <w:rsid w:val="003C31FA"/>
    <w:rsid w:val="003C3246"/>
    <w:rsid w:val="003C3282"/>
    <w:rsid w:val="003C3331"/>
    <w:rsid w:val="003C36CC"/>
    <w:rsid w:val="003C39E1"/>
    <w:rsid w:val="003C3A5A"/>
    <w:rsid w:val="003C3D08"/>
    <w:rsid w:val="003C3F2E"/>
    <w:rsid w:val="003C4109"/>
    <w:rsid w:val="003C419F"/>
    <w:rsid w:val="003C4AD1"/>
    <w:rsid w:val="003C4B78"/>
    <w:rsid w:val="003C4CDA"/>
    <w:rsid w:val="003C4E12"/>
    <w:rsid w:val="003C4E1F"/>
    <w:rsid w:val="003C4E3A"/>
    <w:rsid w:val="003C5068"/>
    <w:rsid w:val="003C5140"/>
    <w:rsid w:val="003C54E5"/>
    <w:rsid w:val="003C5583"/>
    <w:rsid w:val="003C55DE"/>
    <w:rsid w:val="003C57CB"/>
    <w:rsid w:val="003C5D9C"/>
    <w:rsid w:val="003C611E"/>
    <w:rsid w:val="003C6188"/>
    <w:rsid w:val="003C6364"/>
    <w:rsid w:val="003C640E"/>
    <w:rsid w:val="003C65A9"/>
    <w:rsid w:val="003C6658"/>
    <w:rsid w:val="003C6A3A"/>
    <w:rsid w:val="003C6C91"/>
    <w:rsid w:val="003C6CAD"/>
    <w:rsid w:val="003C6D12"/>
    <w:rsid w:val="003C6D58"/>
    <w:rsid w:val="003C7390"/>
    <w:rsid w:val="003C76A6"/>
    <w:rsid w:val="003C77D0"/>
    <w:rsid w:val="003C78E8"/>
    <w:rsid w:val="003C7A17"/>
    <w:rsid w:val="003C7A1C"/>
    <w:rsid w:val="003C7A79"/>
    <w:rsid w:val="003C7BA7"/>
    <w:rsid w:val="003C7DD7"/>
    <w:rsid w:val="003C7FAD"/>
    <w:rsid w:val="003D02B9"/>
    <w:rsid w:val="003D0414"/>
    <w:rsid w:val="003D0B79"/>
    <w:rsid w:val="003D0EB9"/>
    <w:rsid w:val="003D10E5"/>
    <w:rsid w:val="003D11E1"/>
    <w:rsid w:val="003D1330"/>
    <w:rsid w:val="003D146B"/>
    <w:rsid w:val="003D149B"/>
    <w:rsid w:val="003D15C0"/>
    <w:rsid w:val="003D15E1"/>
    <w:rsid w:val="003D165A"/>
    <w:rsid w:val="003D17D0"/>
    <w:rsid w:val="003D198D"/>
    <w:rsid w:val="003D1C7A"/>
    <w:rsid w:val="003D1EB1"/>
    <w:rsid w:val="003D22DC"/>
    <w:rsid w:val="003D2357"/>
    <w:rsid w:val="003D24FD"/>
    <w:rsid w:val="003D25A8"/>
    <w:rsid w:val="003D25AF"/>
    <w:rsid w:val="003D2618"/>
    <w:rsid w:val="003D2A55"/>
    <w:rsid w:val="003D2A61"/>
    <w:rsid w:val="003D2C4B"/>
    <w:rsid w:val="003D2DA6"/>
    <w:rsid w:val="003D2F15"/>
    <w:rsid w:val="003D2FA5"/>
    <w:rsid w:val="003D2FC3"/>
    <w:rsid w:val="003D30B6"/>
    <w:rsid w:val="003D31A7"/>
    <w:rsid w:val="003D3309"/>
    <w:rsid w:val="003D358F"/>
    <w:rsid w:val="003D3689"/>
    <w:rsid w:val="003D3722"/>
    <w:rsid w:val="003D3EC9"/>
    <w:rsid w:val="003D4160"/>
    <w:rsid w:val="003D4200"/>
    <w:rsid w:val="003D43AF"/>
    <w:rsid w:val="003D469C"/>
    <w:rsid w:val="003D47D2"/>
    <w:rsid w:val="003D4EDC"/>
    <w:rsid w:val="003D4FF5"/>
    <w:rsid w:val="003D534C"/>
    <w:rsid w:val="003D5404"/>
    <w:rsid w:val="003D54C8"/>
    <w:rsid w:val="003D5B31"/>
    <w:rsid w:val="003D5B39"/>
    <w:rsid w:val="003D5C0D"/>
    <w:rsid w:val="003D5C6D"/>
    <w:rsid w:val="003D5DDC"/>
    <w:rsid w:val="003D60B9"/>
    <w:rsid w:val="003D6222"/>
    <w:rsid w:val="003D62C0"/>
    <w:rsid w:val="003D631C"/>
    <w:rsid w:val="003D6329"/>
    <w:rsid w:val="003D6764"/>
    <w:rsid w:val="003D693D"/>
    <w:rsid w:val="003D6992"/>
    <w:rsid w:val="003D69E5"/>
    <w:rsid w:val="003D6A1C"/>
    <w:rsid w:val="003D6AE1"/>
    <w:rsid w:val="003D6F59"/>
    <w:rsid w:val="003D700B"/>
    <w:rsid w:val="003D712F"/>
    <w:rsid w:val="003D78B4"/>
    <w:rsid w:val="003D7E30"/>
    <w:rsid w:val="003E0592"/>
    <w:rsid w:val="003E0887"/>
    <w:rsid w:val="003E0A8D"/>
    <w:rsid w:val="003E0BD5"/>
    <w:rsid w:val="003E0C30"/>
    <w:rsid w:val="003E0CCE"/>
    <w:rsid w:val="003E10AC"/>
    <w:rsid w:val="003E114A"/>
    <w:rsid w:val="003E123B"/>
    <w:rsid w:val="003E1520"/>
    <w:rsid w:val="003E163D"/>
    <w:rsid w:val="003E190E"/>
    <w:rsid w:val="003E1A08"/>
    <w:rsid w:val="003E1A4F"/>
    <w:rsid w:val="003E1A60"/>
    <w:rsid w:val="003E1F64"/>
    <w:rsid w:val="003E1FA2"/>
    <w:rsid w:val="003E2BF5"/>
    <w:rsid w:val="003E2C0A"/>
    <w:rsid w:val="003E2D00"/>
    <w:rsid w:val="003E2E59"/>
    <w:rsid w:val="003E31D5"/>
    <w:rsid w:val="003E329B"/>
    <w:rsid w:val="003E335E"/>
    <w:rsid w:val="003E3404"/>
    <w:rsid w:val="003E3732"/>
    <w:rsid w:val="003E391D"/>
    <w:rsid w:val="003E3ACF"/>
    <w:rsid w:val="003E3BDA"/>
    <w:rsid w:val="003E40B7"/>
    <w:rsid w:val="003E4442"/>
    <w:rsid w:val="003E453B"/>
    <w:rsid w:val="003E455F"/>
    <w:rsid w:val="003E45A0"/>
    <w:rsid w:val="003E4610"/>
    <w:rsid w:val="003E46AB"/>
    <w:rsid w:val="003E473F"/>
    <w:rsid w:val="003E47B3"/>
    <w:rsid w:val="003E4BBB"/>
    <w:rsid w:val="003E4D3F"/>
    <w:rsid w:val="003E4E1C"/>
    <w:rsid w:val="003E4E7F"/>
    <w:rsid w:val="003E4E9A"/>
    <w:rsid w:val="003E4FA9"/>
    <w:rsid w:val="003E52B0"/>
    <w:rsid w:val="003E5471"/>
    <w:rsid w:val="003E552E"/>
    <w:rsid w:val="003E56F5"/>
    <w:rsid w:val="003E57D6"/>
    <w:rsid w:val="003E58C4"/>
    <w:rsid w:val="003E59A0"/>
    <w:rsid w:val="003E5B45"/>
    <w:rsid w:val="003E5CB5"/>
    <w:rsid w:val="003E5D81"/>
    <w:rsid w:val="003E60CA"/>
    <w:rsid w:val="003E628C"/>
    <w:rsid w:val="003E65CB"/>
    <w:rsid w:val="003E6AB7"/>
    <w:rsid w:val="003E6C44"/>
    <w:rsid w:val="003E6C98"/>
    <w:rsid w:val="003E6DCA"/>
    <w:rsid w:val="003E6F9E"/>
    <w:rsid w:val="003E6FCC"/>
    <w:rsid w:val="003E721E"/>
    <w:rsid w:val="003E7241"/>
    <w:rsid w:val="003E76EE"/>
    <w:rsid w:val="003E7782"/>
    <w:rsid w:val="003E7810"/>
    <w:rsid w:val="003E78E5"/>
    <w:rsid w:val="003E7970"/>
    <w:rsid w:val="003E7BE8"/>
    <w:rsid w:val="003E7E0E"/>
    <w:rsid w:val="003E7E65"/>
    <w:rsid w:val="003E7F0B"/>
    <w:rsid w:val="003F0477"/>
    <w:rsid w:val="003F047B"/>
    <w:rsid w:val="003F049A"/>
    <w:rsid w:val="003F09F0"/>
    <w:rsid w:val="003F0B21"/>
    <w:rsid w:val="003F0CF4"/>
    <w:rsid w:val="003F0DF8"/>
    <w:rsid w:val="003F10E4"/>
    <w:rsid w:val="003F133D"/>
    <w:rsid w:val="003F1797"/>
    <w:rsid w:val="003F1869"/>
    <w:rsid w:val="003F1BB9"/>
    <w:rsid w:val="003F1BE4"/>
    <w:rsid w:val="003F1EA0"/>
    <w:rsid w:val="003F1F8F"/>
    <w:rsid w:val="003F1FF2"/>
    <w:rsid w:val="003F237E"/>
    <w:rsid w:val="003F2423"/>
    <w:rsid w:val="003F2570"/>
    <w:rsid w:val="003F261D"/>
    <w:rsid w:val="003F2678"/>
    <w:rsid w:val="003F2697"/>
    <w:rsid w:val="003F285E"/>
    <w:rsid w:val="003F292F"/>
    <w:rsid w:val="003F29E8"/>
    <w:rsid w:val="003F2B83"/>
    <w:rsid w:val="003F2C13"/>
    <w:rsid w:val="003F2CF6"/>
    <w:rsid w:val="003F2D54"/>
    <w:rsid w:val="003F2D5F"/>
    <w:rsid w:val="003F2F28"/>
    <w:rsid w:val="003F2F3C"/>
    <w:rsid w:val="003F2F7E"/>
    <w:rsid w:val="003F30D4"/>
    <w:rsid w:val="003F321E"/>
    <w:rsid w:val="003F33E4"/>
    <w:rsid w:val="003F353D"/>
    <w:rsid w:val="003F35D2"/>
    <w:rsid w:val="003F39D3"/>
    <w:rsid w:val="003F3AD0"/>
    <w:rsid w:val="003F3B62"/>
    <w:rsid w:val="003F3BCE"/>
    <w:rsid w:val="003F3BD8"/>
    <w:rsid w:val="003F3C21"/>
    <w:rsid w:val="003F3ED2"/>
    <w:rsid w:val="003F407E"/>
    <w:rsid w:val="003F42D3"/>
    <w:rsid w:val="003F4303"/>
    <w:rsid w:val="003F435E"/>
    <w:rsid w:val="003F4478"/>
    <w:rsid w:val="003F4741"/>
    <w:rsid w:val="003F4881"/>
    <w:rsid w:val="003F49D1"/>
    <w:rsid w:val="003F4A6D"/>
    <w:rsid w:val="003F4E69"/>
    <w:rsid w:val="003F4ECA"/>
    <w:rsid w:val="003F4F4E"/>
    <w:rsid w:val="003F4F5C"/>
    <w:rsid w:val="003F5439"/>
    <w:rsid w:val="003F559C"/>
    <w:rsid w:val="003F58D8"/>
    <w:rsid w:val="003F59CB"/>
    <w:rsid w:val="003F5B8C"/>
    <w:rsid w:val="003F5C57"/>
    <w:rsid w:val="003F604D"/>
    <w:rsid w:val="003F6058"/>
    <w:rsid w:val="003F606F"/>
    <w:rsid w:val="003F6132"/>
    <w:rsid w:val="003F6173"/>
    <w:rsid w:val="003F6622"/>
    <w:rsid w:val="003F6A27"/>
    <w:rsid w:val="003F6B77"/>
    <w:rsid w:val="003F6C67"/>
    <w:rsid w:val="003F6CAB"/>
    <w:rsid w:val="003F6DC0"/>
    <w:rsid w:val="003F6FAF"/>
    <w:rsid w:val="003F7012"/>
    <w:rsid w:val="003F7430"/>
    <w:rsid w:val="003F74E6"/>
    <w:rsid w:val="003F7550"/>
    <w:rsid w:val="003F789E"/>
    <w:rsid w:val="003F7C69"/>
    <w:rsid w:val="003F7F03"/>
    <w:rsid w:val="003F7F86"/>
    <w:rsid w:val="00400243"/>
    <w:rsid w:val="004003EF"/>
    <w:rsid w:val="00400461"/>
    <w:rsid w:val="004005A6"/>
    <w:rsid w:val="004006C1"/>
    <w:rsid w:val="004008D3"/>
    <w:rsid w:val="00400AFA"/>
    <w:rsid w:val="00400DE3"/>
    <w:rsid w:val="00400FAC"/>
    <w:rsid w:val="0040108F"/>
    <w:rsid w:val="004010E3"/>
    <w:rsid w:val="00401497"/>
    <w:rsid w:val="004017B9"/>
    <w:rsid w:val="004017E7"/>
    <w:rsid w:val="0040186D"/>
    <w:rsid w:val="004018C3"/>
    <w:rsid w:val="00401AD8"/>
    <w:rsid w:val="00401B59"/>
    <w:rsid w:val="00401C44"/>
    <w:rsid w:val="00401F04"/>
    <w:rsid w:val="00401F5A"/>
    <w:rsid w:val="00401F5B"/>
    <w:rsid w:val="00401F73"/>
    <w:rsid w:val="00401FFE"/>
    <w:rsid w:val="004020DB"/>
    <w:rsid w:val="004021DD"/>
    <w:rsid w:val="004021E0"/>
    <w:rsid w:val="00402597"/>
    <w:rsid w:val="004025EC"/>
    <w:rsid w:val="00402734"/>
    <w:rsid w:val="0040282C"/>
    <w:rsid w:val="00402A3D"/>
    <w:rsid w:val="00402B55"/>
    <w:rsid w:val="00402BE6"/>
    <w:rsid w:val="00402EE5"/>
    <w:rsid w:val="00403019"/>
    <w:rsid w:val="00403190"/>
    <w:rsid w:val="00403207"/>
    <w:rsid w:val="004032A9"/>
    <w:rsid w:val="004032EE"/>
    <w:rsid w:val="00403335"/>
    <w:rsid w:val="0040376A"/>
    <w:rsid w:val="0040409D"/>
    <w:rsid w:val="00404205"/>
    <w:rsid w:val="004044B6"/>
    <w:rsid w:val="0040456A"/>
    <w:rsid w:val="004048FD"/>
    <w:rsid w:val="00404B24"/>
    <w:rsid w:val="00404BD4"/>
    <w:rsid w:val="00404CBE"/>
    <w:rsid w:val="00404CC1"/>
    <w:rsid w:val="00404E6C"/>
    <w:rsid w:val="00404ED8"/>
    <w:rsid w:val="00405076"/>
    <w:rsid w:val="00405094"/>
    <w:rsid w:val="00405232"/>
    <w:rsid w:val="0040532A"/>
    <w:rsid w:val="00405372"/>
    <w:rsid w:val="0040559B"/>
    <w:rsid w:val="004055AE"/>
    <w:rsid w:val="0040568B"/>
    <w:rsid w:val="00405CC2"/>
    <w:rsid w:val="00405E51"/>
    <w:rsid w:val="0040601C"/>
    <w:rsid w:val="0040617A"/>
    <w:rsid w:val="004061F0"/>
    <w:rsid w:val="00406494"/>
    <w:rsid w:val="004064CE"/>
    <w:rsid w:val="00406A85"/>
    <w:rsid w:val="00406AEA"/>
    <w:rsid w:val="00406B0F"/>
    <w:rsid w:val="00406B6B"/>
    <w:rsid w:val="00406E9A"/>
    <w:rsid w:val="00406F61"/>
    <w:rsid w:val="0040703C"/>
    <w:rsid w:val="0040708B"/>
    <w:rsid w:val="0040729F"/>
    <w:rsid w:val="0040765C"/>
    <w:rsid w:val="004076BB"/>
    <w:rsid w:val="00407701"/>
    <w:rsid w:val="004079A1"/>
    <w:rsid w:val="00407A76"/>
    <w:rsid w:val="00407ACD"/>
    <w:rsid w:val="00407B51"/>
    <w:rsid w:val="00407D42"/>
    <w:rsid w:val="00407E87"/>
    <w:rsid w:val="004100E9"/>
    <w:rsid w:val="0041013C"/>
    <w:rsid w:val="004104FB"/>
    <w:rsid w:val="0041063C"/>
    <w:rsid w:val="00410645"/>
    <w:rsid w:val="0041074D"/>
    <w:rsid w:val="00410A60"/>
    <w:rsid w:val="00410CAE"/>
    <w:rsid w:val="00410E39"/>
    <w:rsid w:val="00410FF7"/>
    <w:rsid w:val="00411238"/>
    <w:rsid w:val="004113F6"/>
    <w:rsid w:val="004116E1"/>
    <w:rsid w:val="00411CD7"/>
    <w:rsid w:val="00411CDF"/>
    <w:rsid w:val="00411DC4"/>
    <w:rsid w:val="00412270"/>
    <w:rsid w:val="00412280"/>
    <w:rsid w:val="0041288F"/>
    <w:rsid w:val="004129D8"/>
    <w:rsid w:val="00412BDD"/>
    <w:rsid w:val="00412C03"/>
    <w:rsid w:val="00412F82"/>
    <w:rsid w:val="00412FD4"/>
    <w:rsid w:val="004130F4"/>
    <w:rsid w:val="00413363"/>
    <w:rsid w:val="004135F6"/>
    <w:rsid w:val="0041369B"/>
    <w:rsid w:val="00413965"/>
    <w:rsid w:val="00413A1E"/>
    <w:rsid w:val="00413A57"/>
    <w:rsid w:val="00413B88"/>
    <w:rsid w:val="00413B89"/>
    <w:rsid w:val="00413BCD"/>
    <w:rsid w:val="00413EF9"/>
    <w:rsid w:val="004140A7"/>
    <w:rsid w:val="00414E42"/>
    <w:rsid w:val="00414E89"/>
    <w:rsid w:val="00414EF8"/>
    <w:rsid w:val="00414F96"/>
    <w:rsid w:val="00414FFC"/>
    <w:rsid w:val="004151A0"/>
    <w:rsid w:val="004151D4"/>
    <w:rsid w:val="00415224"/>
    <w:rsid w:val="00415443"/>
    <w:rsid w:val="00415454"/>
    <w:rsid w:val="0041563F"/>
    <w:rsid w:val="004157D9"/>
    <w:rsid w:val="004158DB"/>
    <w:rsid w:val="00415929"/>
    <w:rsid w:val="004159D5"/>
    <w:rsid w:val="00415C49"/>
    <w:rsid w:val="00416131"/>
    <w:rsid w:val="00416162"/>
    <w:rsid w:val="00416593"/>
    <w:rsid w:val="004168C4"/>
    <w:rsid w:val="004168CE"/>
    <w:rsid w:val="00416B51"/>
    <w:rsid w:val="00417504"/>
    <w:rsid w:val="0041752A"/>
    <w:rsid w:val="004175A3"/>
    <w:rsid w:val="00417829"/>
    <w:rsid w:val="00417F5C"/>
    <w:rsid w:val="00420743"/>
    <w:rsid w:val="00420A1C"/>
    <w:rsid w:val="00420A32"/>
    <w:rsid w:val="00420BA9"/>
    <w:rsid w:val="00420BEC"/>
    <w:rsid w:val="00420C4C"/>
    <w:rsid w:val="00420D2A"/>
    <w:rsid w:val="00420F6F"/>
    <w:rsid w:val="00421179"/>
    <w:rsid w:val="00421205"/>
    <w:rsid w:val="004214B9"/>
    <w:rsid w:val="004216D0"/>
    <w:rsid w:val="00421709"/>
    <w:rsid w:val="004218DA"/>
    <w:rsid w:val="00421A77"/>
    <w:rsid w:val="00421A89"/>
    <w:rsid w:val="00421ABB"/>
    <w:rsid w:val="00421E96"/>
    <w:rsid w:val="00422137"/>
    <w:rsid w:val="00422214"/>
    <w:rsid w:val="00422263"/>
    <w:rsid w:val="004224AE"/>
    <w:rsid w:val="0042253A"/>
    <w:rsid w:val="00422927"/>
    <w:rsid w:val="00422973"/>
    <w:rsid w:val="00422C23"/>
    <w:rsid w:val="00422C6F"/>
    <w:rsid w:val="00422EF8"/>
    <w:rsid w:val="00422FEC"/>
    <w:rsid w:val="004230F6"/>
    <w:rsid w:val="00423290"/>
    <w:rsid w:val="004233D5"/>
    <w:rsid w:val="004234E0"/>
    <w:rsid w:val="004235AF"/>
    <w:rsid w:val="0042369B"/>
    <w:rsid w:val="004238EE"/>
    <w:rsid w:val="00423D23"/>
    <w:rsid w:val="00423DA3"/>
    <w:rsid w:val="00423E07"/>
    <w:rsid w:val="00423E2F"/>
    <w:rsid w:val="00423EC1"/>
    <w:rsid w:val="00423EF9"/>
    <w:rsid w:val="00423F14"/>
    <w:rsid w:val="00423F5C"/>
    <w:rsid w:val="004241C6"/>
    <w:rsid w:val="004242F5"/>
    <w:rsid w:val="00424524"/>
    <w:rsid w:val="0042472C"/>
    <w:rsid w:val="0042472D"/>
    <w:rsid w:val="00424C82"/>
    <w:rsid w:val="00424E3F"/>
    <w:rsid w:val="00424E50"/>
    <w:rsid w:val="00425060"/>
    <w:rsid w:val="004251E6"/>
    <w:rsid w:val="004254B4"/>
    <w:rsid w:val="00425573"/>
    <w:rsid w:val="004255B6"/>
    <w:rsid w:val="004255D5"/>
    <w:rsid w:val="00425618"/>
    <w:rsid w:val="00425A56"/>
    <w:rsid w:val="00425C4C"/>
    <w:rsid w:val="0042636A"/>
    <w:rsid w:val="00426682"/>
    <w:rsid w:val="00426972"/>
    <w:rsid w:val="00426AF3"/>
    <w:rsid w:val="00426E23"/>
    <w:rsid w:val="00426E48"/>
    <w:rsid w:val="0042722D"/>
    <w:rsid w:val="004276A1"/>
    <w:rsid w:val="004277EA"/>
    <w:rsid w:val="00427B40"/>
    <w:rsid w:val="00427C55"/>
    <w:rsid w:val="00427E03"/>
    <w:rsid w:val="0043029A"/>
    <w:rsid w:val="0043066E"/>
    <w:rsid w:val="0043095F"/>
    <w:rsid w:val="00430D04"/>
    <w:rsid w:val="00430E88"/>
    <w:rsid w:val="00430EB6"/>
    <w:rsid w:val="00431048"/>
    <w:rsid w:val="004312BC"/>
    <w:rsid w:val="004316DF"/>
    <w:rsid w:val="004316E9"/>
    <w:rsid w:val="00431855"/>
    <w:rsid w:val="00431974"/>
    <w:rsid w:val="004319D9"/>
    <w:rsid w:val="004319F9"/>
    <w:rsid w:val="00431AE1"/>
    <w:rsid w:val="00431BDE"/>
    <w:rsid w:val="00431DC7"/>
    <w:rsid w:val="00431EEC"/>
    <w:rsid w:val="00431FB5"/>
    <w:rsid w:val="00432059"/>
    <w:rsid w:val="00432502"/>
    <w:rsid w:val="0043261D"/>
    <w:rsid w:val="004328BF"/>
    <w:rsid w:val="004329D1"/>
    <w:rsid w:val="00432B30"/>
    <w:rsid w:val="00432C13"/>
    <w:rsid w:val="00432EB6"/>
    <w:rsid w:val="00432F63"/>
    <w:rsid w:val="00433136"/>
    <w:rsid w:val="004333BA"/>
    <w:rsid w:val="0043379D"/>
    <w:rsid w:val="00433C8D"/>
    <w:rsid w:val="00433CFD"/>
    <w:rsid w:val="00433F16"/>
    <w:rsid w:val="0043415A"/>
    <w:rsid w:val="00434224"/>
    <w:rsid w:val="0043432E"/>
    <w:rsid w:val="00434399"/>
    <w:rsid w:val="00434709"/>
    <w:rsid w:val="00434CDF"/>
    <w:rsid w:val="00434D3A"/>
    <w:rsid w:val="00434F10"/>
    <w:rsid w:val="00435171"/>
    <w:rsid w:val="004351FD"/>
    <w:rsid w:val="004355BA"/>
    <w:rsid w:val="00435A3E"/>
    <w:rsid w:val="00435AE4"/>
    <w:rsid w:val="00435C45"/>
    <w:rsid w:val="00435C64"/>
    <w:rsid w:val="00435D73"/>
    <w:rsid w:val="00435E9A"/>
    <w:rsid w:val="004360EA"/>
    <w:rsid w:val="0043611D"/>
    <w:rsid w:val="0043626A"/>
    <w:rsid w:val="004362FE"/>
    <w:rsid w:val="00436354"/>
    <w:rsid w:val="004364F9"/>
    <w:rsid w:val="00436598"/>
    <w:rsid w:val="004365BE"/>
    <w:rsid w:val="004365F1"/>
    <w:rsid w:val="004366B5"/>
    <w:rsid w:val="004367B3"/>
    <w:rsid w:val="00436A28"/>
    <w:rsid w:val="00436B0E"/>
    <w:rsid w:val="00436F3C"/>
    <w:rsid w:val="00436F43"/>
    <w:rsid w:val="00436FAA"/>
    <w:rsid w:val="00436FBD"/>
    <w:rsid w:val="00437027"/>
    <w:rsid w:val="004372CD"/>
    <w:rsid w:val="00437445"/>
    <w:rsid w:val="00437797"/>
    <w:rsid w:val="00437838"/>
    <w:rsid w:val="004379DD"/>
    <w:rsid w:val="00437A11"/>
    <w:rsid w:val="00437AEA"/>
    <w:rsid w:val="00437F91"/>
    <w:rsid w:val="0044029D"/>
    <w:rsid w:val="00440311"/>
    <w:rsid w:val="004403C7"/>
    <w:rsid w:val="00440590"/>
    <w:rsid w:val="004405A7"/>
    <w:rsid w:val="00440D73"/>
    <w:rsid w:val="004417E4"/>
    <w:rsid w:val="00441937"/>
    <w:rsid w:val="0044198B"/>
    <w:rsid w:val="004419C6"/>
    <w:rsid w:val="00441A1F"/>
    <w:rsid w:val="00441BC9"/>
    <w:rsid w:val="00441D78"/>
    <w:rsid w:val="00441E86"/>
    <w:rsid w:val="0044216E"/>
    <w:rsid w:val="004421A3"/>
    <w:rsid w:val="00442242"/>
    <w:rsid w:val="0044238F"/>
    <w:rsid w:val="004423B6"/>
    <w:rsid w:val="004423F0"/>
    <w:rsid w:val="00442590"/>
    <w:rsid w:val="00442620"/>
    <w:rsid w:val="0044263E"/>
    <w:rsid w:val="004428FF"/>
    <w:rsid w:val="00442A48"/>
    <w:rsid w:val="00442B0C"/>
    <w:rsid w:val="00442BF3"/>
    <w:rsid w:val="00442D03"/>
    <w:rsid w:val="00442D8C"/>
    <w:rsid w:val="00442E88"/>
    <w:rsid w:val="00442EE3"/>
    <w:rsid w:val="00443043"/>
    <w:rsid w:val="004430A1"/>
    <w:rsid w:val="004431CF"/>
    <w:rsid w:val="004432A1"/>
    <w:rsid w:val="004432E2"/>
    <w:rsid w:val="004433A3"/>
    <w:rsid w:val="0044348B"/>
    <w:rsid w:val="0044363C"/>
    <w:rsid w:val="004438A3"/>
    <w:rsid w:val="0044393D"/>
    <w:rsid w:val="00443D14"/>
    <w:rsid w:val="00443E6A"/>
    <w:rsid w:val="004444A4"/>
    <w:rsid w:val="00444746"/>
    <w:rsid w:val="0044497D"/>
    <w:rsid w:val="00444BDD"/>
    <w:rsid w:val="00444CAA"/>
    <w:rsid w:val="00444F04"/>
    <w:rsid w:val="00445116"/>
    <w:rsid w:val="004453A5"/>
    <w:rsid w:val="0044560C"/>
    <w:rsid w:val="00445612"/>
    <w:rsid w:val="004456E8"/>
    <w:rsid w:val="004462AB"/>
    <w:rsid w:val="0044689E"/>
    <w:rsid w:val="004468AC"/>
    <w:rsid w:val="004469F0"/>
    <w:rsid w:val="00446BF7"/>
    <w:rsid w:val="00446ED6"/>
    <w:rsid w:val="00447086"/>
    <w:rsid w:val="004470E2"/>
    <w:rsid w:val="004470FD"/>
    <w:rsid w:val="00447480"/>
    <w:rsid w:val="00447515"/>
    <w:rsid w:val="00447812"/>
    <w:rsid w:val="00447AA1"/>
    <w:rsid w:val="00447AC7"/>
    <w:rsid w:val="00447AD5"/>
    <w:rsid w:val="00447C4E"/>
    <w:rsid w:val="00447CCD"/>
    <w:rsid w:val="00447FDB"/>
    <w:rsid w:val="00447FFB"/>
    <w:rsid w:val="00450152"/>
    <w:rsid w:val="004501B5"/>
    <w:rsid w:val="0045029B"/>
    <w:rsid w:val="00450572"/>
    <w:rsid w:val="004506DC"/>
    <w:rsid w:val="00450737"/>
    <w:rsid w:val="00450798"/>
    <w:rsid w:val="00450C0B"/>
    <w:rsid w:val="00450E23"/>
    <w:rsid w:val="00450E71"/>
    <w:rsid w:val="00451085"/>
    <w:rsid w:val="004511B2"/>
    <w:rsid w:val="00451284"/>
    <w:rsid w:val="004515DE"/>
    <w:rsid w:val="00451946"/>
    <w:rsid w:val="00451B28"/>
    <w:rsid w:val="00451BA3"/>
    <w:rsid w:val="00451C6D"/>
    <w:rsid w:val="00451CB2"/>
    <w:rsid w:val="0045203C"/>
    <w:rsid w:val="00452426"/>
    <w:rsid w:val="00452518"/>
    <w:rsid w:val="0045253A"/>
    <w:rsid w:val="004527BA"/>
    <w:rsid w:val="004528B9"/>
    <w:rsid w:val="00452A6D"/>
    <w:rsid w:val="00452C9F"/>
    <w:rsid w:val="00452FA8"/>
    <w:rsid w:val="00452FAF"/>
    <w:rsid w:val="004534F8"/>
    <w:rsid w:val="004538BC"/>
    <w:rsid w:val="00453927"/>
    <w:rsid w:val="0045394C"/>
    <w:rsid w:val="0045397A"/>
    <w:rsid w:val="00453D4B"/>
    <w:rsid w:val="00453D88"/>
    <w:rsid w:val="00453E0D"/>
    <w:rsid w:val="00453F5B"/>
    <w:rsid w:val="00454018"/>
    <w:rsid w:val="0045402A"/>
    <w:rsid w:val="004541B2"/>
    <w:rsid w:val="00454231"/>
    <w:rsid w:val="0045436E"/>
    <w:rsid w:val="004543E2"/>
    <w:rsid w:val="0045482A"/>
    <w:rsid w:val="00454B7E"/>
    <w:rsid w:val="00454C8D"/>
    <w:rsid w:val="00454CD5"/>
    <w:rsid w:val="00454DE7"/>
    <w:rsid w:val="00455033"/>
    <w:rsid w:val="00455164"/>
    <w:rsid w:val="00455816"/>
    <w:rsid w:val="00455891"/>
    <w:rsid w:val="00455BBC"/>
    <w:rsid w:val="00455D09"/>
    <w:rsid w:val="004560FB"/>
    <w:rsid w:val="004565B9"/>
    <w:rsid w:val="00456AEB"/>
    <w:rsid w:val="00456B69"/>
    <w:rsid w:val="00456C74"/>
    <w:rsid w:val="00456EC0"/>
    <w:rsid w:val="0045718D"/>
    <w:rsid w:val="00457212"/>
    <w:rsid w:val="00457440"/>
    <w:rsid w:val="00457711"/>
    <w:rsid w:val="0045787C"/>
    <w:rsid w:val="00457980"/>
    <w:rsid w:val="00457A48"/>
    <w:rsid w:val="00457A8B"/>
    <w:rsid w:val="00457AA2"/>
    <w:rsid w:val="00457D18"/>
    <w:rsid w:val="00457D91"/>
    <w:rsid w:val="004600B5"/>
    <w:rsid w:val="004600F4"/>
    <w:rsid w:val="00460170"/>
    <w:rsid w:val="0046048E"/>
    <w:rsid w:val="004607CE"/>
    <w:rsid w:val="004607FD"/>
    <w:rsid w:val="0046098A"/>
    <w:rsid w:val="00460A20"/>
    <w:rsid w:val="00460B3A"/>
    <w:rsid w:val="00460C66"/>
    <w:rsid w:val="004611A6"/>
    <w:rsid w:val="004613FD"/>
    <w:rsid w:val="004614DD"/>
    <w:rsid w:val="00461589"/>
    <w:rsid w:val="004615FF"/>
    <w:rsid w:val="0046178A"/>
    <w:rsid w:val="004618B4"/>
    <w:rsid w:val="004618BA"/>
    <w:rsid w:val="00461A9F"/>
    <w:rsid w:val="00461BE0"/>
    <w:rsid w:val="004620B1"/>
    <w:rsid w:val="004622D8"/>
    <w:rsid w:val="00462318"/>
    <w:rsid w:val="0046268A"/>
    <w:rsid w:val="0046284C"/>
    <w:rsid w:val="00462954"/>
    <w:rsid w:val="0046296D"/>
    <w:rsid w:val="00462A24"/>
    <w:rsid w:val="00462D25"/>
    <w:rsid w:val="00462DFC"/>
    <w:rsid w:val="00463471"/>
    <w:rsid w:val="0046358E"/>
    <w:rsid w:val="00463836"/>
    <w:rsid w:val="0046384C"/>
    <w:rsid w:val="004638F5"/>
    <w:rsid w:val="00463942"/>
    <w:rsid w:val="00463A00"/>
    <w:rsid w:val="00463A70"/>
    <w:rsid w:val="00463BD7"/>
    <w:rsid w:val="00463C1C"/>
    <w:rsid w:val="00463C23"/>
    <w:rsid w:val="00463C82"/>
    <w:rsid w:val="00463D23"/>
    <w:rsid w:val="00464088"/>
    <w:rsid w:val="0046439A"/>
    <w:rsid w:val="0046459B"/>
    <w:rsid w:val="004647E7"/>
    <w:rsid w:val="00464E85"/>
    <w:rsid w:val="00464F36"/>
    <w:rsid w:val="004650F0"/>
    <w:rsid w:val="00465121"/>
    <w:rsid w:val="004652F4"/>
    <w:rsid w:val="00465622"/>
    <w:rsid w:val="004656AE"/>
    <w:rsid w:val="00465716"/>
    <w:rsid w:val="00465B88"/>
    <w:rsid w:val="00465C71"/>
    <w:rsid w:val="00465F49"/>
    <w:rsid w:val="00465F50"/>
    <w:rsid w:val="0046605C"/>
    <w:rsid w:val="004663A5"/>
    <w:rsid w:val="00466468"/>
    <w:rsid w:val="004666EF"/>
    <w:rsid w:val="00466736"/>
    <w:rsid w:val="00466841"/>
    <w:rsid w:val="00466AD5"/>
    <w:rsid w:val="00466AD9"/>
    <w:rsid w:val="00466B0D"/>
    <w:rsid w:val="00466B15"/>
    <w:rsid w:val="00466C24"/>
    <w:rsid w:val="00466C2E"/>
    <w:rsid w:val="00466D17"/>
    <w:rsid w:val="00466E95"/>
    <w:rsid w:val="0046744E"/>
    <w:rsid w:val="004675DF"/>
    <w:rsid w:val="0046781F"/>
    <w:rsid w:val="0046789F"/>
    <w:rsid w:val="004678C4"/>
    <w:rsid w:val="00467BED"/>
    <w:rsid w:val="00467C2D"/>
    <w:rsid w:val="00467C3D"/>
    <w:rsid w:val="00467DD5"/>
    <w:rsid w:val="00470048"/>
    <w:rsid w:val="004700A0"/>
    <w:rsid w:val="004702DE"/>
    <w:rsid w:val="0047093D"/>
    <w:rsid w:val="00470C6A"/>
    <w:rsid w:val="00470ECF"/>
    <w:rsid w:val="00470F8E"/>
    <w:rsid w:val="00470F91"/>
    <w:rsid w:val="0047103E"/>
    <w:rsid w:val="00471089"/>
    <w:rsid w:val="00471291"/>
    <w:rsid w:val="00471370"/>
    <w:rsid w:val="00471663"/>
    <w:rsid w:val="00471711"/>
    <w:rsid w:val="0047174F"/>
    <w:rsid w:val="00471769"/>
    <w:rsid w:val="0047179A"/>
    <w:rsid w:val="0047179D"/>
    <w:rsid w:val="00471C0C"/>
    <w:rsid w:val="00471CA0"/>
    <w:rsid w:val="00471CEC"/>
    <w:rsid w:val="00471D2A"/>
    <w:rsid w:val="00471DD6"/>
    <w:rsid w:val="00471F3A"/>
    <w:rsid w:val="00472021"/>
    <w:rsid w:val="004720D2"/>
    <w:rsid w:val="00472224"/>
    <w:rsid w:val="00472401"/>
    <w:rsid w:val="004724A8"/>
    <w:rsid w:val="004725C5"/>
    <w:rsid w:val="00472789"/>
    <w:rsid w:val="00472993"/>
    <w:rsid w:val="004729E1"/>
    <w:rsid w:val="00472A6C"/>
    <w:rsid w:val="00472AA9"/>
    <w:rsid w:val="00472BE9"/>
    <w:rsid w:val="00472C12"/>
    <w:rsid w:val="004731C0"/>
    <w:rsid w:val="004733F9"/>
    <w:rsid w:val="00473526"/>
    <w:rsid w:val="0047384F"/>
    <w:rsid w:val="0047388A"/>
    <w:rsid w:val="0047398F"/>
    <w:rsid w:val="00473C8C"/>
    <w:rsid w:val="00473D44"/>
    <w:rsid w:val="00474023"/>
    <w:rsid w:val="00474210"/>
    <w:rsid w:val="0047439E"/>
    <w:rsid w:val="00474511"/>
    <w:rsid w:val="00474677"/>
    <w:rsid w:val="00474740"/>
    <w:rsid w:val="004748CA"/>
    <w:rsid w:val="00474979"/>
    <w:rsid w:val="00474D91"/>
    <w:rsid w:val="00475533"/>
    <w:rsid w:val="004755DD"/>
    <w:rsid w:val="00475646"/>
    <w:rsid w:val="0047569C"/>
    <w:rsid w:val="00475757"/>
    <w:rsid w:val="0047578F"/>
    <w:rsid w:val="004758A8"/>
    <w:rsid w:val="00475A4C"/>
    <w:rsid w:val="00475B42"/>
    <w:rsid w:val="00475EB6"/>
    <w:rsid w:val="0047604C"/>
    <w:rsid w:val="00476131"/>
    <w:rsid w:val="004762E4"/>
    <w:rsid w:val="004763AC"/>
    <w:rsid w:val="0047646E"/>
    <w:rsid w:val="00476A90"/>
    <w:rsid w:val="00476D23"/>
    <w:rsid w:val="00476D8F"/>
    <w:rsid w:val="00476E7E"/>
    <w:rsid w:val="00476FB7"/>
    <w:rsid w:val="0047708B"/>
    <w:rsid w:val="004770AB"/>
    <w:rsid w:val="0047737A"/>
    <w:rsid w:val="004774E4"/>
    <w:rsid w:val="004775F1"/>
    <w:rsid w:val="004776B1"/>
    <w:rsid w:val="00477AC0"/>
    <w:rsid w:val="00477B61"/>
    <w:rsid w:val="00477CBB"/>
    <w:rsid w:val="00477EC6"/>
    <w:rsid w:val="00477F2A"/>
    <w:rsid w:val="00477FBA"/>
    <w:rsid w:val="00477FD5"/>
    <w:rsid w:val="0048005A"/>
    <w:rsid w:val="004800AD"/>
    <w:rsid w:val="004800B8"/>
    <w:rsid w:val="004803DD"/>
    <w:rsid w:val="00480541"/>
    <w:rsid w:val="004805C1"/>
    <w:rsid w:val="00480631"/>
    <w:rsid w:val="004806A4"/>
    <w:rsid w:val="00480B00"/>
    <w:rsid w:val="00480C19"/>
    <w:rsid w:val="00480F13"/>
    <w:rsid w:val="00481042"/>
    <w:rsid w:val="00481120"/>
    <w:rsid w:val="00481315"/>
    <w:rsid w:val="004816DB"/>
    <w:rsid w:val="004819F1"/>
    <w:rsid w:val="00481C7C"/>
    <w:rsid w:val="00481D5D"/>
    <w:rsid w:val="00481DB7"/>
    <w:rsid w:val="00481F37"/>
    <w:rsid w:val="0048210F"/>
    <w:rsid w:val="00482112"/>
    <w:rsid w:val="00482172"/>
    <w:rsid w:val="004821A6"/>
    <w:rsid w:val="004822A8"/>
    <w:rsid w:val="00482598"/>
    <w:rsid w:val="004825BC"/>
    <w:rsid w:val="0048283A"/>
    <w:rsid w:val="00482B72"/>
    <w:rsid w:val="00482B8D"/>
    <w:rsid w:val="00482BEC"/>
    <w:rsid w:val="00482DD8"/>
    <w:rsid w:val="00482DE9"/>
    <w:rsid w:val="00482E59"/>
    <w:rsid w:val="00482EF3"/>
    <w:rsid w:val="00483035"/>
    <w:rsid w:val="004833BA"/>
    <w:rsid w:val="0048363F"/>
    <w:rsid w:val="004836E4"/>
    <w:rsid w:val="00483736"/>
    <w:rsid w:val="00483765"/>
    <w:rsid w:val="00483983"/>
    <w:rsid w:val="004839C2"/>
    <w:rsid w:val="004839CA"/>
    <w:rsid w:val="00483BC6"/>
    <w:rsid w:val="00483EC8"/>
    <w:rsid w:val="00483F0A"/>
    <w:rsid w:val="00483FE7"/>
    <w:rsid w:val="004840A1"/>
    <w:rsid w:val="0048429D"/>
    <w:rsid w:val="004843E4"/>
    <w:rsid w:val="004845F1"/>
    <w:rsid w:val="004847B5"/>
    <w:rsid w:val="00484B14"/>
    <w:rsid w:val="00484B29"/>
    <w:rsid w:val="00484B9A"/>
    <w:rsid w:val="00484C9F"/>
    <w:rsid w:val="00484CE4"/>
    <w:rsid w:val="00485040"/>
    <w:rsid w:val="0048507F"/>
    <w:rsid w:val="0048520A"/>
    <w:rsid w:val="004853D0"/>
    <w:rsid w:val="00485493"/>
    <w:rsid w:val="00485532"/>
    <w:rsid w:val="00485DDD"/>
    <w:rsid w:val="00485FD4"/>
    <w:rsid w:val="004860C5"/>
    <w:rsid w:val="004861AA"/>
    <w:rsid w:val="0048637D"/>
    <w:rsid w:val="004864CA"/>
    <w:rsid w:val="004867FD"/>
    <w:rsid w:val="00486801"/>
    <w:rsid w:val="004869B7"/>
    <w:rsid w:val="00486AA2"/>
    <w:rsid w:val="00486BD0"/>
    <w:rsid w:val="00486C28"/>
    <w:rsid w:val="00486C63"/>
    <w:rsid w:val="00486C67"/>
    <w:rsid w:val="00486E8F"/>
    <w:rsid w:val="00486F92"/>
    <w:rsid w:val="00486FE8"/>
    <w:rsid w:val="00487144"/>
    <w:rsid w:val="0048737D"/>
    <w:rsid w:val="004874EE"/>
    <w:rsid w:val="00487676"/>
    <w:rsid w:val="00487837"/>
    <w:rsid w:val="00487994"/>
    <w:rsid w:val="00487B0A"/>
    <w:rsid w:val="00487CFC"/>
    <w:rsid w:val="00487E97"/>
    <w:rsid w:val="00487F33"/>
    <w:rsid w:val="00487FE2"/>
    <w:rsid w:val="004900EA"/>
    <w:rsid w:val="0049018A"/>
    <w:rsid w:val="004901DD"/>
    <w:rsid w:val="00490220"/>
    <w:rsid w:val="0049025D"/>
    <w:rsid w:val="0049051D"/>
    <w:rsid w:val="00490C60"/>
    <w:rsid w:val="00490D7E"/>
    <w:rsid w:val="00490F10"/>
    <w:rsid w:val="00491408"/>
    <w:rsid w:val="0049156F"/>
    <w:rsid w:val="00491888"/>
    <w:rsid w:val="00491945"/>
    <w:rsid w:val="00491BBD"/>
    <w:rsid w:val="00491C9B"/>
    <w:rsid w:val="0049209A"/>
    <w:rsid w:val="00492122"/>
    <w:rsid w:val="004921ED"/>
    <w:rsid w:val="00492219"/>
    <w:rsid w:val="00492339"/>
    <w:rsid w:val="004924E6"/>
    <w:rsid w:val="00492657"/>
    <w:rsid w:val="0049282A"/>
    <w:rsid w:val="004929D2"/>
    <w:rsid w:val="00492A31"/>
    <w:rsid w:val="00492B95"/>
    <w:rsid w:val="00492E36"/>
    <w:rsid w:val="00492FCE"/>
    <w:rsid w:val="004930A3"/>
    <w:rsid w:val="004930B6"/>
    <w:rsid w:val="00493380"/>
    <w:rsid w:val="0049361B"/>
    <w:rsid w:val="004938B7"/>
    <w:rsid w:val="00493B26"/>
    <w:rsid w:val="00493CE4"/>
    <w:rsid w:val="00493D2C"/>
    <w:rsid w:val="00493D73"/>
    <w:rsid w:val="00493DC0"/>
    <w:rsid w:val="00493E65"/>
    <w:rsid w:val="00493F31"/>
    <w:rsid w:val="00494345"/>
    <w:rsid w:val="0049438C"/>
    <w:rsid w:val="004943BB"/>
    <w:rsid w:val="004946D4"/>
    <w:rsid w:val="00494A52"/>
    <w:rsid w:val="00494EAC"/>
    <w:rsid w:val="00495051"/>
    <w:rsid w:val="00495231"/>
    <w:rsid w:val="00495304"/>
    <w:rsid w:val="004954B3"/>
    <w:rsid w:val="0049581F"/>
    <w:rsid w:val="00495CD2"/>
    <w:rsid w:val="00495DB5"/>
    <w:rsid w:val="00496003"/>
    <w:rsid w:val="0049612E"/>
    <w:rsid w:val="00496181"/>
    <w:rsid w:val="0049637E"/>
    <w:rsid w:val="004964C1"/>
    <w:rsid w:val="004965E6"/>
    <w:rsid w:val="004968C3"/>
    <w:rsid w:val="004968FD"/>
    <w:rsid w:val="004969C1"/>
    <w:rsid w:val="00496A45"/>
    <w:rsid w:val="00496ACC"/>
    <w:rsid w:val="00496B3F"/>
    <w:rsid w:val="00496C3C"/>
    <w:rsid w:val="00496EE8"/>
    <w:rsid w:val="00497050"/>
    <w:rsid w:val="00497223"/>
    <w:rsid w:val="0049753C"/>
    <w:rsid w:val="0049770A"/>
    <w:rsid w:val="004977B2"/>
    <w:rsid w:val="00497B69"/>
    <w:rsid w:val="00497CE8"/>
    <w:rsid w:val="00497E9F"/>
    <w:rsid w:val="00497F26"/>
    <w:rsid w:val="00497F73"/>
    <w:rsid w:val="004A0084"/>
    <w:rsid w:val="004A01C9"/>
    <w:rsid w:val="004A03DA"/>
    <w:rsid w:val="004A0586"/>
    <w:rsid w:val="004A0607"/>
    <w:rsid w:val="004A065F"/>
    <w:rsid w:val="004A09A3"/>
    <w:rsid w:val="004A0BBC"/>
    <w:rsid w:val="004A0E47"/>
    <w:rsid w:val="004A0EF1"/>
    <w:rsid w:val="004A1013"/>
    <w:rsid w:val="004A13FF"/>
    <w:rsid w:val="004A1519"/>
    <w:rsid w:val="004A16F7"/>
    <w:rsid w:val="004A18EE"/>
    <w:rsid w:val="004A190E"/>
    <w:rsid w:val="004A1C99"/>
    <w:rsid w:val="004A1F7F"/>
    <w:rsid w:val="004A1FB6"/>
    <w:rsid w:val="004A202F"/>
    <w:rsid w:val="004A2074"/>
    <w:rsid w:val="004A2215"/>
    <w:rsid w:val="004A2389"/>
    <w:rsid w:val="004A2514"/>
    <w:rsid w:val="004A252C"/>
    <w:rsid w:val="004A2695"/>
    <w:rsid w:val="004A26F0"/>
    <w:rsid w:val="004A26F3"/>
    <w:rsid w:val="004A2748"/>
    <w:rsid w:val="004A2835"/>
    <w:rsid w:val="004A2A5B"/>
    <w:rsid w:val="004A2C81"/>
    <w:rsid w:val="004A2D6D"/>
    <w:rsid w:val="004A2E9C"/>
    <w:rsid w:val="004A3013"/>
    <w:rsid w:val="004A3085"/>
    <w:rsid w:val="004A31D1"/>
    <w:rsid w:val="004A358A"/>
    <w:rsid w:val="004A363B"/>
    <w:rsid w:val="004A36AF"/>
    <w:rsid w:val="004A3746"/>
    <w:rsid w:val="004A3B0D"/>
    <w:rsid w:val="004A3CAA"/>
    <w:rsid w:val="004A3E3F"/>
    <w:rsid w:val="004A3EB9"/>
    <w:rsid w:val="004A40B9"/>
    <w:rsid w:val="004A4171"/>
    <w:rsid w:val="004A435D"/>
    <w:rsid w:val="004A437F"/>
    <w:rsid w:val="004A46CC"/>
    <w:rsid w:val="004A48DF"/>
    <w:rsid w:val="004A494A"/>
    <w:rsid w:val="004A4CAE"/>
    <w:rsid w:val="004A5234"/>
    <w:rsid w:val="004A52CC"/>
    <w:rsid w:val="004A531B"/>
    <w:rsid w:val="004A543D"/>
    <w:rsid w:val="004A5592"/>
    <w:rsid w:val="004A55D8"/>
    <w:rsid w:val="004A5637"/>
    <w:rsid w:val="004A564C"/>
    <w:rsid w:val="004A591C"/>
    <w:rsid w:val="004A5B8A"/>
    <w:rsid w:val="004A60C8"/>
    <w:rsid w:val="004A61CB"/>
    <w:rsid w:val="004A62A0"/>
    <w:rsid w:val="004A63A4"/>
    <w:rsid w:val="004A641A"/>
    <w:rsid w:val="004A64B3"/>
    <w:rsid w:val="004A65AC"/>
    <w:rsid w:val="004A6760"/>
    <w:rsid w:val="004A67A2"/>
    <w:rsid w:val="004A68EA"/>
    <w:rsid w:val="004A68F9"/>
    <w:rsid w:val="004A6A01"/>
    <w:rsid w:val="004A6AF3"/>
    <w:rsid w:val="004A6C76"/>
    <w:rsid w:val="004A6D0E"/>
    <w:rsid w:val="004A707C"/>
    <w:rsid w:val="004A71A0"/>
    <w:rsid w:val="004A76D9"/>
    <w:rsid w:val="004A7972"/>
    <w:rsid w:val="004A7A49"/>
    <w:rsid w:val="004A7A58"/>
    <w:rsid w:val="004A7C65"/>
    <w:rsid w:val="004A7D94"/>
    <w:rsid w:val="004A7DD6"/>
    <w:rsid w:val="004A7F12"/>
    <w:rsid w:val="004A7F6B"/>
    <w:rsid w:val="004B0128"/>
    <w:rsid w:val="004B0385"/>
    <w:rsid w:val="004B0428"/>
    <w:rsid w:val="004B04FA"/>
    <w:rsid w:val="004B068F"/>
    <w:rsid w:val="004B06DE"/>
    <w:rsid w:val="004B0AC1"/>
    <w:rsid w:val="004B0BD8"/>
    <w:rsid w:val="004B0FE0"/>
    <w:rsid w:val="004B10BD"/>
    <w:rsid w:val="004B1123"/>
    <w:rsid w:val="004B14D6"/>
    <w:rsid w:val="004B1572"/>
    <w:rsid w:val="004B178C"/>
    <w:rsid w:val="004B18A1"/>
    <w:rsid w:val="004B1BF1"/>
    <w:rsid w:val="004B1C66"/>
    <w:rsid w:val="004B1D9D"/>
    <w:rsid w:val="004B1E2A"/>
    <w:rsid w:val="004B1F44"/>
    <w:rsid w:val="004B1FF1"/>
    <w:rsid w:val="004B21E4"/>
    <w:rsid w:val="004B24FD"/>
    <w:rsid w:val="004B2861"/>
    <w:rsid w:val="004B2C0D"/>
    <w:rsid w:val="004B2DF9"/>
    <w:rsid w:val="004B2EC6"/>
    <w:rsid w:val="004B2FB2"/>
    <w:rsid w:val="004B2FF5"/>
    <w:rsid w:val="004B309C"/>
    <w:rsid w:val="004B30FB"/>
    <w:rsid w:val="004B3148"/>
    <w:rsid w:val="004B31DB"/>
    <w:rsid w:val="004B365D"/>
    <w:rsid w:val="004B3718"/>
    <w:rsid w:val="004B375B"/>
    <w:rsid w:val="004B3790"/>
    <w:rsid w:val="004B3997"/>
    <w:rsid w:val="004B39AD"/>
    <w:rsid w:val="004B39BB"/>
    <w:rsid w:val="004B3A95"/>
    <w:rsid w:val="004B3ADA"/>
    <w:rsid w:val="004B3C74"/>
    <w:rsid w:val="004B3CBC"/>
    <w:rsid w:val="004B3DE1"/>
    <w:rsid w:val="004B3F3B"/>
    <w:rsid w:val="004B3F45"/>
    <w:rsid w:val="004B3F64"/>
    <w:rsid w:val="004B4060"/>
    <w:rsid w:val="004B43CD"/>
    <w:rsid w:val="004B4451"/>
    <w:rsid w:val="004B45BF"/>
    <w:rsid w:val="004B468C"/>
    <w:rsid w:val="004B46DA"/>
    <w:rsid w:val="004B4B46"/>
    <w:rsid w:val="004B4B6D"/>
    <w:rsid w:val="004B4C5E"/>
    <w:rsid w:val="004B50C5"/>
    <w:rsid w:val="004B5104"/>
    <w:rsid w:val="004B565A"/>
    <w:rsid w:val="004B58F1"/>
    <w:rsid w:val="004B5B94"/>
    <w:rsid w:val="004B5DD5"/>
    <w:rsid w:val="004B5E35"/>
    <w:rsid w:val="004B5F01"/>
    <w:rsid w:val="004B5FB2"/>
    <w:rsid w:val="004B6346"/>
    <w:rsid w:val="004B6361"/>
    <w:rsid w:val="004B6827"/>
    <w:rsid w:val="004B6958"/>
    <w:rsid w:val="004B6A45"/>
    <w:rsid w:val="004B6CEB"/>
    <w:rsid w:val="004B6DD7"/>
    <w:rsid w:val="004B6E1B"/>
    <w:rsid w:val="004B707D"/>
    <w:rsid w:val="004B7101"/>
    <w:rsid w:val="004B73C8"/>
    <w:rsid w:val="004B73D7"/>
    <w:rsid w:val="004B73DF"/>
    <w:rsid w:val="004B7A26"/>
    <w:rsid w:val="004B7AE7"/>
    <w:rsid w:val="004C003B"/>
    <w:rsid w:val="004C00C1"/>
    <w:rsid w:val="004C02E5"/>
    <w:rsid w:val="004C03B5"/>
    <w:rsid w:val="004C0753"/>
    <w:rsid w:val="004C0A27"/>
    <w:rsid w:val="004C0B46"/>
    <w:rsid w:val="004C10BF"/>
    <w:rsid w:val="004C19A2"/>
    <w:rsid w:val="004C1A91"/>
    <w:rsid w:val="004C1BD7"/>
    <w:rsid w:val="004C1F25"/>
    <w:rsid w:val="004C20FE"/>
    <w:rsid w:val="004C217F"/>
    <w:rsid w:val="004C23F7"/>
    <w:rsid w:val="004C2435"/>
    <w:rsid w:val="004C24DB"/>
    <w:rsid w:val="004C262F"/>
    <w:rsid w:val="004C2687"/>
    <w:rsid w:val="004C27F5"/>
    <w:rsid w:val="004C2A6A"/>
    <w:rsid w:val="004C2BAB"/>
    <w:rsid w:val="004C2BF7"/>
    <w:rsid w:val="004C325C"/>
    <w:rsid w:val="004C332C"/>
    <w:rsid w:val="004C33A0"/>
    <w:rsid w:val="004C35D6"/>
    <w:rsid w:val="004C37A5"/>
    <w:rsid w:val="004C3914"/>
    <w:rsid w:val="004C3A89"/>
    <w:rsid w:val="004C3C0A"/>
    <w:rsid w:val="004C3C28"/>
    <w:rsid w:val="004C3C94"/>
    <w:rsid w:val="004C42F0"/>
    <w:rsid w:val="004C430B"/>
    <w:rsid w:val="004C43F7"/>
    <w:rsid w:val="004C4477"/>
    <w:rsid w:val="004C45CC"/>
    <w:rsid w:val="004C4608"/>
    <w:rsid w:val="004C4AE7"/>
    <w:rsid w:val="004C4EA6"/>
    <w:rsid w:val="004C4EC5"/>
    <w:rsid w:val="004C5009"/>
    <w:rsid w:val="004C537F"/>
    <w:rsid w:val="004C5595"/>
    <w:rsid w:val="004C5631"/>
    <w:rsid w:val="004C5835"/>
    <w:rsid w:val="004C5920"/>
    <w:rsid w:val="004C5A4D"/>
    <w:rsid w:val="004C5B5A"/>
    <w:rsid w:val="004C5C99"/>
    <w:rsid w:val="004C5D26"/>
    <w:rsid w:val="004C5D83"/>
    <w:rsid w:val="004C5D8E"/>
    <w:rsid w:val="004C5EA4"/>
    <w:rsid w:val="004C5F4A"/>
    <w:rsid w:val="004C6044"/>
    <w:rsid w:val="004C604D"/>
    <w:rsid w:val="004C620C"/>
    <w:rsid w:val="004C62D7"/>
    <w:rsid w:val="004C63C7"/>
    <w:rsid w:val="004C63F0"/>
    <w:rsid w:val="004C655B"/>
    <w:rsid w:val="004C658E"/>
    <w:rsid w:val="004C68D4"/>
    <w:rsid w:val="004C69C6"/>
    <w:rsid w:val="004C6A5D"/>
    <w:rsid w:val="004C6A6B"/>
    <w:rsid w:val="004C703C"/>
    <w:rsid w:val="004C706B"/>
    <w:rsid w:val="004C710B"/>
    <w:rsid w:val="004C7111"/>
    <w:rsid w:val="004C71CE"/>
    <w:rsid w:val="004C727F"/>
    <w:rsid w:val="004C72B3"/>
    <w:rsid w:val="004C739C"/>
    <w:rsid w:val="004C74D0"/>
    <w:rsid w:val="004C74D5"/>
    <w:rsid w:val="004C7563"/>
    <w:rsid w:val="004C775B"/>
    <w:rsid w:val="004C78BF"/>
    <w:rsid w:val="004D0150"/>
    <w:rsid w:val="004D02F7"/>
    <w:rsid w:val="004D05A6"/>
    <w:rsid w:val="004D08D1"/>
    <w:rsid w:val="004D090F"/>
    <w:rsid w:val="004D0A8C"/>
    <w:rsid w:val="004D0BDD"/>
    <w:rsid w:val="004D0D05"/>
    <w:rsid w:val="004D0D9D"/>
    <w:rsid w:val="004D1149"/>
    <w:rsid w:val="004D1215"/>
    <w:rsid w:val="004D12D1"/>
    <w:rsid w:val="004D13A8"/>
    <w:rsid w:val="004D1412"/>
    <w:rsid w:val="004D1555"/>
    <w:rsid w:val="004D1587"/>
    <w:rsid w:val="004D15CB"/>
    <w:rsid w:val="004D16B4"/>
    <w:rsid w:val="004D18F7"/>
    <w:rsid w:val="004D1EBE"/>
    <w:rsid w:val="004D1F43"/>
    <w:rsid w:val="004D212D"/>
    <w:rsid w:val="004D21A0"/>
    <w:rsid w:val="004D21BD"/>
    <w:rsid w:val="004D226D"/>
    <w:rsid w:val="004D258C"/>
    <w:rsid w:val="004D289F"/>
    <w:rsid w:val="004D2963"/>
    <w:rsid w:val="004D2BB5"/>
    <w:rsid w:val="004D2C3B"/>
    <w:rsid w:val="004D2D12"/>
    <w:rsid w:val="004D2DE1"/>
    <w:rsid w:val="004D2E78"/>
    <w:rsid w:val="004D2EF9"/>
    <w:rsid w:val="004D2F9B"/>
    <w:rsid w:val="004D3333"/>
    <w:rsid w:val="004D34E7"/>
    <w:rsid w:val="004D37D2"/>
    <w:rsid w:val="004D38B4"/>
    <w:rsid w:val="004D3A12"/>
    <w:rsid w:val="004D3AEB"/>
    <w:rsid w:val="004D3BD5"/>
    <w:rsid w:val="004D3E57"/>
    <w:rsid w:val="004D3F18"/>
    <w:rsid w:val="004D4004"/>
    <w:rsid w:val="004D4160"/>
    <w:rsid w:val="004D41A4"/>
    <w:rsid w:val="004D4223"/>
    <w:rsid w:val="004D4651"/>
    <w:rsid w:val="004D478D"/>
    <w:rsid w:val="004D4B81"/>
    <w:rsid w:val="004D4BEE"/>
    <w:rsid w:val="004D4D87"/>
    <w:rsid w:val="004D4DFF"/>
    <w:rsid w:val="004D4F71"/>
    <w:rsid w:val="004D548D"/>
    <w:rsid w:val="004D568D"/>
    <w:rsid w:val="004D576C"/>
    <w:rsid w:val="004D5AA8"/>
    <w:rsid w:val="004D5C0B"/>
    <w:rsid w:val="004D6049"/>
    <w:rsid w:val="004D621A"/>
    <w:rsid w:val="004D62AA"/>
    <w:rsid w:val="004D6679"/>
    <w:rsid w:val="004D6921"/>
    <w:rsid w:val="004D693F"/>
    <w:rsid w:val="004D694A"/>
    <w:rsid w:val="004D6AE4"/>
    <w:rsid w:val="004D6D8A"/>
    <w:rsid w:val="004D6FC5"/>
    <w:rsid w:val="004D7333"/>
    <w:rsid w:val="004D7391"/>
    <w:rsid w:val="004D749F"/>
    <w:rsid w:val="004D7515"/>
    <w:rsid w:val="004D76EA"/>
    <w:rsid w:val="004D76EB"/>
    <w:rsid w:val="004D7787"/>
    <w:rsid w:val="004D79F0"/>
    <w:rsid w:val="004D7A14"/>
    <w:rsid w:val="004D7ABC"/>
    <w:rsid w:val="004D7B9B"/>
    <w:rsid w:val="004D7BFC"/>
    <w:rsid w:val="004D7C98"/>
    <w:rsid w:val="004D7DAD"/>
    <w:rsid w:val="004D7E8E"/>
    <w:rsid w:val="004E01D0"/>
    <w:rsid w:val="004E0315"/>
    <w:rsid w:val="004E038B"/>
    <w:rsid w:val="004E041D"/>
    <w:rsid w:val="004E0481"/>
    <w:rsid w:val="004E05B6"/>
    <w:rsid w:val="004E0779"/>
    <w:rsid w:val="004E094C"/>
    <w:rsid w:val="004E0B7B"/>
    <w:rsid w:val="004E0C12"/>
    <w:rsid w:val="004E0C4E"/>
    <w:rsid w:val="004E0D30"/>
    <w:rsid w:val="004E0D67"/>
    <w:rsid w:val="004E0DA2"/>
    <w:rsid w:val="004E0DB8"/>
    <w:rsid w:val="004E0EE9"/>
    <w:rsid w:val="004E0FBB"/>
    <w:rsid w:val="004E0FBE"/>
    <w:rsid w:val="004E11C4"/>
    <w:rsid w:val="004E1372"/>
    <w:rsid w:val="004E14CB"/>
    <w:rsid w:val="004E1657"/>
    <w:rsid w:val="004E167D"/>
    <w:rsid w:val="004E16BD"/>
    <w:rsid w:val="004E17F0"/>
    <w:rsid w:val="004E1876"/>
    <w:rsid w:val="004E18D2"/>
    <w:rsid w:val="004E195D"/>
    <w:rsid w:val="004E1995"/>
    <w:rsid w:val="004E1C3C"/>
    <w:rsid w:val="004E1D1B"/>
    <w:rsid w:val="004E1F2E"/>
    <w:rsid w:val="004E2378"/>
    <w:rsid w:val="004E23A1"/>
    <w:rsid w:val="004E25DB"/>
    <w:rsid w:val="004E2793"/>
    <w:rsid w:val="004E28A1"/>
    <w:rsid w:val="004E28E4"/>
    <w:rsid w:val="004E2ADB"/>
    <w:rsid w:val="004E2CBF"/>
    <w:rsid w:val="004E32F4"/>
    <w:rsid w:val="004E3380"/>
    <w:rsid w:val="004E37C7"/>
    <w:rsid w:val="004E3C8F"/>
    <w:rsid w:val="004E3F79"/>
    <w:rsid w:val="004E3FC4"/>
    <w:rsid w:val="004E4043"/>
    <w:rsid w:val="004E4170"/>
    <w:rsid w:val="004E4381"/>
    <w:rsid w:val="004E43C2"/>
    <w:rsid w:val="004E4434"/>
    <w:rsid w:val="004E493E"/>
    <w:rsid w:val="004E4A36"/>
    <w:rsid w:val="004E4B39"/>
    <w:rsid w:val="004E4E74"/>
    <w:rsid w:val="004E4EEC"/>
    <w:rsid w:val="004E515F"/>
    <w:rsid w:val="004E5303"/>
    <w:rsid w:val="004E5398"/>
    <w:rsid w:val="004E5537"/>
    <w:rsid w:val="004E55D5"/>
    <w:rsid w:val="004E5811"/>
    <w:rsid w:val="004E59CC"/>
    <w:rsid w:val="004E5A0A"/>
    <w:rsid w:val="004E5AF4"/>
    <w:rsid w:val="004E5BA6"/>
    <w:rsid w:val="004E5D8F"/>
    <w:rsid w:val="004E5FA4"/>
    <w:rsid w:val="004E60D5"/>
    <w:rsid w:val="004E6114"/>
    <w:rsid w:val="004E6392"/>
    <w:rsid w:val="004E646E"/>
    <w:rsid w:val="004E647B"/>
    <w:rsid w:val="004E65DC"/>
    <w:rsid w:val="004E672A"/>
    <w:rsid w:val="004E68C6"/>
    <w:rsid w:val="004E6A92"/>
    <w:rsid w:val="004E6B21"/>
    <w:rsid w:val="004E6C45"/>
    <w:rsid w:val="004E6D9C"/>
    <w:rsid w:val="004E6F6E"/>
    <w:rsid w:val="004E70A9"/>
    <w:rsid w:val="004E753A"/>
    <w:rsid w:val="004E7824"/>
    <w:rsid w:val="004E7B09"/>
    <w:rsid w:val="004F0077"/>
    <w:rsid w:val="004F07E6"/>
    <w:rsid w:val="004F0856"/>
    <w:rsid w:val="004F0988"/>
    <w:rsid w:val="004F0AF2"/>
    <w:rsid w:val="004F0D71"/>
    <w:rsid w:val="004F0D7A"/>
    <w:rsid w:val="004F0FD4"/>
    <w:rsid w:val="004F130B"/>
    <w:rsid w:val="004F14B0"/>
    <w:rsid w:val="004F153F"/>
    <w:rsid w:val="004F16C1"/>
    <w:rsid w:val="004F17D3"/>
    <w:rsid w:val="004F1888"/>
    <w:rsid w:val="004F18AC"/>
    <w:rsid w:val="004F1940"/>
    <w:rsid w:val="004F1EFD"/>
    <w:rsid w:val="004F2101"/>
    <w:rsid w:val="004F211F"/>
    <w:rsid w:val="004F23AD"/>
    <w:rsid w:val="004F24C1"/>
    <w:rsid w:val="004F2620"/>
    <w:rsid w:val="004F2902"/>
    <w:rsid w:val="004F29D5"/>
    <w:rsid w:val="004F2ADA"/>
    <w:rsid w:val="004F2CE3"/>
    <w:rsid w:val="004F2F0A"/>
    <w:rsid w:val="004F3089"/>
    <w:rsid w:val="004F322B"/>
    <w:rsid w:val="004F3343"/>
    <w:rsid w:val="004F35A3"/>
    <w:rsid w:val="004F3708"/>
    <w:rsid w:val="004F3B05"/>
    <w:rsid w:val="004F3D2C"/>
    <w:rsid w:val="004F43FC"/>
    <w:rsid w:val="004F4426"/>
    <w:rsid w:val="004F454B"/>
    <w:rsid w:val="004F45AE"/>
    <w:rsid w:val="004F4604"/>
    <w:rsid w:val="004F465D"/>
    <w:rsid w:val="004F46FC"/>
    <w:rsid w:val="004F488B"/>
    <w:rsid w:val="004F4B5A"/>
    <w:rsid w:val="004F4C78"/>
    <w:rsid w:val="004F4D52"/>
    <w:rsid w:val="004F4E39"/>
    <w:rsid w:val="004F4E4B"/>
    <w:rsid w:val="004F4E5F"/>
    <w:rsid w:val="004F4FEA"/>
    <w:rsid w:val="004F5024"/>
    <w:rsid w:val="004F5222"/>
    <w:rsid w:val="004F5388"/>
    <w:rsid w:val="004F556E"/>
    <w:rsid w:val="004F5853"/>
    <w:rsid w:val="004F593E"/>
    <w:rsid w:val="004F5BE6"/>
    <w:rsid w:val="004F5D30"/>
    <w:rsid w:val="004F5D66"/>
    <w:rsid w:val="004F5EB9"/>
    <w:rsid w:val="004F6080"/>
    <w:rsid w:val="004F6299"/>
    <w:rsid w:val="004F63F5"/>
    <w:rsid w:val="004F65BA"/>
    <w:rsid w:val="004F6796"/>
    <w:rsid w:val="004F68DC"/>
    <w:rsid w:val="004F6B7C"/>
    <w:rsid w:val="004F6BF8"/>
    <w:rsid w:val="004F6E95"/>
    <w:rsid w:val="004F6F80"/>
    <w:rsid w:val="004F6FFC"/>
    <w:rsid w:val="004F7154"/>
    <w:rsid w:val="004F74FD"/>
    <w:rsid w:val="004F75B1"/>
    <w:rsid w:val="004F76E9"/>
    <w:rsid w:val="004F7885"/>
    <w:rsid w:val="004F79A6"/>
    <w:rsid w:val="004F79F0"/>
    <w:rsid w:val="004F7A53"/>
    <w:rsid w:val="004F7B1E"/>
    <w:rsid w:val="004F7C8A"/>
    <w:rsid w:val="004F7C93"/>
    <w:rsid w:val="004F7C9D"/>
    <w:rsid w:val="0050023E"/>
    <w:rsid w:val="0050041C"/>
    <w:rsid w:val="005006A1"/>
    <w:rsid w:val="00500767"/>
    <w:rsid w:val="005007AA"/>
    <w:rsid w:val="00500810"/>
    <w:rsid w:val="00500A24"/>
    <w:rsid w:val="00500CA9"/>
    <w:rsid w:val="00500EB0"/>
    <w:rsid w:val="00500F52"/>
    <w:rsid w:val="00501066"/>
    <w:rsid w:val="005012E3"/>
    <w:rsid w:val="005012FB"/>
    <w:rsid w:val="0050139C"/>
    <w:rsid w:val="005013FF"/>
    <w:rsid w:val="00501406"/>
    <w:rsid w:val="00501435"/>
    <w:rsid w:val="0050154B"/>
    <w:rsid w:val="005016AC"/>
    <w:rsid w:val="005019F7"/>
    <w:rsid w:val="00501C5A"/>
    <w:rsid w:val="00501D64"/>
    <w:rsid w:val="00501FCA"/>
    <w:rsid w:val="0050235A"/>
    <w:rsid w:val="005023F2"/>
    <w:rsid w:val="00502B88"/>
    <w:rsid w:val="00502C28"/>
    <w:rsid w:val="00502CEF"/>
    <w:rsid w:val="00502D21"/>
    <w:rsid w:val="00502D32"/>
    <w:rsid w:val="0050300E"/>
    <w:rsid w:val="0050330B"/>
    <w:rsid w:val="00503603"/>
    <w:rsid w:val="00503653"/>
    <w:rsid w:val="0050380A"/>
    <w:rsid w:val="00503895"/>
    <w:rsid w:val="005038AF"/>
    <w:rsid w:val="00503AC2"/>
    <w:rsid w:val="00503B5C"/>
    <w:rsid w:val="00503D57"/>
    <w:rsid w:val="00503F27"/>
    <w:rsid w:val="00504103"/>
    <w:rsid w:val="00504389"/>
    <w:rsid w:val="00504494"/>
    <w:rsid w:val="00504515"/>
    <w:rsid w:val="00504674"/>
    <w:rsid w:val="00504854"/>
    <w:rsid w:val="00504F86"/>
    <w:rsid w:val="00505131"/>
    <w:rsid w:val="00505266"/>
    <w:rsid w:val="00505335"/>
    <w:rsid w:val="0050560F"/>
    <w:rsid w:val="00505627"/>
    <w:rsid w:val="005057B5"/>
    <w:rsid w:val="00505A76"/>
    <w:rsid w:val="00505BCD"/>
    <w:rsid w:val="00505D65"/>
    <w:rsid w:val="00505FEC"/>
    <w:rsid w:val="005061C3"/>
    <w:rsid w:val="0050621B"/>
    <w:rsid w:val="005063E1"/>
    <w:rsid w:val="0050643C"/>
    <w:rsid w:val="00506497"/>
    <w:rsid w:val="0050671E"/>
    <w:rsid w:val="0050674E"/>
    <w:rsid w:val="005069C7"/>
    <w:rsid w:val="00506C05"/>
    <w:rsid w:val="00506E22"/>
    <w:rsid w:val="00506EE6"/>
    <w:rsid w:val="00506FAF"/>
    <w:rsid w:val="00507009"/>
    <w:rsid w:val="00507027"/>
    <w:rsid w:val="00507927"/>
    <w:rsid w:val="00507B73"/>
    <w:rsid w:val="00507D12"/>
    <w:rsid w:val="00507E1A"/>
    <w:rsid w:val="00507EFC"/>
    <w:rsid w:val="00507F7C"/>
    <w:rsid w:val="00507F82"/>
    <w:rsid w:val="00507FD6"/>
    <w:rsid w:val="00510175"/>
    <w:rsid w:val="00510201"/>
    <w:rsid w:val="00510260"/>
    <w:rsid w:val="0051067B"/>
    <w:rsid w:val="00510C78"/>
    <w:rsid w:val="005110EB"/>
    <w:rsid w:val="005111AC"/>
    <w:rsid w:val="005112C3"/>
    <w:rsid w:val="005112F1"/>
    <w:rsid w:val="00511356"/>
    <w:rsid w:val="005114A6"/>
    <w:rsid w:val="00511691"/>
    <w:rsid w:val="00511695"/>
    <w:rsid w:val="005116D9"/>
    <w:rsid w:val="005117E4"/>
    <w:rsid w:val="00511BC1"/>
    <w:rsid w:val="00511F36"/>
    <w:rsid w:val="005120D3"/>
    <w:rsid w:val="005120FA"/>
    <w:rsid w:val="00512255"/>
    <w:rsid w:val="00512720"/>
    <w:rsid w:val="00512749"/>
    <w:rsid w:val="005127BC"/>
    <w:rsid w:val="00512825"/>
    <w:rsid w:val="00512875"/>
    <w:rsid w:val="0051287A"/>
    <w:rsid w:val="005129B9"/>
    <w:rsid w:val="00512AA2"/>
    <w:rsid w:val="00512C3F"/>
    <w:rsid w:val="00512CA7"/>
    <w:rsid w:val="00512F7C"/>
    <w:rsid w:val="00513648"/>
    <w:rsid w:val="0051376F"/>
    <w:rsid w:val="00513806"/>
    <w:rsid w:val="00513959"/>
    <w:rsid w:val="00514223"/>
    <w:rsid w:val="005144FF"/>
    <w:rsid w:val="00514524"/>
    <w:rsid w:val="005147B0"/>
    <w:rsid w:val="00514890"/>
    <w:rsid w:val="005149CF"/>
    <w:rsid w:val="00514CB5"/>
    <w:rsid w:val="00514D3A"/>
    <w:rsid w:val="005151E0"/>
    <w:rsid w:val="00515334"/>
    <w:rsid w:val="0051533B"/>
    <w:rsid w:val="0051533E"/>
    <w:rsid w:val="00515347"/>
    <w:rsid w:val="00515727"/>
    <w:rsid w:val="00515864"/>
    <w:rsid w:val="0051594F"/>
    <w:rsid w:val="00515A7D"/>
    <w:rsid w:val="00515E7B"/>
    <w:rsid w:val="00515EB6"/>
    <w:rsid w:val="00515F68"/>
    <w:rsid w:val="0051626A"/>
    <w:rsid w:val="005162D6"/>
    <w:rsid w:val="00516600"/>
    <w:rsid w:val="00516691"/>
    <w:rsid w:val="00516710"/>
    <w:rsid w:val="005169CC"/>
    <w:rsid w:val="00516A09"/>
    <w:rsid w:val="00516BC4"/>
    <w:rsid w:val="00516EB5"/>
    <w:rsid w:val="00517185"/>
    <w:rsid w:val="005171EE"/>
    <w:rsid w:val="0051747A"/>
    <w:rsid w:val="0051750E"/>
    <w:rsid w:val="0051784A"/>
    <w:rsid w:val="00517862"/>
    <w:rsid w:val="005179B1"/>
    <w:rsid w:val="00517A3C"/>
    <w:rsid w:val="00517D3B"/>
    <w:rsid w:val="00517D7E"/>
    <w:rsid w:val="00517F08"/>
    <w:rsid w:val="0052002F"/>
    <w:rsid w:val="00520175"/>
    <w:rsid w:val="00520235"/>
    <w:rsid w:val="00520243"/>
    <w:rsid w:val="005203B6"/>
    <w:rsid w:val="00520407"/>
    <w:rsid w:val="00520610"/>
    <w:rsid w:val="00520757"/>
    <w:rsid w:val="00520B31"/>
    <w:rsid w:val="00520C18"/>
    <w:rsid w:val="00520D09"/>
    <w:rsid w:val="00520D28"/>
    <w:rsid w:val="00520D3A"/>
    <w:rsid w:val="00520D55"/>
    <w:rsid w:val="00520FE4"/>
    <w:rsid w:val="0052116C"/>
    <w:rsid w:val="005211A1"/>
    <w:rsid w:val="00521274"/>
    <w:rsid w:val="0052138C"/>
    <w:rsid w:val="00521646"/>
    <w:rsid w:val="00521757"/>
    <w:rsid w:val="005217B8"/>
    <w:rsid w:val="005217EF"/>
    <w:rsid w:val="005218F3"/>
    <w:rsid w:val="00521A08"/>
    <w:rsid w:val="00521A1F"/>
    <w:rsid w:val="00521A48"/>
    <w:rsid w:val="00521DB2"/>
    <w:rsid w:val="00521E7E"/>
    <w:rsid w:val="005220BF"/>
    <w:rsid w:val="005220E3"/>
    <w:rsid w:val="00522536"/>
    <w:rsid w:val="00522546"/>
    <w:rsid w:val="0052254E"/>
    <w:rsid w:val="005228E8"/>
    <w:rsid w:val="00522AE8"/>
    <w:rsid w:val="00522C64"/>
    <w:rsid w:val="00522CE9"/>
    <w:rsid w:val="0052336B"/>
    <w:rsid w:val="005233CC"/>
    <w:rsid w:val="005234C7"/>
    <w:rsid w:val="005235F2"/>
    <w:rsid w:val="005236A1"/>
    <w:rsid w:val="00523912"/>
    <w:rsid w:val="00524136"/>
    <w:rsid w:val="005244A1"/>
    <w:rsid w:val="005248D2"/>
    <w:rsid w:val="00524996"/>
    <w:rsid w:val="00524BB4"/>
    <w:rsid w:val="00524C27"/>
    <w:rsid w:val="00524DD0"/>
    <w:rsid w:val="00524E7D"/>
    <w:rsid w:val="00524EBE"/>
    <w:rsid w:val="00524EC5"/>
    <w:rsid w:val="005251FE"/>
    <w:rsid w:val="00525314"/>
    <w:rsid w:val="005253AC"/>
    <w:rsid w:val="005256DF"/>
    <w:rsid w:val="005256FD"/>
    <w:rsid w:val="00525709"/>
    <w:rsid w:val="00525913"/>
    <w:rsid w:val="005259B4"/>
    <w:rsid w:val="00525BAC"/>
    <w:rsid w:val="00525BDD"/>
    <w:rsid w:val="00525E71"/>
    <w:rsid w:val="00526054"/>
    <w:rsid w:val="00526066"/>
    <w:rsid w:val="005261F5"/>
    <w:rsid w:val="0052626C"/>
    <w:rsid w:val="00526785"/>
    <w:rsid w:val="00526793"/>
    <w:rsid w:val="00526824"/>
    <w:rsid w:val="00526A99"/>
    <w:rsid w:val="00526B55"/>
    <w:rsid w:val="00526BDA"/>
    <w:rsid w:val="00526C8C"/>
    <w:rsid w:val="00526D30"/>
    <w:rsid w:val="0052707E"/>
    <w:rsid w:val="005270F6"/>
    <w:rsid w:val="005271BA"/>
    <w:rsid w:val="00527372"/>
    <w:rsid w:val="00527874"/>
    <w:rsid w:val="0052793C"/>
    <w:rsid w:val="00527B5D"/>
    <w:rsid w:val="00527CF0"/>
    <w:rsid w:val="00530373"/>
    <w:rsid w:val="0053060B"/>
    <w:rsid w:val="0053075B"/>
    <w:rsid w:val="005307B6"/>
    <w:rsid w:val="0053097C"/>
    <w:rsid w:val="005309F4"/>
    <w:rsid w:val="00530D21"/>
    <w:rsid w:val="00530EBE"/>
    <w:rsid w:val="00530F65"/>
    <w:rsid w:val="00531179"/>
    <w:rsid w:val="005311B0"/>
    <w:rsid w:val="0053150E"/>
    <w:rsid w:val="00531D7A"/>
    <w:rsid w:val="00531F55"/>
    <w:rsid w:val="00532179"/>
    <w:rsid w:val="005325EE"/>
    <w:rsid w:val="00532855"/>
    <w:rsid w:val="0053285B"/>
    <w:rsid w:val="00532AE7"/>
    <w:rsid w:val="00532D25"/>
    <w:rsid w:val="00532D72"/>
    <w:rsid w:val="00532DB2"/>
    <w:rsid w:val="00532E38"/>
    <w:rsid w:val="00532E72"/>
    <w:rsid w:val="00532EBA"/>
    <w:rsid w:val="00532F98"/>
    <w:rsid w:val="0053314A"/>
    <w:rsid w:val="00533527"/>
    <w:rsid w:val="0053358F"/>
    <w:rsid w:val="005335A6"/>
    <w:rsid w:val="0053374F"/>
    <w:rsid w:val="0053384C"/>
    <w:rsid w:val="0053389F"/>
    <w:rsid w:val="00533A3F"/>
    <w:rsid w:val="00533B8E"/>
    <w:rsid w:val="00533DCD"/>
    <w:rsid w:val="00533E5F"/>
    <w:rsid w:val="00533FC7"/>
    <w:rsid w:val="005342D3"/>
    <w:rsid w:val="005346C7"/>
    <w:rsid w:val="0053478C"/>
    <w:rsid w:val="00534987"/>
    <w:rsid w:val="005349E8"/>
    <w:rsid w:val="00534B87"/>
    <w:rsid w:val="00534CED"/>
    <w:rsid w:val="00534D10"/>
    <w:rsid w:val="00534F3F"/>
    <w:rsid w:val="00535078"/>
    <w:rsid w:val="005350D9"/>
    <w:rsid w:val="00535128"/>
    <w:rsid w:val="0053526A"/>
    <w:rsid w:val="005352A8"/>
    <w:rsid w:val="005355CC"/>
    <w:rsid w:val="00535680"/>
    <w:rsid w:val="00535E3F"/>
    <w:rsid w:val="00536233"/>
    <w:rsid w:val="005362B5"/>
    <w:rsid w:val="005363D9"/>
    <w:rsid w:val="0053650D"/>
    <w:rsid w:val="00536568"/>
    <w:rsid w:val="0053659B"/>
    <w:rsid w:val="00536609"/>
    <w:rsid w:val="005366A0"/>
    <w:rsid w:val="0053683D"/>
    <w:rsid w:val="00536D7B"/>
    <w:rsid w:val="00536F30"/>
    <w:rsid w:val="00537367"/>
    <w:rsid w:val="005373DB"/>
    <w:rsid w:val="005374E6"/>
    <w:rsid w:val="005374F0"/>
    <w:rsid w:val="00537510"/>
    <w:rsid w:val="005376D6"/>
    <w:rsid w:val="00537DC6"/>
    <w:rsid w:val="00537E4B"/>
    <w:rsid w:val="005401D9"/>
    <w:rsid w:val="0054020C"/>
    <w:rsid w:val="0054035D"/>
    <w:rsid w:val="005403BD"/>
    <w:rsid w:val="00540422"/>
    <w:rsid w:val="00540553"/>
    <w:rsid w:val="00540600"/>
    <w:rsid w:val="005407AA"/>
    <w:rsid w:val="005407D8"/>
    <w:rsid w:val="0054082C"/>
    <w:rsid w:val="005408B6"/>
    <w:rsid w:val="0054093A"/>
    <w:rsid w:val="00540A18"/>
    <w:rsid w:val="00540AB5"/>
    <w:rsid w:val="00540D85"/>
    <w:rsid w:val="00541122"/>
    <w:rsid w:val="005411AA"/>
    <w:rsid w:val="00541771"/>
    <w:rsid w:val="00541909"/>
    <w:rsid w:val="00541AA6"/>
    <w:rsid w:val="00541C00"/>
    <w:rsid w:val="00541FC9"/>
    <w:rsid w:val="00542250"/>
    <w:rsid w:val="005422CE"/>
    <w:rsid w:val="00542335"/>
    <w:rsid w:val="00542337"/>
    <w:rsid w:val="00542463"/>
    <w:rsid w:val="005424DD"/>
    <w:rsid w:val="00542561"/>
    <w:rsid w:val="005425B5"/>
    <w:rsid w:val="00542653"/>
    <w:rsid w:val="005427F3"/>
    <w:rsid w:val="00542800"/>
    <w:rsid w:val="0054286B"/>
    <w:rsid w:val="0054287B"/>
    <w:rsid w:val="0054296C"/>
    <w:rsid w:val="005429FE"/>
    <w:rsid w:val="00542A04"/>
    <w:rsid w:val="00542A98"/>
    <w:rsid w:val="00542AA0"/>
    <w:rsid w:val="00542C63"/>
    <w:rsid w:val="00542CEE"/>
    <w:rsid w:val="00542DC6"/>
    <w:rsid w:val="00542F8F"/>
    <w:rsid w:val="0054307D"/>
    <w:rsid w:val="005433CE"/>
    <w:rsid w:val="005433ED"/>
    <w:rsid w:val="00543430"/>
    <w:rsid w:val="005434C6"/>
    <w:rsid w:val="00543E7F"/>
    <w:rsid w:val="00543EC8"/>
    <w:rsid w:val="00544211"/>
    <w:rsid w:val="0054478B"/>
    <w:rsid w:val="0054491C"/>
    <w:rsid w:val="00544ACB"/>
    <w:rsid w:val="00544BD4"/>
    <w:rsid w:val="00544FA6"/>
    <w:rsid w:val="00545038"/>
    <w:rsid w:val="005450DE"/>
    <w:rsid w:val="00545219"/>
    <w:rsid w:val="00545223"/>
    <w:rsid w:val="005452D9"/>
    <w:rsid w:val="005453F9"/>
    <w:rsid w:val="0054599E"/>
    <w:rsid w:val="005459B8"/>
    <w:rsid w:val="00545C57"/>
    <w:rsid w:val="00545D4C"/>
    <w:rsid w:val="00545E45"/>
    <w:rsid w:val="00545E49"/>
    <w:rsid w:val="00545FAF"/>
    <w:rsid w:val="00545FF1"/>
    <w:rsid w:val="00546036"/>
    <w:rsid w:val="005460E6"/>
    <w:rsid w:val="005467D9"/>
    <w:rsid w:val="005468CF"/>
    <w:rsid w:val="00546ABE"/>
    <w:rsid w:val="00546DD3"/>
    <w:rsid w:val="00546E9C"/>
    <w:rsid w:val="00546F0A"/>
    <w:rsid w:val="00547087"/>
    <w:rsid w:val="00547159"/>
    <w:rsid w:val="005471EE"/>
    <w:rsid w:val="00547352"/>
    <w:rsid w:val="0054768C"/>
    <w:rsid w:val="00547BA8"/>
    <w:rsid w:val="00547BEE"/>
    <w:rsid w:val="00547D07"/>
    <w:rsid w:val="00547D5C"/>
    <w:rsid w:val="00547DA5"/>
    <w:rsid w:val="00550016"/>
    <w:rsid w:val="00550263"/>
    <w:rsid w:val="005504D2"/>
    <w:rsid w:val="005504DA"/>
    <w:rsid w:val="005508E7"/>
    <w:rsid w:val="00550A24"/>
    <w:rsid w:val="00550C5C"/>
    <w:rsid w:val="00550DE1"/>
    <w:rsid w:val="00551022"/>
    <w:rsid w:val="00551139"/>
    <w:rsid w:val="005512FF"/>
    <w:rsid w:val="00551397"/>
    <w:rsid w:val="00551451"/>
    <w:rsid w:val="00551824"/>
    <w:rsid w:val="00551946"/>
    <w:rsid w:val="00551947"/>
    <w:rsid w:val="00551B30"/>
    <w:rsid w:val="00551BD1"/>
    <w:rsid w:val="00551D87"/>
    <w:rsid w:val="00551E17"/>
    <w:rsid w:val="00551E33"/>
    <w:rsid w:val="00551FDF"/>
    <w:rsid w:val="0055251A"/>
    <w:rsid w:val="005525AD"/>
    <w:rsid w:val="005525D2"/>
    <w:rsid w:val="00552860"/>
    <w:rsid w:val="005528C5"/>
    <w:rsid w:val="005528DE"/>
    <w:rsid w:val="005528E5"/>
    <w:rsid w:val="00552935"/>
    <w:rsid w:val="00552A2F"/>
    <w:rsid w:val="00552A7A"/>
    <w:rsid w:val="00552BED"/>
    <w:rsid w:val="00552C16"/>
    <w:rsid w:val="00552C5E"/>
    <w:rsid w:val="00552D31"/>
    <w:rsid w:val="00552D69"/>
    <w:rsid w:val="00553044"/>
    <w:rsid w:val="005530CD"/>
    <w:rsid w:val="00553113"/>
    <w:rsid w:val="0055326E"/>
    <w:rsid w:val="00553399"/>
    <w:rsid w:val="005533CD"/>
    <w:rsid w:val="0055353E"/>
    <w:rsid w:val="0055372A"/>
    <w:rsid w:val="0055393A"/>
    <w:rsid w:val="00553ADA"/>
    <w:rsid w:val="00553DFB"/>
    <w:rsid w:val="00553FC0"/>
    <w:rsid w:val="00554040"/>
    <w:rsid w:val="005546E0"/>
    <w:rsid w:val="00554711"/>
    <w:rsid w:val="00554939"/>
    <w:rsid w:val="00554969"/>
    <w:rsid w:val="00554C2D"/>
    <w:rsid w:val="00554E32"/>
    <w:rsid w:val="00554F8F"/>
    <w:rsid w:val="00555145"/>
    <w:rsid w:val="005552DC"/>
    <w:rsid w:val="005553C4"/>
    <w:rsid w:val="00555515"/>
    <w:rsid w:val="005559B4"/>
    <w:rsid w:val="005559E1"/>
    <w:rsid w:val="00555ABD"/>
    <w:rsid w:val="00555E22"/>
    <w:rsid w:val="00556152"/>
    <w:rsid w:val="00556295"/>
    <w:rsid w:val="005566C7"/>
    <w:rsid w:val="00556889"/>
    <w:rsid w:val="00556970"/>
    <w:rsid w:val="00556A17"/>
    <w:rsid w:val="00556A51"/>
    <w:rsid w:val="00556CBC"/>
    <w:rsid w:val="0055755D"/>
    <w:rsid w:val="00557663"/>
    <w:rsid w:val="005576C3"/>
    <w:rsid w:val="005576F8"/>
    <w:rsid w:val="00557727"/>
    <w:rsid w:val="005579FC"/>
    <w:rsid w:val="00557B03"/>
    <w:rsid w:val="00557C2E"/>
    <w:rsid w:val="00557CAE"/>
    <w:rsid w:val="00557DDF"/>
    <w:rsid w:val="00557E4D"/>
    <w:rsid w:val="00557FDE"/>
    <w:rsid w:val="005600B4"/>
    <w:rsid w:val="00560141"/>
    <w:rsid w:val="005608BF"/>
    <w:rsid w:val="00560969"/>
    <w:rsid w:val="00560B93"/>
    <w:rsid w:val="00560CAB"/>
    <w:rsid w:val="00560D6C"/>
    <w:rsid w:val="00560DA5"/>
    <w:rsid w:val="0056101A"/>
    <w:rsid w:val="00561132"/>
    <w:rsid w:val="005611E6"/>
    <w:rsid w:val="00561371"/>
    <w:rsid w:val="005616AF"/>
    <w:rsid w:val="00561798"/>
    <w:rsid w:val="00561824"/>
    <w:rsid w:val="0056188E"/>
    <w:rsid w:val="00561982"/>
    <w:rsid w:val="00561B54"/>
    <w:rsid w:val="00561E9B"/>
    <w:rsid w:val="005621A4"/>
    <w:rsid w:val="00562772"/>
    <w:rsid w:val="00562AE6"/>
    <w:rsid w:val="00562D95"/>
    <w:rsid w:val="00562E31"/>
    <w:rsid w:val="00562FB2"/>
    <w:rsid w:val="005633C0"/>
    <w:rsid w:val="005636B0"/>
    <w:rsid w:val="005637BC"/>
    <w:rsid w:val="00563865"/>
    <w:rsid w:val="00563894"/>
    <w:rsid w:val="0056394B"/>
    <w:rsid w:val="0056398F"/>
    <w:rsid w:val="00563C85"/>
    <w:rsid w:val="00563EE4"/>
    <w:rsid w:val="00563FA8"/>
    <w:rsid w:val="005640CD"/>
    <w:rsid w:val="00564153"/>
    <w:rsid w:val="00564169"/>
    <w:rsid w:val="00564A37"/>
    <w:rsid w:val="00564AA5"/>
    <w:rsid w:val="00565056"/>
    <w:rsid w:val="00565136"/>
    <w:rsid w:val="005653CC"/>
    <w:rsid w:val="005655F8"/>
    <w:rsid w:val="00565982"/>
    <w:rsid w:val="00565A7E"/>
    <w:rsid w:val="00565B3B"/>
    <w:rsid w:val="00565CBC"/>
    <w:rsid w:val="00565DF1"/>
    <w:rsid w:val="0056605A"/>
    <w:rsid w:val="005661D3"/>
    <w:rsid w:val="00566369"/>
    <w:rsid w:val="00566688"/>
    <w:rsid w:val="005667BC"/>
    <w:rsid w:val="00566823"/>
    <w:rsid w:val="0056684D"/>
    <w:rsid w:val="005668FE"/>
    <w:rsid w:val="00566BC0"/>
    <w:rsid w:val="00566BEB"/>
    <w:rsid w:val="00566C51"/>
    <w:rsid w:val="00566DC0"/>
    <w:rsid w:val="00566E74"/>
    <w:rsid w:val="0056712B"/>
    <w:rsid w:val="00567155"/>
    <w:rsid w:val="005671C3"/>
    <w:rsid w:val="0056725F"/>
    <w:rsid w:val="00567478"/>
    <w:rsid w:val="0056758B"/>
    <w:rsid w:val="005677AA"/>
    <w:rsid w:val="0056785C"/>
    <w:rsid w:val="00567B12"/>
    <w:rsid w:val="00567BC5"/>
    <w:rsid w:val="00567CC4"/>
    <w:rsid w:val="00567FD7"/>
    <w:rsid w:val="00570389"/>
    <w:rsid w:val="005705A1"/>
    <w:rsid w:val="00570C53"/>
    <w:rsid w:val="00570C55"/>
    <w:rsid w:val="00570C6C"/>
    <w:rsid w:val="00570D27"/>
    <w:rsid w:val="00570D8E"/>
    <w:rsid w:val="00570DBE"/>
    <w:rsid w:val="00570E1A"/>
    <w:rsid w:val="00570F10"/>
    <w:rsid w:val="00570F6A"/>
    <w:rsid w:val="00571121"/>
    <w:rsid w:val="005712FD"/>
    <w:rsid w:val="00571350"/>
    <w:rsid w:val="005713A4"/>
    <w:rsid w:val="005713C0"/>
    <w:rsid w:val="00571454"/>
    <w:rsid w:val="005714B4"/>
    <w:rsid w:val="00571865"/>
    <w:rsid w:val="00571AEF"/>
    <w:rsid w:val="00571C20"/>
    <w:rsid w:val="00571C60"/>
    <w:rsid w:val="00571CAD"/>
    <w:rsid w:val="00571D29"/>
    <w:rsid w:val="00571EC0"/>
    <w:rsid w:val="005723B6"/>
    <w:rsid w:val="005725C5"/>
    <w:rsid w:val="00572A6C"/>
    <w:rsid w:val="00572A90"/>
    <w:rsid w:val="00572B4E"/>
    <w:rsid w:val="00572B5D"/>
    <w:rsid w:val="00572D33"/>
    <w:rsid w:val="00572F0B"/>
    <w:rsid w:val="00572F52"/>
    <w:rsid w:val="00573092"/>
    <w:rsid w:val="005734BE"/>
    <w:rsid w:val="005734C3"/>
    <w:rsid w:val="00573500"/>
    <w:rsid w:val="0057361F"/>
    <w:rsid w:val="00573821"/>
    <w:rsid w:val="005738EF"/>
    <w:rsid w:val="00573E03"/>
    <w:rsid w:val="00573E7D"/>
    <w:rsid w:val="00573FED"/>
    <w:rsid w:val="005743E9"/>
    <w:rsid w:val="005745A8"/>
    <w:rsid w:val="0057466E"/>
    <w:rsid w:val="00574697"/>
    <w:rsid w:val="0057486F"/>
    <w:rsid w:val="005752AD"/>
    <w:rsid w:val="005752E5"/>
    <w:rsid w:val="0057536C"/>
    <w:rsid w:val="005753E8"/>
    <w:rsid w:val="0057561F"/>
    <w:rsid w:val="00575687"/>
    <w:rsid w:val="0057571C"/>
    <w:rsid w:val="00575801"/>
    <w:rsid w:val="005759A9"/>
    <w:rsid w:val="00575C9C"/>
    <w:rsid w:val="00575DA4"/>
    <w:rsid w:val="00576473"/>
    <w:rsid w:val="00576692"/>
    <w:rsid w:val="00576953"/>
    <w:rsid w:val="00576973"/>
    <w:rsid w:val="00576A3D"/>
    <w:rsid w:val="00576A8C"/>
    <w:rsid w:val="00576AB2"/>
    <w:rsid w:val="00576CBD"/>
    <w:rsid w:val="00576DBD"/>
    <w:rsid w:val="00576E03"/>
    <w:rsid w:val="00576E77"/>
    <w:rsid w:val="00577102"/>
    <w:rsid w:val="00577215"/>
    <w:rsid w:val="0057722F"/>
    <w:rsid w:val="0057748A"/>
    <w:rsid w:val="00577530"/>
    <w:rsid w:val="00577552"/>
    <w:rsid w:val="005776AC"/>
    <w:rsid w:val="005776BF"/>
    <w:rsid w:val="00577916"/>
    <w:rsid w:val="0057791A"/>
    <w:rsid w:val="00577934"/>
    <w:rsid w:val="0057797A"/>
    <w:rsid w:val="00577996"/>
    <w:rsid w:val="00577A35"/>
    <w:rsid w:val="00577ACB"/>
    <w:rsid w:val="00577C25"/>
    <w:rsid w:val="00577FCB"/>
    <w:rsid w:val="0058011C"/>
    <w:rsid w:val="005801F0"/>
    <w:rsid w:val="00580493"/>
    <w:rsid w:val="0058052F"/>
    <w:rsid w:val="00580643"/>
    <w:rsid w:val="00580AB5"/>
    <w:rsid w:val="00580C54"/>
    <w:rsid w:val="00580FC2"/>
    <w:rsid w:val="00581099"/>
    <w:rsid w:val="0058120F"/>
    <w:rsid w:val="005812B9"/>
    <w:rsid w:val="005812FC"/>
    <w:rsid w:val="00581392"/>
    <w:rsid w:val="0058144A"/>
    <w:rsid w:val="005814AC"/>
    <w:rsid w:val="0058167D"/>
    <w:rsid w:val="00581910"/>
    <w:rsid w:val="00581960"/>
    <w:rsid w:val="00581C86"/>
    <w:rsid w:val="00581ED9"/>
    <w:rsid w:val="005820FB"/>
    <w:rsid w:val="005820FF"/>
    <w:rsid w:val="00582114"/>
    <w:rsid w:val="00582583"/>
    <w:rsid w:val="0058269F"/>
    <w:rsid w:val="00582964"/>
    <w:rsid w:val="00582E28"/>
    <w:rsid w:val="00582E4C"/>
    <w:rsid w:val="00583817"/>
    <w:rsid w:val="00583853"/>
    <w:rsid w:val="005839A1"/>
    <w:rsid w:val="00583A14"/>
    <w:rsid w:val="00583B1E"/>
    <w:rsid w:val="00583B38"/>
    <w:rsid w:val="00583D08"/>
    <w:rsid w:val="00583E1C"/>
    <w:rsid w:val="00583E88"/>
    <w:rsid w:val="005840CF"/>
    <w:rsid w:val="00584455"/>
    <w:rsid w:val="005844EE"/>
    <w:rsid w:val="005845EF"/>
    <w:rsid w:val="00584880"/>
    <w:rsid w:val="005848F9"/>
    <w:rsid w:val="00584903"/>
    <w:rsid w:val="00584ACE"/>
    <w:rsid w:val="00584AF1"/>
    <w:rsid w:val="005850AF"/>
    <w:rsid w:val="00585301"/>
    <w:rsid w:val="0058555A"/>
    <w:rsid w:val="0058572B"/>
    <w:rsid w:val="00585794"/>
    <w:rsid w:val="00585A25"/>
    <w:rsid w:val="00585AA7"/>
    <w:rsid w:val="00585B76"/>
    <w:rsid w:val="00585D2F"/>
    <w:rsid w:val="00585E13"/>
    <w:rsid w:val="005860D5"/>
    <w:rsid w:val="005860DC"/>
    <w:rsid w:val="005861A4"/>
    <w:rsid w:val="00586298"/>
    <w:rsid w:val="0058651C"/>
    <w:rsid w:val="00586609"/>
    <w:rsid w:val="00586738"/>
    <w:rsid w:val="005867C4"/>
    <w:rsid w:val="005869CC"/>
    <w:rsid w:val="00586BDE"/>
    <w:rsid w:val="00586D14"/>
    <w:rsid w:val="00586E46"/>
    <w:rsid w:val="00586F22"/>
    <w:rsid w:val="0058716D"/>
    <w:rsid w:val="0058718E"/>
    <w:rsid w:val="00587256"/>
    <w:rsid w:val="005875EC"/>
    <w:rsid w:val="00587711"/>
    <w:rsid w:val="005877A9"/>
    <w:rsid w:val="00587933"/>
    <w:rsid w:val="00587C9F"/>
    <w:rsid w:val="00590090"/>
    <w:rsid w:val="005900A0"/>
    <w:rsid w:val="005905EA"/>
    <w:rsid w:val="00590773"/>
    <w:rsid w:val="005907C8"/>
    <w:rsid w:val="0059085A"/>
    <w:rsid w:val="005908F9"/>
    <w:rsid w:val="00590AA9"/>
    <w:rsid w:val="00590D07"/>
    <w:rsid w:val="00590E59"/>
    <w:rsid w:val="005910F8"/>
    <w:rsid w:val="005911AA"/>
    <w:rsid w:val="005911F5"/>
    <w:rsid w:val="005912E8"/>
    <w:rsid w:val="00591300"/>
    <w:rsid w:val="005913C5"/>
    <w:rsid w:val="0059141A"/>
    <w:rsid w:val="005914CE"/>
    <w:rsid w:val="0059191D"/>
    <w:rsid w:val="00591AC0"/>
    <w:rsid w:val="00591B03"/>
    <w:rsid w:val="00591B61"/>
    <w:rsid w:val="00591BCD"/>
    <w:rsid w:val="0059236A"/>
    <w:rsid w:val="0059251C"/>
    <w:rsid w:val="00592777"/>
    <w:rsid w:val="00592972"/>
    <w:rsid w:val="00592B12"/>
    <w:rsid w:val="00592F29"/>
    <w:rsid w:val="0059302F"/>
    <w:rsid w:val="005930C6"/>
    <w:rsid w:val="00593363"/>
    <w:rsid w:val="00593585"/>
    <w:rsid w:val="005935F3"/>
    <w:rsid w:val="00593B18"/>
    <w:rsid w:val="00593DC8"/>
    <w:rsid w:val="00593F95"/>
    <w:rsid w:val="00593FD2"/>
    <w:rsid w:val="005940B6"/>
    <w:rsid w:val="005940FB"/>
    <w:rsid w:val="0059410E"/>
    <w:rsid w:val="0059418E"/>
    <w:rsid w:val="005942B1"/>
    <w:rsid w:val="005942D3"/>
    <w:rsid w:val="005942D7"/>
    <w:rsid w:val="005943C4"/>
    <w:rsid w:val="0059466E"/>
    <w:rsid w:val="00594836"/>
    <w:rsid w:val="00594859"/>
    <w:rsid w:val="005948F7"/>
    <w:rsid w:val="00594FDC"/>
    <w:rsid w:val="0059500D"/>
    <w:rsid w:val="00595169"/>
    <w:rsid w:val="005951BB"/>
    <w:rsid w:val="005954F3"/>
    <w:rsid w:val="00595849"/>
    <w:rsid w:val="00595B4C"/>
    <w:rsid w:val="00595B6C"/>
    <w:rsid w:val="00595BD2"/>
    <w:rsid w:val="00595E00"/>
    <w:rsid w:val="00595E88"/>
    <w:rsid w:val="00596235"/>
    <w:rsid w:val="005963D1"/>
    <w:rsid w:val="0059641D"/>
    <w:rsid w:val="0059646B"/>
    <w:rsid w:val="00596907"/>
    <w:rsid w:val="00596B2C"/>
    <w:rsid w:val="00596B3C"/>
    <w:rsid w:val="00596F0C"/>
    <w:rsid w:val="00597009"/>
    <w:rsid w:val="00597133"/>
    <w:rsid w:val="00597412"/>
    <w:rsid w:val="00597499"/>
    <w:rsid w:val="0059756B"/>
    <w:rsid w:val="005975AC"/>
    <w:rsid w:val="0059779A"/>
    <w:rsid w:val="00597C1F"/>
    <w:rsid w:val="00597D7E"/>
    <w:rsid w:val="00597E08"/>
    <w:rsid w:val="00597EEF"/>
    <w:rsid w:val="00597F7A"/>
    <w:rsid w:val="00597FCD"/>
    <w:rsid w:val="005A030F"/>
    <w:rsid w:val="005A0572"/>
    <w:rsid w:val="005A058F"/>
    <w:rsid w:val="005A05AF"/>
    <w:rsid w:val="005A07CB"/>
    <w:rsid w:val="005A082D"/>
    <w:rsid w:val="005A0831"/>
    <w:rsid w:val="005A08FD"/>
    <w:rsid w:val="005A0925"/>
    <w:rsid w:val="005A0941"/>
    <w:rsid w:val="005A0A43"/>
    <w:rsid w:val="005A0AC8"/>
    <w:rsid w:val="005A0ADA"/>
    <w:rsid w:val="005A0F7D"/>
    <w:rsid w:val="005A121D"/>
    <w:rsid w:val="005A1328"/>
    <w:rsid w:val="005A13F2"/>
    <w:rsid w:val="005A169E"/>
    <w:rsid w:val="005A1797"/>
    <w:rsid w:val="005A1899"/>
    <w:rsid w:val="005A1AA4"/>
    <w:rsid w:val="005A1B82"/>
    <w:rsid w:val="005A1E26"/>
    <w:rsid w:val="005A1E7F"/>
    <w:rsid w:val="005A2097"/>
    <w:rsid w:val="005A221A"/>
    <w:rsid w:val="005A2225"/>
    <w:rsid w:val="005A26F9"/>
    <w:rsid w:val="005A270B"/>
    <w:rsid w:val="005A2D05"/>
    <w:rsid w:val="005A2D28"/>
    <w:rsid w:val="005A2E66"/>
    <w:rsid w:val="005A312E"/>
    <w:rsid w:val="005A3140"/>
    <w:rsid w:val="005A31B9"/>
    <w:rsid w:val="005A32D6"/>
    <w:rsid w:val="005A331E"/>
    <w:rsid w:val="005A33D3"/>
    <w:rsid w:val="005A37B9"/>
    <w:rsid w:val="005A383A"/>
    <w:rsid w:val="005A3D1C"/>
    <w:rsid w:val="005A426F"/>
    <w:rsid w:val="005A42FA"/>
    <w:rsid w:val="005A43E6"/>
    <w:rsid w:val="005A4A36"/>
    <w:rsid w:val="005A4AFA"/>
    <w:rsid w:val="005A4B11"/>
    <w:rsid w:val="005A4C65"/>
    <w:rsid w:val="005A4CAA"/>
    <w:rsid w:val="005A4D70"/>
    <w:rsid w:val="005A4DC8"/>
    <w:rsid w:val="005A4DF2"/>
    <w:rsid w:val="005A4EFB"/>
    <w:rsid w:val="005A4F57"/>
    <w:rsid w:val="005A5445"/>
    <w:rsid w:val="005A55A6"/>
    <w:rsid w:val="005A5618"/>
    <w:rsid w:val="005A570C"/>
    <w:rsid w:val="005A5723"/>
    <w:rsid w:val="005A5836"/>
    <w:rsid w:val="005A5B07"/>
    <w:rsid w:val="005A5BD0"/>
    <w:rsid w:val="005A5D69"/>
    <w:rsid w:val="005A5D97"/>
    <w:rsid w:val="005A5DED"/>
    <w:rsid w:val="005A5E51"/>
    <w:rsid w:val="005A5E90"/>
    <w:rsid w:val="005A5EED"/>
    <w:rsid w:val="005A5FB6"/>
    <w:rsid w:val="005A61C4"/>
    <w:rsid w:val="005A6594"/>
    <w:rsid w:val="005A6AA1"/>
    <w:rsid w:val="005A6E71"/>
    <w:rsid w:val="005A70B6"/>
    <w:rsid w:val="005A70BF"/>
    <w:rsid w:val="005A71AA"/>
    <w:rsid w:val="005A7269"/>
    <w:rsid w:val="005A72BF"/>
    <w:rsid w:val="005A7672"/>
    <w:rsid w:val="005A7A30"/>
    <w:rsid w:val="005A7B26"/>
    <w:rsid w:val="005A7B8D"/>
    <w:rsid w:val="005A7B92"/>
    <w:rsid w:val="005A7CF6"/>
    <w:rsid w:val="005A7D59"/>
    <w:rsid w:val="005B00FA"/>
    <w:rsid w:val="005B04B9"/>
    <w:rsid w:val="005B0B82"/>
    <w:rsid w:val="005B0BDB"/>
    <w:rsid w:val="005B0DC8"/>
    <w:rsid w:val="005B109F"/>
    <w:rsid w:val="005B10D9"/>
    <w:rsid w:val="005B1259"/>
    <w:rsid w:val="005B14D2"/>
    <w:rsid w:val="005B15E2"/>
    <w:rsid w:val="005B1A92"/>
    <w:rsid w:val="005B1B74"/>
    <w:rsid w:val="005B1B76"/>
    <w:rsid w:val="005B1BB0"/>
    <w:rsid w:val="005B1DE8"/>
    <w:rsid w:val="005B1F80"/>
    <w:rsid w:val="005B20DD"/>
    <w:rsid w:val="005B234F"/>
    <w:rsid w:val="005B2465"/>
    <w:rsid w:val="005B28AB"/>
    <w:rsid w:val="005B29D9"/>
    <w:rsid w:val="005B2AB8"/>
    <w:rsid w:val="005B2C85"/>
    <w:rsid w:val="005B2C8A"/>
    <w:rsid w:val="005B2D71"/>
    <w:rsid w:val="005B3017"/>
    <w:rsid w:val="005B30EA"/>
    <w:rsid w:val="005B311B"/>
    <w:rsid w:val="005B31E7"/>
    <w:rsid w:val="005B3239"/>
    <w:rsid w:val="005B36F2"/>
    <w:rsid w:val="005B3DC0"/>
    <w:rsid w:val="005B3EB4"/>
    <w:rsid w:val="005B3F8E"/>
    <w:rsid w:val="005B41AB"/>
    <w:rsid w:val="005B423A"/>
    <w:rsid w:val="005B4CB5"/>
    <w:rsid w:val="005B51E0"/>
    <w:rsid w:val="005B52CF"/>
    <w:rsid w:val="005B544F"/>
    <w:rsid w:val="005B5A89"/>
    <w:rsid w:val="005B5AB9"/>
    <w:rsid w:val="005B5DBC"/>
    <w:rsid w:val="005B5ED5"/>
    <w:rsid w:val="005B614D"/>
    <w:rsid w:val="005B6202"/>
    <w:rsid w:val="005B625E"/>
    <w:rsid w:val="005B6370"/>
    <w:rsid w:val="005B657C"/>
    <w:rsid w:val="005B6887"/>
    <w:rsid w:val="005B691C"/>
    <w:rsid w:val="005B6D47"/>
    <w:rsid w:val="005B6D9E"/>
    <w:rsid w:val="005B6E9A"/>
    <w:rsid w:val="005B72B3"/>
    <w:rsid w:val="005B72E6"/>
    <w:rsid w:val="005B7301"/>
    <w:rsid w:val="005B738E"/>
    <w:rsid w:val="005B7481"/>
    <w:rsid w:val="005B78BE"/>
    <w:rsid w:val="005B7960"/>
    <w:rsid w:val="005B7ABD"/>
    <w:rsid w:val="005B7ADE"/>
    <w:rsid w:val="005B7DD6"/>
    <w:rsid w:val="005B7F80"/>
    <w:rsid w:val="005C0341"/>
    <w:rsid w:val="005C0426"/>
    <w:rsid w:val="005C072F"/>
    <w:rsid w:val="005C0737"/>
    <w:rsid w:val="005C08EE"/>
    <w:rsid w:val="005C0AA6"/>
    <w:rsid w:val="005C0AA9"/>
    <w:rsid w:val="005C0AC1"/>
    <w:rsid w:val="005C0BDF"/>
    <w:rsid w:val="005C0E78"/>
    <w:rsid w:val="005C0F3D"/>
    <w:rsid w:val="005C10A5"/>
    <w:rsid w:val="005C124C"/>
    <w:rsid w:val="005C139F"/>
    <w:rsid w:val="005C1546"/>
    <w:rsid w:val="005C1B96"/>
    <w:rsid w:val="005C1BAD"/>
    <w:rsid w:val="005C1C36"/>
    <w:rsid w:val="005C21C4"/>
    <w:rsid w:val="005C22B4"/>
    <w:rsid w:val="005C24F2"/>
    <w:rsid w:val="005C2564"/>
    <w:rsid w:val="005C25F5"/>
    <w:rsid w:val="005C2621"/>
    <w:rsid w:val="005C26FC"/>
    <w:rsid w:val="005C27CC"/>
    <w:rsid w:val="005C2A12"/>
    <w:rsid w:val="005C2A57"/>
    <w:rsid w:val="005C2DAC"/>
    <w:rsid w:val="005C2DC0"/>
    <w:rsid w:val="005C2DEF"/>
    <w:rsid w:val="005C2F84"/>
    <w:rsid w:val="005C3557"/>
    <w:rsid w:val="005C3768"/>
    <w:rsid w:val="005C382A"/>
    <w:rsid w:val="005C3A44"/>
    <w:rsid w:val="005C3B99"/>
    <w:rsid w:val="005C3C51"/>
    <w:rsid w:val="005C40AC"/>
    <w:rsid w:val="005C41A7"/>
    <w:rsid w:val="005C4493"/>
    <w:rsid w:val="005C4554"/>
    <w:rsid w:val="005C4655"/>
    <w:rsid w:val="005C4B17"/>
    <w:rsid w:val="005C4D48"/>
    <w:rsid w:val="005C4DB6"/>
    <w:rsid w:val="005C55A3"/>
    <w:rsid w:val="005C57C6"/>
    <w:rsid w:val="005C58BE"/>
    <w:rsid w:val="005C5C2E"/>
    <w:rsid w:val="005C5EDC"/>
    <w:rsid w:val="005C602F"/>
    <w:rsid w:val="005C68AB"/>
    <w:rsid w:val="005C6A0B"/>
    <w:rsid w:val="005C6A2C"/>
    <w:rsid w:val="005C6CB3"/>
    <w:rsid w:val="005C6D63"/>
    <w:rsid w:val="005C70D0"/>
    <w:rsid w:val="005C7205"/>
    <w:rsid w:val="005C7463"/>
    <w:rsid w:val="005C7516"/>
    <w:rsid w:val="005C76C9"/>
    <w:rsid w:val="005C7AC0"/>
    <w:rsid w:val="005C7C2A"/>
    <w:rsid w:val="005C7D5E"/>
    <w:rsid w:val="005D0060"/>
    <w:rsid w:val="005D018B"/>
    <w:rsid w:val="005D0736"/>
    <w:rsid w:val="005D07E1"/>
    <w:rsid w:val="005D0928"/>
    <w:rsid w:val="005D0C28"/>
    <w:rsid w:val="005D0FDC"/>
    <w:rsid w:val="005D105D"/>
    <w:rsid w:val="005D110F"/>
    <w:rsid w:val="005D119A"/>
    <w:rsid w:val="005D1217"/>
    <w:rsid w:val="005D122F"/>
    <w:rsid w:val="005D130F"/>
    <w:rsid w:val="005D1487"/>
    <w:rsid w:val="005D1755"/>
    <w:rsid w:val="005D1978"/>
    <w:rsid w:val="005D1B0D"/>
    <w:rsid w:val="005D1BD2"/>
    <w:rsid w:val="005D1C82"/>
    <w:rsid w:val="005D1F18"/>
    <w:rsid w:val="005D1F77"/>
    <w:rsid w:val="005D218C"/>
    <w:rsid w:val="005D2205"/>
    <w:rsid w:val="005D25DA"/>
    <w:rsid w:val="005D265F"/>
    <w:rsid w:val="005D31B2"/>
    <w:rsid w:val="005D32DE"/>
    <w:rsid w:val="005D354D"/>
    <w:rsid w:val="005D366E"/>
    <w:rsid w:val="005D36C3"/>
    <w:rsid w:val="005D371C"/>
    <w:rsid w:val="005D37DA"/>
    <w:rsid w:val="005D3839"/>
    <w:rsid w:val="005D3A0A"/>
    <w:rsid w:val="005D3A8D"/>
    <w:rsid w:val="005D3CCA"/>
    <w:rsid w:val="005D3CD3"/>
    <w:rsid w:val="005D3CE1"/>
    <w:rsid w:val="005D3CED"/>
    <w:rsid w:val="005D3DA6"/>
    <w:rsid w:val="005D3E0E"/>
    <w:rsid w:val="005D41D6"/>
    <w:rsid w:val="005D4326"/>
    <w:rsid w:val="005D435A"/>
    <w:rsid w:val="005D44CA"/>
    <w:rsid w:val="005D4773"/>
    <w:rsid w:val="005D4783"/>
    <w:rsid w:val="005D489A"/>
    <w:rsid w:val="005D4B9D"/>
    <w:rsid w:val="005D4BA2"/>
    <w:rsid w:val="005D4C0A"/>
    <w:rsid w:val="005D4E62"/>
    <w:rsid w:val="005D5115"/>
    <w:rsid w:val="005D5140"/>
    <w:rsid w:val="005D515D"/>
    <w:rsid w:val="005D55B7"/>
    <w:rsid w:val="005D56F0"/>
    <w:rsid w:val="005D58D7"/>
    <w:rsid w:val="005D59A1"/>
    <w:rsid w:val="005D5A78"/>
    <w:rsid w:val="005D5ACE"/>
    <w:rsid w:val="005D5BA6"/>
    <w:rsid w:val="005D5D8D"/>
    <w:rsid w:val="005D611A"/>
    <w:rsid w:val="005D61C0"/>
    <w:rsid w:val="005D61D6"/>
    <w:rsid w:val="005D638E"/>
    <w:rsid w:val="005D66B1"/>
    <w:rsid w:val="005D6797"/>
    <w:rsid w:val="005D6A10"/>
    <w:rsid w:val="005D6A1A"/>
    <w:rsid w:val="005D6ADB"/>
    <w:rsid w:val="005D6BCD"/>
    <w:rsid w:val="005D6C29"/>
    <w:rsid w:val="005D6D85"/>
    <w:rsid w:val="005D6FEB"/>
    <w:rsid w:val="005D7089"/>
    <w:rsid w:val="005D71C4"/>
    <w:rsid w:val="005D74B2"/>
    <w:rsid w:val="005D77E9"/>
    <w:rsid w:val="005D7927"/>
    <w:rsid w:val="005D7A73"/>
    <w:rsid w:val="005D7B7F"/>
    <w:rsid w:val="005D7C40"/>
    <w:rsid w:val="005D7CB7"/>
    <w:rsid w:val="005D7CCD"/>
    <w:rsid w:val="005D7DFA"/>
    <w:rsid w:val="005E00EA"/>
    <w:rsid w:val="005E04E5"/>
    <w:rsid w:val="005E0BA7"/>
    <w:rsid w:val="005E12BA"/>
    <w:rsid w:val="005E15AA"/>
    <w:rsid w:val="005E15C0"/>
    <w:rsid w:val="005E15F7"/>
    <w:rsid w:val="005E1765"/>
    <w:rsid w:val="005E1AB2"/>
    <w:rsid w:val="005E1C8A"/>
    <w:rsid w:val="005E1DFC"/>
    <w:rsid w:val="005E202D"/>
    <w:rsid w:val="005E21A6"/>
    <w:rsid w:val="005E222C"/>
    <w:rsid w:val="005E2394"/>
    <w:rsid w:val="005E2545"/>
    <w:rsid w:val="005E25B1"/>
    <w:rsid w:val="005E28F9"/>
    <w:rsid w:val="005E2AF3"/>
    <w:rsid w:val="005E2B96"/>
    <w:rsid w:val="005E2F30"/>
    <w:rsid w:val="005E309A"/>
    <w:rsid w:val="005E321E"/>
    <w:rsid w:val="005E3251"/>
    <w:rsid w:val="005E3620"/>
    <w:rsid w:val="005E37E4"/>
    <w:rsid w:val="005E3B9A"/>
    <w:rsid w:val="005E3E65"/>
    <w:rsid w:val="005E406A"/>
    <w:rsid w:val="005E408D"/>
    <w:rsid w:val="005E4169"/>
    <w:rsid w:val="005E41C5"/>
    <w:rsid w:val="005E420C"/>
    <w:rsid w:val="005E435D"/>
    <w:rsid w:val="005E4516"/>
    <w:rsid w:val="005E45BF"/>
    <w:rsid w:val="005E4991"/>
    <w:rsid w:val="005E49B4"/>
    <w:rsid w:val="005E4ADB"/>
    <w:rsid w:val="005E4E97"/>
    <w:rsid w:val="005E523C"/>
    <w:rsid w:val="005E52C2"/>
    <w:rsid w:val="005E5378"/>
    <w:rsid w:val="005E543D"/>
    <w:rsid w:val="005E5BB3"/>
    <w:rsid w:val="005E5C8F"/>
    <w:rsid w:val="005E607A"/>
    <w:rsid w:val="005E6473"/>
    <w:rsid w:val="005E6A66"/>
    <w:rsid w:val="005E6B71"/>
    <w:rsid w:val="005E6B7B"/>
    <w:rsid w:val="005E6CE8"/>
    <w:rsid w:val="005E6DFA"/>
    <w:rsid w:val="005E6E78"/>
    <w:rsid w:val="005E6EB7"/>
    <w:rsid w:val="005E70F8"/>
    <w:rsid w:val="005E72E0"/>
    <w:rsid w:val="005E737A"/>
    <w:rsid w:val="005E75FC"/>
    <w:rsid w:val="005E760A"/>
    <w:rsid w:val="005E77D7"/>
    <w:rsid w:val="005E7AA1"/>
    <w:rsid w:val="005E7B64"/>
    <w:rsid w:val="005E7CFB"/>
    <w:rsid w:val="005E7D7B"/>
    <w:rsid w:val="005E7EE5"/>
    <w:rsid w:val="005E7F5E"/>
    <w:rsid w:val="005F0040"/>
    <w:rsid w:val="005F040C"/>
    <w:rsid w:val="005F04DD"/>
    <w:rsid w:val="005F0A2B"/>
    <w:rsid w:val="005F0AD5"/>
    <w:rsid w:val="005F0D8B"/>
    <w:rsid w:val="005F0DB8"/>
    <w:rsid w:val="005F121C"/>
    <w:rsid w:val="005F1260"/>
    <w:rsid w:val="005F12B7"/>
    <w:rsid w:val="005F13C7"/>
    <w:rsid w:val="005F1672"/>
    <w:rsid w:val="005F187D"/>
    <w:rsid w:val="005F1917"/>
    <w:rsid w:val="005F1D5D"/>
    <w:rsid w:val="005F1E6A"/>
    <w:rsid w:val="005F1EAF"/>
    <w:rsid w:val="005F21DC"/>
    <w:rsid w:val="005F2338"/>
    <w:rsid w:val="005F236A"/>
    <w:rsid w:val="005F29F8"/>
    <w:rsid w:val="005F2AB7"/>
    <w:rsid w:val="005F2BDF"/>
    <w:rsid w:val="005F321D"/>
    <w:rsid w:val="005F3243"/>
    <w:rsid w:val="005F360F"/>
    <w:rsid w:val="005F37BF"/>
    <w:rsid w:val="005F381D"/>
    <w:rsid w:val="005F38BD"/>
    <w:rsid w:val="005F3953"/>
    <w:rsid w:val="005F3975"/>
    <w:rsid w:val="005F3C1D"/>
    <w:rsid w:val="005F434F"/>
    <w:rsid w:val="005F4574"/>
    <w:rsid w:val="005F459F"/>
    <w:rsid w:val="005F462F"/>
    <w:rsid w:val="005F4645"/>
    <w:rsid w:val="005F4B82"/>
    <w:rsid w:val="005F4C5D"/>
    <w:rsid w:val="005F4D53"/>
    <w:rsid w:val="005F4E77"/>
    <w:rsid w:val="005F51B8"/>
    <w:rsid w:val="005F5225"/>
    <w:rsid w:val="005F52B1"/>
    <w:rsid w:val="005F52E4"/>
    <w:rsid w:val="005F54BE"/>
    <w:rsid w:val="005F5584"/>
    <w:rsid w:val="005F569C"/>
    <w:rsid w:val="005F5765"/>
    <w:rsid w:val="005F57AA"/>
    <w:rsid w:val="005F58B5"/>
    <w:rsid w:val="005F58D0"/>
    <w:rsid w:val="005F5AAE"/>
    <w:rsid w:val="005F5C54"/>
    <w:rsid w:val="005F5C93"/>
    <w:rsid w:val="005F5E16"/>
    <w:rsid w:val="005F60FF"/>
    <w:rsid w:val="005F645F"/>
    <w:rsid w:val="005F65BA"/>
    <w:rsid w:val="005F67F6"/>
    <w:rsid w:val="005F6923"/>
    <w:rsid w:val="005F6C77"/>
    <w:rsid w:val="005F6CE6"/>
    <w:rsid w:val="005F6D59"/>
    <w:rsid w:val="005F6EAE"/>
    <w:rsid w:val="005F7352"/>
    <w:rsid w:val="005F73CB"/>
    <w:rsid w:val="005F742D"/>
    <w:rsid w:val="005F7681"/>
    <w:rsid w:val="005F7886"/>
    <w:rsid w:val="005F7AC3"/>
    <w:rsid w:val="005F7C7B"/>
    <w:rsid w:val="005F7CE4"/>
    <w:rsid w:val="005F7E7D"/>
    <w:rsid w:val="005F7F54"/>
    <w:rsid w:val="00600079"/>
    <w:rsid w:val="006000DC"/>
    <w:rsid w:val="00600402"/>
    <w:rsid w:val="006004E6"/>
    <w:rsid w:val="00600597"/>
    <w:rsid w:val="00600703"/>
    <w:rsid w:val="00600718"/>
    <w:rsid w:val="0060081D"/>
    <w:rsid w:val="0060082B"/>
    <w:rsid w:val="006008D4"/>
    <w:rsid w:val="00600A75"/>
    <w:rsid w:val="00600AD1"/>
    <w:rsid w:val="0060120F"/>
    <w:rsid w:val="0060137B"/>
    <w:rsid w:val="00601636"/>
    <w:rsid w:val="006018ED"/>
    <w:rsid w:val="00601933"/>
    <w:rsid w:val="00601ABF"/>
    <w:rsid w:val="00601B16"/>
    <w:rsid w:val="00601BFC"/>
    <w:rsid w:val="00601CA0"/>
    <w:rsid w:val="00601D9C"/>
    <w:rsid w:val="00601E70"/>
    <w:rsid w:val="00601FC9"/>
    <w:rsid w:val="00602245"/>
    <w:rsid w:val="0060242F"/>
    <w:rsid w:val="006024EA"/>
    <w:rsid w:val="00602A03"/>
    <w:rsid w:val="00602C72"/>
    <w:rsid w:val="00602E6F"/>
    <w:rsid w:val="00602FFD"/>
    <w:rsid w:val="0060302A"/>
    <w:rsid w:val="006034EA"/>
    <w:rsid w:val="006036A2"/>
    <w:rsid w:val="006037B8"/>
    <w:rsid w:val="006037BE"/>
    <w:rsid w:val="006037C5"/>
    <w:rsid w:val="00603986"/>
    <w:rsid w:val="00603C3A"/>
    <w:rsid w:val="00603DCF"/>
    <w:rsid w:val="00603E8E"/>
    <w:rsid w:val="006044B7"/>
    <w:rsid w:val="0060485D"/>
    <w:rsid w:val="00604914"/>
    <w:rsid w:val="00604A09"/>
    <w:rsid w:val="00604AF5"/>
    <w:rsid w:val="00604C88"/>
    <w:rsid w:val="00604D6B"/>
    <w:rsid w:val="0060505A"/>
    <w:rsid w:val="0060516E"/>
    <w:rsid w:val="00605379"/>
    <w:rsid w:val="00605380"/>
    <w:rsid w:val="00605546"/>
    <w:rsid w:val="00605586"/>
    <w:rsid w:val="00605DD2"/>
    <w:rsid w:val="00605E0D"/>
    <w:rsid w:val="00605EA0"/>
    <w:rsid w:val="0060625C"/>
    <w:rsid w:val="006062D6"/>
    <w:rsid w:val="00606305"/>
    <w:rsid w:val="00606569"/>
    <w:rsid w:val="006069F6"/>
    <w:rsid w:val="006069FE"/>
    <w:rsid w:val="00606B64"/>
    <w:rsid w:val="00606BEA"/>
    <w:rsid w:val="00606D54"/>
    <w:rsid w:val="00606D66"/>
    <w:rsid w:val="00606D70"/>
    <w:rsid w:val="00606E5B"/>
    <w:rsid w:val="0060711B"/>
    <w:rsid w:val="006071C2"/>
    <w:rsid w:val="00607360"/>
    <w:rsid w:val="0060739C"/>
    <w:rsid w:val="006073E1"/>
    <w:rsid w:val="0060747F"/>
    <w:rsid w:val="0060749F"/>
    <w:rsid w:val="0060758E"/>
    <w:rsid w:val="00607618"/>
    <w:rsid w:val="00607969"/>
    <w:rsid w:val="00607AB7"/>
    <w:rsid w:val="00607ABB"/>
    <w:rsid w:val="00607BE5"/>
    <w:rsid w:val="00607DE5"/>
    <w:rsid w:val="00607E91"/>
    <w:rsid w:val="00607F0B"/>
    <w:rsid w:val="0061007C"/>
    <w:rsid w:val="00610145"/>
    <w:rsid w:val="006101C2"/>
    <w:rsid w:val="00610647"/>
    <w:rsid w:val="006107AA"/>
    <w:rsid w:val="00610883"/>
    <w:rsid w:val="00610902"/>
    <w:rsid w:val="0061099D"/>
    <w:rsid w:val="006109D3"/>
    <w:rsid w:val="00610AFC"/>
    <w:rsid w:val="00610BBA"/>
    <w:rsid w:val="00610DFD"/>
    <w:rsid w:val="00610F45"/>
    <w:rsid w:val="006111EB"/>
    <w:rsid w:val="0061156D"/>
    <w:rsid w:val="006116BA"/>
    <w:rsid w:val="00611750"/>
    <w:rsid w:val="006117C0"/>
    <w:rsid w:val="00611868"/>
    <w:rsid w:val="00611BDA"/>
    <w:rsid w:val="00611E8B"/>
    <w:rsid w:val="00611F1A"/>
    <w:rsid w:val="00611FC2"/>
    <w:rsid w:val="0061234B"/>
    <w:rsid w:val="00612491"/>
    <w:rsid w:val="006125EB"/>
    <w:rsid w:val="006128C8"/>
    <w:rsid w:val="00612C35"/>
    <w:rsid w:val="00612CFA"/>
    <w:rsid w:val="00612DF9"/>
    <w:rsid w:val="00612F07"/>
    <w:rsid w:val="00612F47"/>
    <w:rsid w:val="0061302B"/>
    <w:rsid w:val="00613500"/>
    <w:rsid w:val="0061376C"/>
    <w:rsid w:val="006137C9"/>
    <w:rsid w:val="0061381D"/>
    <w:rsid w:val="00613846"/>
    <w:rsid w:val="00613984"/>
    <w:rsid w:val="006139A9"/>
    <w:rsid w:val="006139B6"/>
    <w:rsid w:val="00613B70"/>
    <w:rsid w:val="00613B81"/>
    <w:rsid w:val="00613FE8"/>
    <w:rsid w:val="006140A7"/>
    <w:rsid w:val="006143AF"/>
    <w:rsid w:val="006147AD"/>
    <w:rsid w:val="006147F8"/>
    <w:rsid w:val="00614835"/>
    <w:rsid w:val="00614F4E"/>
    <w:rsid w:val="00614FEB"/>
    <w:rsid w:val="006150BD"/>
    <w:rsid w:val="006151A2"/>
    <w:rsid w:val="006152B1"/>
    <w:rsid w:val="006152F7"/>
    <w:rsid w:val="0061531D"/>
    <w:rsid w:val="00615382"/>
    <w:rsid w:val="0061555A"/>
    <w:rsid w:val="00615770"/>
    <w:rsid w:val="006157AA"/>
    <w:rsid w:val="006159C0"/>
    <w:rsid w:val="00615CBB"/>
    <w:rsid w:val="00615D1D"/>
    <w:rsid w:val="00615EAC"/>
    <w:rsid w:val="0061601A"/>
    <w:rsid w:val="00616085"/>
    <w:rsid w:val="00616102"/>
    <w:rsid w:val="00616124"/>
    <w:rsid w:val="00616447"/>
    <w:rsid w:val="0061672D"/>
    <w:rsid w:val="006168D2"/>
    <w:rsid w:val="0061698F"/>
    <w:rsid w:val="00616BFB"/>
    <w:rsid w:val="00616CE5"/>
    <w:rsid w:val="00616E12"/>
    <w:rsid w:val="00616FA5"/>
    <w:rsid w:val="0061707E"/>
    <w:rsid w:val="0061740F"/>
    <w:rsid w:val="006175F3"/>
    <w:rsid w:val="00617DD7"/>
    <w:rsid w:val="00617F26"/>
    <w:rsid w:val="00620180"/>
    <w:rsid w:val="006206F4"/>
    <w:rsid w:val="00620AF3"/>
    <w:rsid w:val="00620BFF"/>
    <w:rsid w:val="00620DBD"/>
    <w:rsid w:val="00620EB8"/>
    <w:rsid w:val="00621179"/>
    <w:rsid w:val="006211D2"/>
    <w:rsid w:val="0062137D"/>
    <w:rsid w:val="006216B9"/>
    <w:rsid w:val="00621738"/>
    <w:rsid w:val="00621896"/>
    <w:rsid w:val="006219B4"/>
    <w:rsid w:val="006219F5"/>
    <w:rsid w:val="00621BD2"/>
    <w:rsid w:val="00621C4B"/>
    <w:rsid w:val="00621CDD"/>
    <w:rsid w:val="00621DA0"/>
    <w:rsid w:val="00621EAB"/>
    <w:rsid w:val="00622113"/>
    <w:rsid w:val="006222DE"/>
    <w:rsid w:val="00622314"/>
    <w:rsid w:val="006223AE"/>
    <w:rsid w:val="00622547"/>
    <w:rsid w:val="006225B9"/>
    <w:rsid w:val="006225C2"/>
    <w:rsid w:val="0062268F"/>
    <w:rsid w:val="00622D41"/>
    <w:rsid w:val="00622DCC"/>
    <w:rsid w:val="00622E21"/>
    <w:rsid w:val="00622FC5"/>
    <w:rsid w:val="00623018"/>
    <w:rsid w:val="00623083"/>
    <w:rsid w:val="0062328C"/>
    <w:rsid w:val="006232AA"/>
    <w:rsid w:val="00623547"/>
    <w:rsid w:val="00623C4B"/>
    <w:rsid w:val="0062409D"/>
    <w:rsid w:val="0062410A"/>
    <w:rsid w:val="006241F8"/>
    <w:rsid w:val="006242A6"/>
    <w:rsid w:val="0062435E"/>
    <w:rsid w:val="00624453"/>
    <w:rsid w:val="00624631"/>
    <w:rsid w:val="0062464F"/>
    <w:rsid w:val="006249F3"/>
    <w:rsid w:val="00624BBB"/>
    <w:rsid w:val="00624C04"/>
    <w:rsid w:val="00624EC1"/>
    <w:rsid w:val="00624EC8"/>
    <w:rsid w:val="00625074"/>
    <w:rsid w:val="0062509A"/>
    <w:rsid w:val="006250F1"/>
    <w:rsid w:val="0062522F"/>
    <w:rsid w:val="006252BB"/>
    <w:rsid w:val="006254C6"/>
    <w:rsid w:val="0062553D"/>
    <w:rsid w:val="00625812"/>
    <w:rsid w:val="006258EF"/>
    <w:rsid w:val="00625A71"/>
    <w:rsid w:val="00625B67"/>
    <w:rsid w:val="00625C75"/>
    <w:rsid w:val="00625CE9"/>
    <w:rsid w:val="00625D01"/>
    <w:rsid w:val="00625DDD"/>
    <w:rsid w:val="00625EF3"/>
    <w:rsid w:val="00625F35"/>
    <w:rsid w:val="00625F8F"/>
    <w:rsid w:val="006260A7"/>
    <w:rsid w:val="006260C0"/>
    <w:rsid w:val="006262EF"/>
    <w:rsid w:val="00626546"/>
    <w:rsid w:val="00626815"/>
    <w:rsid w:val="00626938"/>
    <w:rsid w:val="0062693F"/>
    <w:rsid w:val="00626A4C"/>
    <w:rsid w:val="00626D2A"/>
    <w:rsid w:val="00626E6C"/>
    <w:rsid w:val="00626EAD"/>
    <w:rsid w:val="00626F44"/>
    <w:rsid w:val="00626F45"/>
    <w:rsid w:val="006270BB"/>
    <w:rsid w:val="006270DE"/>
    <w:rsid w:val="006271B9"/>
    <w:rsid w:val="00627290"/>
    <w:rsid w:val="006273CF"/>
    <w:rsid w:val="00627550"/>
    <w:rsid w:val="0062772A"/>
    <w:rsid w:val="00627736"/>
    <w:rsid w:val="0062783A"/>
    <w:rsid w:val="006279C9"/>
    <w:rsid w:val="00627A07"/>
    <w:rsid w:val="00627B18"/>
    <w:rsid w:val="00627BF4"/>
    <w:rsid w:val="00627C5D"/>
    <w:rsid w:val="00627DC3"/>
    <w:rsid w:val="00627E92"/>
    <w:rsid w:val="00627E95"/>
    <w:rsid w:val="00627EF7"/>
    <w:rsid w:val="006300C0"/>
    <w:rsid w:val="00630179"/>
    <w:rsid w:val="006301F9"/>
    <w:rsid w:val="00630255"/>
    <w:rsid w:val="00630339"/>
    <w:rsid w:val="00630430"/>
    <w:rsid w:val="00630C4A"/>
    <w:rsid w:val="0063100D"/>
    <w:rsid w:val="0063106C"/>
    <w:rsid w:val="006310BC"/>
    <w:rsid w:val="0063117A"/>
    <w:rsid w:val="006314E7"/>
    <w:rsid w:val="00631A27"/>
    <w:rsid w:val="00631A71"/>
    <w:rsid w:val="00631A88"/>
    <w:rsid w:val="00632215"/>
    <w:rsid w:val="006322D4"/>
    <w:rsid w:val="00632400"/>
    <w:rsid w:val="006325D4"/>
    <w:rsid w:val="006325F1"/>
    <w:rsid w:val="006329D8"/>
    <w:rsid w:val="00632ABF"/>
    <w:rsid w:val="00632C68"/>
    <w:rsid w:val="00632C74"/>
    <w:rsid w:val="00632D82"/>
    <w:rsid w:val="00632F95"/>
    <w:rsid w:val="00632FD4"/>
    <w:rsid w:val="0063302E"/>
    <w:rsid w:val="006333E1"/>
    <w:rsid w:val="0063353C"/>
    <w:rsid w:val="00633552"/>
    <w:rsid w:val="00633853"/>
    <w:rsid w:val="006339DD"/>
    <w:rsid w:val="00633B72"/>
    <w:rsid w:val="00633BA5"/>
    <w:rsid w:val="00633C94"/>
    <w:rsid w:val="00633E64"/>
    <w:rsid w:val="00634162"/>
    <w:rsid w:val="00634206"/>
    <w:rsid w:val="006344DD"/>
    <w:rsid w:val="006345CF"/>
    <w:rsid w:val="006345F5"/>
    <w:rsid w:val="006346FD"/>
    <w:rsid w:val="006347FF"/>
    <w:rsid w:val="006349B7"/>
    <w:rsid w:val="00634A80"/>
    <w:rsid w:val="00634AA2"/>
    <w:rsid w:val="00634B32"/>
    <w:rsid w:val="00634B7E"/>
    <w:rsid w:val="00634C1A"/>
    <w:rsid w:val="00634C75"/>
    <w:rsid w:val="00634D56"/>
    <w:rsid w:val="00634D94"/>
    <w:rsid w:val="006352E8"/>
    <w:rsid w:val="006354E4"/>
    <w:rsid w:val="00635884"/>
    <w:rsid w:val="006359DF"/>
    <w:rsid w:val="00635A25"/>
    <w:rsid w:val="00635A3C"/>
    <w:rsid w:val="00635B5A"/>
    <w:rsid w:val="00635CEB"/>
    <w:rsid w:val="00635D44"/>
    <w:rsid w:val="00635E9D"/>
    <w:rsid w:val="006362DA"/>
    <w:rsid w:val="00636310"/>
    <w:rsid w:val="0063632A"/>
    <w:rsid w:val="0063638F"/>
    <w:rsid w:val="00636495"/>
    <w:rsid w:val="006365A8"/>
    <w:rsid w:val="00636609"/>
    <w:rsid w:val="00636636"/>
    <w:rsid w:val="00636A25"/>
    <w:rsid w:val="00636AE7"/>
    <w:rsid w:val="00637006"/>
    <w:rsid w:val="00637080"/>
    <w:rsid w:val="00637098"/>
    <w:rsid w:val="006370F6"/>
    <w:rsid w:val="006371BB"/>
    <w:rsid w:val="00637217"/>
    <w:rsid w:val="00637263"/>
    <w:rsid w:val="00637267"/>
    <w:rsid w:val="006375A3"/>
    <w:rsid w:val="0063762B"/>
    <w:rsid w:val="006376DF"/>
    <w:rsid w:val="006379DF"/>
    <w:rsid w:val="00637B5B"/>
    <w:rsid w:val="00637BD5"/>
    <w:rsid w:val="00637C5E"/>
    <w:rsid w:val="00637CAF"/>
    <w:rsid w:val="00637CB4"/>
    <w:rsid w:val="00637DB2"/>
    <w:rsid w:val="00637F1B"/>
    <w:rsid w:val="006401F5"/>
    <w:rsid w:val="0064032A"/>
    <w:rsid w:val="00640473"/>
    <w:rsid w:val="00640495"/>
    <w:rsid w:val="006405DA"/>
    <w:rsid w:val="006407D3"/>
    <w:rsid w:val="006409A3"/>
    <w:rsid w:val="00640A4C"/>
    <w:rsid w:val="00640A64"/>
    <w:rsid w:val="0064117E"/>
    <w:rsid w:val="0064119D"/>
    <w:rsid w:val="00641545"/>
    <w:rsid w:val="006415C5"/>
    <w:rsid w:val="00641933"/>
    <w:rsid w:val="00641CB0"/>
    <w:rsid w:val="00641F93"/>
    <w:rsid w:val="00641FBD"/>
    <w:rsid w:val="006422CC"/>
    <w:rsid w:val="006423C7"/>
    <w:rsid w:val="0064242A"/>
    <w:rsid w:val="0064246D"/>
    <w:rsid w:val="006425E6"/>
    <w:rsid w:val="00642669"/>
    <w:rsid w:val="0064266F"/>
    <w:rsid w:val="006426DA"/>
    <w:rsid w:val="00642723"/>
    <w:rsid w:val="00642BED"/>
    <w:rsid w:val="00642BFA"/>
    <w:rsid w:val="006431D4"/>
    <w:rsid w:val="006432A1"/>
    <w:rsid w:val="006435AC"/>
    <w:rsid w:val="006436BF"/>
    <w:rsid w:val="006436C4"/>
    <w:rsid w:val="006437CF"/>
    <w:rsid w:val="0064381F"/>
    <w:rsid w:val="00643895"/>
    <w:rsid w:val="00643899"/>
    <w:rsid w:val="00643ADE"/>
    <w:rsid w:val="00643E05"/>
    <w:rsid w:val="0064422E"/>
    <w:rsid w:val="00644293"/>
    <w:rsid w:val="006443C6"/>
    <w:rsid w:val="006444B3"/>
    <w:rsid w:val="006445B6"/>
    <w:rsid w:val="006445CC"/>
    <w:rsid w:val="00644607"/>
    <w:rsid w:val="00644625"/>
    <w:rsid w:val="00644664"/>
    <w:rsid w:val="00644A69"/>
    <w:rsid w:val="00644BE3"/>
    <w:rsid w:val="00644C15"/>
    <w:rsid w:val="00644CB0"/>
    <w:rsid w:val="00644E32"/>
    <w:rsid w:val="00645180"/>
    <w:rsid w:val="006451A1"/>
    <w:rsid w:val="0064536A"/>
    <w:rsid w:val="0064555C"/>
    <w:rsid w:val="0064589F"/>
    <w:rsid w:val="00645AD8"/>
    <w:rsid w:val="00645B00"/>
    <w:rsid w:val="00645C75"/>
    <w:rsid w:val="00645C81"/>
    <w:rsid w:val="00645CE9"/>
    <w:rsid w:val="00645DE4"/>
    <w:rsid w:val="00645EEA"/>
    <w:rsid w:val="00645F06"/>
    <w:rsid w:val="00645F46"/>
    <w:rsid w:val="0064621B"/>
    <w:rsid w:val="00646235"/>
    <w:rsid w:val="006462E7"/>
    <w:rsid w:val="006462EC"/>
    <w:rsid w:val="006465D1"/>
    <w:rsid w:val="006466D7"/>
    <w:rsid w:val="0064670E"/>
    <w:rsid w:val="00646838"/>
    <w:rsid w:val="0064687C"/>
    <w:rsid w:val="0064689C"/>
    <w:rsid w:val="00646B8C"/>
    <w:rsid w:val="00646B95"/>
    <w:rsid w:val="00646F82"/>
    <w:rsid w:val="00646FE5"/>
    <w:rsid w:val="00647027"/>
    <w:rsid w:val="006473F1"/>
    <w:rsid w:val="0064744B"/>
    <w:rsid w:val="006474E7"/>
    <w:rsid w:val="0064764D"/>
    <w:rsid w:val="006476EB"/>
    <w:rsid w:val="0064796E"/>
    <w:rsid w:val="00647A2E"/>
    <w:rsid w:val="00647B4C"/>
    <w:rsid w:val="00647C26"/>
    <w:rsid w:val="00647E3D"/>
    <w:rsid w:val="00650105"/>
    <w:rsid w:val="0065026D"/>
    <w:rsid w:val="00650478"/>
    <w:rsid w:val="00650771"/>
    <w:rsid w:val="006507E2"/>
    <w:rsid w:val="00650862"/>
    <w:rsid w:val="006508A7"/>
    <w:rsid w:val="00650E42"/>
    <w:rsid w:val="00650E99"/>
    <w:rsid w:val="00651357"/>
    <w:rsid w:val="00651493"/>
    <w:rsid w:val="0065164A"/>
    <w:rsid w:val="00651829"/>
    <w:rsid w:val="0065197B"/>
    <w:rsid w:val="00651BCC"/>
    <w:rsid w:val="00651D29"/>
    <w:rsid w:val="00651D77"/>
    <w:rsid w:val="00651FD5"/>
    <w:rsid w:val="006520A7"/>
    <w:rsid w:val="006522C0"/>
    <w:rsid w:val="00652853"/>
    <w:rsid w:val="006529A9"/>
    <w:rsid w:val="00652A62"/>
    <w:rsid w:val="00652AFC"/>
    <w:rsid w:val="00652D24"/>
    <w:rsid w:val="00653040"/>
    <w:rsid w:val="00653105"/>
    <w:rsid w:val="00653636"/>
    <w:rsid w:val="00653B39"/>
    <w:rsid w:val="00653C64"/>
    <w:rsid w:val="00653C79"/>
    <w:rsid w:val="00653C89"/>
    <w:rsid w:val="00653D36"/>
    <w:rsid w:val="00653FC3"/>
    <w:rsid w:val="006540A7"/>
    <w:rsid w:val="006542D8"/>
    <w:rsid w:val="006542FC"/>
    <w:rsid w:val="006544EC"/>
    <w:rsid w:val="006547BF"/>
    <w:rsid w:val="006547C5"/>
    <w:rsid w:val="006549B0"/>
    <w:rsid w:val="00654AD4"/>
    <w:rsid w:val="00654B97"/>
    <w:rsid w:val="00654C5A"/>
    <w:rsid w:val="00655008"/>
    <w:rsid w:val="0065510F"/>
    <w:rsid w:val="006554F6"/>
    <w:rsid w:val="0065564C"/>
    <w:rsid w:val="00655C39"/>
    <w:rsid w:val="00655C87"/>
    <w:rsid w:val="0065624E"/>
    <w:rsid w:val="00656419"/>
    <w:rsid w:val="00656465"/>
    <w:rsid w:val="0065674B"/>
    <w:rsid w:val="00656894"/>
    <w:rsid w:val="00656AEA"/>
    <w:rsid w:val="00656E05"/>
    <w:rsid w:val="00657142"/>
    <w:rsid w:val="00657168"/>
    <w:rsid w:val="00657171"/>
    <w:rsid w:val="006572A0"/>
    <w:rsid w:val="006576B8"/>
    <w:rsid w:val="006578EF"/>
    <w:rsid w:val="00657998"/>
    <w:rsid w:val="006579DB"/>
    <w:rsid w:val="00657D26"/>
    <w:rsid w:val="00657D6F"/>
    <w:rsid w:val="0066012F"/>
    <w:rsid w:val="00660198"/>
    <w:rsid w:val="006602BC"/>
    <w:rsid w:val="00660372"/>
    <w:rsid w:val="0066064E"/>
    <w:rsid w:val="0066068F"/>
    <w:rsid w:val="0066080E"/>
    <w:rsid w:val="00660816"/>
    <w:rsid w:val="00660969"/>
    <w:rsid w:val="0066096B"/>
    <w:rsid w:val="00660A05"/>
    <w:rsid w:val="00660A21"/>
    <w:rsid w:val="00660A5F"/>
    <w:rsid w:val="00660B89"/>
    <w:rsid w:val="00660C68"/>
    <w:rsid w:val="00660E35"/>
    <w:rsid w:val="00660E42"/>
    <w:rsid w:val="00661145"/>
    <w:rsid w:val="0066124F"/>
    <w:rsid w:val="006613D4"/>
    <w:rsid w:val="006617CC"/>
    <w:rsid w:val="00661AA1"/>
    <w:rsid w:val="00661B33"/>
    <w:rsid w:val="0066203C"/>
    <w:rsid w:val="00662092"/>
    <w:rsid w:val="0066217C"/>
    <w:rsid w:val="0066249E"/>
    <w:rsid w:val="006624F3"/>
    <w:rsid w:val="0066267D"/>
    <w:rsid w:val="006626EB"/>
    <w:rsid w:val="0066295F"/>
    <w:rsid w:val="00662A65"/>
    <w:rsid w:val="00662B9A"/>
    <w:rsid w:val="00662BFB"/>
    <w:rsid w:val="00662C8C"/>
    <w:rsid w:val="00662EBF"/>
    <w:rsid w:val="00663087"/>
    <w:rsid w:val="00663542"/>
    <w:rsid w:val="00663564"/>
    <w:rsid w:val="0066362E"/>
    <w:rsid w:val="00663DD7"/>
    <w:rsid w:val="00663EE5"/>
    <w:rsid w:val="006640BD"/>
    <w:rsid w:val="00664177"/>
    <w:rsid w:val="0066441D"/>
    <w:rsid w:val="006644D7"/>
    <w:rsid w:val="00664922"/>
    <w:rsid w:val="00664F75"/>
    <w:rsid w:val="006653F4"/>
    <w:rsid w:val="00665518"/>
    <w:rsid w:val="00665613"/>
    <w:rsid w:val="0066577F"/>
    <w:rsid w:val="00665889"/>
    <w:rsid w:val="00665D79"/>
    <w:rsid w:val="00665E6D"/>
    <w:rsid w:val="00665E93"/>
    <w:rsid w:val="00665F76"/>
    <w:rsid w:val="00665FB7"/>
    <w:rsid w:val="00666026"/>
    <w:rsid w:val="0066623C"/>
    <w:rsid w:val="00666243"/>
    <w:rsid w:val="00666409"/>
    <w:rsid w:val="0066646D"/>
    <w:rsid w:val="00666566"/>
    <w:rsid w:val="00666719"/>
    <w:rsid w:val="006667AA"/>
    <w:rsid w:val="00666808"/>
    <w:rsid w:val="00666A48"/>
    <w:rsid w:val="00666CEF"/>
    <w:rsid w:val="00666D47"/>
    <w:rsid w:val="00667040"/>
    <w:rsid w:val="0066713B"/>
    <w:rsid w:val="00667140"/>
    <w:rsid w:val="006671E1"/>
    <w:rsid w:val="0066730C"/>
    <w:rsid w:val="00667361"/>
    <w:rsid w:val="0066761A"/>
    <w:rsid w:val="00667647"/>
    <w:rsid w:val="00667668"/>
    <w:rsid w:val="00667836"/>
    <w:rsid w:val="006678BD"/>
    <w:rsid w:val="00667A08"/>
    <w:rsid w:val="00667AE1"/>
    <w:rsid w:val="00667BD0"/>
    <w:rsid w:val="00667CD8"/>
    <w:rsid w:val="00667CF1"/>
    <w:rsid w:val="00667DCF"/>
    <w:rsid w:val="00667E00"/>
    <w:rsid w:val="006701AE"/>
    <w:rsid w:val="006704F7"/>
    <w:rsid w:val="006707EE"/>
    <w:rsid w:val="00670833"/>
    <w:rsid w:val="0067084C"/>
    <w:rsid w:val="00670987"/>
    <w:rsid w:val="006709E8"/>
    <w:rsid w:val="00670A36"/>
    <w:rsid w:val="00670D5B"/>
    <w:rsid w:val="00670DBA"/>
    <w:rsid w:val="00670F86"/>
    <w:rsid w:val="006710E2"/>
    <w:rsid w:val="006712D0"/>
    <w:rsid w:val="00671446"/>
    <w:rsid w:val="006717DB"/>
    <w:rsid w:val="006718BD"/>
    <w:rsid w:val="00671970"/>
    <w:rsid w:val="00671979"/>
    <w:rsid w:val="0067198F"/>
    <w:rsid w:val="006719ED"/>
    <w:rsid w:val="00671A4E"/>
    <w:rsid w:val="00671A8C"/>
    <w:rsid w:val="00671A9B"/>
    <w:rsid w:val="00671AF5"/>
    <w:rsid w:val="0067240C"/>
    <w:rsid w:val="00672FB8"/>
    <w:rsid w:val="00673450"/>
    <w:rsid w:val="00673492"/>
    <w:rsid w:val="00673586"/>
    <w:rsid w:val="006738EE"/>
    <w:rsid w:val="00673949"/>
    <w:rsid w:val="0067442E"/>
    <w:rsid w:val="006744E4"/>
    <w:rsid w:val="006745BF"/>
    <w:rsid w:val="0067497F"/>
    <w:rsid w:val="00674A61"/>
    <w:rsid w:val="00674A88"/>
    <w:rsid w:val="00674BA8"/>
    <w:rsid w:val="00674CB7"/>
    <w:rsid w:val="00674CDE"/>
    <w:rsid w:val="00674D9F"/>
    <w:rsid w:val="00674F4C"/>
    <w:rsid w:val="00675016"/>
    <w:rsid w:val="00675038"/>
    <w:rsid w:val="006750C6"/>
    <w:rsid w:val="006752B3"/>
    <w:rsid w:val="00675523"/>
    <w:rsid w:val="0067573F"/>
    <w:rsid w:val="00675871"/>
    <w:rsid w:val="00675AAD"/>
    <w:rsid w:val="00675B88"/>
    <w:rsid w:val="00675BF6"/>
    <w:rsid w:val="00675C3B"/>
    <w:rsid w:val="00675D7F"/>
    <w:rsid w:val="00675DD5"/>
    <w:rsid w:val="00675E85"/>
    <w:rsid w:val="00675FFB"/>
    <w:rsid w:val="006768FC"/>
    <w:rsid w:val="00677067"/>
    <w:rsid w:val="006770EE"/>
    <w:rsid w:val="0067715A"/>
    <w:rsid w:val="006772AB"/>
    <w:rsid w:val="00677783"/>
    <w:rsid w:val="00677906"/>
    <w:rsid w:val="00677909"/>
    <w:rsid w:val="00677927"/>
    <w:rsid w:val="00677B9B"/>
    <w:rsid w:val="00677D0C"/>
    <w:rsid w:val="00677E49"/>
    <w:rsid w:val="00680029"/>
    <w:rsid w:val="006802C5"/>
    <w:rsid w:val="006802CA"/>
    <w:rsid w:val="00680393"/>
    <w:rsid w:val="00680461"/>
    <w:rsid w:val="00680500"/>
    <w:rsid w:val="006805D3"/>
    <w:rsid w:val="006806BB"/>
    <w:rsid w:val="00680797"/>
    <w:rsid w:val="00680991"/>
    <w:rsid w:val="00680A75"/>
    <w:rsid w:val="00680B79"/>
    <w:rsid w:val="00680CF4"/>
    <w:rsid w:val="00680D37"/>
    <w:rsid w:val="00680F62"/>
    <w:rsid w:val="00680FFC"/>
    <w:rsid w:val="006810C5"/>
    <w:rsid w:val="006810D3"/>
    <w:rsid w:val="0068119A"/>
    <w:rsid w:val="0068134E"/>
    <w:rsid w:val="0068149D"/>
    <w:rsid w:val="0068150C"/>
    <w:rsid w:val="00681779"/>
    <w:rsid w:val="006817F4"/>
    <w:rsid w:val="00681953"/>
    <w:rsid w:val="006819CB"/>
    <w:rsid w:val="00681BB2"/>
    <w:rsid w:val="00681BFF"/>
    <w:rsid w:val="00681C6F"/>
    <w:rsid w:val="00681CAF"/>
    <w:rsid w:val="00681D5B"/>
    <w:rsid w:val="00681DD6"/>
    <w:rsid w:val="00681EAF"/>
    <w:rsid w:val="00682066"/>
    <w:rsid w:val="00682160"/>
    <w:rsid w:val="006822ED"/>
    <w:rsid w:val="0068234B"/>
    <w:rsid w:val="00682389"/>
    <w:rsid w:val="00682438"/>
    <w:rsid w:val="00682AC3"/>
    <w:rsid w:val="00682FF2"/>
    <w:rsid w:val="006830CD"/>
    <w:rsid w:val="006830EB"/>
    <w:rsid w:val="006831FF"/>
    <w:rsid w:val="00683238"/>
    <w:rsid w:val="006832B5"/>
    <w:rsid w:val="00683300"/>
    <w:rsid w:val="0068349C"/>
    <w:rsid w:val="006837AB"/>
    <w:rsid w:val="00683C1A"/>
    <w:rsid w:val="00683C56"/>
    <w:rsid w:val="00683E6A"/>
    <w:rsid w:val="00683F63"/>
    <w:rsid w:val="006840A6"/>
    <w:rsid w:val="00684264"/>
    <w:rsid w:val="006845CE"/>
    <w:rsid w:val="00684809"/>
    <w:rsid w:val="0068480C"/>
    <w:rsid w:val="00684817"/>
    <w:rsid w:val="0068482C"/>
    <w:rsid w:val="006848B1"/>
    <w:rsid w:val="00684931"/>
    <w:rsid w:val="00684ACD"/>
    <w:rsid w:val="00685037"/>
    <w:rsid w:val="00685053"/>
    <w:rsid w:val="00685057"/>
    <w:rsid w:val="00685178"/>
    <w:rsid w:val="0068519C"/>
    <w:rsid w:val="0068519D"/>
    <w:rsid w:val="0068525B"/>
    <w:rsid w:val="00685314"/>
    <w:rsid w:val="00685459"/>
    <w:rsid w:val="00685472"/>
    <w:rsid w:val="0068560C"/>
    <w:rsid w:val="0068572A"/>
    <w:rsid w:val="00685872"/>
    <w:rsid w:val="00685996"/>
    <w:rsid w:val="00685B2C"/>
    <w:rsid w:val="00685B96"/>
    <w:rsid w:val="00685E65"/>
    <w:rsid w:val="00685EA4"/>
    <w:rsid w:val="006860D3"/>
    <w:rsid w:val="0068612C"/>
    <w:rsid w:val="00686133"/>
    <w:rsid w:val="006861AE"/>
    <w:rsid w:val="00686296"/>
    <w:rsid w:val="006862AB"/>
    <w:rsid w:val="006864EB"/>
    <w:rsid w:val="0068660A"/>
    <w:rsid w:val="00686957"/>
    <w:rsid w:val="00686C50"/>
    <w:rsid w:val="00687054"/>
    <w:rsid w:val="00687427"/>
    <w:rsid w:val="0068744D"/>
    <w:rsid w:val="00687473"/>
    <w:rsid w:val="00687714"/>
    <w:rsid w:val="00687A57"/>
    <w:rsid w:val="00687B71"/>
    <w:rsid w:val="00687B79"/>
    <w:rsid w:val="00687CD9"/>
    <w:rsid w:val="00687D83"/>
    <w:rsid w:val="00687D8D"/>
    <w:rsid w:val="00687DC7"/>
    <w:rsid w:val="00687F25"/>
    <w:rsid w:val="00690023"/>
    <w:rsid w:val="00690064"/>
    <w:rsid w:val="006900A1"/>
    <w:rsid w:val="0069026C"/>
    <w:rsid w:val="006903A1"/>
    <w:rsid w:val="006903ED"/>
    <w:rsid w:val="00690488"/>
    <w:rsid w:val="006904F7"/>
    <w:rsid w:val="00690732"/>
    <w:rsid w:val="0069078E"/>
    <w:rsid w:val="0069082A"/>
    <w:rsid w:val="00690CFE"/>
    <w:rsid w:val="00690EC4"/>
    <w:rsid w:val="00690F55"/>
    <w:rsid w:val="00690F77"/>
    <w:rsid w:val="00690FED"/>
    <w:rsid w:val="0069108C"/>
    <w:rsid w:val="006910F1"/>
    <w:rsid w:val="00691154"/>
    <w:rsid w:val="00691338"/>
    <w:rsid w:val="0069135A"/>
    <w:rsid w:val="0069146D"/>
    <w:rsid w:val="0069171E"/>
    <w:rsid w:val="0069176E"/>
    <w:rsid w:val="006917F1"/>
    <w:rsid w:val="00691AC6"/>
    <w:rsid w:val="00691B39"/>
    <w:rsid w:val="00691C16"/>
    <w:rsid w:val="00691ECA"/>
    <w:rsid w:val="00691FFC"/>
    <w:rsid w:val="00692419"/>
    <w:rsid w:val="006929B5"/>
    <w:rsid w:val="00692A4C"/>
    <w:rsid w:val="00692E8A"/>
    <w:rsid w:val="006930CB"/>
    <w:rsid w:val="006930F3"/>
    <w:rsid w:val="0069319B"/>
    <w:rsid w:val="006933B5"/>
    <w:rsid w:val="0069356A"/>
    <w:rsid w:val="0069375B"/>
    <w:rsid w:val="006937B0"/>
    <w:rsid w:val="00693B6C"/>
    <w:rsid w:val="00693C30"/>
    <w:rsid w:val="00693EA4"/>
    <w:rsid w:val="00693FD4"/>
    <w:rsid w:val="0069413E"/>
    <w:rsid w:val="00694260"/>
    <w:rsid w:val="00694471"/>
    <w:rsid w:val="00694588"/>
    <w:rsid w:val="006945DC"/>
    <w:rsid w:val="00694831"/>
    <w:rsid w:val="00694987"/>
    <w:rsid w:val="006949E6"/>
    <w:rsid w:val="00694A5C"/>
    <w:rsid w:val="00694ACB"/>
    <w:rsid w:val="00694B27"/>
    <w:rsid w:val="00694CF7"/>
    <w:rsid w:val="00694E99"/>
    <w:rsid w:val="00695103"/>
    <w:rsid w:val="006952A2"/>
    <w:rsid w:val="0069532F"/>
    <w:rsid w:val="00695366"/>
    <w:rsid w:val="006955DE"/>
    <w:rsid w:val="0069583B"/>
    <w:rsid w:val="00695A76"/>
    <w:rsid w:val="00695B7E"/>
    <w:rsid w:val="00695D83"/>
    <w:rsid w:val="00695E8D"/>
    <w:rsid w:val="00695F55"/>
    <w:rsid w:val="006960D8"/>
    <w:rsid w:val="006962BC"/>
    <w:rsid w:val="006968A7"/>
    <w:rsid w:val="00696C90"/>
    <w:rsid w:val="00696FA1"/>
    <w:rsid w:val="00696FA6"/>
    <w:rsid w:val="006970B4"/>
    <w:rsid w:val="00697441"/>
    <w:rsid w:val="00697445"/>
    <w:rsid w:val="006975F8"/>
    <w:rsid w:val="00697944"/>
    <w:rsid w:val="00697AA9"/>
    <w:rsid w:val="00697C54"/>
    <w:rsid w:val="00697DE8"/>
    <w:rsid w:val="00697F95"/>
    <w:rsid w:val="006A0096"/>
    <w:rsid w:val="006A0166"/>
    <w:rsid w:val="006A02DB"/>
    <w:rsid w:val="006A0476"/>
    <w:rsid w:val="006A0482"/>
    <w:rsid w:val="006A04E4"/>
    <w:rsid w:val="006A073F"/>
    <w:rsid w:val="006A09DD"/>
    <w:rsid w:val="006A0A89"/>
    <w:rsid w:val="006A0B76"/>
    <w:rsid w:val="006A0CFF"/>
    <w:rsid w:val="006A0D58"/>
    <w:rsid w:val="006A0E00"/>
    <w:rsid w:val="006A0E18"/>
    <w:rsid w:val="006A0F1C"/>
    <w:rsid w:val="006A11A4"/>
    <w:rsid w:val="006A12AD"/>
    <w:rsid w:val="006A12F5"/>
    <w:rsid w:val="006A136C"/>
    <w:rsid w:val="006A15DC"/>
    <w:rsid w:val="006A17C7"/>
    <w:rsid w:val="006A1824"/>
    <w:rsid w:val="006A18EE"/>
    <w:rsid w:val="006A1D87"/>
    <w:rsid w:val="006A1E52"/>
    <w:rsid w:val="006A20A9"/>
    <w:rsid w:val="006A2290"/>
    <w:rsid w:val="006A23A0"/>
    <w:rsid w:val="006A25E5"/>
    <w:rsid w:val="006A2904"/>
    <w:rsid w:val="006A2C78"/>
    <w:rsid w:val="006A2D9C"/>
    <w:rsid w:val="006A2F84"/>
    <w:rsid w:val="006A30C5"/>
    <w:rsid w:val="006A31D7"/>
    <w:rsid w:val="006A343F"/>
    <w:rsid w:val="006A353B"/>
    <w:rsid w:val="006A36C6"/>
    <w:rsid w:val="006A3827"/>
    <w:rsid w:val="006A39CF"/>
    <w:rsid w:val="006A3C23"/>
    <w:rsid w:val="006A3FF3"/>
    <w:rsid w:val="006A41F0"/>
    <w:rsid w:val="006A42DC"/>
    <w:rsid w:val="006A4384"/>
    <w:rsid w:val="006A4599"/>
    <w:rsid w:val="006A4669"/>
    <w:rsid w:val="006A496E"/>
    <w:rsid w:val="006A4970"/>
    <w:rsid w:val="006A4A70"/>
    <w:rsid w:val="006A4B80"/>
    <w:rsid w:val="006A4C2F"/>
    <w:rsid w:val="006A4CE2"/>
    <w:rsid w:val="006A4D19"/>
    <w:rsid w:val="006A4D1C"/>
    <w:rsid w:val="006A5049"/>
    <w:rsid w:val="006A56D7"/>
    <w:rsid w:val="006A56FC"/>
    <w:rsid w:val="006A5741"/>
    <w:rsid w:val="006A57C9"/>
    <w:rsid w:val="006A58CB"/>
    <w:rsid w:val="006A5B5D"/>
    <w:rsid w:val="006A5E7D"/>
    <w:rsid w:val="006A6250"/>
    <w:rsid w:val="006A64E2"/>
    <w:rsid w:val="006A660E"/>
    <w:rsid w:val="006A661F"/>
    <w:rsid w:val="006A6720"/>
    <w:rsid w:val="006A68A5"/>
    <w:rsid w:val="006A694E"/>
    <w:rsid w:val="006A6957"/>
    <w:rsid w:val="006A6A43"/>
    <w:rsid w:val="006A6DE2"/>
    <w:rsid w:val="006A7255"/>
    <w:rsid w:val="006A72F1"/>
    <w:rsid w:val="006A7433"/>
    <w:rsid w:val="006A77F1"/>
    <w:rsid w:val="006A7829"/>
    <w:rsid w:val="006A7854"/>
    <w:rsid w:val="006B0004"/>
    <w:rsid w:val="006B00A2"/>
    <w:rsid w:val="006B00AB"/>
    <w:rsid w:val="006B017A"/>
    <w:rsid w:val="006B03B1"/>
    <w:rsid w:val="006B056C"/>
    <w:rsid w:val="006B063A"/>
    <w:rsid w:val="006B07E2"/>
    <w:rsid w:val="006B0A95"/>
    <w:rsid w:val="006B0C77"/>
    <w:rsid w:val="006B1330"/>
    <w:rsid w:val="006B133B"/>
    <w:rsid w:val="006B1376"/>
    <w:rsid w:val="006B150C"/>
    <w:rsid w:val="006B1588"/>
    <w:rsid w:val="006B18E9"/>
    <w:rsid w:val="006B19BD"/>
    <w:rsid w:val="006B19DC"/>
    <w:rsid w:val="006B1A3E"/>
    <w:rsid w:val="006B1C08"/>
    <w:rsid w:val="006B1CDC"/>
    <w:rsid w:val="006B1DA7"/>
    <w:rsid w:val="006B1DB5"/>
    <w:rsid w:val="006B1E96"/>
    <w:rsid w:val="006B213E"/>
    <w:rsid w:val="006B2692"/>
    <w:rsid w:val="006B2704"/>
    <w:rsid w:val="006B27CA"/>
    <w:rsid w:val="006B287B"/>
    <w:rsid w:val="006B28F8"/>
    <w:rsid w:val="006B2956"/>
    <w:rsid w:val="006B2B17"/>
    <w:rsid w:val="006B2BA1"/>
    <w:rsid w:val="006B2BEC"/>
    <w:rsid w:val="006B2C41"/>
    <w:rsid w:val="006B2C8B"/>
    <w:rsid w:val="006B2DE5"/>
    <w:rsid w:val="006B30AB"/>
    <w:rsid w:val="006B30B5"/>
    <w:rsid w:val="006B3255"/>
    <w:rsid w:val="006B363D"/>
    <w:rsid w:val="006B367A"/>
    <w:rsid w:val="006B370D"/>
    <w:rsid w:val="006B382C"/>
    <w:rsid w:val="006B3BF8"/>
    <w:rsid w:val="006B3FD1"/>
    <w:rsid w:val="006B4065"/>
    <w:rsid w:val="006B4265"/>
    <w:rsid w:val="006B4312"/>
    <w:rsid w:val="006B437A"/>
    <w:rsid w:val="006B43B2"/>
    <w:rsid w:val="006B4AEA"/>
    <w:rsid w:val="006B4CC8"/>
    <w:rsid w:val="006B4E07"/>
    <w:rsid w:val="006B5498"/>
    <w:rsid w:val="006B5504"/>
    <w:rsid w:val="006B57B2"/>
    <w:rsid w:val="006B58E4"/>
    <w:rsid w:val="006B5A07"/>
    <w:rsid w:val="006B5C7C"/>
    <w:rsid w:val="006B6001"/>
    <w:rsid w:val="006B6135"/>
    <w:rsid w:val="006B6147"/>
    <w:rsid w:val="006B636B"/>
    <w:rsid w:val="006B6451"/>
    <w:rsid w:val="006B6748"/>
    <w:rsid w:val="006B682A"/>
    <w:rsid w:val="006B692B"/>
    <w:rsid w:val="006B6937"/>
    <w:rsid w:val="006B6CB9"/>
    <w:rsid w:val="006B6E18"/>
    <w:rsid w:val="006B6F18"/>
    <w:rsid w:val="006B7023"/>
    <w:rsid w:val="006B71C8"/>
    <w:rsid w:val="006B7364"/>
    <w:rsid w:val="006B748E"/>
    <w:rsid w:val="006B7564"/>
    <w:rsid w:val="006B78FF"/>
    <w:rsid w:val="006B798C"/>
    <w:rsid w:val="006B7A93"/>
    <w:rsid w:val="006B7CC5"/>
    <w:rsid w:val="006B7D01"/>
    <w:rsid w:val="006B7F0A"/>
    <w:rsid w:val="006B7FF7"/>
    <w:rsid w:val="006C019B"/>
    <w:rsid w:val="006C01CE"/>
    <w:rsid w:val="006C05EA"/>
    <w:rsid w:val="006C0856"/>
    <w:rsid w:val="006C094F"/>
    <w:rsid w:val="006C0C20"/>
    <w:rsid w:val="006C0E2A"/>
    <w:rsid w:val="006C0F1C"/>
    <w:rsid w:val="006C1173"/>
    <w:rsid w:val="006C12BA"/>
    <w:rsid w:val="006C13FA"/>
    <w:rsid w:val="006C146D"/>
    <w:rsid w:val="006C16D4"/>
    <w:rsid w:val="006C189A"/>
    <w:rsid w:val="006C1C31"/>
    <w:rsid w:val="006C1D60"/>
    <w:rsid w:val="006C1DF6"/>
    <w:rsid w:val="006C1F47"/>
    <w:rsid w:val="006C21BB"/>
    <w:rsid w:val="006C2247"/>
    <w:rsid w:val="006C2616"/>
    <w:rsid w:val="006C28B7"/>
    <w:rsid w:val="006C29BC"/>
    <w:rsid w:val="006C2AD7"/>
    <w:rsid w:val="006C2B89"/>
    <w:rsid w:val="006C2C55"/>
    <w:rsid w:val="006C2E07"/>
    <w:rsid w:val="006C2E7E"/>
    <w:rsid w:val="006C2EA4"/>
    <w:rsid w:val="006C2EC2"/>
    <w:rsid w:val="006C2ED1"/>
    <w:rsid w:val="006C3078"/>
    <w:rsid w:val="006C30EE"/>
    <w:rsid w:val="006C32B5"/>
    <w:rsid w:val="006C33BE"/>
    <w:rsid w:val="006C341F"/>
    <w:rsid w:val="006C348F"/>
    <w:rsid w:val="006C34E2"/>
    <w:rsid w:val="006C39E4"/>
    <w:rsid w:val="006C3B32"/>
    <w:rsid w:val="006C3B8F"/>
    <w:rsid w:val="006C3BB4"/>
    <w:rsid w:val="006C3D40"/>
    <w:rsid w:val="006C3D7A"/>
    <w:rsid w:val="006C3E79"/>
    <w:rsid w:val="006C4091"/>
    <w:rsid w:val="006C4106"/>
    <w:rsid w:val="006C4173"/>
    <w:rsid w:val="006C41B5"/>
    <w:rsid w:val="006C42A7"/>
    <w:rsid w:val="006C4637"/>
    <w:rsid w:val="006C47BC"/>
    <w:rsid w:val="006C47FC"/>
    <w:rsid w:val="006C499E"/>
    <w:rsid w:val="006C4BA7"/>
    <w:rsid w:val="006C4C85"/>
    <w:rsid w:val="006C4CE0"/>
    <w:rsid w:val="006C4E46"/>
    <w:rsid w:val="006C4E61"/>
    <w:rsid w:val="006C4EDF"/>
    <w:rsid w:val="006C4EEA"/>
    <w:rsid w:val="006C5121"/>
    <w:rsid w:val="006C51D4"/>
    <w:rsid w:val="006C521D"/>
    <w:rsid w:val="006C54E1"/>
    <w:rsid w:val="006C560F"/>
    <w:rsid w:val="006C5632"/>
    <w:rsid w:val="006C5855"/>
    <w:rsid w:val="006C5ACB"/>
    <w:rsid w:val="006C5C92"/>
    <w:rsid w:val="006C610B"/>
    <w:rsid w:val="006C613E"/>
    <w:rsid w:val="006C6357"/>
    <w:rsid w:val="006C648B"/>
    <w:rsid w:val="006C6653"/>
    <w:rsid w:val="006C6676"/>
    <w:rsid w:val="006C6682"/>
    <w:rsid w:val="006C6B38"/>
    <w:rsid w:val="006C6DBE"/>
    <w:rsid w:val="006C6E1A"/>
    <w:rsid w:val="006C6EAA"/>
    <w:rsid w:val="006C6FBB"/>
    <w:rsid w:val="006C7056"/>
    <w:rsid w:val="006C738A"/>
    <w:rsid w:val="006C74BF"/>
    <w:rsid w:val="006C74FF"/>
    <w:rsid w:val="006C768E"/>
    <w:rsid w:val="006C76A0"/>
    <w:rsid w:val="006C76FB"/>
    <w:rsid w:val="006C770D"/>
    <w:rsid w:val="006C7724"/>
    <w:rsid w:val="006C7733"/>
    <w:rsid w:val="006C7771"/>
    <w:rsid w:val="006C7988"/>
    <w:rsid w:val="006C79DD"/>
    <w:rsid w:val="006C7C17"/>
    <w:rsid w:val="006C7F4B"/>
    <w:rsid w:val="006D00C3"/>
    <w:rsid w:val="006D01B6"/>
    <w:rsid w:val="006D0281"/>
    <w:rsid w:val="006D06A0"/>
    <w:rsid w:val="006D06A3"/>
    <w:rsid w:val="006D0784"/>
    <w:rsid w:val="006D0A13"/>
    <w:rsid w:val="006D0C18"/>
    <w:rsid w:val="006D0D9A"/>
    <w:rsid w:val="006D0F41"/>
    <w:rsid w:val="006D1002"/>
    <w:rsid w:val="006D12A9"/>
    <w:rsid w:val="006D175A"/>
    <w:rsid w:val="006D17B0"/>
    <w:rsid w:val="006D1B05"/>
    <w:rsid w:val="006D1BA9"/>
    <w:rsid w:val="006D1BB5"/>
    <w:rsid w:val="006D1DCB"/>
    <w:rsid w:val="006D1F8C"/>
    <w:rsid w:val="006D214A"/>
    <w:rsid w:val="006D2174"/>
    <w:rsid w:val="006D2200"/>
    <w:rsid w:val="006D241F"/>
    <w:rsid w:val="006D24B4"/>
    <w:rsid w:val="006D2837"/>
    <w:rsid w:val="006D28B9"/>
    <w:rsid w:val="006D28D7"/>
    <w:rsid w:val="006D2911"/>
    <w:rsid w:val="006D2F64"/>
    <w:rsid w:val="006D3029"/>
    <w:rsid w:val="006D323A"/>
    <w:rsid w:val="006D32CC"/>
    <w:rsid w:val="006D3433"/>
    <w:rsid w:val="006D3517"/>
    <w:rsid w:val="006D3550"/>
    <w:rsid w:val="006D35D1"/>
    <w:rsid w:val="006D3663"/>
    <w:rsid w:val="006D38FF"/>
    <w:rsid w:val="006D393A"/>
    <w:rsid w:val="006D3C01"/>
    <w:rsid w:val="006D3CBE"/>
    <w:rsid w:val="006D3E92"/>
    <w:rsid w:val="006D4119"/>
    <w:rsid w:val="006D4153"/>
    <w:rsid w:val="006D4286"/>
    <w:rsid w:val="006D43DE"/>
    <w:rsid w:val="006D43E7"/>
    <w:rsid w:val="006D440D"/>
    <w:rsid w:val="006D451C"/>
    <w:rsid w:val="006D48B9"/>
    <w:rsid w:val="006D48CA"/>
    <w:rsid w:val="006D4DB1"/>
    <w:rsid w:val="006D4E14"/>
    <w:rsid w:val="006D4F64"/>
    <w:rsid w:val="006D5154"/>
    <w:rsid w:val="006D5313"/>
    <w:rsid w:val="006D555C"/>
    <w:rsid w:val="006D560E"/>
    <w:rsid w:val="006D5873"/>
    <w:rsid w:val="006D595C"/>
    <w:rsid w:val="006D5A82"/>
    <w:rsid w:val="006D5C78"/>
    <w:rsid w:val="006D5ED9"/>
    <w:rsid w:val="006D5EDD"/>
    <w:rsid w:val="006D60F1"/>
    <w:rsid w:val="006D6126"/>
    <w:rsid w:val="006D65BB"/>
    <w:rsid w:val="006D6612"/>
    <w:rsid w:val="006D663E"/>
    <w:rsid w:val="006D6666"/>
    <w:rsid w:val="006D69D0"/>
    <w:rsid w:val="006D6B98"/>
    <w:rsid w:val="006D6BC8"/>
    <w:rsid w:val="006D6D74"/>
    <w:rsid w:val="006D6ECB"/>
    <w:rsid w:val="006D6F5E"/>
    <w:rsid w:val="006D707F"/>
    <w:rsid w:val="006D7138"/>
    <w:rsid w:val="006D73A3"/>
    <w:rsid w:val="006D7496"/>
    <w:rsid w:val="006D74BC"/>
    <w:rsid w:val="006D7695"/>
    <w:rsid w:val="006D774E"/>
    <w:rsid w:val="006D77D5"/>
    <w:rsid w:val="006D799A"/>
    <w:rsid w:val="006D7C44"/>
    <w:rsid w:val="006D7C62"/>
    <w:rsid w:val="006D7CD0"/>
    <w:rsid w:val="006D7DBD"/>
    <w:rsid w:val="006D7ED8"/>
    <w:rsid w:val="006E006C"/>
    <w:rsid w:val="006E01DD"/>
    <w:rsid w:val="006E0369"/>
    <w:rsid w:val="006E04EF"/>
    <w:rsid w:val="006E0532"/>
    <w:rsid w:val="006E054E"/>
    <w:rsid w:val="006E08AC"/>
    <w:rsid w:val="006E092E"/>
    <w:rsid w:val="006E0998"/>
    <w:rsid w:val="006E0AF4"/>
    <w:rsid w:val="006E0D97"/>
    <w:rsid w:val="006E0E62"/>
    <w:rsid w:val="006E1195"/>
    <w:rsid w:val="006E11DC"/>
    <w:rsid w:val="006E17A8"/>
    <w:rsid w:val="006E1971"/>
    <w:rsid w:val="006E1E0B"/>
    <w:rsid w:val="006E1F06"/>
    <w:rsid w:val="006E212A"/>
    <w:rsid w:val="006E22DC"/>
    <w:rsid w:val="006E22FA"/>
    <w:rsid w:val="006E26A9"/>
    <w:rsid w:val="006E286F"/>
    <w:rsid w:val="006E29DC"/>
    <w:rsid w:val="006E2A0D"/>
    <w:rsid w:val="006E2A65"/>
    <w:rsid w:val="006E2B46"/>
    <w:rsid w:val="006E2BAF"/>
    <w:rsid w:val="006E2FD3"/>
    <w:rsid w:val="006E30E1"/>
    <w:rsid w:val="006E363B"/>
    <w:rsid w:val="006E3948"/>
    <w:rsid w:val="006E398D"/>
    <w:rsid w:val="006E399E"/>
    <w:rsid w:val="006E3D27"/>
    <w:rsid w:val="006E3E7F"/>
    <w:rsid w:val="006E3FBE"/>
    <w:rsid w:val="006E40A4"/>
    <w:rsid w:val="006E436E"/>
    <w:rsid w:val="006E4831"/>
    <w:rsid w:val="006E4BF0"/>
    <w:rsid w:val="006E4C00"/>
    <w:rsid w:val="006E4E09"/>
    <w:rsid w:val="006E50D6"/>
    <w:rsid w:val="006E51FE"/>
    <w:rsid w:val="006E52A1"/>
    <w:rsid w:val="006E5792"/>
    <w:rsid w:val="006E5793"/>
    <w:rsid w:val="006E57A0"/>
    <w:rsid w:val="006E57F3"/>
    <w:rsid w:val="006E5C67"/>
    <w:rsid w:val="006E5D92"/>
    <w:rsid w:val="006E5E27"/>
    <w:rsid w:val="006E5F53"/>
    <w:rsid w:val="006E6115"/>
    <w:rsid w:val="006E625D"/>
    <w:rsid w:val="006E632D"/>
    <w:rsid w:val="006E64DC"/>
    <w:rsid w:val="006E66A8"/>
    <w:rsid w:val="006E673D"/>
    <w:rsid w:val="006E6916"/>
    <w:rsid w:val="006E6B6F"/>
    <w:rsid w:val="006E7195"/>
    <w:rsid w:val="006E720B"/>
    <w:rsid w:val="006E738D"/>
    <w:rsid w:val="006E74BB"/>
    <w:rsid w:val="006E75BE"/>
    <w:rsid w:val="006E76CE"/>
    <w:rsid w:val="006E7786"/>
    <w:rsid w:val="006E78CB"/>
    <w:rsid w:val="006E78D7"/>
    <w:rsid w:val="006E7A34"/>
    <w:rsid w:val="006E7ACA"/>
    <w:rsid w:val="006E7CC6"/>
    <w:rsid w:val="006E7F43"/>
    <w:rsid w:val="006F0170"/>
    <w:rsid w:val="006F0194"/>
    <w:rsid w:val="006F02C0"/>
    <w:rsid w:val="006F05E8"/>
    <w:rsid w:val="006F07E2"/>
    <w:rsid w:val="006F0F62"/>
    <w:rsid w:val="006F11CC"/>
    <w:rsid w:val="006F1200"/>
    <w:rsid w:val="006F12BD"/>
    <w:rsid w:val="006F13C4"/>
    <w:rsid w:val="006F15AC"/>
    <w:rsid w:val="006F1642"/>
    <w:rsid w:val="006F16AD"/>
    <w:rsid w:val="006F1701"/>
    <w:rsid w:val="006F170D"/>
    <w:rsid w:val="006F19ED"/>
    <w:rsid w:val="006F1D10"/>
    <w:rsid w:val="006F1D1F"/>
    <w:rsid w:val="006F200E"/>
    <w:rsid w:val="006F205D"/>
    <w:rsid w:val="006F23BD"/>
    <w:rsid w:val="006F2490"/>
    <w:rsid w:val="006F2791"/>
    <w:rsid w:val="006F2832"/>
    <w:rsid w:val="006F2855"/>
    <w:rsid w:val="006F2985"/>
    <w:rsid w:val="006F2A13"/>
    <w:rsid w:val="006F2F31"/>
    <w:rsid w:val="006F308E"/>
    <w:rsid w:val="006F31EC"/>
    <w:rsid w:val="006F34B9"/>
    <w:rsid w:val="006F3542"/>
    <w:rsid w:val="006F3BC9"/>
    <w:rsid w:val="006F3CA8"/>
    <w:rsid w:val="006F3F88"/>
    <w:rsid w:val="006F4206"/>
    <w:rsid w:val="006F4434"/>
    <w:rsid w:val="006F469F"/>
    <w:rsid w:val="006F46A6"/>
    <w:rsid w:val="006F47E3"/>
    <w:rsid w:val="006F48F9"/>
    <w:rsid w:val="006F4AD6"/>
    <w:rsid w:val="006F4B2C"/>
    <w:rsid w:val="006F521B"/>
    <w:rsid w:val="006F55C4"/>
    <w:rsid w:val="006F5730"/>
    <w:rsid w:val="006F5746"/>
    <w:rsid w:val="006F5856"/>
    <w:rsid w:val="006F5972"/>
    <w:rsid w:val="006F5BC9"/>
    <w:rsid w:val="006F5F5D"/>
    <w:rsid w:val="006F5F6D"/>
    <w:rsid w:val="006F5FFB"/>
    <w:rsid w:val="006F6127"/>
    <w:rsid w:val="006F633A"/>
    <w:rsid w:val="006F6584"/>
    <w:rsid w:val="006F6606"/>
    <w:rsid w:val="006F6994"/>
    <w:rsid w:val="006F6BDE"/>
    <w:rsid w:val="006F6F76"/>
    <w:rsid w:val="006F7094"/>
    <w:rsid w:val="006F72D6"/>
    <w:rsid w:val="006F7468"/>
    <w:rsid w:val="006F750F"/>
    <w:rsid w:val="006F7527"/>
    <w:rsid w:val="006F753C"/>
    <w:rsid w:val="006F76BB"/>
    <w:rsid w:val="006F777D"/>
    <w:rsid w:val="006F780F"/>
    <w:rsid w:val="006F78CD"/>
    <w:rsid w:val="006F78EE"/>
    <w:rsid w:val="006F7927"/>
    <w:rsid w:val="006F794F"/>
    <w:rsid w:val="006F7DB4"/>
    <w:rsid w:val="006F7E3E"/>
    <w:rsid w:val="006F7F69"/>
    <w:rsid w:val="006F7FBB"/>
    <w:rsid w:val="00700737"/>
    <w:rsid w:val="00700794"/>
    <w:rsid w:val="00700952"/>
    <w:rsid w:val="007009D8"/>
    <w:rsid w:val="00700C7E"/>
    <w:rsid w:val="00700CB9"/>
    <w:rsid w:val="00700E02"/>
    <w:rsid w:val="00700F20"/>
    <w:rsid w:val="00700F78"/>
    <w:rsid w:val="00700F7E"/>
    <w:rsid w:val="00701041"/>
    <w:rsid w:val="00701162"/>
    <w:rsid w:val="00701176"/>
    <w:rsid w:val="007013E7"/>
    <w:rsid w:val="00701681"/>
    <w:rsid w:val="0070173E"/>
    <w:rsid w:val="00701843"/>
    <w:rsid w:val="00701A03"/>
    <w:rsid w:val="00701A54"/>
    <w:rsid w:val="00701D06"/>
    <w:rsid w:val="00701D8F"/>
    <w:rsid w:val="00701F9C"/>
    <w:rsid w:val="007026EF"/>
    <w:rsid w:val="007028C0"/>
    <w:rsid w:val="00702934"/>
    <w:rsid w:val="00702A57"/>
    <w:rsid w:val="00702A69"/>
    <w:rsid w:val="00702AA6"/>
    <w:rsid w:val="00702BA6"/>
    <w:rsid w:val="00702D41"/>
    <w:rsid w:val="00702DB2"/>
    <w:rsid w:val="00702E21"/>
    <w:rsid w:val="00702E56"/>
    <w:rsid w:val="00702FB4"/>
    <w:rsid w:val="007030EF"/>
    <w:rsid w:val="00703266"/>
    <w:rsid w:val="007032AC"/>
    <w:rsid w:val="0070331A"/>
    <w:rsid w:val="00703512"/>
    <w:rsid w:val="007036AF"/>
    <w:rsid w:val="00703876"/>
    <w:rsid w:val="00703CC2"/>
    <w:rsid w:val="00703CFE"/>
    <w:rsid w:val="00703EB8"/>
    <w:rsid w:val="00703FAF"/>
    <w:rsid w:val="007040B6"/>
    <w:rsid w:val="00704277"/>
    <w:rsid w:val="007042BE"/>
    <w:rsid w:val="007043C2"/>
    <w:rsid w:val="007043D9"/>
    <w:rsid w:val="00704400"/>
    <w:rsid w:val="00704672"/>
    <w:rsid w:val="0070480A"/>
    <w:rsid w:val="007048CD"/>
    <w:rsid w:val="00704EE0"/>
    <w:rsid w:val="00704EE4"/>
    <w:rsid w:val="007054AE"/>
    <w:rsid w:val="00705ABC"/>
    <w:rsid w:val="00705B3B"/>
    <w:rsid w:val="00705C0D"/>
    <w:rsid w:val="00705CBC"/>
    <w:rsid w:val="00705D06"/>
    <w:rsid w:val="00705D7C"/>
    <w:rsid w:val="00706205"/>
    <w:rsid w:val="00706259"/>
    <w:rsid w:val="0070625B"/>
    <w:rsid w:val="007062DC"/>
    <w:rsid w:val="00706428"/>
    <w:rsid w:val="007067E1"/>
    <w:rsid w:val="007069F5"/>
    <w:rsid w:val="00706B0D"/>
    <w:rsid w:val="00706C53"/>
    <w:rsid w:val="00706C7B"/>
    <w:rsid w:val="00706D73"/>
    <w:rsid w:val="00706D75"/>
    <w:rsid w:val="00706DF5"/>
    <w:rsid w:val="007070F1"/>
    <w:rsid w:val="0070722E"/>
    <w:rsid w:val="00707277"/>
    <w:rsid w:val="0070729E"/>
    <w:rsid w:val="0070734C"/>
    <w:rsid w:val="00707507"/>
    <w:rsid w:val="00707A33"/>
    <w:rsid w:val="00707B36"/>
    <w:rsid w:val="00707BEE"/>
    <w:rsid w:val="007105EA"/>
    <w:rsid w:val="007106D1"/>
    <w:rsid w:val="00710954"/>
    <w:rsid w:val="00710D3B"/>
    <w:rsid w:val="00710D5B"/>
    <w:rsid w:val="00710DCF"/>
    <w:rsid w:val="00710DEF"/>
    <w:rsid w:val="00710E88"/>
    <w:rsid w:val="00711007"/>
    <w:rsid w:val="007111FB"/>
    <w:rsid w:val="007113ED"/>
    <w:rsid w:val="0071140B"/>
    <w:rsid w:val="007114A2"/>
    <w:rsid w:val="00711535"/>
    <w:rsid w:val="00711670"/>
    <w:rsid w:val="00711681"/>
    <w:rsid w:val="0071186B"/>
    <w:rsid w:val="00711910"/>
    <w:rsid w:val="00711A01"/>
    <w:rsid w:val="00711CFF"/>
    <w:rsid w:val="00711EA6"/>
    <w:rsid w:val="00712065"/>
    <w:rsid w:val="007120C0"/>
    <w:rsid w:val="0071245F"/>
    <w:rsid w:val="007129B8"/>
    <w:rsid w:val="00712A86"/>
    <w:rsid w:val="00712CA5"/>
    <w:rsid w:val="00712DEB"/>
    <w:rsid w:val="00712E94"/>
    <w:rsid w:val="0071338B"/>
    <w:rsid w:val="007134B6"/>
    <w:rsid w:val="0071374C"/>
    <w:rsid w:val="007138B8"/>
    <w:rsid w:val="0071394E"/>
    <w:rsid w:val="007139AF"/>
    <w:rsid w:val="00713A23"/>
    <w:rsid w:val="00713AC6"/>
    <w:rsid w:val="00713B05"/>
    <w:rsid w:val="00713BE9"/>
    <w:rsid w:val="00713C49"/>
    <w:rsid w:val="00713C63"/>
    <w:rsid w:val="00713D05"/>
    <w:rsid w:val="00713DA8"/>
    <w:rsid w:val="00713DBA"/>
    <w:rsid w:val="00713F57"/>
    <w:rsid w:val="0071413E"/>
    <w:rsid w:val="00714308"/>
    <w:rsid w:val="00714332"/>
    <w:rsid w:val="007144ED"/>
    <w:rsid w:val="00714732"/>
    <w:rsid w:val="007148BE"/>
    <w:rsid w:val="0071497E"/>
    <w:rsid w:val="007149D2"/>
    <w:rsid w:val="00714AC0"/>
    <w:rsid w:val="00714C2A"/>
    <w:rsid w:val="00714CDD"/>
    <w:rsid w:val="007154C1"/>
    <w:rsid w:val="0071553A"/>
    <w:rsid w:val="00715F73"/>
    <w:rsid w:val="00715FCD"/>
    <w:rsid w:val="00716036"/>
    <w:rsid w:val="007160AC"/>
    <w:rsid w:val="007160E6"/>
    <w:rsid w:val="00716119"/>
    <w:rsid w:val="00716395"/>
    <w:rsid w:val="007164CC"/>
    <w:rsid w:val="007165F6"/>
    <w:rsid w:val="00716606"/>
    <w:rsid w:val="0071683E"/>
    <w:rsid w:val="00716868"/>
    <w:rsid w:val="0071686C"/>
    <w:rsid w:val="00716A53"/>
    <w:rsid w:val="00716B24"/>
    <w:rsid w:val="00716BCF"/>
    <w:rsid w:val="00716D56"/>
    <w:rsid w:val="00716FF5"/>
    <w:rsid w:val="007171BF"/>
    <w:rsid w:val="00717259"/>
    <w:rsid w:val="00717307"/>
    <w:rsid w:val="007173C2"/>
    <w:rsid w:val="0071742E"/>
    <w:rsid w:val="00717611"/>
    <w:rsid w:val="007176F0"/>
    <w:rsid w:val="00717965"/>
    <w:rsid w:val="00717A36"/>
    <w:rsid w:val="00717D8C"/>
    <w:rsid w:val="00717EC9"/>
    <w:rsid w:val="00720002"/>
    <w:rsid w:val="007200E7"/>
    <w:rsid w:val="00720105"/>
    <w:rsid w:val="00720168"/>
    <w:rsid w:val="0072028C"/>
    <w:rsid w:val="00720293"/>
    <w:rsid w:val="00720409"/>
    <w:rsid w:val="007207BD"/>
    <w:rsid w:val="007209E8"/>
    <w:rsid w:val="00720D54"/>
    <w:rsid w:val="00721072"/>
    <w:rsid w:val="00721293"/>
    <w:rsid w:val="00721572"/>
    <w:rsid w:val="00721801"/>
    <w:rsid w:val="00721B2B"/>
    <w:rsid w:val="00721B35"/>
    <w:rsid w:val="00721D41"/>
    <w:rsid w:val="00721DF0"/>
    <w:rsid w:val="00721E1D"/>
    <w:rsid w:val="00722152"/>
    <w:rsid w:val="007221E5"/>
    <w:rsid w:val="007222C3"/>
    <w:rsid w:val="00722454"/>
    <w:rsid w:val="00722C82"/>
    <w:rsid w:val="00722DA3"/>
    <w:rsid w:val="00722E1A"/>
    <w:rsid w:val="00722F02"/>
    <w:rsid w:val="00722FC6"/>
    <w:rsid w:val="00722FDB"/>
    <w:rsid w:val="007231C2"/>
    <w:rsid w:val="007232D6"/>
    <w:rsid w:val="007236D0"/>
    <w:rsid w:val="007236F4"/>
    <w:rsid w:val="0072389D"/>
    <w:rsid w:val="00723952"/>
    <w:rsid w:val="00723D82"/>
    <w:rsid w:val="00723E64"/>
    <w:rsid w:val="00723F70"/>
    <w:rsid w:val="00723F9A"/>
    <w:rsid w:val="007240AF"/>
    <w:rsid w:val="007240F9"/>
    <w:rsid w:val="0072421B"/>
    <w:rsid w:val="00724230"/>
    <w:rsid w:val="0072435F"/>
    <w:rsid w:val="0072439D"/>
    <w:rsid w:val="00724481"/>
    <w:rsid w:val="007249E3"/>
    <w:rsid w:val="00724D24"/>
    <w:rsid w:val="00724EB5"/>
    <w:rsid w:val="00725024"/>
    <w:rsid w:val="00725133"/>
    <w:rsid w:val="007251C0"/>
    <w:rsid w:val="007252E1"/>
    <w:rsid w:val="00725390"/>
    <w:rsid w:val="00725457"/>
    <w:rsid w:val="00725B47"/>
    <w:rsid w:val="00725E90"/>
    <w:rsid w:val="007260C1"/>
    <w:rsid w:val="0072624D"/>
    <w:rsid w:val="007263A3"/>
    <w:rsid w:val="00726A67"/>
    <w:rsid w:val="00726B0D"/>
    <w:rsid w:val="007270DF"/>
    <w:rsid w:val="007270EF"/>
    <w:rsid w:val="00727107"/>
    <w:rsid w:val="00727116"/>
    <w:rsid w:val="0072720D"/>
    <w:rsid w:val="007273E3"/>
    <w:rsid w:val="00727643"/>
    <w:rsid w:val="00727792"/>
    <w:rsid w:val="007278AE"/>
    <w:rsid w:val="007278BA"/>
    <w:rsid w:val="007278C4"/>
    <w:rsid w:val="007278F5"/>
    <w:rsid w:val="00727BFC"/>
    <w:rsid w:val="00727C29"/>
    <w:rsid w:val="00727D30"/>
    <w:rsid w:val="00727EDC"/>
    <w:rsid w:val="00727FC1"/>
    <w:rsid w:val="00727FDA"/>
    <w:rsid w:val="00727FF4"/>
    <w:rsid w:val="007303A7"/>
    <w:rsid w:val="007304C8"/>
    <w:rsid w:val="00730607"/>
    <w:rsid w:val="00730802"/>
    <w:rsid w:val="00730854"/>
    <w:rsid w:val="007309B3"/>
    <w:rsid w:val="00730DB0"/>
    <w:rsid w:val="00730E25"/>
    <w:rsid w:val="00730FCA"/>
    <w:rsid w:val="00730FD2"/>
    <w:rsid w:val="007311FF"/>
    <w:rsid w:val="007313FB"/>
    <w:rsid w:val="00731409"/>
    <w:rsid w:val="007315BE"/>
    <w:rsid w:val="007319F4"/>
    <w:rsid w:val="00731E0F"/>
    <w:rsid w:val="00731F09"/>
    <w:rsid w:val="00731F2B"/>
    <w:rsid w:val="00731FA1"/>
    <w:rsid w:val="0073254E"/>
    <w:rsid w:val="007327E0"/>
    <w:rsid w:val="00732A21"/>
    <w:rsid w:val="00732B70"/>
    <w:rsid w:val="00732BFF"/>
    <w:rsid w:val="00732CE7"/>
    <w:rsid w:val="00732D17"/>
    <w:rsid w:val="00732DFA"/>
    <w:rsid w:val="00732EA8"/>
    <w:rsid w:val="00732FFB"/>
    <w:rsid w:val="007331F5"/>
    <w:rsid w:val="00733419"/>
    <w:rsid w:val="00733437"/>
    <w:rsid w:val="00733540"/>
    <w:rsid w:val="00733889"/>
    <w:rsid w:val="00733A13"/>
    <w:rsid w:val="00733C9B"/>
    <w:rsid w:val="00733CAE"/>
    <w:rsid w:val="00733F85"/>
    <w:rsid w:val="0073439A"/>
    <w:rsid w:val="00734B08"/>
    <w:rsid w:val="00734BC6"/>
    <w:rsid w:val="00734C1D"/>
    <w:rsid w:val="00734DB9"/>
    <w:rsid w:val="00734EF7"/>
    <w:rsid w:val="00734F75"/>
    <w:rsid w:val="00734F99"/>
    <w:rsid w:val="007351BF"/>
    <w:rsid w:val="00735504"/>
    <w:rsid w:val="007355CC"/>
    <w:rsid w:val="007357FC"/>
    <w:rsid w:val="0073588C"/>
    <w:rsid w:val="007358E1"/>
    <w:rsid w:val="00735930"/>
    <w:rsid w:val="0073598B"/>
    <w:rsid w:val="00735A3F"/>
    <w:rsid w:val="00735D34"/>
    <w:rsid w:val="00735DD0"/>
    <w:rsid w:val="0073606C"/>
    <w:rsid w:val="007361A7"/>
    <w:rsid w:val="007361DB"/>
    <w:rsid w:val="00736279"/>
    <w:rsid w:val="00736289"/>
    <w:rsid w:val="00736610"/>
    <w:rsid w:val="00736CBA"/>
    <w:rsid w:val="00736DAC"/>
    <w:rsid w:val="00736DAE"/>
    <w:rsid w:val="0073730D"/>
    <w:rsid w:val="0073731C"/>
    <w:rsid w:val="00737338"/>
    <w:rsid w:val="007373CA"/>
    <w:rsid w:val="007373E7"/>
    <w:rsid w:val="00737725"/>
    <w:rsid w:val="00737AF8"/>
    <w:rsid w:val="00737B5A"/>
    <w:rsid w:val="00740010"/>
    <w:rsid w:val="00740042"/>
    <w:rsid w:val="0074017A"/>
    <w:rsid w:val="007404B9"/>
    <w:rsid w:val="00740684"/>
    <w:rsid w:val="007406AD"/>
    <w:rsid w:val="00740A34"/>
    <w:rsid w:val="00740A52"/>
    <w:rsid w:val="00740AAF"/>
    <w:rsid w:val="00740B74"/>
    <w:rsid w:val="00740C08"/>
    <w:rsid w:val="0074114B"/>
    <w:rsid w:val="007412FE"/>
    <w:rsid w:val="007414CD"/>
    <w:rsid w:val="007415C8"/>
    <w:rsid w:val="00741667"/>
    <w:rsid w:val="00741762"/>
    <w:rsid w:val="00741827"/>
    <w:rsid w:val="00741903"/>
    <w:rsid w:val="00741A73"/>
    <w:rsid w:val="00741B35"/>
    <w:rsid w:val="00741B64"/>
    <w:rsid w:val="00741C17"/>
    <w:rsid w:val="00741CCF"/>
    <w:rsid w:val="00741D6F"/>
    <w:rsid w:val="00741E2D"/>
    <w:rsid w:val="00742079"/>
    <w:rsid w:val="0074219C"/>
    <w:rsid w:val="007422C6"/>
    <w:rsid w:val="00742645"/>
    <w:rsid w:val="007427F2"/>
    <w:rsid w:val="00742C59"/>
    <w:rsid w:val="00743105"/>
    <w:rsid w:val="0074316C"/>
    <w:rsid w:val="0074333F"/>
    <w:rsid w:val="007435CA"/>
    <w:rsid w:val="00743BD3"/>
    <w:rsid w:val="00743CBE"/>
    <w:rsid w:val="0074414B"/>
    <w:rsid w:val="00744343"/>
    <w:rsid w:val="007443D4"/>
    <w:rsid w:val="0074444A"/>
    <w:rsid w:val="00744669"/>
    <w:rsid w:val="0074492B"/>
    <w:rsid w:val="007449CE"/>
    <w:rsid w:val="00744C0A"/>
    <w:rsid w:val="00744CDD"/>
    <w:rsid w:val="00744E2D"/>
    <w:rsid w:val="00744EB8"/>
    <w:rsid w:val="00744F03"/>
    <w:rsid w:val="007450FC"/>
    <w:rsid w:val="007451C1"/>
    <w:rsid w:val="0074538C"/>
    <w:rsid w:val="007454F8"/>
    <w:rsid w:val="007456C4"/>
    <w:rsid w:val="007457AB"/>
    <w:rsid w:val="00745813"/>
    <w:rsid w:val="0074583A"/>
    <w:rsid w:val="00745A28"/>
    <w:rsid w:val="00745A70"/>
    <w:rsid w:val="00745B8D"/>
    <w:rsid w:val="00745D40"/>
    <w:rsid w:val="00745D5F"/>
    <w:rsid w:val="00746A1E"/>
    <w:rsid w:val="00746A89"/>
    <w:rsid w:val="00746AA2"/>
    <w:rsid w:val="00746AB7"/>
    <w:rsid w:val="00746B4A"/>
    <w:rsid w:val="00746B70"/>
    <w:rsid w:val="00747324"/>
    <w:rsid w:val="00747542"/>
    <w:rsid w:val="00747616"/>
    <w:rsid w:val="00747633"/>
    <w:rsid w:val="00747638"/>
    <w:rsid w:val="007476D9"/>
    <w:rsid w:val="00747AEB"/>
    <w:rsid w:val="00747B32"/>
    <w:rsid w:val="00747B45"/>
    <w:rsid w:val="00747E0F"/>
    <w:rsid w:val="00750593"/>
    <w:rsid w:val="0075068A"/>
    <w:rsid w:val="007506F6"/>
    <w:rsid w:val="00750ACD"/>
    <w:rsid w:val="00750B4D"/>
    <w:rsid w:val="00750BFD"/>
    <w:rsid w:val="00750CF7"/>
    <w:rsid w:val="0075117C"/>
    <w:rsid w:val="0075131C"/>
    <w:rsid w:val="00751453"/>
    <w:rsid w:val="0075146E"/>
    <w:rsid w:val="00751525"/>
    <w:rsid w:val="0075161E"/>
    <w:rsid w:val="00751713"/>
    <w:rsid w:val="007519CD"/>
    <w:rsid w:val="00751AF3"/>
    <w:rsid w:val="00751B1D"/>
    <w:rsid w:val="00751B20"/>
    <w:rsid w:val="00751BE1"/>
    <w:rsid w:val="00751C63"/>
    <w:rsid w:val="00751CF6"/>
    <w:rsid w:val="00751DC8"/>
    <w:rsid w:val="007521F6"/>
    <w:rsid w:val="007522EE"/>
    <w:rsid w:val="00752449"/>
    <w:rsid w:val="00752469"/>
    <w:rsid w:val="0075258E"/>
    <w:rsid w:val="00752987"/>
    <w:rsid w:val="00752990"/>
    <w:rsid w:val="007529AD"/>
    <w:rsid w:val="00752CFA"/>
    <w:rsid w:val="00753784"/>
    <w:rsid w:val="00753CD0"/>
    <w:rsid w:val="00753D38"/>
    <w:rsid w:val="00753D92"/>
    <w:rsid w:val="00753E9F"/>
    <w:rsid w:val="00753EE4"/>
    <w:rsid w:val="0075402B"/>
    <w:rsid w:val="00754321"/>
    <w:rsid w:val="00754393"/>
    <w:rsid w:val="007547F0"/>
    <w:rsid w:val="00754A20"/>
    <w:rsid w:val="00754A26"/>
    <w:rsid w:val="00754D4F"/>
    <w:rsid w:val="00754F94"/>
    <w:rsid w:val="00755240"/>
    <w:rsid w:val="00755280"/>
    <w:rsid w:val="007552C9"/>
    <w:rsid w:val="007552D2"/>
    <w:rsid w:val="007553C4"/>
    <w:rsid w:val="00755AE7"/>
    <w:rsid w:val="00755B7E"/>
    <w:rsid w:val="00755BF4"/>
    <w:rsid w:val="00755C53"/>
    <w:rsid w:val="00755DC3"/>
    <w:rsid w:val="00755E3C"/>
    <w:rsid w:val="00755E78"/>
    <w:rsid w:val="0075600E"/>
    <w:rsid w:val="007561B1"/>
    <w:rsid w:val="007563E5"/>
    <w:rsid w:val="0075664F"/>
    <w:rsid w:val="007567DB"/>
    <w:rsid w:val="007567FF"/>
    <w:rsid w:val="007568A4"/>
    <w:rsid w:val="00756A31"/>
    <w:rsid w:val="00756E36"/>
    <w:rsid w:val="0075704D"/>
    <w:rsid w:val="0075730C"/>
    <w:rsid w:val="007575F1"/>
    <w:rsid w:val="00757623"/>
    <w:rsid w:val="00757797"/>
    <w:rsid w:val="007578B6"/>
    <w:rsid w:val="0075796A"/>
    <w:rsid w:val="00757A0C"/>
    <w:rsid w:val="00757B86"/>
    <w:rsid w:val="00757C40"/>
    <w:rsid w:val="007600D1"/>
    <w:rsid w:val="007601D8"/>
    <w:rsid w:val="0076024C"/>
    <w:rsid w:val="00760406"/>
    <w:rsid w:val="00760425"/>
    <w:rsid w:val="00760426"/>
    <w:rsid w:val="0076055E"/>
    <w:rsid w:val="0076073D"/>
    <w:rsid w:val="00760A8B"/>
    <w:rsid w:val="00760AFA"/>
    <w:rsid w:val="00760D23"/>
    <w:rsid w:val="00760E4D"/>
    <w:rsid w:val="00760E93"/>
    <w:rsid w:val="00760E9B"/>
    <w:rsid w:val="00761053"/>
    <w:rsid w:val="007610B7"/>
    <w:rsid w:val="007612CC"/>
    <w:rsid w:val="0076131C"/>
    <w:rsid w:val="00761350"/>
    <w:rsid w:val="00761461"/>
    <w:rsid w:val="00761655"/>
    <w:rsid w:val="00761847"/>
    <w:rsid w:val="00761902"/>
    <w:rsid w:val="007619BD"/>
    <w:rsid w:val="00761AEE"/>
    <w:rsid w:val="00761B97"/>
    <w:rsid w:val="00761CE5"/>
    <w:rsid w:val="00762094"/>
    <w:rsid w:val="00762343"/>
    <w:rsid w:val="0076239D"/>
    <w:rsid w:val="007623DA"/>
    <w:rsid w:val="007626FB"/>
    <w:rsid w:val="007628E5"/>
    <w:rsid w:val="00762934"/>
    <w:rsid w:val="00762984"/>
    <w:rsid w:val="00762CAC"/>
    <w:rsid w:val="00762D67"/>
    <w:rsid w:val="00762D96"/>
    <w:rsid w:val="00762E98"/>
    <w:rsid w:val="007631C1"/>
    <w:rsid w:val="007632F7"/>
    <w:rsid w:val="007635F9"/>
    <w:rsid w:val="00763771"/>
    <w:rsid w:val="00763AEE"/>
    <w:rsid w:val="00763B0A"/>
    <w:rsid w:val="00763C73"/>
    <w:rsid w:val="00763F12"/>
    <w:rsid w:val="00764109"/>
    <w:rsid w:val="00764438"/>
    <w:rsid w:val="007644CA"/>
    <w:rsid w:val="007646EF"/>
    <w:rsid w:val="00764915"/>
    <w:rsid w:val="00764DA3"/>
    <w:rsid w:val="00764DB4"/>
    <w:rsid w:val="007650B3"/>
    <w:rsid w:val="00765206"/>
    <w:rsid w:val="00765563"/>
    <w:rsid w:val="00765694"/>
    <w:rsid w:val="007656DD"/>
    <w:rsid w:val="00765A8F"/>
    <w:rsid w:val="00765E4B"/>
    <w:rsid w:val="00765EF9"/>
    <w:rsid w:val="00766060"/>
    <w:rsid w:val="007660B0"/>
    <w:rsid w:val="00766423"/>
    <w:rsid w:val="00766646"/>
    <w:rsid w:val="00766712"/>
    <w:rsid w:val="0076682C"/>
    <w:rsid w:val="00766D46"/>
    <w:rsid w:val="00766D61"/>
    <w:rsid w:val="0076750E"/>
    <w:rsid w:val="007675E0"/>
    <w:rsid w:val="00767ACF"/>
    <w:rsid w:val="00767AE9"/>
    <w:rsid w:val="00767C9B"/>
    <w:rsid w:val="00767DD2"/>
    <w:rsid w:val="007701DC"/>
    <w:rsid w:val="00770395"/>
    <w:rsid w:val="007704DA"/>
    <w:rsid w:val="0077052E"/>
    <w:rsid w:val="007709B7"/>
    <w:rsid w:val="00770A78"/>
    <w:rsid w:val="00770BAD"/>
    <w:rsid w:val="00770DC2"/>
    <w:rsid w:val="0077100E"/>
    <w:rsid w:val="007715F1"/>
    <w:rsid w:val="007717CE"/>
    <w:rsid w:val="0077197A"/>
    <w:rsid w:val="00771C14"/>
    <w:rsid w:val="00771C83"/>
    <w:rsid w:val="00771F16"/>
    <w:rsid w:val="0077226D"/>
    <w:rsid w:val="007725A4"/>
    <w:rsid w:val="0077265B"/>
    <w:rsid w:val="00772746"/>
    <w:rsid w:val="007728CB"/>
    <w:rsid w:val="007728D6"/>
    <w:rsid w:val="00772B9A"/>
    <w:rsid w:val="00772D97"/>
    <w:rsid w:val="00773015"/>
    <w:rsid w:val="0077332E"/>
    <w:rsid w:val="0077348A"/>
    <w:rsid w:val="00773554"/>
    <w:rsid w:val="00773577"/>
    <w:rsid w:val="007735C2"/>
    <w:rsid w:val="0077372A"/>
    <w:rsid w:val="007737D1"/>
    <w:rsid w:val="00773A1A"/>
    <w:rsid w:val="00773E60"/>
    <w:rsid w:val="00773E9D"/>
    <w:rsid w:val="00773ECD"/>
    <w:rsid w:val="00774220"/>
    <w:rsid w:val="00774547"/>
    <w:rsid w:val="007746E9"/>
    <w:rsid w:val="007748F9"/>
    <w:rsid w:val="00774BBE"/>
    <w:rsid w:val="00774BF4"/>
    <w:rsid w:val="0077515F"/>
    <w:rsid w:val="007751A6"/>
    <w:rsid w:val="00775598"/>
    <w:rsid w:val="007757DC"/>
    <w:rsid w:val="00775A6F"/>
    <w:rsid w:val="00775BD2"/>
    <w:rsid w:val="00775C1C"/>
    <w:rsid w:val="00776112"/>
    <w:rsid w:val="00776522"/>
    <w:rsid w:val="0077652B"/>
    <w:rsid w:val="007765C2"/>
    <w:rsid w:val="007766EF"/>
    <w:rsid w:val="0077672A"/>
    <w:rsid w:val="00776942"/>
    <w:rsid w:val="00776A90"/>
    <w:rsid w:val="00776B19"/>
    <w:rsid w:val="00776B57"/>
    <w:rsid w:val="00776D87"/>
    <w:rsid w:val="00776F1B"/>
    <w:rsid w:val="00777014"/>
    <w:rsid w:val="007770E6"/>
    <w:rsid w:val="00777431"/>
    <w:rsid w:val="007775A4"/>
    <w:rsid w:val="007777FB"/>
    <w:rsid w:val="007778DA"/>
    <w:rsid w:val="00777B4C"/>
    <w:rsid w:val="00777EC4"/>
    <w:rsid w:val="00777EC7"/>
    <w:rsid w:val="00777EE0"/>
    <w:rsid w:val="00780040"/>
    <w:rsid w:val="00780149"/>
    <w:rsid w:val="00780237"/>
    <w:rsid w:val="00780329"/>
    <w:rsid w:val="007804A1"/>
    <w:rsid w:val="007804EA"/>
    <w:rsid w:val="00780541"/>
    <w:rsid w:val="00780559"/>
    <w:rsid w:val="0078059C"/>
    <w:rsid w:val="00780847"/>
    <w:rsid w:val="00780B09"/>
    <w:rsid w:val="00780C0F"/>
    <w:rsid w:val="00780D52"/>
    <w:rsid w:val="00781360"/>
    <w:rsid w:val="00781399"/>
    <w:rsid w:val="007813CA"/>
    <w:rsid w:val="00781460"/>
    <w:rsid w:val="007814FA"/>
    <w:rsid w:val="0078155B"/>
    <w:rsid w:val="00781852"/>
    <w:rsid w:val="00781957"/>
    <w:rsid w:val="00781996"/>
    <w:rsid w:val="00781B83"/>
    <w:rsid w:val="00781BB9"/>
    <w:rsid w:val="00781F1A"/>
    <w:rsid w:val="00781FFE"/>
    <w:rsid w:val="0078223A"/>
    <w:rsid w:val="0078232C"/>
    <w:rsid w:val="007824D8"/>
    <w:rsid w:val="00782600"/>
    <w:rsid w:val="0078264A"/>
    <w:rsid w:val="0078269E"/>
    <w:rsid w:val="007826A5"/>
    <w:rsid w:val="007826B2"/>
    <w:rsid w:val="0078272B"/>
    <w:rsid w:val="00782851"/>
    <w:rsid w:val="0078286C"/>
    <w:rsid w:val="00782A0E"/>
    <w:rsid w:val="00782A33"/>
    <w:rsid w:val="00782A85"/>
    <w:rsid w:val="00782B87"/>
    <w:rsid w:val="00782B8C"/>
    <w:rsid w:val="00782BC3"/>
    <w:rsid w:val="00782DA9"/>
    <w:rsid w:val="00782FA4"/>
    <w:rsid w:val="00782FBE"/>
    <w:rsid w:val="007830B3"/>
    <w:rsid w:val="007830F6"/>
    <w:rsid w:val="00783254"/>
    <w:rsid w:val="007835F4"/>
    <w:rsid w:val="00783746"/>
    <w:rsid w:val="007838B0"/>
    <w:rsid w:val="00783927"/>
    <w:rsid w:val="00784176"/>
    <w:rsid w:val="00784235"/>
    <w:rsid w:val="007842F5"/>
    <w:rsid w:val="007842FB"/>
    <w:rsid w:val="007844EB"/>
    <w:rsid w:val="00784564"/>
    <w:rsid w:val="0078467C"/>
    <w:rsid w:val="00784D37"/>
    <w:rsid w:val="00784DB8"/>
    <w:rsid w:val="0078513B"/>
    <w:rsid w:val="007851EB"/>
    <w:rsid w:val="007852E3"/>
    <w:rsid w:val="00785496"/>
    <w:rsid w:val="007855C5"/>
    <w:rsid w:val="007859F7"/>
    <w:rsid w:val="00785BFB"/>
    <w:rsid w:val="00785C09"/>
    <w:rsid w:val="00785CED"/>
    <w:rsid w:val="00785E08"/>
    <w:rsid w:val="00785F5B"/>
    <w:rsid w:val="00785F77"/>
    <w:rsid w:val="00785FED"/>
    <w:rsid w:val="00786594"/>
    <w:rsid w:val="00786681"/>
    <w:rsid w:val="00786801"/>
    <w:rsid w:val="00786AF9"/>
    <w:rsid w:val="00787153"/>
    <w:rsid w:val="007874C8"/>
    <w:rsid w:val="007874CB"/>
    <w:rsid w:val="007874DC"/>
    <w:rsid w:val="00787599"/>
    <w:rsid w:val="007877CC"/>
    <w:rsid w:val="00787A22"/>
    <w:rsid w:val="00787AC0"/>
    <w:rsid w:val="00787C05"/>
    <w:rsid w:val="00787D03"/>
    <w:rsid w:val="007900A0"/>
    <w:rsid w:val="007901CD"/>
    <w:rsid w:val="00790212"/>
    <w:rsid w:val="00790271"/>
    <w:rsid w:val="0079036B"/>
    <w:rsid w:val="0079049B"/>
    <w:rsid w:val="00790584"/>
    <w:rsid w:val="00790741"/>
    <w:rsid w:val="00790A2E"/>
    <w:rsid w:val="00790C2C"/>
    <w:rsid w:val="00790D31"/>
    <w:rsid w:val="00790D53"/>
    <w:rsid w:val="00790D68"/>
    <w:rsid w:val="0079102D"/>
    <w:rsid w:val="00791152"/>
    <w:rsid w:val="00791218"/>
    <w:rsid w:val="0079142F"/>
    <w:rsid w:val="00791479"/>
    <w:rsid w:val="007916E4"/>
    <w:rsid w:val="00791740"/>
    <w:rsid w:val="007917C2"/>
    <w:rsid w:val="007917E4"/>
    <w:rsid w:val="00791867"/>
    <w:rsid w:val="00791A8C"/>
    <w:rsid w:val="00791B4A"/>
    <w:rsid w:val="00791D57"/>
    <w:rsid w:val="00791DD7"/>
    <w:rsid w:val="00791DDD"/>
    <w:rsid w:val="00791E9C"/>
    <w:rsid w:val="00791FFC"/>
    <w:rsid w:val="00792159"/>
    <w:rsid w:val="0079232A"/>
    <w:rsid w:val="007923E4"/>
    <w:rsid w:val="00792454"/>
    <w:rsid w:val="007928AC"/>
    <w:rsid w:val="00792991"/>
    <w:rsid w:val="00792B29"/>
    <w:rsid w:val="00792EEB"/>
    <w:rsid w:val="00792FD2"/>
    <w:rsid w:val="00793275"/>
    <w:rsid w:val="00793492"/>
    <w:rsid w:val="00793598"/>
    <w:rsid w:val="007936C9"/>
    <w:rsid w:val="0079375F"/>
    <w:rsid w:val="00793990"/>
    <w:rsid w:val="007939B0"/>
    <w:rsid w:val="00793AF4"/>
    <w:rsid w:val="00793C19"/>
    <w:rsid w:val="00793D0D"/>
    <w:rsid w:val="00793E58"/>
    <w:rsid w:val="00793FDC"/>
    <w:rsid w:val="007940DA"/>
    <w:rsid w:val="0079421D"/>
    <w:rsid w:val="00794418"/>
    <w:rsid w:val="00794497"/>
    <w:rsid w:val="00794564"/>
    <w:rsid w:val="0079473B"/>
    <w:rsid w:val="00794893"/>
    <w:rsid w:val="00794C78"/>
    <w:rsid w:val="00794CDC"/>
    <w:rsid w:val="00794EAF"/>
    <w:rsid w:val="00794EFD"/>
    <w:rsid w:val="00795081"/>
    <w:rsid w:val="007950CF"/>
    <w:rsid w:val="007950F4"/>
    <w:rsid w:val="00795108"/>
    <w:rsid w:val="0079513C"/>
    <w:rsid w:val="0079527D"/>
    <w:rsid w:val="007952DA"/>
    <w:rsid w:val="00795536"/>
    <w:rsid w:val="0079571E"/>
    <w:rsid w:val="0079595E"/>
    <w:rsid w:val="00795A58"/>
    <w:rsid w:val="00795BB4"/>
    <w:rsid w:val="00795C53"/>
    <w:rsid w:val="00795D15"/>
    <w:rsid w:val="00795D2D"/>
    <w:rsid w:val="00795E97"/>
    <w:rsid w:val="00795F7E"/>
    <w:rsid w:val="0079616F"/>
    <w:rsid w:val="00796185"/>
    <w:rsid w:val="00796398"/>
    <w:rsid w:val="00796583"/>
    <w:rsid w:val="007965EF"/>
    <w:rsid w:val="0079669E"/>
    <w:rsid w:val="007966A4"/>
    <w:rsid w:val="00796796"/>
    <w:rsid w:val="007967DE"/>
    <w:rsid w:val="00796A43"/>
    <w:rsid w:val="00796CE3"/>
    <w:rsid w:val="00796E8B"/>
    <w:rsid w:val="00796FFA"/>
    <w:rsid w:val="0079701D"/>
    <w:rsid w:val="00797390"/>
    <w:rsid w:val="00797458"/>
    <w:rsid w:val="007977D6"/>
    <w:rsid w:val="007978E9"/>
    <w:rsid w:val="007979E8"/>
    <w:rsid w:val="00797A0F"/>
    <w:rsid w:val="00797A76"/>
    <w:rsid w:val="00797C80"/>
    <w:rsid w:val="00797F46"/>
    <w:rsid w:val="007A030A"/>
    <w:rsid w:val="007A0474"/>
    <w:rsid w:val="007A0513"/>
    <w:rsid w:val="007A05BF"/>
    <w:rsid w:val="007A08A8"/>
    <w:rsid w:val="007A0935"/>
    <w:rsid w:val="007A0AF2"/>
    <w:rsid w:val="007A0E1C"/>
    <w:rsid w:val="007A0FD9"/>
    <w:rsid w:val="007A12E3"/>
    <w:rsid w:val="007A14FE"/>
    <w:rsid w:val="007A1624"/>
    <w:rsid w:val="007A167C"/>
    <w:rsid w:val="007A1680"/>
    <w:rsid w:val="007A168D"/>
    <w:rsid w:val="007A173E"/>
    <w:rsid w:val="007A1F21"/>
    <w:rsid w:val="007A20DE"/>
    <w:rsid w:val="007A279D"/>
    <w:rsid w:val="007A2B30"/>
    <w:rsid w:val="007A2BBC"/>
    <w:rsid w:val="007A2C0F"/>
    <w:rsid w:val="007A2DB4"/>
    <w:rsid w:val="007A2EA7"/>
    <w:rsid w:val="007A3005"/>
    <w:rsid w:val="007A30DF"/>
    <w:rsid w:val="007A3207"/>
    <w:rsid w:val="007A375A"/>
    <w:rsid w:val="007A376D"/>
    <w:rsid w:val="007A389D"/>
    <w:rsid w:val="007A38CF"/>
    <w:rsid w:val="007A3AB7"/>
    <w:rsid w:val="007A3B4B"/>
    <w:rsid w:val="007A3FCB"/>
    <w:rsid w:val="007A411B"/>
    <w:rsid w:val="007A424A"/>
    <w:rsid w:val="007A4692"/>
    <w:rsid w:val="007A4783"/>
    <w:rsid w:val="007A479A"/>
    <w:rsid w:val="007A47C0"/>
    <w:rsid w:val="007A490E"/>
    <w:rsid w:val="007A4B1E"/>
    <w:rsid w:val="007A4CF0"/>
    <w:rsid w:val="007A4D60"/>
    <w:rsid w:val="007A4D62"/>
    <w:rsid w:val="007A4D77"/>
    <w:rsid w:val="007A4EAC"/>
    <w:rsid w:val="007A4F72"/>
    <w:rsid w:val="007A5356"/>
    <w:rsid w:val="007A541D"/>
    <w:rsid w:val="007A5476"/>
    <w:rsid w:val="007A55E6"/>
    <w:rsid w:val="007A5828"/>
    <w:rsid w:val="007A58DF"/>
    <w:rsid w:val="007A5E65"/>
    <w:rsid w:val="007A6073"/>
    <w:rsid w:val="007A61E8"/>
    <w:rsid w:val="007A6236"/>
    <w:rsid w:val="007A6485"/>
    <w:rsid w:val="007A692C"/>
    <w:rsid w:val="007A6A00"/>
    <w:rsid w:val="007A6BFF"/>
    <w:rsid w:val="007A6F18"/>
    <w:rsid w:val="007A6FC7"/>
    <w:rsid w:val="007A709D"/>
    <w:rsid w:val="007A7299"/>
    <w:rsid w:val="007A738A"/>
    <w:rsid w:val="007A770B"/>
    <w:rsid w:val="007A775B"/>
    <w:rsid w:val="007A798F"/>
    <w:rsid w:val="007A79C3"/>
    <w:rsid w:val="007A7AE0"/>
    <w:rsid w:val="007A7B72"/>
    <w:rsid w:val="007A7C66"/>
    <w:rsid w:val="007A7CB6"/>
    <w:rsid w:val="007A7CF7"/>
    <w:rsid w:val="007A7DC1"/>
    <w:rsid w:val="007A7EFA"/>
    <w:rsid w:val="007B004C"/>
    <w:rsid w:val="007B00DC"/>
    <w:rsid w:val="007B01E0"/>
    <w:rsid w:val="007B0346"/>
    <w:rsid w:val="007B03F0"/>
    <w:rsid w:val="007B04F5"/>
    <w:rsid w:val="007B0833"/>
    <w:rsid w:val="007B09DB"/>
    <w:rsid w:val="007B09E7"/>
    <w:rsid w:val="007B0A16"/>
    <w:rsid w:val="007B0A68"/>
    <w:rsid w:val="007B0D08"/>
    <w:rsid w:val="007B0E69"/>
    <w:rsid w:val="007B11B8"/>
    <w:rsid w:val="007B12D1"/>
    <w:rsid w:val="007B132D"/>
    <w:rsid w:val="007B143D"/>
    <w:rsid w:val="007B147F"/>
    <w:rsid w:val="007B17CC"/>
    <w:rsid w:val="007B199F"/>
    <w:rsid w:val="007B1A82"/>
    <w:rsid w:val="007B1E77"/>
    <w:rsid w:val="007B1F35"/>
    <w:rsid w:val="007B1FD8"/>
    <w:rsid w:val="007B2315"/>
    <w:rsid w:val="007B2376"/>
    <w:rsid w:val="007B23F9"/>
    <w:rsid w:val="007B248E"/>
    <w:rsid w:val="007B25BA"/>
    <w:rsid w:val="007B2840"/>
    <w:rsid w:val="007B28F5"/>
    <w:rsid w:val="007B2AE4"/>
    <w:rsid w:val="007B2D0D"/>
    <w:rsid w:val="007B2FA6"/>
    <w:rsid w:val="007B3116"/>
    <w:rsid w:val="007B349B"/>
    <w:rsid w:val="007B3F33"/>
    <w:rsid w:val="007B3FA5"/>
    <w:rsid w:val="007B42F7"/>
    <w:rsid w:val="007B43F3"/>
    <w:rsid w:val="007B4441"/>
    <w:rsid w:val="007B451E"/>
    <w:rsid w:val="007B4551"/>
    <w:rsid w:val="007B458B"/>
    <w:rsid w:val="007B45DB"/>
    <w:rsid w:val="007B484E"/>
    <w:rsid w:val="007B48EF"/>
    <w:rsid w:val="007B4927"/>
    <w:rsid w:val="007B4BA7"/>
    <w:rsid w:val="007B51A0"/>
    <w:rsid w:val="007B51C5"/>
    <w:rsid w:val="007B5240"/>
    <w:rsid w:val="007B54E3"/>
    <w:rsid w:val="007B566C"/>
    <w:rsid w:val="007B56D6"/>
    <w:rsid w:val="007B56EB"/>
    <w:rsid w:val="007B5B9F"/>
    <w:rsid w:val="007B5BD0"/>
    <w:rsid w:val="007B600A"/>
    <w:rsid w:val="007B603A"/>
    <w:rsid w:val="007B6051"/>
    <w:rsid w:val="007B6194"/>
    <w:rsid w:val="007B624E"/>
    <w:rsid w:val="007B627F"/>
    <w:rsid w:val="007B631C"/>
    <w:rsid w:val="007B63AA"/>
    <w:rsid w:val="007B641F"/>
    <w:rsid w:val="007B64B2"/>
    <w:rsid w:val="007B65AD"/>
    <w:rsid w:val="007B6605"/>
    <w:rsid w:val="007B672E"/>
    <w:rsid w:val="007B68C9"/>
    <w:rsid w:val="007B69D8"/>
    <w:rsid w:val="007B69FC"/>
    <w:rsid w:val="007B6A5C"/>
    <w:rsid w:val="007B6B91"/>
    <w:rsid w:val="007B6D03"/>
    <w:rsid w:val="007B7075"/>
    <w:rsid w:val="007B7084"/>
    <w:rsid w:val="007B7220"/>
    <w:rsid w:val="007B72BC"/>
    <w:rsid w:val="007B75DE"/>
    <w:rsid w:val="007B76DA"/>
    <w:rsid w:val="007B7BF1"/>
    <w:rsid w:val="007B7D53"/>
    <w:rsid w:val="007B7FB5"/>
    <w:rsid w:val="007C0003"/>
    <w:rsid w:val="007C01E9"/>
    <w:rsid w:val="007C0214"/>
    <w:rsid w:val="007C07D5"/>
    <w:rsid w:val="007C09BA"/>
    <w:rsid w:val="007C0A00"/>
    <w:rsid w:val="007C0C5E"/>
    <w:rsid w:val="007C0E94"/>
    <w:rsid w:val="007C0FA4"/>
    <w:rsid w:val="007C0FBE"/>
    <w:rsid w:val="007C1103"/>
    <w:rsid w:val="007C12C3"/>
    <w:rsid w:val="007C1313"/>
    <w:rsid w:val="007C14E6"/>
    <w:rsid w:val="007C1BD4"/>
    <w:rsid w:val="007C1BE1"/>
    <w:rsid w:val="007C1CAD"/>
    <w:rsid w:val="007C1F8C"/>
    <w:rsid w:val="007C201B"/>
    <w:rsid w:val="007C21E4"/>
    <w:rsid w:val="007C2254"/>
    <w:rsid w:val="007C231B"/>
    <w:rsid w:val="007C2377"/>
    <w:rsid w:val="007C2577"/>
    <w:rsid w:val="007C2A79"/>
    <w:rsid w:val="007C2D32"/>
    <w:rsid w:val="007C33A8"/>
    <w:rsid w:val="007C38CC"/>
    <w:rsid w:val="007C3ABE"/>
    <w:rsid w:val="007C3BAD"/>
    <w:rsid w:val="007C3D35"/>
    <w:rsid w:val="007C3E2A"/>
    <w:rsid w:val="007C3EA8"/>
    <w:rsid w:val="007C3EDD"/>
    <w:rsid w:val="007C3F33"/>
    <w:rsid w:val="007C3FB6"/>
    <w:rsid w:val="007C426B"/>
    <w:rsid w:val="007C463B"/>
    <w:rsid w:val="007C47FE"/>
    <w:rsid w:val="007C4AA9"/>
    <w:rsid w:val="007C4E5C"/>
    <w:rsid w:val="007C4FB2"/>
    <w:rsid w:val="007C508A"/>
    <w:rsid w:val="007C50B6"/>
    <w:rsid w:val="007C53B8"/>
    <w:rsid w:val="007C5614"/>
    <w:rsid w:val="007C565C"/>
    <w:rsid w:val="007C5A49"/>
    <w:rsid w:val="007C5A56"/>
    <w:rsid w:val="007C5A69"/>
    <w:rsid w:val="007C5A78"/>
    <w:rsid w:val="007C5D05"/>
    <w:rsid w:val="007C5D95"/>
    <w:rsid w:val="007C5DC2"/>
    <w:rsid w:val="007C5EE0"/>
    <w:rsid w:val="007C5F8B"/>
    <w:rsid w:val="007C686B"/>
    <w:rsid w:val="007C6991"/>
    <w:rsid w:val="007C6A0D"/>
    <w:rsid w:val="007C6C82"/>
    <w:rsid w:val="007C6F11"/>
    <w:rsid w:val="007C6F2E"/>
    <w:rsid w:val="007C7322"/>
    <w:rsid w:val="007C74D9"/>
    <w:rsid w:val="007C7537"/>
    <w:rsid w:val="007C7804"/>
    <w:rsid w:val="007C7B0F"/>
    <w:rsid w:val="007C7B71"/>
    <w:rsid w:val="007C7CC9"/>
    <w:rsid w:val="007C7F08"/>
    <w:rsid w:val="007D044F"/>
    <w:rsid w:val="007D05B3"/>
    <w:rsid w:val="007D068D"/>
    <w:rsid w:val="007D08D5"/>
    <w:rsid w:val="007D094F"/>
    <w:rsid w:val="007D0B3F"/>
    <w:rsid w:val="007D0CD5"/>
    <w:rsid w:val="007D0E6B"/>
    <w:rsid w:val="007D0FB8"/>
    <w:rsid w:val="007D10D9"/>
    <w:rsid w:val="007D1104"/>
    <w:rsid w:val="007D11FB"/>
    <w:rsid w:val="007D1372"/>
    <w:rsid w:val="007D14BB"/>
    <w:rsid w:val="007D16AD"/>
    <w:rsid w:val="007D1823"/>
    <w:rsid w:val="007D18C4"/>
    <w:rsid w:val="007D1C85"/>
    <w:rsid w:val="007D207E"/>
    <w:rsid w:val="007D21E6"/>
    <w:rsid w:val="007D23B4"/>
    <w:rsid w:val="007D26E9"/>
    <w:rsid w:val="007D278B"/>
    <w:rsid w:val="007D289E"/>
    <w:rsid w:val="007D295B"/>
    <w:rsid w:val="007D2BC5"/>
    <w:rsid w:val="007D2E0B"/>
    <w:rsid w:val="007D2E3D"/>
    <w:rsid w:val="007D3240"/>
    <w:rsid w:val="007D3507"/>
    <w:rsid w:val="007D3681"/>
    <w:rsid w:val="007D3771"/>
    <w:rsid w:val="007D37AA"/>
    <w:rsid w:val="007D3A0C"/>
    <w:rsid w:val="007D3A91"/>
    <w:rsid w:val="007D3D80"/>
    <w:rsid w:val="007D3E1C"/>
    <w:rsid w:val="007D41C0"/>
    <w:rsid w:val="007D4306"/>
    <w:rsid w:val="007D4C6B"/>
    <w:rsid w:val="007D4CFF"/>
    <w:rsid w:val="007D4FEC"/>
    <w:rsid w:val="007D520D"/>
    <w:rsid w:val="007D591F"/>
    <w:rsid w:val="007D5B45"/>
    <w:rsid w:val="007D5CA7"/>
    <w:rsid w:val="007D5F58"/>
    <w:rsid w:val="007D6029"/>
    <w:rsid w:val="007D631B"/>
    <w:rsid w:val="007D6394"/>
    <w:rsid w:val="007D6614"/>
    <w:rsid w:val="007D6A5D"/>
    <w:rsid w:val="007D6F5C"/>
    <w:rsid w:val="007D71D8"/>
    <w:rsid w:val="007D73A8"/>
    <w:rsid w:val="007D7523"/>
    <w:rsid w:val="007D7605"/>
    <w:rsid w:val="007D763F"/>
    <w:rsid w:val="007D7763"/>
    <w:rsid w:val="007D7D1E"/>
    <w:rsid w:val="007D7E5B"/>
    <w:rsid w:val="007E0319"/>
    <w:rsid w:val="007E05F1"/>
    <w:rsid w:val="007E0A53"/>
    <w:rsid w:val="007E0C5C"/>
    <w:rsid w:val="007E0C95"/>
    <w:rsid w:val="007E0DF5"/>
    <w:rsid w:val="007E0E3B"/>
    <w:rsid w:val="007E0ECA"/>
    <w:rsid w:val="007E0F88"/>
    <w:rsid w:val="007E10AE"/>
    <w:rsid w:val="007E13B5"/>
    <w:rsid w:val="007E13FF"/>
    <w:rsid w:val="007E143A"/>
    <w:rsid w:val="007E1750"/>
    <w:rsid w:val="007E1A60"/>
    <w:rsid w:val="007E1AC5"/>
    <w:rsid w:val="007E1ACB"/>
    <w:rsid w:val="007E1CAE"/>
    <w:rsid w:val="007E1CDF"/>
    <w:rsid w:val="007E1D24"/>
    <w:rsid w:val="007E1D54"/>
    <w:rsid w:val="007E1E9F"/>
    <w:rsid w:val="007E24A1"/>
    <w:rsid w:val="007E2512"/>
    <w:rsid w:val="007E27E4"/>
    <w:rsid w:val="007E28C5"/>
    <w:rsid w:val="007E2B54"/>
    <w:rsid w:val="007E2F69"/>
    <w:rsid w:val="007E30F3"/>
    <w:rsid w:val="007E32CB"/>
    <w:rsid w:val="007E344F"/>
    <w:rsid w:val="007E35B0"/>
    <w:rsid w:val="007E3649"/>
    <w:rsid w:val="007E3670"/>
    <w:rsid w:val="007E3760"/>
    <w:rsid w:val="007E39DD"/>
    <w:rsid w:val="007E3B80"/>
    <w:rsid w:val="007E3C4A"/>
    <w:rsid w:val="007E3DA4"/>
    <w:rsid w:val="007E417E"/>
    <w:rsid w:val="007E434E"/>
    <w:rsid w:val="007E4621"/>
    <w:rsid w:val="007E483E"/>
    <w:rsid w:val="007E486F"/>
    <w:rsid w:val="007E4B1C"/>
    <w:rsid w:val="007E4B7F"/>
    <w:rsid w:val="007E4C24"/>
    <w:rsid w:val="007E4C41"/>
    <w:rsid w:val="007E4E5B"/>
    <w:rsid w:val="007E4FAC"/>
    <w:rsid w:val="007E4FDB"/>
    <w:rsid w:val="007E5101"/>
    <w:rsid w:val="007E550E"/>
    <w:rsid w:val="007E572D"/>
    <w:rsid w:val="007E5A2C"/>
    <w:rsid w:val="007E5CF7"/>
    <w:rsid w:val="007E5D47"/>
    <w:rsid w:val="007E5D60"/>
    <w:rsid w:val="007E5FA9"/>
    <w:rsid w:val="007E600F"/>
    <w:rsid w:val="007E6350"/>
    <w:rsid w:val="007E6465"/>
    <w:rsid w:val="007E6552"/>
    <w:rsid w:val="007E6908"/>
    <w:rsid w:val="007E69C2"/>
    <w:rsid w:val="007E6B36"/>
    <w:rsid w:val="007E6DE3"/>
    <w:rsid w:val="007E7138"/>
    <w:rsid w:val="007E74B3"/>
    <w:rsid w:val="007E74C3"/>
    <w:rsid w:val="007E756C"/>
    <w:rsid w:val="007E77F2"/>
    <w:rsid w:val="007E794E"/>
    <w:rsid w:val="007F014B"/>
    <w:rsid w:val="007F034C"/>
    <w:rsid w:val="007F06E5"/>
    <w:rsid w:val="007F06FE"/>
    <w:rsid w:val="007F1219"/>
    <w:rsid w:val="007F1446"/>
    <w:rsid w:val="007F1547"/>
    <w:rsid w:val="007F1972"/>
    <w:rsid w:val="007F1992"/>
    <w:rsid w:val="007F19A7"/>
    <w:rsid w:val="007F1A65"/>
    <w:rsid w:val="007F221D"/>
    <w:rsid w:val="007F22C9"/>
    <w:rsid w:val="007F26E6"/>
    <w:rsid w:val="007F2835"/>
    <w:rsid w:val="007F2967"/>
    <w:rsid w:val="007F2A0F"/>
    <w:rsid w:val="007F2B75"/>
    <w:rsid w:val="007F2BD6"/>
    <w:rsid w:val="007F2CA1"/>
    <w:rsid w:val="007F2E18"/>
    <w:rsid w:val="007F2ED0"/>
    <w:rsid w:val="007F2FD5"/>
    <w:rsid w:val="007F3196"/>
    <w:rsid w:val="007F31DC"/>
    <w:rsid w:val="007F323B"/>
    <w:rsid w:val="007F336D"/>
    <w:rsid w:val="007F3749"/>
    <w:rsid w:val="007F3962"/>
    <w:rsid w:val="007F39B6"/>
    <w:rsid w:val="007F3E2B"/>
    <w:rsid w:val="007F40BB"/>
    <w:rsid w:val="007F40F6"/>
    <w:rsid w:val="007F421A"/>
    <w:rsid w:val="007F432F"/>
    <w:rsid w:val="007F4380"/>
    <w:rsid w:val="007F4620"/>
    <w:rsid w:val="007F46F0"/>
    <w:rsid w:val="007F4A44"/>
    <w:rsid w:val="007F4BBF"/>
    <w:rsid w:val="007F4EFE"/>
    <w:rsid w:val="007F4F5C"/>
    <w:rsid w:val="007F5133"/>
    <w:rsid w:val="007F5278"/>
    <w:rsid w:val="007F52DB"/>
    <w:rsid w:val="007F5389"/>
    <w:rsid w:val="007F5442"/>
    <w:rsid w:val="007F54F6"/>
    <w:rsid w:val="007F550E"/>
    <w:rsid w:val="007F560F"/>
    <w:rsid w:val="007F5687"/>
    <w:rsid w:val="007F5733"/>
    <w:rsid w:val="007F5858"/>
    <w:rsid w:val="007F59B5"/>
    <w:rsid w:val="007F5FBB"/>
    <w:rsid w:val="007F6016"/>
    <w:rsid w:val="007F640D"/>
    <w:rsid w:val="007F6419"/>
    <w:rsid w:val="007F6590"/>
    <w:rsid w:val="007F65AD"/>
    <w:rsid w:val="007F6637"/>
    <w:rsid w:val="007F68E4"/>
    <w:rsid w:val="007F6B08"/>
    <w:rsid w:val="007F6BE1"/>
    <w:rsid w:val="007F6D40"/>
    <w:rsid w:val="007F6E40"/>
    <w:rsid w:val="007F71D3"/>
    <w:rsid w:val="007F72B1"/>
    <w:rsid w:val="007F742F"/>
    <w:rsid w:val="007F7445"/>
    <w:rsid w:val="007F7529"/>
    <w:rsid w:val="007F7606"/>
    <w:rsid w:val="007F78B6"/>
    <w:rsid w:val="007F7A12"/>
    <w:rsid w:val="007F7AFB"/>
    <w:rsid w:val="007F7BB9"/>
    <w:rsid w:val="007F7C32"/>
    <w:rsid w:val="007F7C56"/>
    <w:rsid w:val="007F7CC1"/>
    <w:rsid w:val="007F7D66"/>
    <w:rsid w:val="007F7E25"/>
    <w:rsid w:val="007F7E47"/>
    <w:rsid w:val="00800467"/>
    <w:rsid w:val="008008DB"/>
    <w:rsid w:val="00800994"/>
    <w:rsid w:val="00800B7F"/>
    <w:rsid w:val="00800C2D"/>
    <w:rsid w:val="00800CF7"/>
    <w:rsid w:val="00800F45"/>
    <w:rsid w:val="00800FA1"/>
    <w:rsid w:val="0080106A"/>
    <w:rsid w:val="00801217"/>
    <w:rsid w:val="0080122F"/>
    <w:rsid w:val="0080147B"/>
    <w:rsid w:val="0080148C"/>
    <w:rsid w:val="00801822"/>
    <w:rsid w:val="008018CA"/>
    <w:rsid w:val="008018E0"/>
    <w:rsid w:val="00801B76"/>
    <w:rsid w:val="00801C8D"/>
    <w:rsid w:val="00801D54"/>
    <w:rsid w:val="00801D9E"/>
    <w:rsid w:val="00801DF8"/>
    <w:rsid w:val="00801ED6"/>
    <w:rsid w:val="00802442"/>
    <w:rsid w:val="0080250E"/>
    <w:rsid w:val="00802C14"/>
    <w:rsid w:val="00802CE7"/>
    <w:rsid w:val="00802CF1"/>
    <w:rsid w:val="00802E50"/>
    <w:rsid w:val="00802E75"/>
    <w:rsid w:val="00802F50"/>
    <w:rsid w:val="008032A6"/>
    <w:rsid w:val="00803631"/>
    <w:rsid w:val="00803689"/>
    <w:rsid w:val="008037D0"/>
    <w:rsid w:val="00803854"/>
    <w:rsid w:val="00803D29"/>
    <w:rsid w:val="00803E67"/>
    <w:rsid w:val="00803E7E"/>
    <w:rsid w:val="008040B2"/>
    <w:rsid w:val="008041FE"/>
    <w:rsid w:val="00804311"/>
    <w:rsid w:val="008044AD"/>
    <w:rsid w:val="008048C0"/>
    <w:rsid w:val="00804C72"/>
    <w:rsid w:val="00804D0D"/>
    <w:rsid w:val="00804EA2"/>
    <w:rsid w:val="00804F10"/>
    <w:rsid w:val="0080521D"/>
    <w:rsid w:val="00805273"/>
    <w:rsid w:val="008052D7"/>
    <w:rsid w:val="00805471"/>
    <w:rsid w:val="008055DB"/>
    <w:rsid w:val="00805ACA"/>
    <w:rsid w:val="00805BFB"/>
    <w:rsid w:val="00805CBC"/>
    <w:rsid w:val="00805CE0"/>
    <w:rsid w:val="0080608C"/>
    <w:rsid w:val="008063D6"/>
    <w:rsid w:val="008065AE"/>
    <w:rsid w:val="00806640"/>
    <w:rsid w:val="008067AB"/>
    <w:rsid w:val="00806918"/>
    <w:rsid w:val="00806A74"/>
    <w:rsid w:val="00806CD8"/>
    <w:rsid w:val="00806D50"/>
    <w:rsid w:val="008070B7"/>
    <w:rsid w:val="00807120"/>
    <w:rsid w:val="00807489"/>
    <w:rsid w:val="0080764C"/>
    <w:rsid w:val="00807980"/>
    <w:rsid w:val="008079B5"/>
    <w:rsid w:val="00807A9A"/>
    <w:rsid w:val="00807D27"/>
    <w:rsid w:val="00807F59"/>
    <w:rsid w:val="00807FD7"/>
    <w:rsid w:val="0081003D"/>
    <w:rsid w:val="008100A4"/>
    <w:rsid w:val="0081011D"/>
    <w:rsid w:val="00810238"/>
    <w:rsid w:val="0081045B"/>
    <w:rsid w:val="0081049D"/>
    <w:rsid w:val="00810639"/>
    <w:rsid w:val="008106B0"/>
    <w:rsid w:val="00810C27"/>
    <w:rsid w:val="00810DF5"/>
    <w:rsid w:val="00810F16"/>
    <w:rsid w:val="00811256"/>
    <w:rsid w:val="0081161A"/>
    <w:rsid w:val="008116AD"/>
    <w:rsid w:val="00811822"/>
    <w:rsid w:val="00811A43"/>
    <w:rsid w:val="00811B65"/>
    <w:rsid w:val="00811C6C"/>
    <w:rsid w:val="00811D46"/>
    <w:rsid w:val="00811DD1"/>
    <w:rsid w:val="00812353"/>
    <w:rsid w:val="008123B4"/>
    <w:rsid w:val="0081253C"/>
    <w:rsid w:val="008125B0"/>
    <w:rsid w:val="00812818"/>
    <w:rsid w:val="00812A3B"/>
    <w:rsid w:val="00813197"/>
    <w:rsid w:val="008131EB"/>
    <w:rsid w:val="00813399"/>
    <w:rsid w:val="00813426"/>
    <w:rsid w:val="00813BB6"/>
    <w:rsid w:val="00814044"/>
    <w:rsid w:val="00814522"/>
    <w:rsid w:val="00814595"/>
    <w:rsid w:val="008145E1"/>
    <w:rsid w:val="00814616"/>
    <w:rsid w:val="00814687"/>
    <w:rsid w:val="00814973"/>
    <w:rsid w:val="00814DBC"/>
    <w:rsid w:val="00814E94"/>
    <w:rsid w:val="00814FAF"/>
    <w:rsid w:val="00814FF4"/>
    <w:rsid w:val="00815054"/>
    <w:rsid w:val="008150E7"/>
    <w:rsid w:val="00815158"/>
    <w:rsid w:val="008151B0"/>
    <w:rsid w:val="00815249"/>
    <w:rsid w:val="00815488"/>
    <w:rsid w:val="0081580F"/>
    <w:rsid w:val="00815B2A"/>
    <w:rsid w:val="00815E6A"/>
    <w:rsid w:val="0081614E"/>
    <w:rsid w:val="0081633A"/>
    <w:rsid w:val="0081646D"/>
    <w:rsid w:val="008166A9"/>
    <w:rsid w:val="008166DC"/>
    <w:rsid w:val="00816988"/>
    <w:rsid w:val="008169C1"/>
    <w:rsid w:val="00816CF4"/>
    <w:rsid w:val="00816DE7"/>
    <w:rsid w:val="00816E27"/>
    <w:rsid w:val="00816FAC"/>
    <w:rsid w:val="008170E3"/>
    <w:rsid w:val="0081735D"/>
    <w:rsid w:val="00817588"/>
    <w:rsid w:val="008178A2"/>
    <w:rsid w:val="00817D92"/>
    <w:rsid w:val="008200C1"/>
    <w:rsid w:val="0082013B"/>
    <w:rsid w:val="00820287"/>
    <w:rsid w:val="008203D7"/>
    <w:rsid w:val="00820447"/>
    <w:rsid w:val="00820487"/>
    <w:rsid w:val="008205B4"/>
    <w:rsid w:val="008207F6"/>
    <w:rsid w:val="008207FC"/>
    <w:rsid w:val="0082087A"/>
    <w:rsid w:val="00820990"/>
    <w:rsid w:val="008209B3"/>
    <w:rsid w:val="00820B25"/>
    <w:rsid w:val="00820E41"/>
    <w:rsid w:val="00821361"/>
    <w:rsid w:val="00821927"/>
    <w:rsid w:val="00821A4F"/>
    <w:rsid w:val="00821FBF"/>
    <w:rsid w:val="008220E2"/>
    <w:rsid w:val="008222A8"/>
    <w:rsid w:val="008223CF"/>
    <w:rsid w:val="008223EC"/>
    <w:rsid w:val="008228EB"/>
    <w:rsid w:val="00822A28"/>
    <w:rsid w:val="00822ACE"/>
    <w:rsid w:val="00822BB5"/>
    <w:rsid w:val="00822C04"/>
    <w:rsid w:val="00822CEE"/>
    <w:rsid w:val="00822DF7"/>
    <w:rsid w:val="00822F40"/>
    <w:rsid w:val="00823131"/>
    <w:rsid w:val="0082327D"/>
    <w:rsid w:val="0082342F"/>
    <w:rsid w:val="00823541"/>
    <w:rsid w:val="00823833"/>
    <w:rsid w:val="00823A3F"/>
    <w:rsid w:val="00823AFE"/>
    <w:rsid w:val="00823B11"/>
    <w:rsid w:val="00823D36"/>
    <w:rsid w:val="00823F46"/>
    <w:rsid w:val="008240D5"/>
    <w:rsid w:val="0082412E"/>
    <w:rsid w:val="00824599"/>
    <w:rsid w:val="008245B1"/>
    <w:rsid w:val="0082475C"/>
    <w:rsid w:val="008248C7"/>
    <w:rsid w:val="008249DA"/>
    <w:rsid w:val="00824AE9"/>
    <w:rsid w:val="00824DFC"/>
    <w:rsid w:val="008251B2"/>
    <w:rsid w:val="00825328"/>
    <w:rsid w:val="00825702"/>
    <w:rsid w:val="00825B8B"/>
    <w:rsid w:val="00825D1D"/>
    <w:rsid w:val="0082603E"/>
    <w:rsid w:val="00826245"/>
    <w:rsid w:val="00826543"/>
    <w:rsid w:val="0082661F"/>
    <w:rsid w:val="00826623"/>
    <w:rsid w:val="008268B4"/>
    <w:rsid w:val="008269B5"/>
    <w:rsid w:val="00826C3A"/>
    <w:rsid w:val="00826D94"/>
    <w:rsid w:val="00826F7C"/>
    <w:rsid w:val="00827101"/>
    <w:rsid w:val="0082714D"/>
    <w:rsid w:val="00827354"/>
    <w:rsid w:val="0082747C"/>
    <w:rsid w:val="008274CA"/>
    <w:rsid w:val="008275B2"/>
    <w:rsid w:val="00827974"/>
    <w:rsid w:val="00827ABF"/>
    <w:rsid w:val="00827B7B"/>
    <w:rsid w:val="00827E85"/>
    <w:rsid w:val="00827F68"/>
    <w:rsid w:val="00830076"/>
    <w:rsid w:val="008300B0"/>
    <w:rsid w:val="008302E8"/>
    <w:rsid w:val="00830444"/>
    <w:rsid w:val="008304DC"/>
    <w:rsid w:val="00830564"/>
    <w:rsid w:val="008305D3"/>
    <w:rsid w:val="00830614"/>
    <w:rsid w:val="0083061E"/>
    <w:rsid w:val="008306DC"/>
    <w:rsid w:val="008307A2"/>
    <w:rsid w:val="00830BA9"/>
    <w:rsid w:val="00830E12"/>
    <w:rsid w:val="00830E75"/>
    <w:rsid w:val="00831870"/>
    <w:rsid w:val="008318CE"/>
    <w:rsid w:val="008318FC"/>
    <w:rsid w:val="008319A0"/>
    <w:rsid w:val="00831D4E"/>
    <w:rsid w:val="00831DA5"/>
    <w:rsid w:val="00831E95"/>
    <w:rsid w:val="008323F7"/>
    <w:rsid w:val="0083270D"/>
    <w:rsid w:val="00832846"/>
    <w:rsid w:val="0083288D"/>
    <w:rsid w:val="00832999"/>
    <w:rsid w:val="00832C9C"/>
    <w:rsid w:val="00832D86"/>
    <w:rsid w:val="00832FB0"/>
    <w:rsid w:val="0083305E"/>
    <w:rsid w:val="008331A9"/>
    <w:rsid w:val="008332CA"/>
    <w:rsid w:val="008333B5"/>
    <w:rsid w:val="00833510"/>
    <w:rsid w:val="0083360D"/>
    <w:rsid w:val="0083380D"/>
    <w:rsid w:val="008338DC"/>
    <w:rsid w:val="00833A2B"/>
    <w:rsid w:val="00833B3D"/>
    <w:rsid w:val="00833C18"/>
    <w:rsid w:val="00833C29"/>
    <w:rsid w:val="00833E00"/>
    <w:rsid w:val="00833F90"/>
    <w:rsid w:val="00833FEB"/>
    <w:rsid w:val="0083412A"/>
    <w:rsid w:val="0083436C"/>
    <w:rsid w:val="008346F5"/>
    <w:rsid w:val="00834938"/>
    <w:rsid w:val="008349AE"/>
    <w:rsid w:val="00834C94"/>
    <w:rsid w:val="008351CB"/>
    <w:rsid w:val="008351E3"/>
    <w:rsid w:val="00835349"/>
    <w:rsid w:val="00835424"/>
    <w:rsid w:val="0083563A"/>
    <w:rsid w:val="00835650"/>
    <w:rsid w:val="00835E02"/>
    <w:rsid w:val="00835F95"/>
    <w:rsid w:val="00835FF5"/>
    <w:rsid w:val="0083621A"/>
    <w:rsid w:val="008362AD"/>
    <w:rsid w:val="0083641D"/>
    <w:rsid w:val="00836448"/>
    <w:rsid w:val="008364E2"/>
    <w:rsid w:val="00836665"/>
    <w:rsid w:val="0083678D"/>
    <w:rsid w:val="0083682E"/>
    <w:rsid w:val="0083693B"/>
    <w:rsid w:val="008369DA"/>
    <w:rsid w:val="008370E3"/>
    <w:rsid w:val="0083743D"/>
    <w:rsid w:val="008376D9"/>
    <w:rsid w:val="00837836"/>
    <w:rsid w:val="00837886"/>
    <w:rsid w:val="00837971"/>
    <w:rsid w:val="00837A20"/>
    <w:rsid w:val="00837A4C"/>
    <w:rsid w:val="00837A6A"/>
    <w:rsid w:val="00837BB7"/>
    <w:rsid w:val="00837BE5"/>
    <w:rsid w:val="00837FFD"/>
    <w:rsid w:val="008400C2"/>
    <w:rsid w:val="008400D1"/>
    <w:rsid w:val="00840500"/>
    <w:rsid w:val="0084070D"/>
    <w:rsid w:val="00840B3D"/>
    <w:rsid w:val="00840B89"/>
    <w:rsid w:val="00840F56"/>
    <w:rsid w:val="00841039"/>
    <w:rsid w:val="00841058"/>
    <w:rsid w:val="008410F9"/>
    <w:rsid w:val="00841366"/>
    <w:rsid w:val="00841594"/>
    <w:rsid w:val="008418E2"/>
    <w:rsid w:val="00841ADA"/>
    <w:rsid w:val="00841D2C"/>
    <w:rsid w:val="00841F09"/>
    <w:rsid w:val="00842027"/>
    <w:rsid w:val="00842262"/>
    <w:rsid w:val="0084236F"/>
    <w:rsid w:val="008423F8"/>
    <w:rsid w:val="00842BCC"/>
    <w:rsid w:val="00842BEF"/>
    <w:rsid w:val="00842E49"/>
    <w:rsid w:val="00842ED8"/>
    <w:rsid w:val="00842F0C"/>
    <w:rsid w:val="0084302A"/>
    <w:rsid w:val="00843289"/>
    <w:rsid w:val="008434D8"/>
    <w:rsid w:val="0084351A"/>
    <w:rsid w:val="008436F3"/>
    <w:rsid w:val="00843814"/>
    <w:rsid w:val="00843C11"/>
    <w:rsid w:val="00843CA8"/>
    <w:rsid w:val="008441AC"/>
    <w:rsid w:val="00844313"/>
    <w:rsid w:val="00844600"/>
    <w:rsid w:val="00844752"/>
    <w:rsid w:val="00844753"/>
    <w:rsid w:val="008448B8"/>
    <w:rsid w:val="00844BE8"/>
    <w:rsid w:val="00844E04"/>
    <w:rsid w:val="008451E2"/>
    <w:rsid w:val="008452AF"/>
    <w:rsid w:val="008456AF"/>
    <w:rsid w:val="00845928"/>
    <w:rsid w:val="00845AB5"/>
    <w:rsid w:val="00845D45"/>
    <w:rsid w:val="00845DB9"/>
    <w:rsid w:val="00845F9F"/>
    <w:rsid w:val="008460CF"/>
    <w:rsid w:val="0084646E"/>
    <w:rsid w:val="00846503"/>
    <w:rsid w:val="00846590"/>
    <w:rsid w:val="0084679E"/>
    <w:rsid w:val="0084681A"/>
    <w:rsid w:val="00846BAD"/>
    <w:rsid w:val="00846BE9"/>
    <w:rsid w:val="00846D1B"/>
    <w:rsid w:val="00846D3F"/>
    <w:rsid w:val="00847170"/>
    <w:rsid w:val="0084731A"/>
    <w:rsid w:val="00847449"/>
    <w:rsid w:val="00847514"/>
    <w:rsid w:val="008477F5"/>
    <w:rsid w:val="00847A10"/>
    <w:rsid w:val="00847CA6"/>
    <w:rsid w:val="00847F83"/>
    <w:rsid w:val="0085012E"/>
    <w:rsid w:val="00850130"/>
    <w:rsid w:val="008501E0"/>
    <w:rsid w:val="0085020B"/>
    <w:rsid w:val="008504AF"/>
    <w:rsid w:val="00850605"/>
    <w:rsid w:val="00850672"/>
    <w:rsid w:val="0085076B"/>
    <w:rsid w:val="00850C17"/>
    <w:rsid w:val="00850D42"/>
    <w:rsid w:val="00850EC6"/>
    <w:rsid w:val="0085123B"/>
    <w:rsid w:val="0085132B"/>
    <w:rsid w:val="00851392"/>
    <w:rsid w:val="00851495"/>
    <w:rsid w:val="008515B2"/>
    <w:rsid w:val="00851639"/>
    <w:rsid w:val="00851830"/>
    <w:rsid w:val="008518D0"/>
    <w:rsid w:val="00851914"/>
    <w:rsid w:val="0085191E"/>
    <w:rsid w:val="00851945"/>
    <w:rsid w:val="00851A31"/>
    <w:rsid w:val="00851B1B"/>
    <w:rsid w:val="00851B64"/>
    <w:rsid w:val="00851CD0"/>
    <w:rsid w:val="008520BE"/>
    <w:rsid w:val="00852128"/>
    <w:rsid w:val="0085213A"/>
    <w:rsid w:val="0085221C"/>
    <w:rsid w:val="00852941"/>
    <w:rsid w:val="008529A5"/>
    <w:rsid w:val="00852A8B"/>
    <w:rsid w:val="00852C6A"/>
    <w:rsid w:val="00852E43"/>
    <w:rsid w:val="00852EAA"/>
    <w:rsid w:val="00852F97"/>
    <w:rsid w:val="0085306D"/>
    <w:rsid w:val="00853319"/>
    <w:rsid w:val="008533FF"/>
    <w:rsid w:val="0085344B"/>
    <w:rsid w:val="008534E9"/>
    <w:rsid w:val="008534F0"/>
    <w:rsid w:val="008537C7"/>
    <w:rsid w:val="00853E0C"/>
    <w:rsid w:val="00853E5B"/>
    <w:rsid w:val="00853F35"/>
    <w:rsid w:val="0085420D"/>
    <w:rsid w:val="008543FB"/>
    <w:rsid w:val="00854499"/>
    <w:rsid w:val="008544D6"/>
    <w:rsid w:val="00854522"/>
    <w:rsid w:val="00854ADD"/>
    <w:rsid w:val="00854EEA"/>
    <w:rsid w:val="008550E4"/>
    <w:rsid w:val="00855161"/>
    <w:rsid w:val="00855173"/>
    <w:rsid w:val="008554F1"/>
    <w:rsid w:val="008558CA"/>
    <w:rsid w:val="008558FB"/>
    <w:rsid w:val="00855983"/>
    <w:rsid w:val="00855994"/>
    <w:rsid w:val="00855AD9"/>
    <w:rsid w:val="00855B20"/>
    <w:rsid w:val="00855EAB"/>
    <w:rsid w:val="00855EDD"/>
    <w:rsid w:val="00855EE2"/>
    <w:rsid w:val="008562C0"/>
    <w:rsid w:val="008562CC"/>
    <w:rsid w:val="0085655F"/>
    <w:rsid w:val="00856925"/>
    <w:rsid w:val="00856A0D"/>
    <w:rsid w:val="00856B71"/>
    <w:rsid w:val="00856C1A"/>
    <w:rsid w:val="00856C9D"/>
    <w:rsid w:val="00856CE6"/>
    <w:rsid w:val="00857397"/>
    <w:rsid w:val="008573D8"/>
    <w:rsid w:val="00857525"/>
    <w:rsid w:val="00857543"/>
    <w:rsid w:val="008575A9"/>
    <w:rsid w:val="008575F5"/>
    <w:rsid w:val="0085770D"/>
    <w:rsid w:val="00857718"/>
    <w:rsid w:val="00857732"/>
    <w:rsid w:val="008579C7"/>
    <w:rsid w:val="00857A5F"/>
    <w:rsid w:val="00857AEC"/>
    <w:rsid w:val="00857BBA"/>
    <w:rsid w:val="00857CF3"/>
    <w:rsid w:val="00857D00"/>
    <w:rsid w:val="00857E4B"/>
    <w:rsid w:val="00857F50"/>
    <w:rsid w:val="0086002E"/>
    <w:rsid w:val="008600FE"/>
    <w:rsid w:val="008601AD"/>
    <w:rsid w:val="008602D0"/>
    <w:rsid w:val="008603E0"/>
    <w:rsid w:val="008604F7"/>
    <w:rsid w:val="008606FC"/>
    <w:rsid w:val="00860772"/>
    <w:rsid w:val="0086077F"/>
    <w:rsid w:val="00860860"/>
    <w:rsid w:val="00860BEB"/>
    <w:rsid w:val="00860E60"/>
    <w:rsid w:val="00860EF8"/>
    <w:rsid w:val="00860F2A"/>
    <w:rsid w:val="00861158"/>
    <w:rsid w:val="00861469"/>
    <w:rsid w:val="008617AE"/>
    <w:rsid w:val="008617B4"/>
    <w:rsid w:val="0086182A"/>
    <w:rsid w:val="0086187E"/>
    <w:rsid w:val="00861C74"/>
    <w:rsid w:val="00862166"/>
    <w:rsid w:val="008621B9"/>
    <w:rsid w:val="0086223D"/>
    <w:rsid w:val="0086253C"/>
    <w:rsid w:val="008625C6"/>
    <w:rsid w:val="0086270C"/>
    <w:rsid w:val="00862915"/>
    <w:rsid w:val="008629AC"/>
    <w:rsid w:val="00862AF2"/>
    <w:rsid w:val="0086307E"/>
    <w:rsid w:val="008632AA"/>
    <w:rsid w:val="0086344E"/>
    <w:rsid w:val="008634C9"/>
    <w:rsid w:val="00863617"/>
    <w:rsid w:val="0086362F"/>
    <w:rsid w:val="008639B0"/>
    <w:rsid w:val="00863B6D"/>
    <w:rsid w:val="00863ED4"/>
    <w:rsid w:val="008640C9"/>
    <w:rsid w:val="00864349"/>
    <w:rsid w:val="00864528"/>
    <w:rsid w:val="008645AA"/>
    <w:rsid w:val="008646D2"/>
    <w:rsid w:val="00864706"/>
    <w:rsid w:val="008647E7"/>
    <w:rsid w:val="0086491B"/>
    <w:rsid w:val="00864C84"/>
    <w:rsid w:val="00864C97"/>
    <w:rsid w:val="00864D10"/>
    <w:rsid w:val="00864E98"/>
    <w:rsid w:val="00864EF0"/>
    <w:rsid w:val="00865071"/>
    <w:rsid w:val="00865498"/>
    <w:rsid w:val="008654A1"/>
    <w:rsid w:val="00865681"/>
    <w:rsid w:val="0086571D"/>
    <w:rsid w:val="00865764"/>
    <w:rsid w:val="00865CBA"/>
    <w:rsid w:val="00865D41"/>
    <w:rsid w:val="00865DFC"/>
    <w:rsid w:val="00865E58"/>
    <w:rsid w:val="00865E97"/>
    <w:rsid w:val="0086613A"/>
    <w:rsid w:val="0086628C"/>
    <w:rsid w:val="008663FD"/>
    <w:rsid w:val="008664E4"/>
    <w:rsid w:val="00866569"/>
    <w:rsid w:val="008665AC"/>
    <w:rsid w:val="0086678A"/>
    <w:rsid w:val="008669A8"/>
    <w:rsid w:val="00866A08"/>
    <w:rsid w:val="00866A25"/>
    <w:rsid w:val="00866A65"/>
    <w:rsid w:val="00866FC0"/>
    <w:rsid w:val="00867207"/>
    <w:rsid w:val="008676C4"/>
    <w:rsid w:val="0086780C"/>
    <w:rsid w:val="00867AB8"/>
    <w:rsid w:val="00867ABC"/>
    <w:rsid w:val="00867B81"/>
    <w:rsid w:val="00867C5E"/>
    <w:rsid w:val="00867C89"/>
    <w:rsid w:val="00867D5B"/>
    <w:rsid w:val="00867E4D"/>
    <w:rsid w:val="0086A926"/>
    <w:rsid w:val="00870272"/>
    <w:rsid w:val="0087035D"/>
    <w:rsid w:val="008704D2"/>
    <w:rsid w:val="008704DD"/>
    <w:rsid w:val="00870548"/>
    <w:rsid w:val="008705DE"/>
    <w:rsid w:val="00870627"/>
    <w:rsid w:val="0087069D"/>
    <w:rsid w:val="008708EE"/>
    <w:rsid w:val="0087093E"/>
    <w:rsid w:val="00870968"/>
    <w:rsid w:val="008709AF"/>
    <w:rsid w:val="00870A05"/>
    <w:rsid w:val="00870A15"/>
    <w:rsid w:val="00870B7F"/>
    <w:rsid w:val="00871169"/>
    <w:rsid w:val="008712BB"/>
    <w:rsid w:val="0087140A"/>
    <w:rsid w:val="0087162C"/>
    <w:rsid w:val="008716C9"/>
    <w:rsid w:val="00871B40"/>
    <w:rsid w:val="0087240A"/>
    <w:rsid w:val="00872418"/>
    <w:rsid w:val="00872446"/>
    <w:rsid w:val="008724F8"/>
    <w:rsid w:val="0087276A"/>
    <w:rsid w:val="008727EE"/>
    <w:rsid w:val="00872A55"/>
    <w:rsid w:val="00872D20"/>
    <w:rsid w:val="00872FAA"/>
    <w:rsid w:val="00873024"/>
    <w:rsid w:val="00873195"/>
    <w:rsid w:val="008733E5"/>
    <w:rsid w:val="00873528"/>
    <w:rsid w:val="00873AE1"/>
    <w:rsid w:val="00873B54"/>
    <w:rsid w:val="00873BC0"/>
    <w:rsid w:val="00873C37"/>
    <w:rsid w:val="0087429F"/>
    <w:rsid w:val="008745CB"/>
    <w:rsid w:val="0087482A"/>
    <w:rsid w:val="00874A43"/>
    <w:rsid w:val="00874BA4"/>
    <w:rsid w:val="00874BB5"/>
    <w:rsid w:val="00874C4E"/>
    <w:rsid w:val="00874E62"/>
    <w:rsid w:val="00874EA5"/>
    <w:rsid w:val="00874FBF"/>
    <w:rsid w:val="00875009"/>
    <w:rsid w:val="0087502A"/>
    <w:rsid w:val="00875097"/>
    <w:rsid w:val="0087529C"/>
    <w:rsid w:val="0087540B"/>
    <w:rsid w:val="0087555E"/>
    <w:rsid w:val="008758EE"/>
    <w:rsid w:val="00875AFC"/>
    <w:rsid w:val="00875BE4"/>
    <w:rsid w:val="00875D67"/>
    <w:rsid w:val="00875E77"/>
    <w:rsid w:val="00875EB3"/>
    <w:rsid w:val="00876132"/>
    <w:rsid w:val="00876188"/>
    <w:rsid w:val="0087628A"/>
    <w:rsid w:val="0087629D"/>
    <w:rsid w:val="008762FA"/>
    <w:rsid w:val="00876604"/>
    <w:rsid w:val="008766F1"/>
    <w:rsid w:val="0087672A"/>
    <w:rsid w:val="0087687D"/>
    <w:rsid w:val="008769EB"/>
    <w:rsid w:val="00876AA0"/>
    <w:rsid w:val="00876B07"/>
    <w:rsid w:val="00876CDF"/>
    <w:rsid w:val="00876D6A"/>
    <w:rsid w:val="00876F3E"/>
    <w:rsid w:val="0087710A"/>
    <w:rsid w:val="0087713E"/>
    <w:rsid w:val="00877263"/>
    <w:rsid w:val="00877647"/>
    <w:rsid w:val="00877A01"/>
    <w:rsid w:val="00877AB4"/>
    <w:rsid w:val="00877B97"/>
    <w:rsid w:val="00877EF3"/>
    <w:rsid w:val="008800B5"/>
    <w:rsid w:val="00880188"/>
    <w:rsid w:val="00880454"/>
    <w:rsid w:val="00880971"/>
    <w:rsid w:val="00880A4F"/>
    <w:rsid w:val="00880B13"/>
    <w:rsid w:val="00880DB3"/>
    <w:rsid w:val="00880DE4"/>
    <w:rsid w:val="00880FB1"/>
    <w:rsid w:val="008810C8"/>
    <w:rsid w:val="008812F1"/>
    <w:rsid w:val="00881523"/>
    <w:rsid w:val="0088162C"/>
    <w:rsid w:val="008816C0"/>
    <w:rsid w:val="008819DB"/>
    <w:rsid w:val="00881C82"/>
    <w:rsid w:val="00881E1B"/>
    <w:rsid w:val="00881F06"/>
    <w:rsid w:val="00881F8C"/>
    <w:rsid w:val="00882138"/>
    <w:rsid w:val="008821F3"/>
    <w:rsid w:val="0088228C"/>
    <w:rsid w:val="0088236B"/>
    <w:rsid w:val="0088244E"/>
    <w:rsid w:val="008825D3"/>
    <w:rsid w:val="00882997"/>
    <w:rsid w:val="008829CA"/>
    <w:rsid w:val="00882AE9"/>
    <w:rsid w:val="00882D1B"/>
    <w:rsid w:val="00882E9A"/>
    <w:rsid w:val="00882EC5"/>
    <w:rsid w:val="0088320E"/>
    <w:rsid w:val="00883213"/>
    <w:rsid w:val="00883331"/>
    <w:rsid w:val="00883348"/>
    <w:rsid w:val="00883361"/>
    <w:rsid w:val="008837F2"/>
    <w:rsid w:val="008839F2"/>
    <w:rsid w:val="00883A0A"/>
    <w:rsid w:val="00883A8B"/>
    <w:rsid w:val="00883B9F"/>
    <w:rsid w:val="008841BB"/>
    <w:rsid w:val="0088426D"/>
    <w:rsid w:val="00884398"/>
    <w:rsid w:val="008846EE"/>
    <w:rsid w:val="008848C3"/>
    <w:rsid w:val="008848DC"/>
    <w:rsid w:val="00884A75"/>
    <w:rsid w:val="00884B1E"/>
    <w:rsid w:val="00884BB9"/>
    <w:rsid w:val="00884D54"/>
    <w:rsid w:val="00884D9C"/>
    <w:rsid w:val="00884EE1"/>
    <w:rsid w:val="00884F40"/>
    <w:rsid w:val="00885025"/>
    <w:rsid w:val="00885245"/>
    <w:rsid w:val="00885632"/>
    <w:rsid w:val="0088577A"/>
    <w:rsid w:val="0088578D"/>
    <w:rsid w:val="00885841"/>
    <w:rsid w:val="00885903"/>
    <w:rsid w:val="00885A44"/>
    <w:rsid w:val="00885BC5"/>
    <w:rsid w:val="00885BE4"/>
    <w:rsid w:val="00885C23"/>
    <w:rsid w:val="00885D7C"/>
    <w:rsid w:val="00885F3E"/>
    <w:rsid w:val="0088613B"/>
    <w:rsid w:val="00886257"/>
    <w:rsid w:val="008863D6"/>
    <w:rsid w:val="0088651B"/>
    <w:rsid w:val="0088676E"/>
    <w:rsid w:val="008867C1"/>
    <w:rsid w:val="008869B1"/>
    <w:rsid w:val="00886D06"/>
    <w:rsid w:val="00886DDE"/>
    <w:rsid w:val="00886E7D"/>
    <w:rsid w:val="00886EF6"/>
    <w:rsid w:val="00886F21"/>
    <w:rsid w:val="00887073"/>
    <w:rsid w:val="00887151"/>
    <w:rsid w:val="008875FF"/>
    <w:rsid w:val="008877BD"/>
    <w:rsid w:val="00887829"/>
    <w:rsid w:val="00887E24"/>
    <w:rsid w:val="00887FAD"/>
    <w:rsid w:val="0089005A"/>
    <w:rsid w:val="00890112"/>
    <w:rsid w:val="008902ED"/>
    <w:rsid w:val="008904D9"/>
    <w:rsid w:val="00890511"/>
    <w:rsid w:val="008905A6"/>
    <w:rsid w:val="00890885"/>
    <w:rsid w:val="00890988"/>
    <w:rsid w:val="00890C8F"/>
    <w:rsid w:val="00890E6B"/>
    <w:rsid w:val="00890E77"/>
    <w:rsid w:val="00890FB7"/>
    <w:rsid w:val="00891215"/>
    <w:rsid w:val="00891438"/>
    <w:rsid w:val="00891449"/>
    <w:rsid w:val="008914BC"/>
    <w:rsid w:val="008915F4"/>
    <w:rsid w:val="0089195C"/>
    <w:rsid w:val="00891BC2"/>
    <w:rsid w:val="00891D08"/>
    <w:rsid w:val="00891D93"/>
    <w:rsid w:val="00891DAF"/>
    <w:rsid w:val="00891DE2"/>
    <w:rsid w:val="00891EA0"/>
    <w:rsid w:val="00891EF9"/>
    <w:rsid w:val="00892041"/>
    <w:rsid w:val="00892060"/>
    <w:rsid w:val="0089212C"/>
    <w:rsid w:val="008922A6"/>
    <w:rsid w:val="008923FD"/>
    <w:rsid w:val="00892462"/>
    <w:rsid w:val="008925C2"/>
    <w:rsid w:val="0089276D"/>
    <w:rsid w:val="00892AAC"/>
    <w:rsid w:val="00892C31"/>
    <w:rsid w:val="00892CED"/>
    <w:rsid w:val="00893026"/>
    <w:rsid w:val="008936CB"/>
    <w:rsid w:val="008939F5"/>
    <w:rsid w:val="00893B33"/>
    <w:rsid w:val="00893D80"/>
    <w:rsid w:val="00893D8F"/>
    <w:rsid w:val="00893D95"/>
    <w:rsid w:val="00893E59"/>
    <w:rsid w:val="00893E85"/>
    <w:rsid w:val="008940DB"/>
    <w:rsid w:val="008942BB"/>
    <w:rsid w:val="0089431B"/>
    <w:rsid w:val="00894385"/>
    <w:rsid w:val="008944B2"/>
    <w:rsid w:val="008944C3"/>
    <w:rsid w:val="0089455A"/>
    <w:rsid w:val="00894941"/>
    <w:rsid w:val="00894B9B"/>
    <w:rsid w:val="00894D17"/>
    <w:rsid w:val="00894F53"/>
    <w:rsid w:val="0089507B"/>
    <w:rsid w:val="0089534B"/>
    <w:rsid w:val="00895581"/>
    <w:rsid w:val="008959B7"/>
    <w:rsid w:val="00895A50"/>
    <w:rsid w:val="00895A6E"/>
    <w:rsid w:val="00895D56"/>
    <w:rsid w:val="00895E06"/>
    <w:rsid w:val="008961B4"/>
    <w:rsid w:val="0089631B"/>
    <w:rsid w:val="008965FE"/>
    <w:rsid w:val="0089684A"/>
    <w:rsid w:val="008968B1"/>
    <w:rsid w:val="00896A73"/>
    <w:rsid w:val="008970A6"/>
    <w:rsid w:val="00897116"/>
    <w:rsid w:val="0089733C"/>
    <w:rsid w:val="00897686"/>
    <w:rsid w:val="008977F7"/>
    <w:rsid w:val="00897827"/>
    <w:rsid w:val="008978E1"/>
    <w:rsid w:val="00897A48"/>
    <w:rsid w:val="00897B32"/>
    <w:rsid w:val="00897B72"/>
    <w:rsid w:val="00897DDA"/>
    <w:rsid w:val="008A0364"/>
    <w:rsid w:val="008A0674"/>
    <w:rsid w:val="008A06BC"/>
    <w:rsid w:val="008A06F1"/>
    <w:rsid w:val="008A0710"/>
    <w:rsid w:val="008A072A"/>
    <w:rsid w:val="008A093E"/>
    <w:rsid w:val="008A098A"/>
    <w:rsid w:val="008A0D61"/>
    <w:rsid w:val="008A0E05"/>
    <w:rsid w:val="008A10BD"/>
    <w:rsid w:val="008A12F1"/>
    <w:rsid w:val="008A156F"/>
    <w:rsid w:val="008A15A2"/>
    <w:rsid w:val="008A17E1"/>
    <w:rsid w:val="008A1893"/>
    <w:rsid w:val="008A1E72"/>
    <w:rsid w:val="008A2157"/>
    <w:rsid w:val="008A2207"/>
    <w:rsid w:val="008A224F"/>
    <w:rsid w:val="008A23C5"/>
    <w:rsid w:val="008A243E"/>
    <w:rsid w:val="008A2708"/>
    <w:rsid w:val="008A2821"/>
    <w:rsid w:val="008A2CBF"/>
    <w:rsid w:val="008A2FE8"/>
    <w:rsid w:val="008A31FC"/>
    <w:rsid w:val="008A3265"/>
    <w:rsid w:val="008A3591"/>
    <w:rsid w:val="008A367B"/>
    <w:rsid w:val="008A3A04"/>
    <w:rsid w:val="008A3A3B"/>
    <w:rsid w:val="008A3D3B"/>
    <w:rsid w:val="008A3D40"/>
    <w:rsid w:val="008A3E4E"/>
    <w:rsid w:val="008A4257"/>
    <w:rsid w:val="008A4388"/>
    <w:rsid w:val="008A4836"/>
    <w:rsid w:val="008A48CD"/>
    <w:rsid w:val="008A4907"/>
    <w:rsid w:val="008A4930"/>
    <w:rsid w:val="008A49A8"/>
    <w:rsid w:val="008A4B84"/>
    <w:rsid w:val="008A4CAE"/>
    <w:rsid w:val="008A4D86"/>
    <w:rsid w:val="008A4E47"/>
    <w:rsid w:val="008A5047"/>
    <w:rsid w:val="008A5172"/>
    <w:rsid w:val="008A51EC"/>
    <w:rsid w:val="008A526A"/>
    <w:rsid w:val="008A5286"/>
    <w:rsid w:val="008A529A"/>
    <w:rsid w:val="008A52BD"/>
    <w:rsid w:val="008A5473"/>
    <w:rsid w:val="008A5494"/>
    <w:rsid w:val="008A55B0"/>
    <w:rsid w:val="008A55F2"/>
    <w:rsid w:val="008A56B2"/>
    <w:rsid w:val="008A570B"/>
    <w:rsid w:val="008A578C"/>
    <w:rsid w:val="008A57AA"/>
    <w:rsid w:val="008A5E0F"/>
    <w:rsid w:val="008A607B"/>
    <w:rsid w:val="008A61E0"/>
    <w:rsid w:val="008A64E7"/>
    <w:rsid w:val="008A65A6"/>
    <w:rsid w:val="008A65D6"/>
    <w:rsid w:val="008A665D"/>
    <w:rsid w:val="008A684C"/>
    <w:rsid w:val="008A6F02"/>
    <w:rsid w:val="008A7084"/>
    <w:rsid w:val="008A720E"/>
    <w:rsid w:val="008A7338"/>
    <w:rsid w:val="008A7411"/>
    <w:rsid w:val="008A74D3"/>
    <w:rsid w:val="008A75B0"/>
    <w:rsid w:val="008A7B5C"/>
    <w:rsid w:val="008A7DC0"/>
    <w:rsid w:val="008A7FB9"/>
    <w:rsid w:val="008B0009"/>
    <w:rsid w:val="008B016A"/>
    <w:rsid w:val="008B016E"/>
    <w:rsid w:val="008B026D"/>
    <w:rsid w:val="008B089C"/>
    <w:rsid w:val="008B0984"/>
    <w:rsid w:val="008B0AC7"/>
    <w:rsid w:val="008B0B50"/>
    <w:rsid w:val="008B0C3E"/>
    <w:rsid w:val="008B0DC1"/>
    <w:rsid w:val="008B0E5F"/>
    <w:rsid w:val="008B1003"/>
    <w:rsid w:val="008B1056"/>
    <w:rsid w:val="008B12F1"/>
    <w:rsid w:val="008B149D"/>
    <w:rsid w:val="008B14BE"/>
    <w:rsid w:val="008B161F"/>
    <w:rsid w:val="008B1810"/>
    <w:rsid w:val="008B185A"/>
    <w:rsid w:val="008B1906"/>
    <w:rsid w:val="008B1BE3"/>
    <w:rsid w:val="008B1DCA"/>
    <w:rsid w:val="008B1E4C"/>
    <w:rsid w:val="008B2018"/>
    <w:rsid w:val="008B2642"/>
    <w:rsid w:val="008B277E"/>
    <w:rsid w:val="008B28BF"/>
    <w:rsid w:val="008B2AED"/>
    <w:rsid w:val="008B2C94"/>
    <w:rsid w:val="008B2EAB"/>
    <w:rsid w:val="008B342A"/>
    <w:rsid w:val="008B3494"/>
    <w:rsid w:val="008B34D3"/>
    <w:rsid w:val="008B34EF"/>
    <w:rsid w:val="008B38BA"/>
    <w:rsid w:val="008B3AEB"/>
    <w:rsid w:val="008B3E17"/>
    <w:rsid w:val="008B3F52"/>
    <w:rsid w:val="008B3F88"/>
    <w:rsid w:val="008B3FB1"/>
    <w:rsid w:val="008B4135"/>
    <w:rsid w:val="008B416F"/>
    <w:rsid w:val="008B426A"/>
    <w:rsid w:val="008B4343"/>
    <w:rsid w:val="008B43DD"/>
    <w:rsid w:val="008B4412"/>
    <w:rsid w:val="008B472F"/>
    <w:rsid w:val="008B47AC"/>
    <w:rsid w:val="008B47B4"/>
    <w:rsid w:val="008B48CF"/>
    <w:rsid w:val="008B48D0"/>
    <w:rsid w:val="008B496B"/>
    <w:rsid w:val="008B49AD"/>
    <w:rsid w:val="008B49EC"/>
    <w:rsid w:val="008B4DF9"/>
    <w:rsid w:val="008B4E5C"/>
    <w:rsid w:val="008B4EE6"/>
    <w:rsid w:val="008B4F6B"/>
    <w:rsid w:val="008B526C"/>
    <w:rsid w:val="008B54D8"/>
    <w:rsid w:val="008B5B07"/>
    <w:rsid w:val="008B5CAF"/>
    <w:rsid w:val="008B61D5"/>
    <w:rsid w:val="008B6383"/>
    <w:rsid w:val="008B6477"/>
    <w:rsid w:val="008B6567"/>
    <w:rsid w:val="008B65EB"/>
    <w:rsid w:val="008B666F"/>
    <w:rsid w:val="008B6675"/>
    <w:rsid w:val="008B66DE"/>
    <w:rsid w:val="008B67C1"/>
    <w:rsid w:val="008B6BA6"/>
    <w:rsid w:val="008B6C20"/>
    <w:rsid w:val="008B6D28"/>
    <w:rsid w:val="008B6F87"/>
    <w:rsid w:val="008B73FC"/>
    <w:rsid w:val="008B73FD"/>
    <w:rsid w:val="008B76D1"/>
    <w:rsid w:val="008B76F3"/>
    <w:rsid w:val="008B7701"/>
    <w:rsid w:val="008B7959"/>
    <w:rsid w:val="008B7A28"/>
    <w:rsid w:val="008B7D35"/>
    <w:rsid w:val="008B7D98"/>
    <w:rsid w:val="008B7DF7"/>
    <w:rsid w:val="008B7E13"/>
    <w:rsid w:val="008B7EC8"/>
    <w:rsid w:val="008B7ECC"/>
    <w:rsid w:val="008C0067"/>
    <w:rsid w:val="008C0313"/>
    <w:rsid w:val="008C03AF"/>
    <w:rsid w:val="008C0423"/>
    <w:rsid w:val="008C05C8"/>
    <w:rsid w:val="008C066C"/>
    <w:rsid w:val="008C08F0"/>
    <w:rsid w:val="008C0A76"/>
    <w:rsid w:val="008C0B2C"/>
    <w:rsid w:val="008C0CBA"/>
    <w:rsid w:val="008C0E46"/>
    <w:rsid w:val="008C0FAA"/>
    <w:rsid w:val="008C105D"/>
    <w:rsid w:val="008C108B"/>
    <w:rsid w:val="008C1186"/>
    <w:rsid w:val="008C124C"/>
    <w:rsid w:val="008C12A0"/>
    <w:rsid w:val="008C13F3"/>
    <w:rsid w:val="008C14F7"/>
    <w:rsid w:val="008C1507"/>
    <w:rsid w:val="008C17E0"/>
    <w:rsid w:val="008C1814"/>
    <w:rsid w:val="008C1962"/>
    <w:rsid w:val="008C1A4D"/>
    <w:rsid w:val="008C1C40"/>
    <w:rsid w:val="008C1C6E"/>
    <w:rsid w:val="008C1CB5"/>
    <w:rsid w:val="008C1D3A"/>
    <w:rsid w:val="008C1DDA"/>
    <w:rsid w:val="008C2162"/>
    <w:rsid w:val="008C21E5"/>
    <w:rsid w:val="008C241D"/>
    <w:rsid w:val="008C256A"/>
    <w:rsid w:val="008C27B8"/>
    <w:rsid w:val="008C27E2"/>
    <w:rsid w:val="008C27E4"/>
    <w:rsid w:val="008C2AB5"/>
    <w:rsid w:val="008C3058"/>
    <w:rsid w:val="008C3066"/>
    <w:rsid w:val="008C330F"/>
    <w:rsid w:val="008C33DB"/>
    <w:rsid w:val="008C3463"/>
    <w:rsid w:val="008C36BB"/>
    <w:rsid w:val="008C373F"/>
    <w:rsid w:val="008C3854"/>
    <w:rsid w:val="008C3873"/>
    <w:rsid w:val="008C3918"/>
    <w:rsid w:val="008C3A48"/>
    <w:rsid w:val="008C3A97"/>
    <w:rsid w:val="008C3D1D"/>
    <w:rsid w:val="008C3DA5"/>
    <w:rsid w:val="008C3F9C"/>
    <w:rsid w:val="008C3FC8"/>
    <w:rsid w:val="008C40CA"/>
    <w:rsid w:val="008C40D3"/>
    <w:rsid w:val="008C40F3"/>
    <w:rsid w:val="008C476B"/>
    <w:rsid w:val="008C47D7"/>
    <w:rsid w:val="008C4B23"/>
    <w:rsid w:val="008C4BAB"/>
    <w:rsid w:val="008C4EBF"/>
    <w:rsid w:val="008C4F6E"/>
    <w:rsid w:val="008C510B"/>
    <w:rsid w:val="008C5116"/>
    <w:rsid w:val="008C5143"/>
    <w:rsid w:val="008C51E3"/>
    <w:rsid w:val="008C52FB"/>
    <w:rsid w:val="008C554C"/>
    <w:rsid w:val="008C5614"/>
    <w:rsid w:val="008C58B8"/>
    <w:rsid w:val="008C5B40"/>
    <w:rsid w:val="008C5C0F"/>
    <w:rsid w:val="008C5D93"/>
    <w:rsid w:val="008C5E21"/>
    <w:rsid w:val="008C5FAB"/>
    <w:rsid w:val="008C6031"/>
    <w:rsid w:val="008C62C3"/>
    <w:rsid w:val="008C671A"/>
    <w:rsid w:val="008C6804"/>
    <w:rsid w:val="008C68B4"/>
    <w:rsid w:val="008C69DE"/>
    <w:rsid w:val="008C6B2D"/>
    <w:rsid w:val="008C6EB3"/>
    <w:rsid w:val="008C6ECB"/>
    <w:rsid w:val="008C710C"/>
    <w:rsid w:val="008C73BF"/>
    <w:rsid w:val="008C74E5"/>
    <w:rsid w:val="008C754C"/>
    <w:rsid w:val="008C76AA"/>
    <w:rsid w:val="008C7A0C"/>
    <w:rsid w:val="008C7BF0"/>
    <w:rsid w:val="008C7C72"/>
    <w:rsid w:val="008C7CAA"/>
    <w:rsid w:val="008C7F31"/>
    <w:rsid w:val="008D007B"/>
    <w:rsid w:val="008D016C"/>
    <w:rsid w:val="008D0229"/>
    <w:rsid w:val="008D07CE"/>
    <w:rsid w:val="008D0AAB"/>
    <w:rsid w:val="008D0AC0"/>
    <w:rsid w:val="008D0B5F"/>
    <w:rsid w:val="008D0BC6"/>
    <w:rsid w:val="008D0CBA"/>
    <w:rsid w:val="008D0CC2"/>
    <w:rsid w:val="008D0E47"/>
    <w:rsid w:val="008D0E6D"/>
    <w:rsid w:val="008D0F4C"/>
    <w:rsid w:val="008D0F62"/>
    <w:rsid w:val="008D1054"/>
    <w:rsid w:val="008D11AE"/>
    <w:rsid w:val="008D1246"/>
    <w:rsid w:val="008D1277"/>
    <w:rsid w:val="008D1288"/>
    <w:rsid w:val="008D1317"/>
    <w:rsid w:val="008D1356"/>
    <w:rsid w:val="008D13A9"/>
    <w:rsid w:val="008D1431"/>
    <w:rsid w:val="008D1579"/>
    <w:rsid w:val="008D15A6"/>
    <w:rsid w:val="008D166C"/>
    <w:rsid w:val="008D1BCF"/>
    <w:rsid w:val="008D1BDE"/>
    <w:rsid w:val="008D1C31"/>
    <w:rsid w:val="008D1D09"/>
    <w:rsid w:val="008D1D6F"/>
    <w:rsid w:val="008D1F3C"/>
    <w:rsid w:val="008D201C"/>
    <w:rsid w:val="008D21A2"/>
    <w:rsid w:val="008D23B5"/>
    <w:rsid w:val="008D23CA"/>
    <w:rsid w:val="008D23CC"/>
    <w:rsid w:val="008D23D2"/>
    <w:rsid w:val="008D254E"/>
    <w:rsid w:val="008D256F"/>
    <w:rsid w:val="008D2668"/>
    <w:rsid w:val="008D27BB"/>
    <w:rsid w:val="008D27CE"/>
    <w:rsid w:val="008D2C72"/>
    <w:rsid w:val="008D2C8C"/>
    <w:rsid w:val="008D2F1F"/>
    <w:rsid w:val="008D2F32"/>
    <w:rsid w:val="008D30BF"/>
    <w:rsid w:val="008D30DC"/>
    <w:rsid w:val="008D3252"/>
    <w:rsid w:val="008D3446"/>
    <w:rsid w:val="008D3651"/>
    <w:rsid w:val="008D370F"/>
    <w:rsid w:val="008D3860"/>
    <w:rsid w:val="008D399A"/>
    <w:rsid w:val="008D39D9"/>
    <w:rsid w:val="008D3B1B"/>
    <w:rsid w:val="008D3BF9"/>
    <w:rsid w:val="008D3C8C"/>
    <w:rsid w:val="008D3E1B"/>
    <w:rsid w:val="008D3F73"/>
    <w:rsid w:val="008D3FA4"/>
    <w:rsid w:val="008D3FC1"/>
    <w:rsid w:val="008D3FCB"/>
    <w:rsid w:val="008D4A4A"/>
    <w:rsid w:val="008D4BCC"/>
    <w:rsid w:val="008D4DF7"/>
    <w:rsid w:val="008D4E4A"/>
    <w:rsid w:val="008D4F44"/>
    <w:rsid w:val="008D5023"/>
    <w:rsid w:val="008D5124"/>
    <w:rsid w:val="008D52FA"/>
    <w:rsid w:val="008D5490"/>
    <w:rsid w:val="008D570A"/>
    <w:rsid w:val="008D5B09"/>
    <w:rsid w:val="008D5B1C"/>
    <w:rsid w:val="008D5BF0"/>
    <w:rsid w:val="008D5D24"/>
    <w:rsid w:val="008D6171"/>
    <w:rsid w:val="008D6472"/>
    <w:rsid w:val="008D679C"/>
    <w:rsid w:val="008D68A4"/>
    <w:rsid w:val="008D697D"/>
    <w:rsid w:val="008D69C0"/>
    <w:rsid w:val="008D6BB4"/>
    <w:rsid w:val="008D6C16"/>
    <w:rsid w:val="008D6D67"/>
    <w:rsid w:val="008D6E18"/>
    <w:rsid w:val="008D6EE7"/>
    <w:rsid w:val="008D6EF0"/>
    <w:rsid w:val="008D7045"/>
    <w:rsid w:val="008D706C"/>
    <w:rsid w:val="008D7074"/>
    <w:rsid w:val="008D7077"/>
    <w:rsid w:val="008D70EB"/>
    <w:rsid w:val="008D71BC"/>
    <w:rsid w:val="008D7203"/>
    <w:rsid w:val="008D765F"/>
    <w:rsid w:val="008D7842"/>
    <w:rsid w:val="008D785A"/>
    <w:rsid w:val="008D7A7D"/>
    <w:rsid w:val="008D7AFD"/>
    <w:rsid w:val="008D7ED3"/>
    <w:rsid w:val="008E00B1"/>
    <w:rsid w:val="008E01A7"/>
    <w:rsid w:val="008E031E"/>
    <w:rsid w:val="008E077E"/>
    <w:rsid w:val="008E0782"/>
    <w:rsid w:val="008E0846"/>
    <w:rsid w:val="008E08AA"/>
    <w:rsid w:val="008E0C74"/>
    <w:rsid w:val="008E0DF8"/>
    <w:rsid w:val="008E0E76"/>
    <w:rsid w:val="008E1021"/>
    <w:rsid w:val="008E1077"/>
    <w:rsid w:val="008E129F"/>
    <w:rsid w:val="008E152F"/>
    <w:rsid w:val="008E16D2"/>
    <w:rsid w:val="008E188E"/>
    <w:rsid w:val="008E18A9"/>
    <w:rsid w:val="008E1C11"/>
    <w:rsid w:val="008E1C74"/>
    <w:rsid w:val="008E1CF4"/>
    <w:rsid w:val="008E1F61"/>
    <w:rsid w:val="008E21D9"/>
    <w:rsid w:val="008E220D"/>
    <w:rsid w:val="008E221A"/>
    <w:rsid w:val="008E226E"/>
    <w:rsid w:val="008E2590"/>
    <w:rsid w:val="008E259F"/>
    <w:rsid w:val="008E2629"/>
    <w:rsid w:val="008E2B5F"/>
    <w:rsid w:val="008E2E67"/>
    <w:rsid w:val="008E2EB4"/>
    <w:rsid w:val="008E30DD"/>
    <w:rsid w:val="008E3267"/>
    <w:rsid w:val="008E3497"/>
    <w:rsid w:val="008E3563"/>
    <w:rsid w:val="008E3685"/>
    <w:rsid w:val="008E3783"/>
    <w:rsid w:val="008E3911"/>
    <w:rsid w:val="008E3A2D"/>
    <w:rsid w:val="008E3A67"/>
    <w:rsid w:val="008E3BA1"/>
    <w:rsid w:val="008E3BDD"/>
    <w:rsid w:val="008E3CA8"/>
    <w:rsid w:val="008E3CE2"/>
    <w:rsid w:val="008E3E84"/>
    <w:rsid w:val="008E3EC2"/>
    <w:rsid w:val="008E3F72"/>
    <w:rsid w:val="008E41C9"/>
    <w:rsid w:val="008E44D4"/>
    <w:rsid w:val="008E45B8"/>
    <w:rsid w:val="008E45F6"/>
    <w:rsid w:val="008E493B"/>
    <w:rsid w:val="008E49E6"/>
    <w:rsid w:val="008E4A64"/>
    <w:rsid w:val="008E4A92"/>
    <w:rsid w:val="008E4B62"/>
    <w:rsid w:val="008E4C71"/>
    <w:rsid w:val="008E4CA5"/>
    <w:rsid w:val="008E4CF1"/>
    <w:rsid w:val="008E4D56"/>
    <w:rsid w:val="008E4FC9"/>
    <w:rsid w:val="008E5186"/>
    <w:rsid w:val="008E51EC"/>
    <w:rsid w:val="008E561D"/>
    <w:rsid w:val="008E56D1"/>
    <w:rsid w:val="008E575E"/>
    <w:rsid w:val="008E576E"/>
    <w:rsid w:val="008E57AF"/>
    <w:rsid w:val="008E5873"/>
    <w:rsid w:val="008E59B0"/>
    <w:rsid w:val="008E5AD1"/>
    <w:rsid w:val="008E5B9E"/>
    <w:rsid w:val="008E5CBC"/>
    <w:rsid w:val="008E5D1C"/>
    <w:rsid w:val="008E5DD3"/>
    <w:rsid w:val="008E5E63"/>
    <w:rsid w:val="008E60C1"/>
    <w:rsid w:val="008E61B9"/>
    <w:rsid w:val="008E63FF"/>
    <w:rsid w:val="008E6484"/>
    <w:rsid w:val="008E670C"/>
    <w:rsid w:val="008E69AF"/>
    <w:rsid w:val="008E6A11"/>
    <w:rsid w:val="008E6E7B"/>
    <w:rsid w:val="008E6F55"/>
    <w:rsid w:val="008E7160"/>
    <w:rsid w:val="008E7164"/>
    <w:rsid w:val="008E73A8"/>
    <w:rsid w:val="008E7407"/>
    <w:rsid w:val="008E7A1F"/>
    <w:rsid w:val="008E7A30"/>
    <w:rsid w:val="008E7C43"/>
    <w:rsid w:val="008E7FD8"/>
    <w:rsid w:val="008F007D"/>
    <w:rsid w:val="008F0166"/>
    <w:rsid w:val="008F05EE"/>
    <w:rsid w:val="008F066F"/>
    <w:rsid w:val="008F07A7"/>
    <w:rsid w:val="008F096D"/>
    <w:rsid w:val="008F09FD"/>
    <w:rsid w:val="008F0DFC"/>
    <w:rsid w:val="008F0ECC"/>
    <w:rsid w:val="008F0FFE"/>
    <w:rsid w:val="008F11CB"/>
    <w:rsid w:val="008F11E1"/>
    <w:rsid w:val="008F1204"/>
    <w:rsid w:val="008F157B"/>
    <w:rsid w:val="008F1D50"/>
    <w:rsid w:val="008F1DFC"/>
    <w:rsid w:val="008F1F88"/>
    <w:rsid w:val="008F20CF"/>
    <w:rsid w:val="008F2169"/>
    <w:rsid w:val="008F216E"/>
    <w:rsid w:val="008F21AD"/>
    <w:rsid w:val="008F21F9"/>
    <w:rsid w:val="008F23D3"/>
    <w:rsid w:val="008F2613"/>
    <w:rsid w:val="008F28D5"/>
    <w:rsid w:val="008F2A1A"/>
    <w:rsid w:val="008F2A62"/>
    <w:rsid w:val="008F2BCF"/>
    <w:rsid w:val="008F2CB8"/>
    <w:rsid w:val="008F2DB9"/>
    <w:rsid w:val="008F2FE6"/>
    <w:rsid w:val="008F3164"/>
    <w:rsid w:val="008F3171"/>
    <w:rsid w:val="008F32E0"/>
    <w:rsid w:val="008F36D2"/>
    <w:rsid w:val="008F37A0"/>
    <w:rsid w:val="008F3CAC"/>
    <w:rsid w:val="008F3DC0"/>
    <w:rsid w:val="008F3F2A"/>
    <w:rsid w:val="008F3F39"/>
    <w:rsid w:val="008F4040"/>
    <w:rsid w:val="008F4372"/>
    <w:rsid w:val="008F45B4"/>
    <w:rsid w:val="008F45EF"/>
    <w:rsid w:val="008F475C"/>
    <w:rsid w:val="008F4766"/>
    <w:rsid w:val="008F48EB"/>
    <w:rsid w:val="008F49F7"/>
    <w:rsid w:val="008F4DFF"/>
    <w:rsid w:val="008F4F8E"/>
    <w:rsid w:val="008F5205"/>
    <w:rsid w:val="008F527C"/>
    <w:rsid w:val="008F554A"/>
    <w:rsid w:val="008F5571"/>
    <w:rsid w:val="008F56B4"/>
    <w:rsid w:val="008F5947"/>
    <w:rsid w:val="008F5B61"/>
    <w:rsid w:val="008F6165"/>
    <w:rsid w:val="008F621A"/>
    <w:rsid w:val="008F6539"/>
    <w:rsid w:val="008F67C6"/>
    <w:rsid w:val="008F6999"/>
    <w:rsid w:val="008F6CDE"/>
    <w:rsid w:val="008F6F37"/>
    <w:rsid w:val="008F730E"/>
    <w:rsid w:val="008F73B4"/>
    <w:rsid w:val="008F7545"/>
    <w:rsid w:val="008F761A"/>
    <w:rsid w:val="008F783C"/>
    <w:rsid w:val="008F7A21"/>
    <w:rsid w:val="008F7B6E"/>
    <w:rsid w:val="008F7C8D"/>
    <w:rsid w:val="008F7F0D"/>
    <w:rsid w:val="008F7FC8"/>
    <w:rsid w:val="0090035C"/>
    <w:rsid w:val="00900638"/>
    <w:rsid w:val="00900D1C"/>
    <w:rsid w:val="00900EE0"/>
    <w:rsid w:val="00900EF2"/>
    <w:rsid w:val="00900FF9"/>
    <w:rsid w:val="00901106"/>
    <w:rsid w:val="00901285"/>
    <w:rsid w:val="0090128D"/>
    <w:rsid w:val="00901330"/>
    <w:rsid w:val="009014C8"/>
    <w:rsid w:val="00901682"/>
    <w:rsid w:val="009018ED"/>
    <w:rsid w:val="0090194D"/>
    <w:rsid w:val="00901A6B"/>
    <w:rsid w:val="00901BA9"/>
    <w:rsid w:val="00901C56"/>
    <w:rsid w:val="00901F0A"/>
    <w:rsid w:val="00901F4F"/>
    <w:rsid w:val="00901F5E"/>
    <w:rsid w:val="00901F65"/>
    <w:rsid w:val="00902356"/>
    <w:rsid w:val="00902382"/>
    <w:rsid w:val="009023DD"/>
    <w:rsid w:val="0090240C"/>
    <w:rsid w:val="00902410"/>
    <w:rsid w:val="00902499"/>
    <w:rsid w:val="0090259D"/>
    <w:rsid w:val="009026E0"/>
    <w:rsid w:val="009026FA"/>
    <w:rsid w:val="0090274D"/>
    <w:rsid w:val="0090285E"/>
    <w:rsid w:val="00902A4C"/>
    <w:rsid w:val="00902AA7"/>
    <w:rsid w:val="00902B55"/>
    <w:rsid w:val="00902CA6"/>
    <w:rsid w:val="00902D61"/>
    <w:rsid w:val="00902D72"/>
    <w:rsid w:val="00902E94"/>
    <w:rsid w:val="00902F5A"/>
    <w:rsid w:val="00903034"/>
    <w:rsid w:val="009030F8"/>
    <w:rsid w:val="00903591"/>
    <w:rsid w:val="00903C5A"/>
    <w:rsid w:val="00903EF4"/>
    <w:rsid w:val="00903F2E"/>
    <w:rsid w:val="00903F96"/>
    <w:rsid w:val="009040E4"/>
    <w:rsid w:val="009040F4"/>
    <w:rsid w:val="00904174"/>
    <w:rsid w:val="009041AD"/>
    <w:rsid w:val="009042CE"/>
    <w:rsid w:val="00904327"/>
    <w:rsid w:val="0090438F"/>
    <w:rsid w:val="0090445A"/>
    <w:rsid w:val="00904480"/>
    <w:rsid w:val="0090450C"/>
    <w:rsid w:val="00904852"/>
    <w:rsid w:val="00904948"/>
    <w:rsid w:val="00904E27"/>
    <w:rsid w:val="0090509B"/>
    <w:rsid w:val="0090529F"/>
    <w:rsid w:val="0090534C"/>
    <w:rsid w:val="0090558A"/>
    <w:rsid w:val="009055CF"/>
    <w:rsid w:val="00905827"/>
    <w:rsid w:val="0090589A"/>
    <w:rsid w:val="00905976"/>
    <w:rsid w:val="00905F58"/>
    <w:rsid w:val="0090653E"/>
    <w:rsid w:val="009067A4"/>
    <w:rsid w:val="009067FC"/>
    <w:rsid w:val="00906930"/>
    <w:rsid w:val="0090699E"/>
    <w:rsid w:val="009069AA"/>
    <w:rsid w:val="00906A12"/>
    <w:rsid w:val="00906A2D"/>
    <w:rsid w:val="00906CF2"/>
    <w:rsid w:val="00906D71"/>
    <w:rsid w:val="0090710C"/>
    <w:rsid w:val="0090719F"/>
    <w:rsid w:val="00907542"/>
    <w:rsid w:val="00907605"/>
    <w:rsid w:val="009077EC"/>
    <w:rsid w:val="00907A3C"/>
    <w:rsid w:val="00907DAB"/>
    <w:rsid w:val="00907DDE"/>
    <w:rsid w:val="00907E24"/>
    <w:rsid w:val="00907EAE"/>
    <w:rsid w:val="00907F3A"/>
    <w:rsid w:val="00907FCD"/>
    <w:rsid w:val="00910095"/>
    <w:rsid w:val="00910168"/>
    <w:rsid w:val="009101A7"/>
    <w:rsid w:val="00910324"/>
    <w:rsid w:val="00910553"/>
    <w:rsid w:val="00910586"/>
    <w:rsid w:val="00910601"/>
    <w:rsid w:val="00910817"/>
    <w:rsid w:val="00910892"/>
    <w:rsid w:val="009109CF"/>
    <w:rsid w:val="00910B9D"/>
    <w:rsid w:val="00910F05"/>
    <w:rsid w:val="00911180"/>
    <w:rsid w:val="00911329"/>
    <w:rsid w:val="00911418"/>
    <w:rsid w:val="009114B9"/>
    <w:rsid w:val="0091169C"/>
    <w:rsid w:val="009118A7"/>
    <w:rsid w:val="00911A76"/>
    <w:rsid w:val="00911D93"/>
    <w:rsid w:val="00911F01"/>
    <w:rsid w:val="00912365"/>
    <w:rsid w:val="009123D6"/>
    <w:rsid w:val="0091289B"/>
    <w:rsid w:val="00912A35"/>
    <w:rsid w:val="00912A37"/>
    <w:rsid w:val="00912C6B"/>
    <w:rsid w:val="009130AC"/>
    <w:rsid w:val="009131DE"/>
    <w:rsid w:val="009133CB"/>
    <w:rsid w:val="00913B62"/>
    <w:rsid w:val="00913BF7"/>
    <w:rsid w:val="00913C97"/>
    <w:rsid w:val="00913FCB"/>
    <w:rsid w:val="0091409C"/>
    <w:rsid w:val="0091411D"/>
    <w:rsid w:val="00914190"/>
    <w:rsid w:val="009143E4"/>
    <w:rsid w:val="0091440C"/>
    <w:rsid w:val="00914A03"/>
    <w:rsid w:val="00914C25"/>
    <w:rsid w:val="00914D32"/>
    <w:rsid w:val="00914F17"/>
    <w:rsid w:val="00914FAA"/>
    <w:rsid w:val="00915255"/>
    <w:rsid w:val="00915784"/>
    <w:rsid w:val="009159BD"/>
    <w:rsid w:val="00915E90"/>
    <w:rsid w:val="009160DD"/>
    <w:rsid w:val="009162CB"/>
    <w:rsid w:val="009162E7"/>
    <w:rsid w:val="009163DB"/>
    <w:rsid w:val="00916515"/>
    <w:rsid w:val="009167B9"/>
    <w:rsid w:val="009168BD"/>
    <w:rsid w:val="00916B07"/>
    <w:rsid w:val="00916B79"/>
    <w:rsid w:val="00916BA5"/>
    <w:rsid w:val="00916D6B"/>
    <w:rsid w:val="00916EEA"/>
    <w:rsid w:val="00916F7C"/>
    <w:rsid w:val="00916FC2"/>
    <w:rsid w:val="00916FCA"/>
    <w:rsid w:val="0091711B"/>
    <w:rsid w:val="00917253"/>
    <w:rsid w:val="0091739B"/>
    <w:rsid w:val="009176EA"/>
    <w:rsid w:val="0091772F"/>
    <w:rsid w:val="009179DE"/>
    <w:rsid w:val="00917A5C"/>
    <w:rsid w:val="00917DB8"/>
    <w:rsid w:val="00917DFF"/>
    <w:rsid w:val="00917E67"/>
    <w:rsid w:val="00917F96"/>
    <w:rsid w:val="009206A6"/>
    <w:rsid w:val="009209DE"/>
    <w:rsid w:val="00920C9C"/>
    <w:rsid w:val="00920F07"/>
    <w:rsid w:val="009212CD"/>
    <w:rsid w:val="009212DA"/>
    <w:rsid w:val="009217C1"/>
    <w:rsid w:val="009218D1"/>
    <w:rsid w:val="00921F04"/>
    <w:rsid w:val="00922035"/>
    <w:rsid w:val="00922156"/>
    <w:rsid w:val="0092224A"/>
    <w:rsid w:val="009223FB"/>
    <w:rsid w:val="00922424"/>
    <w:rsid w:val="0092261B"/>
    <w:rsid w:val="00922995"/>
    <w:rsid w:val="00922A51"/>
    <w:rsid w:val="00922AEC"/>
    <w:rsid w:val="00922BE7"/>
    <w:rsid w:val="00922D55"/>
    <w:rsid w:val="00922D71"/>
    <w:rsid w:val="00922DDA"/>
    <w:rsid w:val="00922E3A"/>
    <w:rsid w:val="00922FDE"/>
    <w:rsid w:val="0092302F"/>
    <w:rsid w:val="00923132"/>
    <w:rsid w:val="0092337F"/>
    <w:rsid w:val="0092340E"/>
    <w:rsid w:val="009234BC"/>
    <w:rsid w:val="009235E3"/>
    <w:rsid w:val="00923838"/>
    <w:rsid w:val="009238E0"/>
    <w:rsid w:val="00923B07"/>
    <w:rsid w:val="00924120"/>
    <w:rsid w:val="0092419F"/>
    <w:rsid w:val="009244F6"/>
    <w:rsid w:val="0092471E"/>
    <w:rsid w:val="009248B3"/>
    <w:rsid w:val="00924A0F"/>
    <w:rsid w:val="00924A36"/>
    <w:rsid w:val="00924B1A"/>
    <w:rsid w:val="00924B21"/>
    <w:rsid w:val="00924B3B"/>
    <w:rsid w:val="00924FBC"/>
    <w:rsid w:val="00924FDD"/>
    <w:rsid w:val="009252D7"/>
    <w:rsid w:val="009253DB"/>
    <w:rsid w:val="0092553B"/>
    <w:rsid w:val="00925596"/>
    <w:rsid w:val="009258A3"/>
    <w:rsid w:val="0092597F"/>
    <w:rsid w:val="00925B49"/>
    <w:rsid w:val="00925B63"/>
    <w:rsid w:val="009264B1"/>
    <w:rsid w:val="009264E1"/>
    <w:rsid w:val="0092662B"/>
    <w:rsid w:val="00926BEE"/>
    <w:rsid w:val="00926C1B"/>
    <w:rsid w:val="00926C49"/>
    <w:rsid w:val="00926CF9"/>
    <w:rsid w:val="00926DA4"/>
    <w:rsid w:val="00926DB3"/>
    <w:rsid w:val="009270B3"/>
    <w:rsid w:val="00927143"/>
    <w:rsid w:val="009273BC"/>
    <w:rsid w:val="0092742F"/>
    <w:rsid w:val="00927498"/>
    <w:rsid w:val="00927553"/>
    <w:rsid w:val="00927949"/>
    <w:rsid w:val="00927AD6"/>
    <w:rsid w:val="009300B9"/>
    <w:rsid w:val="009301EB"/>
    <w:rsid w:val="00930248"/>
    <w:rsid w:val="0093025B"/>
    <w:rsid w:val="0093045D"/>
    <w:rsid w:val="00930564"/>
    <w:rsid w:val="00930657"/>
    <w:rsid w:val="009306A6"/>
    <w:rsid w:val="009306F4"/>
    <w:rsid w:val="00930765"/>
    <w:rsid w:val="009307F6"/>
    <w:rsid w:val="00930826"/>
    <w:rsid w:val="00930922"/>
    <w:rsid w:val="009309AE"/>
    <w:rsid w:val="009309B2"/>
    <w:rsid w:val="00930B0C"/>
    <w:rsid w:val="00930C7D"/>
    <w:rsid w:val="00931100"/>
    <w:rsid w:val="0093117A"/>
    <w:rsid w:val="009311B7"/>
    <w:rsid w:val="00931593"/>
    <w:rsid w:val="009315A1"/>
    <w:rsid w:val="009315D9"/>
    <w:rsid w:val="009317AB"/>
    <w:rsid w:val="00931C5B"/>
    <w:rsid w:val="00932151"/>
    <w:rsid w:val="00932604"/>
    <w:rsid w:val="009328AD"/>
    <w:rsid w:val="00932AF5"/>
    <w:rsid w:val="00932BC4"/>
    <w:rsid w:val="00932C0B"/>
    <w:rsid w:val="00932F0F"/>
    <w:rsid w:val="00932F1A"/>
    <w:rsid w:val="0093313A"/>
    <w:rsid w:val="009331D9"/>
    <w:rsid w:val="009333CF"/>
    <w:rsid w:val="009336D9"/>
    <w:rsid w:val="00933C51"/>
    <w:rsid w:val="00933CBD"/>
    <w:rsid w:val="00933D48"/>
    <w:rsid w:val="00933E5D"/>
    <w:rsid w:val="00933E88"/>
    <w:rsid w:val="00933EA9"/>
    <w:rsid w:val="00934489"/>
    <w:rsid w:val="00934538"/>
    <w:rsid w:val="009347FE"/>
    <w:rsid w:val="00934AE4"/>
    <w:rsid w:val="00934B62"/>
    <w:rsid w:val="00934DCB"/>
    <w:rsid w:val="00934DF9"/>
    <w:rsid w:val="00934F6C"/>
    <w:rsid w:val="00934F99"/>
    <w:rsid w:val="00935062"/>
    <w:rsid w:val="009350E8"/>
    <w:rsid w:val="00935692"/>
    <w:rsid w:val="00935747"/>
    <w:rsid w:val="009357C0"/>
    <w:rsid w:val="009358B0"/>
    <w:rsid w:val="00935904"/>
    <w:rsid w:val="00935990"/>
    <w:rsid w:val="00935A0A"/>
    <w:rsid w:val="00935DA6"/>
    <w:rsid w:val="00935F82"/>
    <w:rsid w:val="00936175"/>
    <w:rsid w:val="009362FB"/>
    <w:rsid w:val="00936345"/>
    <w:rsid w:val="00936367"/>
    <w:rsid w:val="00936440"/>
    <w:rsid w:val="009366E8"/>
    <w:rsid w:val="00936ACD"/>
    <w:rsid w:val="00936B3D"/>
    <w:rsid w:val="00936E8F"/>
    <w:rsid w:val="0093765E"/>
    <w:rsid w:val="00937ABE"/>
    <w:rsid w:val="00937C7B"/>
    <w:rsid w:val="00937ED6"/>
    <w:rsid w:val="00937FBE"/>
    <w:rsid w:val="00937FE8"/>
    <w:rsid w:val="0094063C"/>
    <w:rsid w:val="009407D9"/>
    <w:rsid w:val="0094090F"/>
    <w:rsid w:val="00940E3E"/>
    <w:rsid w:val="00940EA5"/>
    <w:rsid w:val="00940F0D"/>
    <w:rsid w:val="00941102"/>
    <w:rsid w:val="00941124"/>
    <w:rsid w:val="0094117B"/>
    <w:rsid w:val="0094119F"/>
    <w:rsid w:val="0094121B"/>
    <w:rsid w:val="00941381"/>
    <w:rsid w:val="00941533"/>
    <w:rsid w:val="00941654"/>
    <w:rsid w:val="009417B9"/>
    <w:rsid w:val="00941946"/>
    <w:rsid w:val="00941BCE"/>
    <w:rsid w:val="00941C71"/>
    <w:rsid w:val="00941F44"/>
    <w:rsid w:val="009420D0"/>
    <w:rsid w:val="00942114"/>
    <w:rsid w:val="009421AD"/>
    <w:rsid w:val="009422B4"/>
    <w:rsid w:val="00942624"/>
    <w:rsid w:val="0094271C"/>
    <w:rsid w:val="0094275C"/>
    <w:rsid w:val="0094289C"/>
    <w:rsid w:val="009428F3"/>
    <w:rsid w:val="00942974"/>
    <w:rsid w:val="00942C8E"/>
    <w:rsid w:val="0094316A"/>
    <w:rsid w:val="00943453"/>
    <w:rsid w:val="00943889"/>
    <w:rsid w:val="00943960"/>
    <w:rsid w:val="00943973"/>
    <w:rsid w:val="00943CDE"/>
    <w:rsid w:val="00943E35"/>
    <w:rsid w:val="00943E73"/>
    <w:rsid w:val="00943F89"/>
    <w:rsid w:val="00944156"/>
    <w:rsid w:val="009443A2"/>
    <w:rsid w:val="009445AE"/>
    <w:rsid w:val="009445E0"/>
    <w:rsid w:val="009446A8"/>
    <w:rsid w:val="009447DE"/>
    <w:rsid w:val="00944A74"/>
    <w:rsid w:val="00944B41"/>
    <w:rsid w:val="00944F37"/>
    <w:rsid w:val="00944FE6"/>
    <w:rsid w:val="00945098"/>
    <w:rsid w:val="0094533E"/>
    <w:rsid w:val="0094536E"/>
    <w:rsid w:val="009456C4"/>
    <w:rsid w:val="00945762"/>
    <w:rsid w:val="009458BD"/>
    <w:rsid w:val="009459FB"/>
    <w:rsid w:val="00945AAE"/>
    <w:rsid w:val="00945D0E"/>
    <w:rsid w:val="00945DB9"/>
    <w:rsid w:val="009461B7"/>
    <w:rsid w:val="00946368"/>
    <w:rsid w:val="0094649A"/>
    <w:rsid w:val="00946657"/>
    <w:rsid w:val="00946661"/>
    <w:rsid w:val="009466B0"/>
    <w:rsid w:val="00946770"/>
    <w:rsid w:val="00946D09"/>
    <w:rsid w:val="00946D59"/>
    <w:rsid w:val="00946E7F"/>
    <w:rsid w:val="00947268"/>
    <w:rsid w:val="00947507"/>
    <w:rsid w:val="009475E3"/>
    <w:rsid w:val="00947645"/>
    <w:rsid w:val="00947795"/>
    <w:rsid w:val="009477A2"/>
    <w:rsid w:val="00947866"/>
    <w:rsid w:val="00947C09"/>
    <w:rsid w:val="00950033"/>
    <w:rsid w:val="00950089"/>
    <w:rsid w:val="009502D4"/>
    <w:rsid w:val="009503D8"/>
    <w:rsid w:val="00950487"/>
    <w:rsid w:val="0095091A"/>
    <w:rsid w:val="0095093A"/>
    <w:rsid w:val="00950BFA"/>
    <w:rsid w:val="00950E97"/>
    <w:rsid w:val="0095106F"/>
    <w:rsid w:val="009511B5"/>
    <w:rsid w:val="009512DC"/>
    <w:rsid w:val="0095133F"/>
    <w:rsid w:val="00951345"/>
    <w:rsid w:val="009513CE"/>
    <w:rsid w:val="009514BE"/>
    <w:rsid w:val="009514E4"/>
    <w:rsid w:val="009519C7"/>
    <w:rsid w:val="00951FAF"/>
    <w:rsid w:val="009522DD"/>
    <w:rsid w:val="009526E3"/>
    <w:rsid w:val="00952755"/>
    <w:rsid w:val="00952896"/>
    <w:rsid w:val="00952D48"/>
    <w:rsid w:val="00952E76"/>
    <w:rsid w:val="00952EC5"/>
    <w:rsid w:val="0095300A"/>
    <w:rsid w:val="00953097"/>
    <w:rsid w:val="009530A5"/>
    <w:rsid w:val="00953497"/>
    <w:rsid w:val="009534F1"/>
    <w:rsid w:val="00953514"/>
    <w:rsid w:val="0095361B"/>
    <w:rsid w:val="00953775"/>
    <w:rsid w:val="009538C6"/>
    <w:rsid w:val="009538F8"/>
    <w:rsid w:val="00953968"/>
    <w:rsid w:val="009539B4"/>
    <w:rsid w:val="009539D0"/>
    <w:rsid w:val="00953A20"/>
    <w:rsid w:val="00953AEE"/>
    <w:rsid w:val="00953BB6"/>
    <w:rsid w:val="00953C10"/>
    <w:rsid w:val="00953E2A"/>
    <w:rsid w:val="00953ED2"/>
    <w:rsid w:val="00953F04"/>
    <w:rsid w:val="00953F31"/>
    <w:rsid w:val="009541A1"/>
    <w:rsid w:val="009541B7"/>
    <w:rsid w:val="0095442C"/>
    <w:rsid w:val="009544A7"/>
    <w:rsid w:val="00954747"/>
    <w:rsid w:val="00954A63"/>
    <w:rsid w:val="00954A65"/>
    <w:rsid w:val="00954B8F"/>
    <w:rsid w:val="00954C7B"/>
    <w:rsid w:val="00954DE9"/>
    <w:rsid w:val="00954E29"/>
    <w:rsid w:val="00954EB1"/>
    <w:rsid w:val="0095529C"/>
    <w:rsid w:val="009554F3"/>
    <w:rsid w:val="00955548"/>
    <w:rsid w:val="009555D9"/>
    <w:rsid w:val="00955CBD"/>
    <w:rsid w:val="00955DA6"/>
    <w:rsid w:val="00956583"/>
    <w:rsid w:val="00956B00"/>
    <w:rsid w:val="00956B94"/>
    <w:rsid w:val="00956BEB"/>
    <w:rsid w:val="00956CEF"/>
    <w:rsid w:val="00957108"/>
    <w:rsid w:val="00957552"/>
    <w:rsid w:val="00957587"/>
    <w:rsid w:val="009579AE"/>
    <w:rsid w:val="009579BA"/>
    <w:rsid w:val="00957B21"/>
    <w:rsid w:val="00957E66"/>
    <w:rsid w:val="009605BD"/>
    <w:rsid w:val="0096077D"/>
    <w:rsid w:val="009608DA"/>
    <w:rsid w:val="009609E7"/>
    <w:rsid w:val="009610A7"/>
    <w:rsid w:val="009610CF"/>
    <w:rsid w:val="00961332"/>
    <w:rsid w:val="009614BA"/>
    <w:rsid w:val="00961617"/>
    <w:rsid w:val="00961806"/>
    <w:rsid w:val="00961BBE"/>
    <w:rsid w:val="00961D81"/>
    <w:rsid w:val="00961E59"/>
    <w:rsid w:val="009620AD"/>
    <w:rsid w:val="009620DA"/>
    <w:rsid w:val="009621FE"/>
    <w:rsid w:val="00962274"/>
    <w:rsid w:val="00962331"/>
    <w:rsid w:val="00962D85"/>
    <w:rsid w:val="00962E48"/>
    <w:rsid w:val="00962F24"/>
    <w:rsid w:val="0096302E"/>
    <w:rsid w:val="00963340"/>
    <w:rsid w:val="009633A1"/>
    <w:rsid w:val="0096351F"/>
    <w:rsid w:val="00963552"/>
    <w:rsid w:val="0096360B"/>
    <w:rsid w:val="0096365C"/>
    <w:rsid w:val="009637A9"/>
    <w:rsid w:val="00963E2E"/>
    <w:rsid w:val="00963E3D"/>
    <w:rsid w:val="00963E9D"/>
    <w:rsid w:val="00963FB3"/>
    <w:rsid w:val="009646DC"/>
    <w:rsid w:val="009647AB"/>
    <w:rsid w:val="00964849"/>
    <w:rsid w:val="009648D6"/>
    <w:rsid w:val="00964ACA"/>
    <w:rsid w:val="00964B16"/>
    <w:rsid w:val="00964FB8"/>
    <w:rsid w:val="0096514D"/>
    <w:rsid w:val="0096515C"/>
    <w:rsid w:val="0096554E"/>
    <w:rsid w:val="00965C1D"/>
    <w:rsid w:val="00965CD0"/>
    <w:rsid w:val="00965EFE"/>
    <w:rsid w:val="00965F08"/>
    <w:rsid w:val="0096601C"/>
    <w:rsid w:val="009660BA"/>
    <w:rsid w:val="00966287"/>
    <w:rsid w:val="00966364"/>
    <w:rsid w:val="009665C0"/>
    <w:rsid w:val="009666A3"/>
    <w:rsid w:val="00966725"/>
    <w:rsid w:val="00966761"/>
    <w:rsid w:val="009667CD"/>
    <w:rsid w:val="0096686B"/>
    <w:rsid w:val="00966B5F"/>
    <w:rsid w:val="00966B9A"/>
    <w:rsid w:val="00966C8D"/>
    <w:rsid w:val="00966DA4"/>
    <w:rsid w:val="00966FA1"/>
    <w:rsid w:val="00966FBF"/>
    <w:rsid w:val="0096711B"/>
    <w:rsid w:val="009677E0"/>
    <w:rsid w:val="0096785A"/>
    <w:rsid w:val="00967865"/>
    <w:rsid w:val="00967B89"/>
    <w:rsid w:val="00967C16"/>
    <w:rsid w:val="00967C28"/>
    <w:rsid w:val="00967C50"/>
    <w:rsid w:val="00967D08"/>
    <w:rsid w:val="00967D21"/>
    <w:rsid w:val="00967F30"/>
    <w:rsid w:val="00970195"/>
    <w:rsid w:val="0097033E"/>
    <w:rsid w:val="00970E07"/>
    <w:rsid w:val="00970E43"/>
    <w:rsid w:val="00970E56"/>
    <w:rsid w:val="00970E7C"/>
    <w:rsid w:val="00970F18"/>
    <w:rsid w:val="00971071"/>
    <w:rsid w:val="0097110B"/>
    <w:rsid w:val="0097115E"/>
    <w:rsid w:val="0097120C"/>
    <w:rsid w:val="00971507"/>
    <w:rsid w:val="00971668"/>
    <w:rsid w:val="009718CD"/>
    <w:rsid w:val="009719EF"/>
    <w:rsid w:val="00971A60"/>
    <w:rsid w:val="00971AFD"/>
    <w:rsid w:val="00971FC2"/>
    <w:rsid w:val="0097227D"/>
    <w:rsid w:val="009724AB"/>
    <w:rsid w:val="009725EC"/>
    <w:rsid w:val="00972821"/>
    <w:rsid w:val="009729AF"/>
    <w:rsid w:val="009732CE"/>
    <w:rsid w:val="009734B4"/>
    <w:rsid w:val="009734BE"/>
    <w:rsid w:val="009735C3"/>
    <w:rsid w:val="009736A5"/>
    <w:rsid w:val="00973704"/>
    <w:rsid w:val="0097384E"/>
    <w:rsid w:val="009738B7"/>
    <w:rsid w:val="00973A7E"/>
    <w:rsid w:val="00973E20"/>
    <w:rsid w:val="00973E68"/>
    <w:rsid w:val="00974004"/>
    <w:rsid w:val="00974084"/>
    <w:rsid w:val="00974150"/>
    <w:rsid w:val="009742CE"/>
    <w:rsid w:val="00974380"/>
    <w:rsid w:val="0097470A"/>
    <w:rsid w:val="0097481B"/>
    <w:rsid w:val="00974E2D"/>
    <w:rsid w:val="00974F5A"/>
    <w:rsid w:val="0097505B"/>
    <w:rsid w:val="00975090"/>
    <w:rsid w:val="009750B9"/>
    <w:rsid w:val="00975266"/>
    <w:rsid w:val="009752D5"/>
    <w:rsid w:val="0097532B"/>
    <w:rsid w:val="00975432"/>
    <w:rsid w:val="00975B20"/>
    <w:rsid w:val="00975BB4"/>
    <w:rsid w:val="00975CA0"/>
    <w:rsid w:val="00975E1F"/>
    <w:rsid w:val="00975E6C"/>
    <w:rsid w:val="0097607E"/>
    <w:rsid w:val="009762C0"/>
    <w:rsid w:val="00976426"/>
    <w:rsid w:val="0097642E"/>
    <w:rsid w:val="009764EC"/>
    <w:rsid w:val="00976640"/>
    <w:rsid w:val="00976652"/>
    <w:rsid w:val="0097677F"/>
    <w:rsid w:val="009767CB"/>
    <w:rsid w:val="0097682A"/>
    <w:rsid w:val="00976BDB"/>
    <w:rsid w:val="00976C79"/>
    <w:rsid w:val="00977062"/>
    <w:rsid w:val="0097707B"/>
    <w:rsid w:val="00977519"/>
    <w:rsid w:val="00977661"/>
    <w:rsid w:val="009777A0"/>
    <w:rsid w:val="00977808"/>
    <w:rsid w:val="00977A72"/>
    <w:rsid w:val="00980228"/>
    <w:rsid w:val="0098024F"/>
    <w:rsid w:val="00980542"/>
    <w:rsid w:val="00980773"/>
    <w:rsid w:val="00980949"/>
    <w:rsid w:val="009809A4"/>
    <w:rsid w:val="00980E5D"/>
    <w:rsid w:val="00981017"/>
    <w:rsid w:val="009811F7"/>
    <w:rsid w:val="009814AF"/>
    <w:rsid w:val="00981691"/>
    <w:rsid w:val="00981A13"/>
    <w:rsid w:val="00981DAF"/>
    <w:rsid w:val="00981E31"/>
    <w:rsid w:val="00981F4E"/>
    <w:rsid w:val="009823A3"/>
    <w:rsid w:val="00982427"/>
    <w:rsid w:val="009824CF"/>
    <w:rsid w:val="00982527"/>
    <w:rsid w:val="0098257B"/>
    <w:rsid w:val="00982962"/>
    <w:rsid w:val="00982A78"/>
    <w:rsid w:val="00983267"/>
    <w:rsid w:val="0098343A"/>
    <w:rsid w:val="0098349A"/>
    <w:rsid w:val="009834CA"/>
    <w:rsid w:val="00983598"/>
    <w:rsid w:val="009835E4"/>
    <w:rsid w:val="009836A8"/>
    <w:rsid w:val="009839F6"/>
    <w:rsid w:val="00983AA1"/>
    <w:rsid w:val="00983AC8"/>
    <w:rsid w:val="00983F0A"/>
    <w:rsid w:val="00983F2D"/>
    <w:rsid w:val="0098414F"/>
    <w:rsid w:val="009842CD"/>
    <w:rsid w:val="009843C9"/>
    <w:rsid w:val="0098453F"/>
    <w:rsid w:val="00984839"/>
    <w:rsid w:val="009848B9"/>
    <w:rsid w:val="00984A56"/>
    <w:rsid w:val="00984C1C"/>
    <w:rsid w:val="00984E69"/>
    <w:rsid w:val="0098502E"/>
    <w:rsid w:val="0098557D"/>
    <w:rsid w:val="00985635"/>
    <w:rsid w:val="009856D8"/>
    <w:rsid w:val="009858DD"/>
    <w:rsid w:val="00986013"/>
    <w:rsid w:val="00986705"/>
    <w:rsid w:val="00986986"/>
    <w:rsid w:val="00986C03"/>
    <w:rsid w:val="00986CAA"/>
    <w:rsid w:val="00987003"/>
    <w:rsid w:val="00987703"/>
    <w:rsid w:val="00987763"/>
    <w:rsid w:val="009878B5"/>
    <w:rsid w:val="00987C10"/>
    <w:rsid w:val="00990165"/>
    <w:rsid w:val="009904C8"/>
    <w:rsid w:val="00990B15"/>
    <w:rsid w:val="00990B31"/>
    <w:rsid w:val="00990C0C"/>
    <w:rsid w:val="00990E67"/>
    <w:rsid w:val="00990ECB"/>
    <w:rsid w:val="00990EFA"/>
    <w:rsid w:val="00991263"/>
    <w:rsid w:val="009913FF"/>
    <w:rsid w:val="00991405"/>
    <w:rsid w:val="00991406"/>
    <w:rsid w:val="0099145C"/>
    <w:rsid w:val="009914EB"/>
    <w:rsid w:val="009915C0"/>
    <w:rsid w:val="009917C8"/>
    <w:rsid w:val="00991C77"/>
    <w:rsid w:val="0099229D"/>
    <w:rsid w:val="009922B4"/>
    <w:rsid w:val="00992300"/>
    <w:rsid w:val="009926AD"/>
    <w:rsid w:val="009927E6"/>
    <w:rsid w:val="009928A7"/>
    <w:rsid w:val="00992A65"/>
    <w:rsid w:val="00992A9C"/>
    <w:rsid w:val="00992CC2"/>
    <w:rsid w:val="00992D1E"/>
    <w:rsid w:val="00992D87"/>
    <w:rsid w:val="00992D97"/>
    <w:rsid w:val="009936CE"/>
    <w:rsid w:val="00993728"/>
    <w:rsid w:val="009937D1"/>
    <w:rsid w:val="00993AAD"/>
    <w:rsid w:val="0099401C"/>
    <w:rsid w:val="00994170"/>
    <w:rsid w:val="009941DC"/>
    <w:rsid w:val="00994311"/>
    <w:rsid w:val="0099460A"/>
    <w:rsid w:val="00994815"/>
    <w:rsid w:val="00994953"/>
    <w:rsid w:val="00994EDE"/>
    <w:rsid w:val="00994F39"/>
    <w:rsid w:val="009951C4"/>
    <w:rsid w:val="0099530B"/>
    <w:rsid w:val="009957A7"/>
    <w:rsid w:val="009957C0"/>
    <w:rsid w:val="009957DC"/>
    <w:rsid w:val="009958F5"/>
    <w:rsid w:val="00995B72"/>
    <w:rsid w:val="009960D4"/>
    <w:rsid w:val="0099640D"/>
    <w:rsid w:val="00996413"/>
    <w:rsid w:val="00996481"/>
    <w:rsid w:val="0099685C"/>
    <w:rsid w:val="00996959"/>
    <w:rsid w:val="00996A41"/>
    <w:rsid w:val="00996C25"/>
    <w:rsid w:val="00996C33"/>
    <w:rsid w:val="00996C3A"/>
    <w:rsid w:val="00996C6B"/>
    <w:rsid w:val="00996CFE"/>
    <w:rsid w:val="00996E1D"/>
    <w:rsid w:val="00996E40"/>
    <w:rsid w:val="00996EBD"/>
    <w:rsid w:val="0099708E"/>
    <w:rsid w:val="009970BC"/>
    <w:rsid w:val="009974E5"/>
    <w:rsid w:val="00997556"/>
    <w:rsid w:val="00997641"/>
    <w:rsid w:val="009979B0"/>
    <w:rsid w:val="00997C71"/>
    <w:rsid w:val="00997CDD"/>
    <w:rsid w:val="00997E34"/>
    <w:rsid w:val="009A003E"/>
    <w:rsid w:val="009A018C"/>
    <w:rsid w:val="009A02F8"/>
    <w:rsid w:val="009A03E4"/>
    <w:rsid w:val="009A04F1"/>
    <w:rsid w:val="009A069F"/>
    <w:rsid w:val="009A06C4"/>
    <w:rsid w:val="009A0905"/>
    <w:rsid w:val="009A0928"/>
    <w:rsid w:val="009A09BC"/>
    <w:rsid w:val="009A0B2A"/>
    <w:rsid w:val="009A0BF2"/>
    <w:rsid w:val="009A0E85"/>
    <w:rsid w:val="009A0FBB"/>
    <w:rsid w:val="009A0FE4"/>
    <w:rsid w:val="009A1044"/>
    <w:rsid w:val="009A1051"/>
    <w:rsid w:val="009A1171"/>
    <w:rsid w:val="009A1396"/>
    <w:rsid w:val="009A13EF"/>
    <w:rsid w:val="009A1651"/>
    <w:rsid w:val="009A186A"/>
    <w:rsid w:val="009A18DA"/>
    <w:rsid w:val="009A1B61"/>
    <w:rsid w:val="009A1C25"/>
    <w:rsid w:val="009A2097"/>
    <w:rsid w:val="009A25B0"/>
    <w:rsid w:val="009A28A7"/>
    <w:rsid w:val="009A2B89"/>
    <w:rsid w:val="009A2C25"/>
    <w:rsid w:val="009A2CA9"/>
    <w:rsid w:val="009A2DF1"/>
    <w:rsid w:val="009A308D"/>
    <w:rsid w:val="009A30B2"/>
    <w:rsid w:val="009A314E"/>
    <w:rsid w:val="009A318D"/>
    <w:rsid w:val="009A31CE"/>
    <w:rsid w:val="009A34D1"/>
    <w:rsid w:val="009A34E2"/>
    <w:rsid w:val="009A3BE5"/>
    <w:rsid w:val="009A405E"/>
    <w:rsid w:val="009A41A0"/>
    <w:rsid w:val="009A41D8"/>
    <w:rsid w:val="009A427B"/>
    <w:rsid w:val="009A44E2"/>
    <w:rsid w:val="009A468B"/>
    <w:rsid w:val="009A46BD"/>
    <w:rsid w:val="009A46C3"/>
    <w:rsid w:val="009A4837"/>
    <w:rsid w:val="009A48CC"/>
    <w:rsid w:val="009A497D"/>
    <w:rsid w:val="009A4AA1"/>
    <w:rsid w:val="009A4BFF"/>
    <w:rsid w:val="009A4CB1"/>
    <w:rsid w:val="009A4CB6"/>
    <w:rsid w:val="009A4F68"/>
    <w:rsid w:val="009A4F6C"/>
    <w:rsid w:val="009A5077"/>
    <w:rsid w:val="009A5096"/>
    <w:rsid w:val="009A50E1"/>
    <w:rsid w:val="009A5241"/>
    <w:rsid w:val="009A52AA"/>
    <w:rsid w:val="009A52D6"/>
    <w:rsid w:val="009A57B9"/>
    <w:rsid w:val="009A5A6A"/>
    <w:rsid w:val="009A5A9D"/>
    <w:rsid w:val="009A5B06"/>
    <w:rsid w:val="009A5C52"/>
    <w:rsid w:val="009A5D50"/>
    <w:rsid w:val="009A5DB6"/>
    <w:rsid w:val="009A5F31"/>
    <w:rsid w:val="009A6210"/>
    <w:rsid w:val="009A632F"/>
    <w:rsid w:val="009A6334"/>
    <w:rsid w:val="009A63E3"/>
    <w:rsid w:val="009A6525"/>
    <w:rsid w:val="009A67EC"/>
    <w:rsid w:val="009A690C"/>
    <w:rsid w:val="009A6978"/>
    <w:rsid w:val="009A6C58"/>
    <w:rsid w:val="009A6C7B"/>
    <w:rsid w:val="009A6D33"/>
    <w:rsid w:val="009A6E6F"/>
    <w:rsid w:val="009A6E89"/>
    <w:rsid w:val="009A6F83"/>
    <w:rsid w:val="009A700A"/>
    <w:rsid w:val="009A70BD"/>
    <w:rsid w:val="009A714A"/>
    <w:rsid w:val="009A7155"/>
    <w:rsid w:val="009A7254"/>
    <w:rsid w:val="009A76E3"/>
    <w:rsid w:val="009A7745"/>
    <w:rsid w:val="009A7760"/>
    <w:rsid w:val="009A7822"/>
    <w:rsid w:val="009A7858"/>
    <w:rsid w:val="009A790C"/>
    <w:rsid w:val="009A79DB"/>
    <w:rsid w:val="009A7BE0"/>
    <w:rsid w:val="009A7C01"/>
    <w:rsid w:val="009A7D93"/>
    <w:rsid w:val="009A7E62"/>
    <w:rsid w:val="009A7E6E"/>
    <w:rsid w:val="009ADB97"/>
    <w:rsid w:val="009B0194"/>
    <w:rsid w:val="009B03B2"/>
    <w:rsid w:val="009B0442"/>
    <w:rsid w:val="009B065A"/>
    <w:rsid w:val="009B0955"/>
    <w:rsid w:val="009B12C3"/>
    <w:rsid w:val="009B154B"/>
    <w:rsid w:val="009B1730"/>
    <w:rsid w:val="009B1AAF"/>
    <w:rsid w:val="009B1AD4"/>
    <w:rsid w:val="009B1BD9"/>
    <w:rsid w:val="009B1C7F"/>
    <w:rsid w:val="009B1D74"/>
    <w:rsid w:val="009B2317"/>
    <w:rsid w:val="009B2509"/>
    <w:rsid w:val="009B2735"/>
    <w:rsid w:val="009B2787"/>
    <w:rsid w:val="009B2DB3"/>
    <w:rsid w:val="009B2DD3"/>
    <w:rsid w:val="009B2DE9"/>
    <w:rsid w:val="009B2E77"/>
    <w:rsid w:val="009B2F09"/>
    <w:rsid w:val="009B2F17"/>
    <w:rsid w:val="009B300E"/>
    <w:rsid w:val="009B32B2"/>
    <w:rsid w:val="009B3535"/>
    <w:rsid w:val="009B372E"/>
    <w:rsid w:val="009B3855"/>
    <w:rsid w:val="009B3902"/>
    <w:rsid w:val="009B3956"/>
    <w:rsid w:val="009B3968"/>
    <w:rsid w:val="009B3C85"/>
    <w:rsid w:val="009B3FFD"/>
    <w:rsid w:val="009B4016"/>
    <w:rsid w:val="009B4299"/>
    <w:rsid w:val="009B4393"/>
    <w:rsid w:val="009B4455"/>
    <w:rsid w:val="009B46C7"/>
    <w:rsid w:val="009B46DE"/>
    <w:rsid w:val="009B47B8"/>
    <w:rsid w:val="009B484C"/>
    <w:rsid w:val="009B4946"/>
    <w:rsid w:val="009B4A4A"/>
    <w:rsid w:val="009B4A9F"/>
    <w:rsid w:val="009B4B7A"/>
    <w:rsid w:val="009B4B89"/>
    <w:rsid w:val="009B4C6C"/>
    <w:rsid w:val="009B4E23"/>
    <w:rsid w:val="009B4E41"/>
    <w:rsid w:val="009B52BD"/>
    <w:rsid w:val="009B53BB"/>
    <w:rsid w:val="009B5944"/>
    <w:rsid w:val="009B59BF"/>
    <w:rsid w:val="009B5ACE"/>
    <w:rsid w:val="009B5B97"/>
    <w:rsid w:val="009B5B9E"/>
    <w:rsid w:val="009B5CD2"/>
    <w:rsid w:val="009B5DEC"/>
    <w:rsid w:val="009B5E40"/>
    <w:rsid w:val="009B5F4E"/>
    <w:rsid w:val="009B61D3"/>
    <w:rsid w:val="009B61E6"/>
    <w:rsid w:val="009B6263"/>
    <w:rsid w:val="009B6682"/>
    <w:rsid w:val="009B671F"/>
    <w:rsid w:val="009B67B6"/>
    <w:rsid w:val="009B693F"/>
    <w:rsid w:val="009B6B48"/>
    <w:rsid w:val="009B6B64"/>
    <w:rsid w:val="009B6BC8"/>
    <w:rsid w:val="009B6F46"/>
    <w:rsid w:val="009B7121"/>
    <w:rsid w:val="009B7185"/>
    <w:rsid w:val="009B7280"/>
    <w:rsid w:val="009B7558"/>
    <w:rsid w:val="009B75E4"/>
    <w:rsid w:val="009B784D"/>
    <w:rsid w:val="009B789D"/>
    <w:rsid w:val="009B7BC7"/>
    <w:rsid w:val="009B7BCA"/>
    <w:rsid w:val="009B7F12"/>
    <w:rsid w:val="009B7F5D"/>
    <w:rsid w:val="009C023B"/>
    <w:rsid w:val="009C0270"/>
    <w:rsid w:val="009C0284"/>
    <w:rsid w:val="009C0397"/>
    <w:rsid w:val="009C03C4"/>
    <w:rsid w:val="009C0428"/>
    <w:rsid w:val="009C0578"/>
    <w:rsid w:val="009C071D"/>
    <w:rsid w:val="009C0967"/>
    <w:rsid w:val="009C0A9E"/>
    <w:rsid w:val="009C0B7A"/>
    <w:rsid w:val="009C0FC9"/>
    <w:rsid w:val="009C11A9"/>
    <w:rsid w:val="009C1382"/>
    <w:rsid w:val="009C13AD"/>
    <w:rsid w:val="009C1400"/>
    <w:rsid w:val="009C14E1"/>
    <w:rsid w:val="009C18DB"/>
    <w:rsid w:val="009C1913"/>
    <w:rsid w:val="009C1A5E"/>
    <w:rsid w:val="009C1B7B"/>
    <w:rsid w:val="009C1BD3"/>
    <w:rsid w:val="009C1C29"/>
    <w:rsid w:val="009C2085"/>
    <w:rsid w:val="009C20C0"/>
    <w:rsid w:val="009C23C6"/>
    <w:rsid w:val="009C2511"/>
    <w:rsid w:val="009C27A9"/>
    <w:rsid w:val="009C2802"/>
    <w:rsid w:val="009C2A4C"/>
    <w:rsid w:val="009C2C2D"/>
    <w:rsid w:val="009C3152"/>
    <w:rsid w:val="009C319E"/>
    <w:rsid w:val="009C345D"/>
    <w:rsid w:val="009C346D"/>
    <w:rsid w:val="009C347D"/>
    <w:rsid w:val="009C34B9"/>
    <w:rsid w:val="009C37F0"/>
    <w:rsid w:val="009C3931"/>
    <w:rsid w:val="009C3A53"/>
    <w:rsid w:val="009C3B3C"/>
    <w:rsid w:val="009C40A6"/>
    <w:rsid w:val="009C42F1"/>
    <w:rsid w:val="009C42FD"/>
    <w:rsid w:val="009C465A"/>
    <w:rsid w:val="009C46C6"/>
    <w:rsid w:val="009C4A65"/>
    <w:rsid w:val="009C4D50"/>
    <w:rsid w:val="009C4D79"/>
    <w:rsid w:val="009C4FFB"/>
    <w:rsid w:val="009C5047"/>
    <w:rsid w:val="009C51B0"/>
    <w:rsid w:val="009C547D"/>
    <w:rsid w:val="009C5625"/>
    <w:rsid w:val="009C56DD"/>
    <w:rsid w:val="009C5EC6"/>
    <w:rsid w:val="009C6104"/>
    <w:rsid w:val="009C61D3"/>
    <w:rsid w:val="009C6309"/>
    <w:rsid w:val="009C6337"/>
    <w:rsid w:val="009C633D"/>
    <w:rsid w:val="009C63AB"/>
    <w:rsid w:val="009C64C7"/>
    <w:rsid w:val="009C678E"/>
    <w:rsid w:val="009C68D0"/>
    <w:rsid w:val="009C6A1D"/>
    <w:rsid w:val="009C6BF8"/>
    <w:rsid w:val="009C6C0A"/>
    <w:rsid w:val="009C6F61"/>
    <w:rsid w:val="009C6FF3"/>
    <w:rsid w:val="009C71BF"/>
    <w:rsid w:val="009C7235"/>
    <w:rsid w:val="009C729B"/>
    <w:rsid w:val="009C72DE"/>
    <w:rsid w:val="009C7817"/>
    <w:rsid w:val="009C7916"/>
    <w:rsid w:val="009C79E4"/>
    <w:rsid w:val="009C7A2E"/>
    <w:rsid w:val="009C7F77"/>
    <w:rsid w:val="009D0288"/>
    <w:rsid w:val="009D02C8"/>
    <w:rsid w:val="009D0400"/>
    <w:rsid w:val="009D04A1"/>
    <w:rsid w:val="009D04F6"/>
    <w:rsid w:val="009D0916"/>
    <w:rsid w:val="009D09CB"/>
    <w:rsid w:val="009D0F21"/>
    <w:rsid w:val="009D1024"/>
    <w:rsid w:val="009D1060"/>
    <w:rsid w:val="009D119C"/>
    <w:rsid w:val="009D149B"/>
    <w:rsid w:val="009D14E3"/>
    <w:rsid w:val="009D15B3"/>
    <w:rsid w:val="009D1630"/>
    <w:rsid w:val="009D171C"/>
    <w:rsid w:val="009D1728"/>
    <w:rsid w:val="009D191A"/>
    <w:rsid w:val="009D1ACF"/>
    <w:rsid w:val="009D1B36"/>
    <w:rsid w:val="009D1BB6"/>
    <w:rsid w:val="009D1BFC"/>
    <w:rsid w:val="009D1E00"/>
    <w:rsid w:val="009D1F6D"/>
    <w:rsid w:val="009D2046"/>
    <w:rsid w:val="009D208B"/>
    <w:rsid w:val="009D213C"/>
    <w:rsid w:val="009D21A7"/>
    <w:rsid w:val="009D238A"/>
    <w:rsid w:val="009D2451"/>
    <w:rsid w:val="009D2BA4"/>
    <w:rsid w:val="009D2FE2"/>
    <w:rsid w:val="009D31F2"/>
    <w:rsid w:val="009D35DB"/>
    <w:rsid w:val="009D3890"/>
    <w:rsid w:val="009D3BBF"/>
    <w:rsid w:val="009D3F4A"/>
    <w:rsid w:val="009D439E"/>
    <w:rsid w:val="009D45F6"/>
    <w:rsid w:val="009D479A"/>
    <w:rsid w:val="009D4829"/>
    <w:rsid w:val="009D4996"/>
    <w:rsid w:val="009D4E74"/>
    <w:rsid w:val="009D5026"/>
    <w:rsid w:val="009D5778"/>
    <w:rsid w:val="009D5A05"/>
    <w:rsid w:val="009D5A0F"/>
    <w:rsid w:val="009D5A80"/>
    <w:rsid w:val="009D5AE7"/>
    <w:rsid w:val="009D5C5A"/>
    <w:rsid w:val="009D67E0"/>
    <w:rsid w:val="009D6A8A"/>
    <w:rsid w:val="009D6E57"/>
    <w:rsid w:val="009D785C"/>
    <w:rsid w:val="009D7A8F"/>
    <w:rsid w:val="009D7C9D"/>
    <w:rsid w:val="009D7CD8"/>
    <w:rsid w:val="009D7D7C"/>
    <w:rsid w:val="009D7F55"/>
    <w:rsid w:val="009D7FF5"/>
    <w:rsid w:val="009D7FF9"/>
    <w:rsid w:val="009E0080"/>
    <w:rsid w:val="009E009D"/>
    <w:rsid w:val="009E055E"/>
    <w:rsid w:val="009E0582"/>
    <w:rsid w:val="009E0995"/>
    <w:rsid w:val="009E0A67"/>
    <w:rsid w:val="009E0B06"/>
    <w:rsid w:val="009E0C98"/>
    <w:rsid w:val="009E0EBD"/>
    <w:rsid w:val="009E109D"/>
    <w:rsid w:val="009E1335"/>
    <w:rsid w:val="009E139F"/>
    <w:rsid w:val="009E14D2"/>
    <w:rsid w:val="009E155E"/>
    <w:rsid w:val="009E17D6"/>
    <w:rsid w:val="009E185B"/>
    <w:rsid w:val="009E1887"/>
    <w:rsid w:val="009E1A07"/>
    <w:rsid w:val="009E1A5F"/>
    <w:rsid w:val="009E1A6C"/>
    <w:rsid w:val="009E1A72"/>
    <w:rsid w:val="009E1AA3"/>
    <w:rsid w:val="009E1AD5"/>
    <w:rsid w:val="009E1C3E"/>
    <w:rsid w:val="009E1D48"/>
    <w:rsid w:val="009E1DC8"/>
    <w:rsid w:val="009E2049"/>
    <w:rsid w:val="009E21D1"/>
    <w:rsid w:val="009E2270"/>
    <w:rsid w:val="009E239E"/>
    <w:rsid w:val="009E244B"/>
    <w:rsid w:val="009E254D"/>
    <w:rsid w:val="009E2B13"/>
    <w:rsid w:val="009E2DD5"/>
    <w:rsid w:val="009E2EAB"/>
    <w:rsid w:val="009E2ED7"/>
    <w:rsid w:val="009E2EF7"/>
    <w:rsid w:val="009E2F1F"/>
    <w:rsid w:val="009E2F91"/>
    <w:rsid w:val="009E3100"/>
    <w:rsid w:val="009E3130"/>
    <w:rsid w:val="009E31D5"/>
    <w:rsid w:val="009E31F0"/>
    <w:rsid w:val="009E3423"/>
    <w:rsid w:val="009E3597"/>
    <w:rsid w:val="009E3648"/>
    <w:rsid w:val="009E3855"/>
    <w:rsid w:val="009E38AE"/>
    <w:rsid w:val="009E3CD7"/>
    <w:rsid w:val="009E3D99"/>
    <w:rsid w:val="009E4085"/>
    <w:rsid w:val="009E417F"/>
    <w:rsid w:val="009E42D2"/>
    <w:rsid w:val="009E441C"/>
    <w:rsid w:val="009E4771"/>
    <w:rsid w:val="009E490E"/>
    <w:rsid w:val="009E4F90"/>
    <w:rsid w:val="009E5B9F"/>
    <w:rsid w:val="009E5BB0"/>
    <w:rsid w:val="009E5EC9"/>
    <w:rsid w:val="009E60D3"/>
    <w:rsid w:val="009E6315"/>
    <w:rsid w:val="009E6B4B"/>
    <w:rsid w:val="009E6BEB"/>
    <w:rsid w:val="009E6DEC"/>
    <w:rsid w:val="009E6E53"/>
    <w:rsid w:val="009E700A"/>
    <w:rsid w:val="009E7117"/>
    <w:rsid w:val="009E72B5"/>
    <w:rsid w:val="009E72D6"/>
    <w:rsid w:val="009E76FC"/>
    <w:rsid w:val="009E7799"/>
    <w:rsid w:val="009E7875"/>
    <w:rsid w:val="009E78C4"/>
    <w:rsid w:val="009E7B17"/>
    <w:rsid w:val="009E7E61"/>
    <w:rsid w:val="009E7E6D"/>
    <w:rsid w:val="009E7F7C"/>
    <w:rsid w:val="009F0177"/>
    <w:rsid w:val="009F0570"/>
    <w:rsid w:val="009F09DB"/>
    <w:rsid w:val="009F0BA7"/>
    <w:rsid w:val="009F0E06"/>
    <w:rsid w:val="009F0F1D"/>
    <w:rsid w:val="009F0F2F"/>
    <w:rsid w:val="009F10D6"/>
    <w:rsid w:val="009F1150"/>
    <w:rsid w:val="009F12A6"/>
    <w:rsid w:val="009F1388"/>
    <w:rsid w:val="009F13E9"/>
    <w:rsid w:val="009F1577"/>
    <w:rsid w:val="009F167B"/>
    <w:rsid w:val="009F16EB"/>
    <w:rsid w:val="009F1A19"/>
    <w:rsid w:val="009F1A63"/>
    <w:rsid w:val="009F1A6F"/>
    <w:rsid w:val="009F1C3A"/>
    <w:rsid w:val="009F1C8B"/>
    <w:rsid w:val="009F2145"/>
    <w:rsid w:val="009F21D7"/>
    <w:rsid w:val="009F2413"/>
    <w:rsid w:val="009F258A"/>
    <w:rsid w:val="009F2A28"/>
    <w:rsid w:val="009F2BC1"/>
    <w:rsid w:val="009F2D5D"/>
    <w:rsid w:val="009F2F00"/>
    <w:rsid w:val="009F316B"/>
    <w:rsid w:val="009F32A4"/>
    <w:rsid w:val="009F33FE"/>
    <w:rsid w:val="009F35CD"/>
    <w:rsid w:val="009F3CE6"/>
    <w:rsid w:val="009F3EFD"/>
    <w:rsid w:val="009F3F75"/>
    <w:rsid w:val="009F4016"/>
    <w:rsid w:val="009F4238"/>
    <w:rsid w:val="009F440B"/>
    <w:rsid w:val="009F4752"/>
    <w:rsid w:val="009F4767"/>
    <w:rsid w:val="009F48C7"/>
    <w:rsid w:val="009F4908"/>
    <w:rsid w:val="009F4953"/>
    <w:rsid w:val="009F49A8"/>
    <w:rsid w:val="009F4A24"/>
    <w:rsid w:val="009F4B2A"/>
    <w:rsid w:val="009F4BD3"/>
    <w:rsid w:val="009F4C2F"/>
    <w:rsid w:val="009F4C54"/>
    <w:rsid w:val="009F4DF7"/>
    <w:rsid w:val="009F4E11"/>
    <w:rsid w:val="009F5178"/>
    <w:rsid w:val="009F52D1"/>
    <w:rsid w:val="009F52D4"/>
    <w:rsid w:val="009F5451"/>
    <w:rsid w:val="009F56F5"/>
    <w:rsid w:val="009F5716"/>
    <w:rsid w:val="009F5731"/>
    <w:rsid w:val="009F5796"/>
    <w:rsid w:val="009F5806"/>
    <w:rsid w:val="009F5B2B"/>
    <w:rsid w:val="009F5C4D"/>
    <w:rsid w:val="009F5E80"/>
    <w:rsid w:val="009F5F45"/>
    <w:rsid w:val="009F5FB8"/>
    <w:rsid w:val="009F60BD"/>
    <w:rsid w:val="009F60E0"/>
    <w:rsid w:val="009F6437"/>
    <w:rsid w:val="009F644C"/>
    <w:rsid w:val="009F6462"/>
    <w:rsid w:val="009F687A"/>
    <w:rsid w:val="009F69C3"/>
    <w:rsid w:val="009F6A06"/>
    <w:rsid w:val="009F6A07"/>
    <w:rsid w:val="009F6B0B"/>
    <w:rsid w:val="009F6BD3"/>
    <w:rsid w:val="009F6DC0"/>
    <w:rsid w:val="009F6F36"/>
    <w:rsid w:val="009F71AC"/>
    <w:rsid w:val="009F7250"/>
    <w:rsid w:val="009F72F4"/>
    <w:rsid w:val="009F74A7"/>
    <w:rsid w:val="009F778A"/>
    <w:rsid w:val="009F7825"/>
    <w:rsid w:val="009F78B5"/>
    <w:rsid w:val="009F7BB3"/>
    <w:rsid w:val="009F7CE6"/>
    <w:rsid w:val="009F7D76"/>
    <w:rsid w:val="009F7FDD"/>
    <w:rsid w:val="00A000AC"/>
    <w:rsid w:val="00A002CB"/>
    <w:rsid w:val="00A00576"/>
    <w:rsid w:val="00A006DD"/>
    <w:rsid w:val="00A00821"/>
    <w:rsid w:val="00A00914"/>
    <w:rsid w:val="00A00C27"/>
    <w:rsid w:val="00A00DBA"/>
    <w:rsid w:val="00A00EBF"/>
    <w:rsid w:val="00A00EED"/>
    <w:rsid w:val="00A01308"/>
    <w:rsid w:val="00A01639"/>
    <w:rsid w:val="00A01838"/>
    <w:rsid w:val="00A018AE"/>
    <w:rsid w:val="00A01B82"/>
    <w:rsid w:val="00A01D5E"/>
    <w:rsid w:val="00A01EA5"/>
    <w:rsid w:val="00A01FD3"/>
    <w:rsid w:val="00A02484"/>
    <w:rsid w:val="00A0250F"/>
    <w:rsid w:val="00A025D1"/>
    <w:rsid w:val="00A0286F"/>
    <w:rsid w:val="00A028D5"/>
    <w:rsid w:val="00A029F6"/>
    <w:rsid w:val="00A02CC5"/>
    <w:rsid w:val="00A02CDB"/>
    <w:rsid w:val="00A02D88"/>
    <w:rsid w:val="00A02DBC"/>
    <w:rsid w:val="00A02E94"/>
    <w:rsid w:val="00A02F99"/>
    <w:rsid w:val="00A03299"/>
    <w:rsid w:val="00A03494"/>
    <w:rsid w:val="00A03644"/>
    <w:rsid w:val="00A0375E"/>
    <w:rsid w:val="00A03865"/>
    <w:rsid w:val="00A03912"/>
    <w:rsid w:val="00A039C4"/>
    <w:rsid w:val="00A03A02"/>
    <w:rsid w:val="00A03B34"/>
    <w:rsid w:val="00A03B9A"/>
    <w:rsid w:val="00A03D19"/>
    <w:rsid w:val="00A03D93"/>
    <w:rsid w:val="00A043DF"/>
    <w:rsid w:val="00A0446E"/>
    <w:rsid w:val="00A044A1"/>
    <w:rsid w:val="00A04939"/>
    <w:rsid w:val="00A04A2E"/>
    <w:rsid w:val="00A04C42"/>
    <w:rsid w:val="00A04C9E"/>
    <w:rsid w:val="00A04E60"/>
    <w:rsid w:val="00A04EA5"/>
    <w:rsid w:val="00A05104"/>
    <w:rsid w:val="00A05689"/>
    <w:rsid w:val="00A05872"/>
    <w:rsid w:val="00A05A96"/>
    <w:rsid w:val="00A05D39"/>
    <w:rsid w:val="00A05FBF"/>
    <w:rsid w:val="00A0630A"/>
    <w:rsid w:val="00A06659"/>
    <w:rsid w:val="00A068D0"/>
    <w:rsid w:val="00A06B20"/>
    <w:rsid w:val="00A06C97"/>
    <w:rsid w:val="00A06D30"/>
    <w:rsid w:val="00A07101"/>
    <w:rsid w:val="00A071BD"/>
    <w:rsid w:val="00A0726C"/>
    <w:rsid w:val="00A07373"/>
    <w:rsid w:val="00A074FA"/>
    <w:rsid w:val="00A07652"/>
    <w:rsid w:val="00A07770"/>
    <w:rsid w:val="00A079A8"/>
    <w:rsid w:val="00A07A3F"/>
    <w:rsid w:val="00A07BFB"/>
    <w:rsid w:val="00A07D3B"/>
    <w:rsid w:val="00A07D66"/>
    <w:rsid w:val="00A100B6"/>
    <w:rsid w:val="00A100BA"/>
    <w:rsid w:val="00A100D4"/>
    <w:rsid w:val="00A10374"/>
    <w:rsid w:val="00A10741"/>
    <w:rsid w:val="00A10800"/>
    <w:rsid w:val="00A10E6B"/>
    <w:rsid w:val="00A10EC0"/>
    <w:rsid w:val="00A10F83"/>
    <w:rsid w:val="00A110F5"/>
    <w:rsid w:val="00A1121F"/>
    <w:rsid w:val="00A1132A"/>
    <w:rsid w:val="00A1151D"/>
    <w:rsid w:val="00A117A6"/>
    <w:rsid w:val="00A118C7"/>
    <w:rsid w:val="00A1191A"/>
    <w:rsid w:val="00A11990"/>
    <w:rsid w:val="00A11ACF"/>
    <w:rsid w:val="00A11BF5"/>
    <w:rsid w:val="00A1216E"/>
    <w:rsid w:val="00A12233"/>
    <w:rsid w:val="00A1227C"/>
    <w:rsid w:val="00A123E2"/>
    <w:rsid w:val="00A124B0"/>
    <w:rsid w:val="00A125A5"/>
    <w:rsid w:val="00A1264C"/>
    <w:rsid w:val="00A1282E"/>
    <w:rsid w:val="00A12C87"/>
    <w:rsid w:val="00A12FAF"/>
    <w:rsid w:val="00A1315F"/>
    <w:rsid w:val="00A133A4"/>
    <w:rsid w:val="00A134BA"/>
    <w:rsid w:val="00A135A3"/>
    <w:rsid w:val="00A13B42"/>
    <w:rsid w:val="00A13B77"/>
    <w:rsid w:val="00A13CF2"/>
    <w:rsid w:val="00A13D5A"/>
    <w:rsid w:val="00A1406D"/>
    <w:rsid w:val="00A140A9"/>
    <w:rsid w:val="00A140D0"/>
    <w:rsid w:val="00A14155"/>
    <w:rsid w:val="00A14390"/>
    <w:rsid w:val="00A143EE"/>
    <w:rsid w:val="00A1440D"/>
    <w:rsid w:val="00A14A49"/>
    <w:rsid w:val="00A14A64"/>
    <w:rsid w:val="00A14C2B"/>
    <w:rsid w:val="00A14C90"/>
    <w:rsid w:val="00A14CB4"/>
    <w:rsid w:val="00A14D19"/>
    <w:rsid w:val="00A14ED7"/>
    <w:rsid w:val="00A150F8"/>
    <w:rsid w:val="00A15289"/>
    <w:rsid w:val="00A15432"/>
    <w:rsid w:val="00A15672"/>
    <w:rsid w:val="00A157FF"/>
    <w:rsid w:val="00A15FFB"/>
    <w:rsid w:val="00A16443"/>
    <w:rsid w:val="00A166A0"/>
    <w:rsid w:val="00A16747"/>
    <w:rsid w:val="00A1689F"/>
    <w:rsid w:val="00A1697A"/>
    <w:rsid w:val="00A169D7"/>
    <w:rsid w:val="00A16B06"/>
    <w:rsid w:val="00A16C8D"/>
    <w:rsid w:val="00A16CD0"/>
    <w:rsid w:val="00A16E8D"/>
    <w:rsid w:val="00A17821"/>
    <w:rsid w:val="00A1793F"/>
    <w:rsid w:val="00A17A15"/>
    <w:rsid w:val="00A17E1E"/>
    <w:rsid w:val="00A20063"/>
    <w:rsid w:val="00A205DB"/>
    <w:rsid w:val="00A20617"/>
    <w:rsid w:val="00A20636"/>
    <w:rsid w:val="00A2063D"/>
    <w:rsid w:val="00A20726"/>
    <w:rsid w:val="00A20EFE"/>
    <w:rsid w:val="00A21133"/>
    <w:rsid w:val="00A2139B"/>
    <w:rsid w:val="00A214FA"/>
    <w:rsid w:val="00A218E5"/>
    <w:rsid w:val="00A21989"/>
    <w:rsid w:val="00A21B97"/>
    <w:rsid w:val="00A21C1D"/>
    <w:rsid w:val="00A21D32"/>
    <w:rsid w:val="00A21D5F"/>
    <w:rsid w:val="00A21E90"/>
    <w:rsid w:val="00A21F31"/>
    <w:rsid w:val="00A2201E"/>
    <w:rsid w:val="00A220F5"/>
    <w:rsid w:val="00A2214F"/>
    <w:rsid w:val="00A22284"/>
    <w:rsid w:val="00A2242B"/>
    <w:rsid w:val="00A225D3"/>
    <w:rsid w:val="00A2263F"/>
    <w:rsid w:val="00A2265E"/>
    <w:rsid w:val="00A226BE"/>
    <w:rsid w:val="00A22B7E"/>
    <w:rsid w:val="00A22BE7"/>
    <w:rsid w:val="00A22C9A"/>
    <w:rsid w:val="00A23202"/>
    <w:rsid w:val="00A2377E"/>
    <w:rsid w:val="00A23A25"/>
    <w:rsid w:val="00A23AAD"/>
    <w:rsid w:val="00A23E5E"/>
    <w:rsid w:val="00A23E8B"/>
    <w:rsid w:val="00A23ECA"/>
    <w:rsid w:val="00A2423B"/>
    <w:rsid w:val="00A2443F"/>
    <w:rsid w:val="00A244E7"/>
    <w:rsid w:val="00A2466C"/>
    <w:rsid w:val="00A24823"/>
    <w:rsid w:val="00A248AF"/>
    <w:rsid w:val="00A249A1"/>
    <w:rsid w:val="00A249D4"/>
    <w:rsid w:val="00A24B2A"/>
    <w:rsid w:val="00A24D0D"/>
    <w:rsid w:val="00A25077"/>
    <w:rsid w:val="00A2511C"/>
    <w:rsid w:val="00A253B9"/>
    <w:rsid w:val="00A2545A"/>
    <w:rsid w:val="00A255EA"/>
    <w:rsid w:val="00A2562A"/>
    <w:rsid w:val="00A2568C"/>
    <w:rsid w:val="00A25725"/>
    <w:rsid w:val="00A25736"/>
    <w:rsid w:val="00A25AB1"/>
    <w:rsid w:val="00A25BF7"/>
    <w:rsid w:val="00A25D23"/>
    <w:rsid w:val="00A25FFF"/>
    <w:rsid w:val="00A26195"/>
    <w:rsid w:val="00A26363"/>
    <w:rsid w:val="00A26629"/>
    <w:rsid w:val="00A26663"/>
    <w:rsid w:val="00A26691"/>
    <w:rsid w:val="00A266A9"/>
    <w:rsid w:val="00A26752"/>
    <w:rsid w:val="00A268F6"/>
    <w:rsid w:val="00A2697F"/>
    <w:rsid w:val="00A26A2F"/>
    <w:rsid w:val="00A26DA8"/>
    <w:rsid w:val="00A26DE5"/>
    <w:rsid w:val="00A26FEA"/>
    <w:rsid w:val="00A270F8"/>
    <w:rsid w:val="00A2740B"/>
    <w:rsid w:val="00A275D0"/>
    <w:rsid w:val="00A275F8"/>
    <w:rsid w:val="00A2767D"/>
    <w:rsid w:val="00A27A9F"/>
    <w:rsid w:val="00A27B97"/>
    <w:rsid w:val="00A27C16"/>
    <w:rsid w:val="00A27C48"/>
    <w:rsid w:val="00A27C6A"/>
    <w:rsid w:val="00A27C82"/>
    <w:rsid w:val="00A27CF0"/>
    <w:rsid w:val="00A27E94"/>
    <w:rsid w:val="00A27EA8"/>
    <w:rsid w:val="00A27F65"/>
    <w:rsid w:val="00A27FA9"/>
    <w:rsid w:val="00A3043E"/>
    <w:rsid w:val="00A30486"/>
    <w:rsid w:val="00A304B6"/>
    <w:rsid w:val="00A304FF"/>
    <w:rsid w:val="00A305EE"/>
    <w:rsid w:val="00A3070E"/>
    <w:rsid w:val="00A30868"/>
    <w:rsid w:val="00A30F8E"/>
    <w:rsid w:val="00A30FB7"/>
    <w:rsid w:val="00A31011"/>
    <w:rsid w:val="00A31422"/>
    <w:rsid w:val="00A316F1"/>
    <w:rsid w:val="00A31734"/>
    <w:rsid w:val="00A3182C"/>
    <w:rsid w:val="00A31A65"/>
    <w:rsid w:val="00A31EA8"/>
    <w:rsid w:val="00A321DB"/>
    <w:rsid w:val="00A322A6"/>
    <w:rsid w:val="00A32362"/>
    <w:rsid w:val="00A325CB"/>
    <w:rsid w:val="00A325EF"/>
    <w:rsid w:val="00A32682"/>
    <w:rsid w:val="00A327DD"/>
    <w:rsid w:val="00A327FC"/>
    <w:rsid w:val="00A3283A"/>
    <w:rsid w:val="00A32964"/>
    <w:rsid w:val="00A32D2D"/>
    <w:rsid w:val="00A332B3"/>
    <w:rsid w:val="00A33467"/>
    <w:rsid w:val="00A33534"/>
    <w:rsid w:val="00A335DB"/>
    <w:rsid w:val="00A335DF"/>
    <w:rsid w:val="00A33735"/>
    <w:rsid w:val="00A338DD"/>
    <w:rsid w:val="00A33902"/>
    <w:rsid w:val="00A33AB4"/>
    <w:rsid w:val="00A33B15"/>
    <w:rsid w:val="00A33C25"/>
    <w:rsid w:val="00A33D4D"/>
    <w:rsid w:val="00A33DAA"/>
    <w:rsid w:val="00A34160"/>
    <w:rsid w:val="00A341FA"/>
    <w:rsid w:val="00A3425B"/>
    <w:rsid w:val="00A34485"/>
    <w:rsid w:val="00A3478F"/>
    <w:rsid w:val="00A349AD"/>
    <w:rsid w:val="00A349B9"/>
    <w:rsid w:val="00A34A09"/>
    <w:rsid w:val="00A34B83"/>
    <w:rsid w:val="00A3514A"/>
    <w:rsid w:val="00A35363"/>
    <w:rsid w:val="00A35484"/>
    <w:rsid w:val="00A3583A"/>
    <w:rsid w:val="00A35916"/>
    <w:rsid w:val="00A35926"/>
    <w:rsid w:val="00A35EA7"/>
    <w:rsid w:val="00A35ED8"/>
    <w:rsid w:val="00A35FBF"/>
    <w:rsid w:val="00A36189"/>
    <w:rsid w:val="00A36533"/>
    <w:rsid w:val="00A368D1"/>
    <w:rsid w:val="00A36A0D"/>
    <w:rsid w:val="00A36B0D"/>
    <w:rsid w:val="00A36B17"/>
    <w:rsid w:val="00A37061"/>
    <w:rsid w:val="00A3743A"/>
    <w:rsid w:val="00A37565"/>
    <w:rsid w:val="00A3762C"/>
    <w:rsid w:val="00A376FD"/>
    <w:rsid w:val="00A37850"/>
    <w:rsid w:val="00A378AA"/>
    <w:rsid w:val="00A3793E"/>
    <w:rsid w:val="00A37A20"/>
    <w:rsid w:val="00A37BD9"/>
    <w:rsid w:val="00A37BF1"/>
    <w:rsid w:val="00A37C2A"/>
    <w:rsid w:val="00A37C98"/>
    <w:rsid w:val="00A37EBF"/>
    <w:rsid w:val="00A37F18"/>
    <w:rsid w:val="00A40018"/>
    <w:rsid w:val="00A40573"/>
    <w:rsid w:val="00A40B0D"/>
    <w:rsid w:val="00A410B3"/>
    <w:rsid w:val="00A411BE"/>
    <w:rsid w:val="00A414BB"/>
    <w:rsid w:val="00A41787"/>
    <w:rsid w:val="00A41A97"/>
    <w:rsid w:val="00A41C00"/>
    <w:rsid w:val="00A41D14"/>
    <w:rsid w:val="00A41E58"/>
    <w:rsid w:val="00A42155"/>
    <w:rsid w:val="00A42404"/>
    <w:rsid w:val="00A4276C"/>
    <w:rsid w:val="00A427B1"/>
    <w:rsid w:val="00A4283E"/>
    <w:rsid w:val="00A42B15"/>
    <w:rsid w:val="00A42C81"/>
    <w:rsid w:val="00A42D34"/>
    <w:rsid w:val="00A42D98"/>
    <w:rsid w:val="00A42ED9"/>
    <w:rsid w:val="00A42EF2"/>
    <w:rsid w:val="00A43094"/>
    <w:rsid w:val="00A431D7"/>
    <w:rsid w:val="00A43A3A"/>
    <w:rsid w:val="00A43B7D"/>
    <w:rsid w:val="00A43C06"/>
    <w:rsid w:val="00A43C54"/>
    <w:rsid w:val="00A43CF9"/>
    <w:rsid w:val="00A43DB5"/>
    <w:rsid w:val="00A43FC0"/>
    <w:rsid w:val="00A43FFB"/>
    <w:rsid w:val="00A44060"/>
    <w:rsid w:val="00A44289"/>
    <w:rsid w:val="00A445FD"/>
    <w:rsid w:val="00A4478E"/>
    <w:rsid w:val="00A44859"/>
    <w:rsid w:val="00A448AD"/>
    <w:rsid w:val="00A44A7D"/>
    <w:rsid w:val="00A44EB5"/>
    <w:rsid w:val="00A450AC"/>
    <w:rsid w:val="00A4510D"/>
    <w:rsid w:val="00A452BA"/>
    <w:rsid w:val="00A453C2"/>
    <w:rsid w:val="00A45A1A"/>
    <w:rsid w:val="00A45A1B"/>
    <w:rsid w:val="00A45A98"/>
    <w:rsid w:val="00A45C46"/>
    <w:rsid w:val="00A45D84"/>
    <w:rsid w:val="00A45E81"/>
    <w:rsid w:val="00A45F60"/>
    <w:rsid w:val="00A4600C"/>
    <w:rsid w:val="00A46041"/>
    <w:rsid w:val="00A461AB"/>
    <w:rsid w:val="00A46467"/>
    <w:rsid w:val="00A46490"/>
    <w:rsid w:val="00A4655D"/>
    <w:rsid w:val="00A465AA"/>
    <w:rsid w:val="00A46738"/>
    <w:rsid w:val="00A4675E"/>
    <w:rsid w:val="00A467E3"/>
    <w:rsid w:val="00A4685F"/>
    <w:rsid w:val="00A4686C"/>
    <w:rsid w:val="00A46C2D"/>
    <w:rsid w:val="00A46CFA"/>
    <w:rsid w:val="00A46D14"/>
    <w:rsid w:val="00A46EB1"/>
    <w:rsid w:val="00A4721E"/>
    <w:rsid w:val="00A47246"/>
    <w:rsid w:val="00A47406"/>
    <w:rsid w:val="00A47498"/>
    <w:rsid w:val="00A474B2"/>
    <w:rsid w:val="00A4754C"/>
    <w:rsid w:val="00A4794A"/>
    <w:rsid w:val="00A47955"/>
    <w:rsid w:val="00A47FC2"/>
    <w:rsid w:val="00A50216"/>
    <w:rsid w:val="00A50470"/>
    <w:rsid w:val="00A50B8E"/>
    <w:rsid w:val="00A50BCC"/>
    <w:rsid w:val="00A51072"/>
    <w:rsid w:val="00A511DE"/>
    <w:rsid w:val="00A513E5"/>
    <w:rsid w:val="00A5145C"/>
    <w:rsid w:val="00A514B3"/>
    <w:rsid w:val="00A515FB"/>
    <w:rsid w:val="00A5167A"/>
    <w:rsid w:val="00A51877"/>
    <w:rsid w:val="00A51D0E"/>
    <w:rsid w:val="00A51F0D"/>
    <w:rsid w:val="00A521B8"/>
    <w:rsid w:val="00A5223E"/>
    <w:rsid w:val="00A5230E"/>
    <w:rsid w:val="00A523C3"/>
    <w:rsid w:val="00A52601"/>
    <w:rsid w:val="00A5286D"/>
    <w:rsid w:val="00A529A8"/>
    <w:rsid w:val="00A52BC7"/>
    <w:rsid w:val="00A52C0F"/>
    <w:rsid w:val="00A52EB0"/>
    <w:rsid w:val="00A530EA"/>
    <w:rsid w:val="00A53152"/>
    <w:rsid w:val="00A531B5"/>
    <w:rsid w:val="00A531B7"/>
    <w:rsid w:val="00A53508"/>
    <w:rsid w:val="00A536D2"/>
    <w:rsid w:val="00A537FB"/>
    <w:rsid w:val="00A53845"/>
    <w:rsid w:val="00A5393C"/>
    <w:rsid w:val="00A539B2"/>
    <w:rsid w:val="00A53D42"/>
    <w:rsid w:val="00A540EA"/>
    <w:rsid w:val="00A540FD"/>
    <w:rsid w:val="00A541AE"/>
    <w:rsid w:val="00A54366"/>
    <w:rsid w:val="00A543F9"/>
    <w:rsid w:val="00A54460"/>
    <w:rsid w:val="00A54757"/>
    <w:rsid w:val="00A54AB7"/>
    <w:rsid w:val="00A54B8F"/>
    <w:rsid w:val="00A54F51"/>
    <w:rsid w:val="00A54F8B"/>
    <w:rsid w:val="00A550A2"/>
    <w:rsid w:val="00A55198"/>
    <w:rsid w:val="00A5521E"/>
    <w:rsid w:val="00A55266"/>
    <w:rsid w:val="00A5526B"/>
    <w:rsid w:val="00A5531E"/>
    <w:rsid w:val="00A55766"/>
    <w:rsid w:val="00A55F76"/>
    <w:rsid w:val="00A56103"/>
    <w:rsid w:val="00A56198"/>
    <w:rsid w:val="00A5665F"/>
    <w:rsid w:val="00A56977"/>
    <w:rsid w:val="00A569B4"/>
    <w:rsid w:val="00A56DD4"/>
    <w:rsid w:val="00A56E0B"/>
    <w:rsid w:val="00A571BE"/>
    <w:rsid w:val="00A57232"/>
    <w:rsid w:val="00A57A26"/>
    <w:rsid w:val="00A57AEF"/>
    <w:rsid w:val="00A57DA7"/>
    <w:rsid w:val="00A57F83"/>
    <w:rsid w:val="00A60401"/>
    <w:rsid w:val="00A6049F"/>
    <w:rsid w:val="00A60584"/>
    <w:rsid w:val="00A60BFC"/>
    <w:rsid w:val="00A60FAE"/>
    <w:rsid w:val="00A613DD"/>
    <w:rsid w:val="00A615B4"/>
    <w:rsid w:val="00A618E3"/>
    <w:rsid w:val="00A61B1A"/>
    <w:rsid w:val="00A61D8B"/>
    <w:rsid w:val="00A61EE1"/>
    <w:rsid w:val="00A61FAE"/>
    <w:rsid w:val="00A620CD"/>
    <w:rsid w:val="00A6226D"/>
    <w:rsid w:val="00A62499"/>
    <w:rsid w:val="00A627FC"/>
    <w:rsid w:val="00A62B7D"/>
    <w:rsid w:val="00A62CEC"/>
    <w:rsid w:val="00A62D9B"/>
    <w:rsid w:val="00A62EDA"/>
    <w:rsid w:val="00A62F82"/>
    <w:rsid w:val="00A6316B"/>
    <w:rsid w:val="00A63178"/>
    <w:rsid w:val="00A631C4"/>
    <w:rsid w:val="00A6321D"/>
    <w:rsid w:val="00A632E5"/>
    <w:rsid w:val="00A634DC"/>
    <w:rsid w:val="00A63509"/>
    <w:rsid w:val="00A635E2"/>
    <w:rsid w:val="00A6371F"/>
    <w:rsid w:val="00A63878"/>
    <w:rsid w:val="00A6389A"/>
    <w:rsid w:val="00A63981"/>
    <w:rsid w:val="00A63B6F"/>
    <w:rsid w:val="00A63CA1"/>
    <w:rsid w:val="00A64005"/>
    <w:rsid w:val="00A640D5"/>
    <w:rsid w:val="00A64365"/>
    <w:rsid w:val="00A64658"/>
    <w:rsid w:val="00A646CF"/>
    <w:rsid w:val="00A64972"/>
    <w:rsid w:val="00A64C43"/>
    <w:rsid w:val="00A64CC0"/>
    <w:rsid w:val="00A64EF9"/>
    <w:rsid w:val="00A64FD9"/>
    <w:rsid w:val="00A65061"/>
    <w:rsid w:val="00A65435"/>
    <w:rsid w:val="00A657D5"/>
    <w:rsid w:val="00A658E7"/>
    <w:rsid w:val="00A65AFA"/>
    <w:rsid w:val="00A65BEA"/>
    <w:rsid w:val="00A65CF0"/>
    <w:rsid w:val="00A65DD9"/>
    <w:rsid w:val="00A65E24"/>
    <w:rsid w:val="00A65F0D"/>
    <w:rsid w:val="00A6622B"/>
    <w:rsid w:val="00A662B5"/>
    <w:rsid w:val="00A66594"/>
    <w:rsid w:val="00A66B9B"/>
    <w:rsid w:val="00A66C4E"/>
    <w:rsid w:val="00A66C82"/>
    <w:rsid w:val="00A66CF3"/>
    <w:rsid w:val="00A66D9E"/>
    <w:rsid w:val="00A66FC2"/>
    <w:rsid w:val="00A6746F"/>
    <w:rsid w:val="00A67471"/>
    <w:rsid w:val="00A67A78"/>
    <w:rsid w:val="00A67B49"/>
    <w:rsid w:val="00A67D74"/>
    <w:rsid w:val="00A67E84"/>
    <w:rsid w:val="00A70033"/>
    <w:rsid w:val="00A7010B"/>
    <w:rsid w:val="00A701E8"/>
    <w:rsid w:val="00A70703"/>
    <w:rsid w:val="00A70A3C"/>
    <w:rsid w:val="00A70A4F"/>
    <w:rsid w:val="00A70B4C"/>
    <w:rsid w:val="00A70C59"/>
    <w:rsid w:val="00A70CE3"/>
    <w:rsid w:val="00A70D76"/>
    <w:rsid w:val="00A70FDC"/>
    <w:rsid w:val="00A71120"/>
    <w:rsid w:val="00A714A8"/>
    <w:rsid w:val="00A714CB"/>
    <w:rsid w:val="00A716A6"/>
    <w:rsid w:val="00A71AD1"/>
    <w:rsid w:val="00A71D0D"/>
    <w:rsid w:val="00A71ED6"/>
    <w:rsid w:val="00A72308"/>
    <w:rsid w:val="00A72350"/>
    <w:rsid w:val="00A7235C"/>
    <w:rsid w:val="00A7236A"/>
    <w:rsid w:val="00A724F2"/>
    <w:rsid w:val="00A72525"/>
    <w:rsid w:val="00A72569"/>
    <w:rsid w:val="00A72923"/>
    <w:rsid w:val="00A732E8"/>
    <w:rsid w:val="00A7337F"/>
    <w:rsid w:val="00A73390"/>
    <w:rsid w:val="00A7344A"/>
    <w:rsid w:val="00A734AD"/>
    <w:rsid w:val="00A735AE"/>
    <w:rsid w:val="00A73804"/>
    <w:rsid w:val="00A7385C"/>
    <w:rsid w:val="00A739D2"/>
    <w:rsid w:val="00A73A91"/>
    <w:rsid w:val="00A73C63"/>
    <w:rsid w:val="00A73CF1"/>
    <w:rsid w:val="00A73E39"/>
    <w:rsid w:val="00A73F51"/>
    <w:rsid w:val="00A73FA3"/>
    <w:rsid w:val="00A740EB"/>
    <w:rsid w:val="00A7412E"/>
    <w:rsid w:val="00A742FE"/>
    <w:rsid w:val="00A74457"/>
    <w:rsid w:val="00A74532"/>
    <w:rsid w:val="00A746BA"/>
    <w:rsid w:val="00A74B97"/>
    <w:rsid w:val="00A74EDB"/>
    <w:rsid w:val="00A75158"/>
    <w:rsid w:val="00A755E8"/>
    <w:rsid w:val="00A758FF"/>
    <w:rsid w:val="00A75ADA"/>
    <w:rsid w:val="00A75BE8"/>
    <w:rsid w:val="00A75D21"/>
    <w:rsid w:val="00A7619E"/>
    <w:rsid w:val="00A761E4"/>
    <w:rsid w:val="00A762BD"/>
    <w:rsid w:val="00A76682"/>
    <w:rsid w:val="00A766FE"/>
    <w:rsid w:val="00A76706"/>
    <w:rsid w:val="00A76938"/>
    <w:rsid w:val="00A76CCD"/>
    <w:rsid w:val="00A76D15"/>
    <w:rsid w:val="00A76ECE"/>
    <w:rsid w:val="00A76EE1"/>
    <w:rsid w:val="00A7713E"/>
    <w:rsid w:val="00A77267"/>
    <w:rsid w:val="00A7732C"/>
    <w:rsid w:val="00A77678"/>
    <w:rsid w:val="00A7773B"/>
    <w:rsid w:val="00A77791"/>
    <w:rsid w:val="00A77BC8"/>
    <w:rsid w:val="00A77D75"/>
    <w:rsid w:val="00A77FE8"/>
    <w:rsid w:val="00A80013"/>
    <w:rsid w:val="00A8033D"/>
    <w:rsid w:val="00A80351"/>
    <w:rsid w:val="00A803AB"/>
    <w:rsid w:val="00A803F9"/>
    <w:rsid w:val="00A8050D"/>
    <w:rsid w:val="00A80578"/>
    <w:rsid w:val="00A805E0"/>
    <w:rsid w:val="00A8086F"/>
    <w:rsid w:val="00A809D9"/>
    <w:rsid w:val="00A80AC2"/>
    <w:rsid w:val="00A80D1A"/>
    <w:rsid w:val="00A80DB5"/>
    <w:rsid w:val="00A812E8"/>
    <w:rsid w:val="00A81310"/>
    <w:rsid w:val="00A814BC"/>
    <w:rsid w:val="00A8163A"/>
    <w:rsid w:val="00A818E0"/>
    <w:rsid w:val="00A81A1B"/>
    <w:rsid w:val="00A81BA4"/>
    <w:rsid w:val="00A81D42"/>
    <w:rsid w:val="00A81FBF"/>
    <w:rsid w:val="00A820AD"/>
    <w:rsid w:val="00A8212F"/>
    <w:rsid w:val="00A82190"/>
    <w:rsid w:val="00A82202"/>
    <w:rsid w:val="00A82263"/>
    <w:rsid w:val="00A823E8"/>
    <w:rsid w:val="00A82540"/>
    <w:rsid w:val="00A82587"/>
    <w:rsid w:val="00A826C0"/>
    <w:rsid w:val="00A8271B"/>
    <w:rsid w:val="00A828DC"/>
    <w:rsid w:val="00A82BC9"/>
    <w:rsid w:val="00A82BEE"/>
    <w:rsid w:val="00A82E1E"/>
    <w:rsid w:val="00A83062"/>
    <w:rsid w:val="00A831AB"/>
    <w:rsid w:val="00A832B7"/>
    <w:rsid w:val="00A8362E"/>
    <w:rsid w:val="00A8366F"/>
    <w:rsid w:val="00A836FE"/>
    <w:rsid w:val="00A8393E"/>
    <w:rsid w:val="00A83BD6"/>
    <w:rsid w:val="00A83BE5"/>
    <w:rsid w:val="00A83C9D"/>
    <w:rsid w:val="00A83E8B"/>
    <w:rsid w:val="00A83F2B"/>
    <w:rsid w:val="00A84383"/>
    <w:rsid w:val="00A8449C"/>
    <w:rsid w:val="00A84586"/>
    <w:rsid w:val="00A846E8"/>
    <w:rsid w:val="00A84835"/>
    <w:rsid w:val="00A848FA"/>
    <w:rsid w:val="00A84916"/>
    <w:rsid w:val="00A84934"/>
    <w:rsid w:val="00A849F7"/>
    <w:rsid w:val="00A84A2C"/>
    <w:rsid w:val="00A84ADF"/>
    <w:rsid w:val="00A84B21"/>
    <w:rsid w:val="00A84CC4"/>
    <w:rsid w:val="00A84CC8"/>
    <w:rsid w:val="00A84DC0"/>
    <w:rsid w:val="00A84E15"/>
    <w:rsid w:val="00A85071"/>
    <w:rsid w:val="00A8569B"/>
    <w:rsid w:val="00A856BB"/>
    <w:rsid w:val="00A85722"/>
    <w:rsid w:val="00A85D2A"/>
    <w:rsid w:val="00A85DAE"/>
    <w:rsid w:val="00A85DC9"/>
    <w:rsid w:val="00A860D6"/>
    <w:rsid w:val="00A8630A"/>
    <w:rsid w:val="00A8631C"/>
    <w:rsid w:val="00A8648D"/>
    <w:rsid w:val="00A864D2"/>
    <w:rsid w:val="00A864F5"/>
    <w:rsid w:val="00A86588"/>
    <w:rsid w:val="00A86687"/>
    <w:rsid w:val="00A866B2"/>
    <w:rsid w:val="00A868DA"/>
    <w:rsid w:val="00A86A0A"/>
    <w:rsid w:val="00A86FDD"/>
    <w:rsid w:val="00A871EF"/>
    <w:rsid w:val="00A877A9"/>
    <w:rsid w:val="00A8781A"/>
    <w:rsid w:val="00A878C1"/>
    <w:rsid w:val="00A87B08"/>
    <w:rsid w:val="00A87DE1"/>
    <w:rsid w:val="00A87DE3"/>
    <w:rsid w:val="00A90426"/>
    <w:rsid w:val="00A9061D"/>
    <w:rsid w:val="00A90627"/>
    <w:rsid w:val="00A90654"/>
    <w:rsid w:val="00A906A6"/>
    <w:rsid w:val="00A908B0"/>
    <w:rsid w:val="00A90BA9"/>
    <w:rsid w:val="00A90CC9"/>
    <w:rsid w:val="00A90E73"/>
    <w:rsid w:val="00A9115C"/>
    <w:rsid w:val="00A913D3"/>
    <w:rsid w:val="00A91615"/>
    <w:rsid w:val="00A916D0"/>
    <w:rsid w:val="00A917EA"/>
    <w:rsid w:val="00A91C79"/>
    <w:rsid w:val="00A91D31"/>
    <w:rsid w:val="00A923F9"/>
    <w:rsid w:val="00A92649"/>
    <w:rsid w:val="00A92900"/>
    <w:rsid w:val="00A92BE3"/>
    <w:rsid w:val="00A92DCF"/>
    <w:rsid w:val="00A92EA9"/>
    <w:rsid w:val="00A92EC2"/>
    <w:rsid w:val="00A93002"/>
    <w:rsid w:val="00A9314B"/>
    <w:rsid w:val="00A935E6"/>
    <w:rsid w:val="00A936C6"/>
    <w:rsid w:val="00A93890"/>
    <w:rsid w:val="00A93987"/>
    <w:rsid w:val="00A93CB4"/>
    <w:rsid w:val="00A93DC6"/>
    <w:rsid w:val="00A940C4"/>
    <w:rsid w:val="00A941B5"/>
    <w:rsid w:val="00A94209"/>
    <w:rsid w:val="00A942DC"/>
    <w:rsid w:val="00A94301"/>
    <w:rsid w:val="00A94576"/>
    <w:rsid w:val="00A94857"/>
    <w:rsid w:val="00A9485E"/>
    <w:rsid w:val="00A94A89"/>
    <w:rsid w:val="00A94CA7"/>
    <w:rsid w:val="00A94D72"/>
    <w:rsid w:val="00A94D7D"/>
    <w:rsid w:val="00A9507F"/>
    <w:rsid w:val="00A950AF"/>
    <w:rsid w:val="00A95497"/>
    <w:rsid w:val="00A95ED7"/>
    <w:rsid w:val="00A960DB"/>
    <w:rsid w:val="00A96180"/>
    <w:rsid w:val="00A96252"/>
    <w:rsid w:val="00A963E3"/>
    <w:rsid w:val="00A963F0"/>
    <w:rsid w:val="00A96704"/>
    <w:rsid w:val="00A96B8A"/>
    <w:rsid w:val="00A96BD2"/>
    <w:rsid w:val="00A96D39"/>
    <w:rsid w:val="00A96D46"/>
    <w:rsid w:val="00A96FAF"/>
    <w:rsid w:val="00A96FD9"/>
    <w:rsid w:val="00A971E4"/>
    <w:rsid w:val="00A972EC"/>
    <w:rsid w:val="00A97489"/>
    <w:rsid w:val="00A975E8"/>
    <w:rsid w:val="00A979E9"/>
    <w:rsid w:val="00A97A44"/>
    <w:rsid w:val="00A97B69"/>
    <w:rsid w:val="00A97D55"/>
    <w:rsid w:val="00A97F89"/>
    <w:rsid w:val="00AA036D"/>
    <w:rsid w:val="00AA0639"/>
    <w:rsid w:val="00AA063B"/>
    <w:rsid w:val="00AA098B"/>
    <w:rsid w:val="00AA09C9"/>
    <w:rsid w:val="00AA0A95"/>
    <w:rsid w:val="00AA0BF4"/>
    <w:rsid w:val="00AA0D43"/>
    <w:rsid w:val="00AA0DD6"/>
    <w:rsid w:val="00AA0DE1"/>
    <w:rsid w:val="00AA11FD"/>
    <w:rsid w:val="00AA129C"/>
    <w:rsid w:val="00AA130E"/>
    <w:rsid w:val="00AA144D"/>
    <w:rsid w:val="00AA14AF"/>
    <w:rsid w:val="00AA1597"/>
    <w:rsid w:val="00AA15CF"/>
    <w:rsid w:val="00AA1755"/>
    <w:rsid w:val="00AA17E2"/>
    <w:rsid w:val="00AA196B"/>
    <w:rsid w:val="00AA1A07"/>
    <w:rsid w:val="00AA1B03"/>
    <w:rsid w:val="00AA1BD0"/>
    <w:rsid w:val="00AA1F72"/>
    <w:rsid w:val="00AA207C"/>
    <w:rsid w:val="00AA211C"/>
    <w:rsid w:val="00AA213D"/>
    <w:rsid w:val="00AA230F"/>
    <w:rsid w:val="00AA25BF"/>
    <w:rsid w:val="00AA26BE"/>
    <w:rsid w:val="00AA28D0"/>
    <w:rsid w:val="00AA2906"/>
    <w:rsid w:val="00AA292D"/>
    <w:rsid w:val="00AA2933"/>
    <w:rsid w:val="00AA2CB4"/>
    <w:rsid w:val="00AA2CCD"/>
    <w:rsid w:val="00AA2D47"/>
    <w:rsid w:val="00AA2DCF"/>
    <w:rsid w:val="00AA2EB7"/>
    <w:rsid w:val="00AA301A"/>
    <w:rsid w:val="00AA3095"/>
    <w:rsid w:val="00AA35CC"/>
    <w:rsid w:val="00AA3AA9"/>
    <w:rsid w:val="00AA4166"/>
    <w:rsid w:val="00AA4783"/>
    <w:rsid w:val="00AA4CC1"/>
    <w:rsid w:val="00AA50E6"/>
    <w:rsid w:val="00AA5112"/>
    <w:rsid w:val="00AA5304"/>
    <w:rsid w:val="00AA5333"/>
    <w:rsid w:val="00AA55BC"/>
    <w:rsid w:val="00AA561D"/>
    <w:rsid w:val="00AA56E3"/>
    <w:rsid w:val="00AA5A14"/>
    <w:rsid w:val="00AA5A1A"/>
    <w:rsid w:val="00AA5A8E"/>
    <w:rsid w:val="00AA5B79"/>
    <w:rsid w:val="00AA5C8D"/>
    <w:rsid w:val="00AA5CD0"/>
    <w:rsid w:val="00AA5FB1"/>
    <w:rsid w:val="00AA606D"/>
    <w:rsid w:val="00AA67B8"/>
    <w:rsid w:val="00AA695A"/>
    <w:rsid w:val="00AA6D85"/>
    <w:rsid w:val="00AA6F21"/>
    <w:rsid w:val="00AA6F3C"/>
    <w:rsid w:val="00AA6FD1"/>
    <w:rsid w:val="00AA70D6"/>
    <w:rsid w:val="00AA711F"/>
    <w:rsid w:val="00AA7149"/>
    <w:rsid w:val="00AA7553"/>
    <w:rsid w:val="00AA7597"/>
    <w:rsid w:val="00AA76C6"/>
    <w:rsid w:val="00AA7914"/>
    <w:rsid w:val="00AA7A7E"/>
    <w:rsid w:val="00AA7B71"/>
    <w:rsid w:val="00AA7E12"/>
    <w:rsid w:val="00AA7F2C"/>
    <w:rsid w:val="00AB0113"/>
    <w:rsid w:val="00AB0189"/>
    <w:rsid w:val="00AB01AB"/>
    <w:rsid w:val="00AB01C6"/>
    <w:rsid w:val="00AB0362"/>
    <w:rsid w:val="00AB0579"/>
    <w:rsid w:val="00AB0644"/>
    <w:rsid w:val="00AB0753"/>
    <w:rsid w:val="00AB0944"/>
    <w:rsid w:val="00AB0A87"/>
    <w:rsid w:val="00AB0ABE"/>
    <w:rsid w:val="00AB0C84"/>
    <w:rsid w:val="00AB0FA9"/>
    <w:rsid w:val="00AB108B"/>
    <w:rsid w:val="00AB1256"/>
    <w:rsid w:val="00AB1495"/>
    <w:rsid w:val="00AB15BB"/>
    <w:rsid w:val="00AB165C"/>
    <w:rsid w:val="00AB17E9"/>
    <w:rsid w:val="00AB18C0"/>
    <w:rsid w:val="00AB1A31"/>
    <w:rsid w:val="00AB1E4E"/>
    <w:rsid w:val="00AB1F76"/>
    <w:rsid w:val="00AB1FBC"/>
    <w:rsid w:val="00AB1FE0"/>
    <w:rsid w:val="00AB2066"/>
    <w:rsid w:val="00AB221F"/>
    <w:rsid w:val="00AB25E9"/>
    <w:rsid w:val="00AB2DDF"/>
    <w:rsid w:val="00AB2DF0"/>
    <w:rsid w:val="00AB2E09"/>
    <w:rsid w:val="00AB2F93"/>
    <w:rsid w:val="00AB2FF0"/>
    <w:rsid w:val="00AB31BD"/>
    <w:rsid w:val="00AB3628"/>
    <w:rsid w:val="00AB3761"/>
    <w:rsid w:val="00AB4173"/>
    <w:rsid w:val="00AB41E1"/>
    <w:rsid w:val="00AB42D0"/>
    <w:rsid w:val="00AB43A4"/>
    <w:rsid w:val="00AB4476"/>
    <w:rsid w:val="00AB455B"/>
    <w:rsid w:val="00AB4579"/>
    <w:rsid w:val="00AB4676"/>
    <w:rsid w:val="00AB46A7"/>
    <w:rsid w:val="00AB4717"/>
    <w:rsid w:val="00AB47C7"/>
    <w:rsid w:val="00AB4878"/>
    <w:rsid w:val="00AB490D"/>
    <w:rsid w:val="00AB4A02"/>
    <w:rsid w:val="00AB4A1B"/>
    <w:rsid w:val="00AB4A5B"/>
    <w:rsid w:val="00AB4BE3"/>
    <w:rsid w:val="00AB4D46"/>
    <w:rsid w:val="00AB4F5E"/>
    <w:rsid w:val="00AB50F0"/>
    <w:rsid w:val="00AB5121"/>
    <w:rsid w:val="00AB51A8"/>
    <w:rsid w:val="00AB5202"/>
    <w:rsid w:val="00AB588A"/>
    <w:rsid w:val="00AB59FF"/>
    <w:rsid w:val="00AB5A7E"/>
    <w:rsid w:val="00AB5A8D"/>
    <w:rsid w:val="00AB5CEB"/>
    <w:rsid w:val="00AB5E48"/>
    <w:rsid w:val="00AB5F0E"/>
    <w:rsid w:val="00AB624E"/>
    <w:rsid w:val="00AB6252"/>
    <w:rsid w:val="00AB6713"/>
    <w:rsid w:val="00AB67F7"/>
    <w:rsid w:val="00AB6A87"/>
    <w:rsid w:val="00AB6D49"/>
    <w:rsid w:val="00AB6E31"/>
    <w:rsid w:val="00AB6F40"/>
    <w:rsid w:val="00AB6F8C"/>
    <w:rsid w:val="00AB6FFB"/>
    <w:rsid w:val="00AB706E"/>
    <w:rsid w:val="00AB70BE"/>
    <w:rsid w:val="00AB7167"/>
    <w:rsid w:val="00AB71C7"/>
    <w:rsid w:val="00AB7268"/>
    <w:rsid w:val="00AB72C3"/>
    <w:rsid w:val="00AB7671"/>
    <w:rsid w:val="00AB7725"/>
    <w:rsid w:val="00AB775E"/>
    <w:rsid w:val="00AB7AA0"/>
    <w:rsid w:val="00AB7AB5"/>
    <w:rsid w:val="00AB7B6F"/>
    <w:rsid w:val="00AB7FB9"/>
    <w:rsid w:val="00AC0011"/>
    <w:rsid w:val="00AC01E6"/>
    <w:rsid w:val="00AC0323"/>
    <w:rsid w:val="00AC06F7"/>
    <w:rsid w:val="00AC0AAF"/>
    <w:rsid w:val="00AC0B29"/>
    <w:rsid w:val="00AC0D6F"/>
    <w:rsid w:val="00AC0DAA"/>
    <w:rsid w:val="00AC0EA8"/>
    <w:rsid w:val="00AC12AF"/>
    <w:rsid w:val="00AC1432"/>
    <w:rsid w:val="00AC1468"/>
    <w:rsid w:val="00AC152F"/>
    <w:rsid w:val="00AC159F"/>
    <w:rsid w:val="00AC16DF"/>
    <w:rsid w:val="00AC183D"/>
    <w:rsid w:val="00AC1A35"/>
    <w:rsid w:val="00AC1A9F"/>
    <w:rsid w:val="00AC1CE5"/>
    <w:rsid w:val="00AC1D9D"/>
    <w:rsid w:val="00AC1DD4"/>
    <w:rsid w:val="00AC1E0A"/>
    <w:rsid w:val="00AC1ECF"/>
    <w:rsid w:val="00AC1FD7"/>
    <w:rsid w:val="00AC24C4"/>
    <w:rsid w:val="00AC2578"/>
    <w:rsid w:val="00AC2843"/>
    <w:rsid w:val="00AC285F"/>
    <w:rsid w:val="00AC2A7C"/>
    <w:rsid w:val="00AC2AE1"/>
    <w:rsid w:val="00AC2C24"/>
    <w:rsid w:val="00AC2C4F"/>
    <w:rsid w:val="00AC2D0B"/>
    <w:rsid w:val="00AC3046"/>
    <w:rsid w:val="00AC30D3"/>
    <w:rsid w:val="00AC30F6"/>
    <w:rsid w:val="00AC362A"/>
    <w:rsid w:val="00AC363A"/>
    <w:rsid w:val="00AC3742"/>
    <w:rsid w:val="00AC386A"/>
    <w:rsid w:val="00AC3AEE"/>
    <w:rsid w:val="00AC3B02"/>
    <w:rsid w:val="00AC3B41"/>
    <w:rsid w:val="00AC3E90"/>
    <w:rsid w:val="00AC4372"/>
    <w:rsid w:val="00AC438B"/>
    <w:rsid w:val="00AC49A2"/>
    <w:rsid w:val="00AC4B94"/>
    <w:rsid w:val="00AC4DB0"/>
    <w:rsid w:val="00AC4DB8"/>
    <w:rsid w:val="00AC4F40"/>
    <w:rsid w:val="00AC5137"/>
    <w:rsid w:val="00AC5162"/>
    <w:rsid w:val="00AC517B"/>
    <w:rsid w:val="00AC53D2"/>
    <w:rsid w:val="00AC5538"/>
    <w:rsid w:val="00AC56FF"/>
    <w:rsid w:val="00AC57DD"/>
    <w:rsid w:val="00AC58B9"/>
    <w:rsid w:val="00AC5925"/>
    <w:rsid w:val="00AC5ABC"/>
    <w:rsid w:val="00AC5BA2"/>
    <w:rsid w:val="00AC5C42"/>
    <w:rsid w:val="00AC6076"/>
    <w:rsid w:val="00AC63D0"/>
    <w:rsid w:val="00AC63DF"/>
    <w:rsid w:val="00AC64DE"/>
    <w:rsid w:val="00AC656A"/>
    <w:rsid w:val="00AC67A1"/>
    <w:rsid w:val="00AC6840"/>
    <w:rsid w:val="00AC6BAF"/>
    <w:rsid w:val="00AC7053"/>
    <w:rsid w:val="00AC7087"/>
    <w:rsid w:val="00AC7146"/>
    <w:rsid w:val="00AC71E8"/>
    <w:rsid w:val="00AC7238"/>
    <w:rsid w:val="00AC7292"/>
    <w:rsid w:val="00AC729E"/>
    <w:rsid w:val="00AC73F3"/>
    <w:rsid w:val="00AC7802"/>
    <w:rsid w:val="00AC7967"/>
    <w:rsid w:val="00AC7A8B"/>
    <w:rsid w:val="00AC7B8B"/>
    <w:rsid w:val="00AC7BCB"/>
    <w:rsid w:val="00AC7D72"/>
    <w:rsid w:val="00AC7ECF"/>
    <w:rsid w:val="00AC7EE5"/>
    <w:rsid w:val="00AC7F1B"/>
    <w:rsid w:val="00AC7FBF"/>
    <w:rsid w:val="00AD05C2"/>
    <w:rsid w:val="00AD066A"/>
    <w:rsid w:val="00AD069A"/>
    <w:rsid w:val="00AD06FE"/>
    <w:rsid w:val="00AD0810"/>
    <w:rsid w:val="00AD0982"/>
    <w:rsid w:val="00AD0C90"/>
    <w:rsid w:val="00AD0DB1"/>
    <w:rsid w:val="00AD0DB4"/>
    <w:rsid w:val="00AD0F19"/>
    <w:rsid w:val="00AD1059"/>
    <w:rsid w:val="00AD129D"/>
    <w:rsid w:val="00AD13F3"/>
    <w:rsid w:val="00AD1BAE"/>
    <w:rsid w:val="00AD1CAC"/>
    <w:rsid w:val="00AD1CB7"/>
    <w:rsid w:val="00AD1D64"/>
    <w:rsid w:val="00AD22C3"/>
    <w:rsid w:val="00AD2359"/>
    <w:rsid w:val="00AD25EF"/>
    <w:rsid w:val="00AD2761"/>
    <w:rsid w:val="00AD27EF"/>
    <w:rsid w:val="00AD286C"/>
    <w:rsid w:val="00AD287B"/>
    <w:rsid w:val="00AD28DF"/>
    <w:rsid w:val="00AD2D19"/>
    <w:rsid w:val="00AD2E66"/>
    <w:rsid w:val="00AD2FF6"/>
    <w:rsid w:val="00AD2FF7"/>
    <w:rsid w:val="00AD3417"/>
    <w:rsid w:val="00AD3955"/>
    <w:rsid w:val="00AD3A1C"/>
    <w:rsid w:val="00AD3D02"/>
    <w:rsid w:val="00AD3D97"/>
    <w:rsid w:val="00AD3E06"/>
    <w:rsid w:val="00AD3E54"/>
    <w:rsid w:val="00AD3EB4"/>
    <w:rsid w:val="00AD4251"/>
    <w:rsid w:val="00AD434A"/>
    <w:rsid w:val="00AD441C"/>
    <w:rsid w:val="00AD45BB"/>
    <w:rsid w:val="00AD46F9"/>
    <w:rsid w:val="00AD479D"/>
    <w:rsid w:val="00AD47D8"/>
    <w:rsid w:val="00AD48F4"/>
    <w:rsid w:val="00AD49E7"/>
    <w:rsid w:val="00AD4A96"/>
    <w:rsid w:val="00AD4B33"/>
    <w:rsid w:val="00AD4C9E"/>
    <w:rsid w:val="00AD4CAC"/>
    <w:rsid w:val="00AD4DE0"/>
    <w:rsid w:val="00AD4E3A"/>
    <w:rsid w:val="00AD4F8C"/>
    <w:rsid w:val="00AD500F"/>
    <w:rsid w:val="00AD51C1"/>
    <w:rsid w:val="00AD5212"/>
    <w:rsid w:val="00AD541D"/>
    <w:rsid w:val="00AD5497"/>
    <w:rsid w:val="00AD5526"/>
    <w:rsid w:val="00AD578C"/>
    <w:rsid w:val="00AD57C9"/>
    <w:rsid w:val="00AD5A02"/>
    <w:rsid w:val="00AD5E04"/>
    <w:rsid w:val="00AD5F41"/>
    <w:rsid w:val="00AD626D"/>
    <w:rsid w:val="00AD6290"/>
    <w:rsid w:val="00AD6508"/>
    <w:rsid w:val="00AD65AA"/>
    <w:rsid w:val="00AD69D9"/>
    <w:rsid w:val="00AD69F2"/>
    <w:rsid w:val="00AD6C6C"/>
    <w:rsid w:val="00AD6F12"/>
    <w:rsid w:val="00AD6F31"/>
    <w:rsid w:val="00AD6F53"/>
    <w:rsid w:val="00AD6FC3"/>
    <w:rsid w:val="00AD70F5"/>
    <w:rsid w:val="00AD74E2"/>
    <w:rsid w:val="00AD7558"/>
    <w:rsid w:val="00AD75D0"/>
    <w:rsid w:val="00AD76CF"/>
    <w:rsid w:val="00AD7730"/>
    <w:rsid w:val="00AD7935"/>
    <w:rsid w:val="00AD7CE0"/>
    <w:rsid w:val="00AD7CEC"/>
    <w:rsid w:val="00AE00D9"/>
    <w:rsid w:val="00AE01D8"/>
    <w:rsid w:val="00AE054D"/>
    <w:rsid w:val="00AE06AC"/>
    <w:rsid w:val="00AE0758"/>
    <w:rsid w:val="00AE0FD5"/>
    <w:rsid w:val="00AE11A3"/>
    <w:rsid w:val="00AE1377"/>
    <w:rsid w:val="00AE14C1"/>
    <w:rsid w:val="00AE16C5"/>
    <w:rsid w:val="00AE18EF"/>
    <w:rsid w:val="00AE18FD"/>
    <w:rsid w:val="00AE1974"/>
    <w:rsid w:val="00AE1A02"/>
    <w:rsid w:val="00AE1A03"/>
    <w:rsid w:val="00AE1A1D"/>
    <w:rsid w:val="00AE1ADE"/>
    <w:rsid w:val="00AE1B92"/>
    <w:rsid w:val="00AE1B9C"/>
    <w:rsid w:val="00AE1D8D"/>
    <w:rsid w:val="00AE1F86"/>
    <w:rsid w:val="00AE240E"/>
    <w:rsid w:val="00AE273A"/>
    <w:rsid w:val="00AE297A"/>
    <w:rsid w:val="00AE298D"/>
    <w:rsid w:val="00AE29AA"/>
    <w:rsid w:val="00AE3260"/>
    <w:rsid w:val="00AE335F"/>
    <w:rsid w:val="00AE3413"/>
    <w:rsid w:val="00AE3443"/>
    <w:rsid w:val="00AE346A"/>
    <w:rsid w:val="00AE351C"/>
    <w:rsid w:val="00AE364D"/>
    <w:rsid w:val="00AE3C72"/>
    <w:rsid w:val="00AE3CEE"/>
    <w:rsid w:val="00AE400D"/>
    <w:rsid w:val="00AE4034"/>
    <w:rsid w:val="00AE40A4"/>
    <w:rsid w:val="00AE422E"/>
    <w:rsid w:val="00AE4380"/>
    <w:rsid w:val="00AE43CE"/>
    <w:rsid w:val="00AE4941"/>
    <w:rsid w:val="00AE4AF0"/>
    <w:rsid w:val="00AE4CFC"/>
    <w:rsid w:val="00AE5025"/>
    <w:rsid w:val="00AE506A"/>
    <w:rsid w:val="00AE56CF"/>
    <w:rsid w:val="00AE58A5"/>
    <w:rsid w:val="00AE5BFE"/>
    <w:rsid w:val="00AE5E97"/>
    <w:rsid w:val="00AE63C2"/>
    <w:rsid w:val="00AE6611"/>
    <w:rsid w:val="00AE68BC"/>
    <w:rsid w:val="00AE6943"/>
    <w:rsid w:val="00AE6971"/>
    <w:rsid w:val="00AE6A6A"/>
    <w:rsid w:val="00AE6D6C"/>
    <w:rsid w:val="00AE701C"/>
    <w:rsid w:val="00AE7644"/>
    <w:rsid w:val="00AE7AC2"/>
    <w:rsid w:val="00AE7BB8"/>
    <w:rsid w:val="00AE7DA7"/>
    <w:rsid w:val="00AE7ED3"/>
    <w:rsid w:val="00AE7F42"/>
    <w:rsid w:val="00AF01FE"/>
    <w:rsid w:val="00AF027B"/>
    <w:rsid w:val="00AF0391"/>
    <w:rsid w:val="00AF0580"/>
    <w:rsid w:val="00AF0922"/>
    <w:rsid w:val="00AF09B5"/>
    <w:rsid w:val="00AF0B2C"/>
    <w:rsid w:val="00AF10B2"/>
    <w:rsid w:val="00AF1279"/>
    <w:rsid w:val="00AF1961"/>
    <w:rsid w:val="00AF1AF8"/>
    <w:rsid w:val="00AF1B01"/>
    <w:rsid w:val="00AF1B9B"/>
    <w:rsid w:val="00AF2001"/>
    <w:rsid w:val="00AF232F"/>
    <w:rsid w:val="00AF2569"/>
    <w:rsid w:val="00AF2597"/>
    <w:rsid w:val="00AF25F4"/>
    <w:rsid w:val="00AF280A"/>
    <w:rsid w:val="00AF2B4B"/>
    <w:rsid w:val="00AF2B99"/>
    <w:rsid w:val="00AF2D1A"/>
    <w:rsid w:val="00AF359E"/>
    <w:rsid w:val="00AF3675"/>
    <w:rsid w:val="00AF376D"/>
    <w:rsid w:val="00AF3907"/>
    <w:rsid w:val="00AF3915"/>
    <w:rsid w:val="00AF3C73"/>
    <w:rsid w:val="00AF3D4A"/>
    <w:rsid w:val="00AF3E8C"/>
    <w:rsid w:val="00AF3FD3"/>
    <w:rsid w:val="00AF4028"/>
    <w:rsid w:val="00AF411E"/>
    <w:rsid w:val="00AF413E"/>
    <w:rsid w:val="00AF456D"/>
    <w:rsid w:val="00AF4837"/>
    <w:rsid w:val="00AF49AA"/>
    <w:rsid w:val="00AF49E8"/>
    <w:rsid w:val="00AF4B53"/>
    <w:rsid w:val="00AF4BAE"/>
    <w:rsid w:val="00AF4C8D"/>
    <w:rsid w:val="00AF4D04"/>
    <w:rsid w:val="00AF4E0E"/>
    <w:rsid w:val="00AF4F3F"/>
    <w:rsid w:val="00AF5484"/>
    <w:rsid w:val="00AF575B"/>
    <w:rsid w:val="00AF5B4A"/>
    <w:rsid w:val="00AF5B60"/>
    <w:rsid w:val="00AF5BAC"/>
    <w:rsid w:val="00AF5BF7"/>
    <w:rsid w:val="00AF6692"/>
    <w:rsid w:val="00AF6709"/>
    <w:rsid w:val="00AF6921"/>
    <w:rsid w:val="00AF6CE6"/>
    <w:rsid w:val="00AF6D01"/>
    <w:rsid w:val="00AF6F6E"/>
    <w:rsid w:val="00AF702D"/>
    <w:rsid w:val="00AF7348"/>
    <w:rsid w:val="00AF7842"/>
    <w:rsid w:val="00AF787C"/>
    <w:rsid w:val="00AF798E"/>
    <w:rsid w:val="00AF7B21"/>
    <w:rsid w:val="00AF7B40"/>
    <w:rsid w:val="00AF7D6C"/>
    <w:rsid w:val="00B00260"/>
    <w:rsid w:val="00B00369"/>
    <w:rsid w:val="00B005B9"/>
    <w:rsid w:val="00B007FD"/>
    <w:rsid w:val="00B00A24"/>
    <w:rsid w:val="00B00AFB"/>
    <w:rsid w:val="00B00CAB"/>
    <w:rsid w:val="00B00D3B"/>
    <w:rsid w:val="00B00E2C"/>
    <w:rsid w:val="00B01046"/>
    <w:rsid w:val="00B01228"/>
    <w:rsid w:val="00B015FB"/>
    <w:rsid w:val="00B016FF"/>
    <w:rsid w:val="00B017B0"/>
    <w:rsid w:val="00B017EF"/>
    <w:rsid w:val="00B01836"/>
    <w:rsid w:val="00B01AAE"/>
    <w:rsid w:val="00B01AD6"/>
    <w:rsid w:val="00B01B0F"/>
    <w:rsid w:val="00B01CED"/>
    <w:rsid w:val="00B01E37"/>
    <w:rsid w:val="00B02172"/>
    <w:rsid w:val="00B0218A"/>
    <w:rsid w:val="00B022CE"/>
    <w:rsid w:val="00B02354"/>
    <w:rsid w:val="00B0235F"/>
    <w:rsid w:val="00B02612"/>
    <w:rsid w:val="00B028AC"/>
    <w:rsid w:val="00B02EB5"/>
    <w:rsid w:val="00B03025"/>
    <w:rsid w:val="00B03207"/>
    <w:rsid w:val="00B0327C"/>
    <w:rsid w:val="00B03438"/>
    <w:rsid w:val="00B035E4"/>
    <w:rsid w:val="00B03668"/>
    <w:rsid w:val="00B036A5"/>
    <w:rsid w:val="00B03740"/>
    <w:rsid w:val="00B037EF"/>
    <w:rsid w:val="00B0393F"/>
    <w:rsid w:val="00B03D41"/>
    <w:rsid w:val="00B040FA"/>
    <w:rsid w:val="00B0444E"/>
    <w:rsid w:val="00B0455C"/>
    <w:rsid w:val="00B046A2"/>
    <w:rsid w:val="00B04EF2"/>
    <w:rsid w:val="00B04F3C"/>
    <w:rsid w:val="00B04F6E"/>
    <w:rsid w:val="00B0505E"/>
    <w:rsid w:val="00B05182"/>
    <w:rsid w:val="00B05205"/>
    <w:rsid w:val="00B052C0"/>
    <w:rsid w:val="00B0532A"/>
    <w:rsid w:val="00B05336"/>
    <w:rsid w:val="00B0538D"/>
    <w:rsid w:val="00B057B0"/>
    <w:rsid w:val="00B05A8C"/>
    <w:rsid w:val="00B06128"/>
    <w:rsid w:val="00B062A8"/>
    <w:rsid w:val="00B065A4"/>
    <w:rsid w:val="00B065A9"/>
    <w:rsid w:val="00B06AE7"/>
    <w:rsid w:val="00B0710D"/>
    <w:rsid w:val="00B0736A"/>
    <w:rsid w:val="00B0741E"/>
    <w:rsid w:val="00B074D0"/>
    <w:rsid w:val="00B0763A"/>
    <w:rsid w:val="00B07A60"/>
    <w:rsid w:val="00B07AF6"/>
    <w:rsid w:val="00B07B0D"/>
    <w:rsid w:val="00B07BB9"/>
    <w:rsid w:val="00B07C57"/>
    <w:rsid w:val="00B07F59"/>
    <w:rsid w:val="00B1014C"/>
    <w:rsid w:val="00B103DA"/>
    <w:rsid w:val="00B10830"/>
    <w:rsid w:val="00B10A3E"/>
    <w:rsid w:val="00B10AA0"/>
    <w:rsid w:val="00B10D59"/>
    <w:rsid w:val="00B10FB7"/>
    <w:rsid w:val="00B1136C"/>
    <w:rsid w:val="00B1153A"/>
    <w:rsid w:val="00B11596"/>
    <w:rsid w:val="00B11641"/>
    <w:rsid w:val="00B1177E"/>
    <w:rsid w:val="00B11886"/>
    <w:rsid w:val="00B11897"/>
    <w:rsid w:val="00B11B3E"/>
    <w:rsid w:val="00B11CE3"/>
    <w:rsid w:val="00B11D46"/>
    <w:rsid w:val="00B11E0C"/>
    <w:rsid w:val="00B11E4E"/>
    <w:rsid w:val="00B120E6"/>
    <w:rsid w:val="00B12251"/>
    <w:rsid w:val="00B1262F"/>
    <w:rsid w:val="00B12991"/>
    <w:rsid w:val="00B12A03"/>
    <w:rsid w:val="00B12B63"/>
    <w:rsid w:val="00B12C85"/>
    <w:rsid w:val="00B12EA0"/>
    <w:rsid w:val="00B12EEF"/>
    <w:rsid w:val="00B12F3E"/>
    <w:rsid w:val="00B12FE3"/>
    <w:rsid w:val="00B13405"/>
    <w:rsid w:val="00B13407"/>
    <w:rsid w:val="00B134F9"/>
    <w:rsid w:val="00B1366B"/>
    <w:rsid w:val="00B137A9"/>
    <w:rsid w:val="00B137B4"/>
    <w:rsid w:val="00B138EF"/>
    <w:rsid w:val="00B13989"/>
    <w:rsid w:val="00B13ABC"/>
    <w:rsid w:val="00B13C78"/>
    <w:rsid w:val="00B14312"/>
    <w:rsid w:val="00B143EB"/>
    <w:rsid w:val="00B1482C"/>
    <w:rsid w:val="00B14A3B"/>
    <w:rsid w:val="00B14A58"/>
    <w:rsid w:val="00B14BF5"/>
    <w:rsid w:val="00B14C67"/>
    <w:rsid w:val="00B14D6D"/>
    <w:rsid w:val="00B152ED"/>
    <w:rsid w:val="00B153D9"/>
    <w:rsid w:val="00B156C8"/>
    <w:rsid w:val="00B156E0"/>
    <w:rsid w:val="00B1587F"/>
    <w:rsid w:val="00B15914"/>
    <w:rsid w:val="00B15BC8"/>
    <w:rsid w:val="00B15C4F"/>
    <w:rsid w:val="00B15D41"/>
    <w:rsid w:val="00B15D96"/>
    <w:rsid w:val="00B15DD5"/>
    <w:rsid w:val="00B15DF3"/>
    <w:rsid w:val="00B160A0"/>
    <w:rsid w:val="00B160B9"/>
    <w:rsid w:val="00B162DF"/>
    <w:rsid w:val="00B16880"/>
    <w:rsid w:val="00B16AB0"/>
    <w:rsid w:val="00B16B56"/>
    <w:rsid w:val="00B16FE7"/>
    <w:rsid w:val="00B17011"/>
    <w:rsid w:val="00B17102"/>
    <w:rsid w:val="00B17261"/>
    <w:rsid w:val="00B172E5"/>
    <w:rsid w:val="00B1733D"/>
    <w:rsid w:val="00B1737F"/>
    <w:rsid w:val="00B173DD"/>
    <w:rsid w:val="00B177C3"/>
    <w:rsid w:val="00B178A0"/>
    <w:rsid w:val="00B17970"/>
    <w:rsid w:val="00B17B2A"/>
    <w:rsid w:val="00B17CCB"/>
    <w:rsid w:val="00B17D0B"/>
    <w:rsid w:val="00B201EE"/>
    <w:rsid w:val="00B20344"/>
    <w:rsid w:val="00B203DA"/>
    <w:rsid w:val="00B2065B"/>
    <w:rsid w:val="00B208D5"/>
    <w:rsid w:val="00B2091F"/>
    <w:rsid w:val="00B20B98"/>
    <w:rsid w:val="00B20BCD"/>
    <w:rsid w:val="00B20C0D"/>
    <w:rsid w:val="00B20E30"/>
    <w:rsid w:val="00B20E6F"/>
    <w:rsid w:val="00B20F3D"/>
    <w:rsid w:val="00B2118D"/>
    <w:rsid w:val="00B211B2"/>
    <w:rsid w:val="00B212B2"/>
    <w:rsid w:val="00B21546"/>
    <w:rsid w:val="00B215FF"/>
    <w:rsid w:val="00B2171F"/>
    <w:rsid w:val="00B21923"/>
    <w:rsid w:val="00B21986"/>
    <w:rsid w:val="00B219C1"/>
    <w:rsid w:val="00B21B17"/>
    <w:rsid w:val="00B21B97"/>
    <w:rsid w:val="00B21C56"/>
    <w:rsid w:val="00B21C8B"/>
    <w:rsid w:val="00B21D71"/>
    <w:rsid w:val="00B21ECB"/>
    <w:rsid w:val="00B21FB9"/>
    <w:rsid w:val="00B2217B"/>
    <w:rsid w:val="00B22342"/>
    <w:rsid w:val="00B22374"/>
    <w:rsid w:val="00B22681"/>
    <w:rsid w:val="00B2275B"/>
    <w:rsid w:val="00B229D0"/>
    <w:rsid w:val="00B22A4F"/>
    <w:rsid w:val="00B22B5B"/>
    <w:rsid w:val="00B22B99"/>
    <w:rsid w:val="00B22BEA"/>
    <w:rsid w:val="00B22C22"/>
    <w:rsid w:val="00B22D18"/>
    <w:rsid w:val="00B22D59"/>
    <w:rsid w:val="00B22FF3"/>
    <w:rsid w:val="00B230F4"/>
    <w:rsid w:val="00B23112"/>
    <w:rsid w:val="00B23292"/>
    <w:rsid w:val="00B23322"/>
    <w:rsid w:val="00B23388"/>
    <w:rsid w:val="00B2354D"/>
    <w:rsid w:val="00B236BD"/>
    <w:rsid w:val="00B237E7"/>
    <w:rsid w:val="00B2382E"/>
    <w:rsid w:val="00B23840"/>
    <w:rsid w:val="00B239EA"/>
    <w:rsid w:val="00B23D41"/>
    <w:rsid w:val="00B23E76"/>
    <w:rsid w:val="00B23ECE"/>
    <w:rsid w:val="00B240B5"/>
    <w:rsid w:val="00B242A8"/>
    <w:rsid w:val="00B2431C"/>
    <w:rsid w:val="00B243CB"/>
    <w:rsid w:val="00B24487"/>
    <w:rsid w:val="00B2476E"/>
    <w:rsid w:val="00B24852"/>
    <w:rsid w:val="00B24D9F"/>
    <w:rsid w:val="00B2501B"/>
    <w:rsid w:val="00B25069"/>
    <w:rsid w:val="00B250C1"/>
    <w:rsid w:val="00B25190"/>
    <w:rsid w:val="00B252BA"/>
    <w:rsid w:val="00B252CD"/>
    <w:rsid w:val="00B253CA"/>
    <w:rsid w:val="00B253DC"/>
    <w:rsid w:val="00B25537"/>
    <w:rsid w:val="00B255C1"/>
    <w:rsid w:val="00B257D4"/>
    <w:rsid w:val="00B25A22"/>
    <w:rsid w:val="00B25D7F"/>
    <w:rsid w:val="00B25E4C"/>
    <w:rsid w:val="00B25F57"/>
    <w:rsid w:val="00B260AC"/>
    <w:rsid w:val="00B2628B"/>
    <w:rsid w:val="00B2646B"/>
    <w:rsid w:val="00B2668D"/>
    <w:rsid w:val="00B267D2"/>
    <w:rsid w:val="00B26A41"/>
    <w:rsid w:val="00B26C16"/>
    <w:rsid w:val="00B26D28"/>
    <w:rsid w:val="00B270B9"/>
    <w:rsid w:val="00B2743F"/>
    <w:rsid w:val="00B27675"/>
    <w:rsid w:val="00B277EB"/>
    <w:rsid w:val="00B2781D"/>
    <w:rsid w:val="00B278C5"/>
    <w:rsid w:val="00B278C8"/>
    <w:rsid w:val="00B27E48"/>
    <w:rsid w:val="00B27F07"/>
    <w:rsid w:val="00B30009"/>
    <w:rsid w:val="00B30170"/>
    <w:rsid w:val="00B301A4"/>
    <w:rsid w:val="00B301B8"/>
    <w:rsid w:val="00B30275"/>
    <w:rsid w:val="00B3038B"/>
    <w:rsid w:val="00B3087F"/>
    <w:rsid w:val="00B308F0"/>
    <w:rsid w:val="00B30958"/>
    <w:rsid w:val="00B309D4"/>
    <w:rsid w:val="00B30A48"/>
    <w:rsid w:val="00B30CE4"/>
    <w:rsid w:val="00B30D31"/>
    <w:rsid w:val="00B30D4C"/>
    <w:rsid w:val="00B30F4C"/>
    <w:rsid w:val="00B31047"/>
    <w:rsid w:val="00B3132E"/>
    <w:rsid w:val="00B313B8"/>
    <w:rsid w:val="00B317CC"/>
    <w:rsid w:val="00B31840"/>
    <w:rsid w:val="00B3184C"/>
    <w:rsid w:val="00B31858"/>
    <w:rsid w:val="00B31AD7"/>
    <w:rsid w:val="00B31DB6"/>
    <w:rsid w:val="00B32087"/>
    <w:rsid w:val="00B321A9"/>
    <w:rsid w:val="00B3221E"/>
    <w:rsid w:val="00B323BF"/>
    <w:rsid w:val="00B32677"/>
    <w:rsid w:val="00B32B8C"/>
    <w:rsid w:val="00B32BC6"/>
    <w:rsid w:val="00B32BCE"/>
    <w:rsid w:val="00B32D3F"/>
    <w:rsid w:val="00B33102"/>
    <w:rsid w:val="00B33195"/>
    <w:rsid w:val="00B331CE"/>
    <w:rsid w:val="00B331EA"/>
    <w:rsid w:val="00B3323B"/>
    <w:rsid w:val="00B3343B"/>
    <w:rsid w:val="00B338EF"/>
    <w:rsid w:val="00B33AF0"/>
    <w:rsid w:val="00B33BDE"/>
    <w:rsid w:val="00B33C38"/>
    <w:rsid w:val="00B33C70"/>
    <w:rsid w:val="00B33CE5"/>
    <w:rsid w:val="00B33D09"/>
    <w:rsid w:val="00B33E2E"/>
    <w:rsid w:val="00B33E93"/>
    <w:rsid w:val="00B33FE8"/>
    <w:rsid w:val="00B34214"/>
    <w:rsid w:val="00B34241"/>
    <w:rsid w:val="00B345BC"/>
    <w:rsid w:val="00B34635"/>
    <w:rsid w:val="00B3465C"/>
    <w:rsid w:val="00B346DB"/>
    <w:rsid w:val="00B3494E"/>
    <w:rsid w:val="00B3498D"/>
    <w:rsid w:val="00B349DC"/>
    <w:rsid w:val="00B34A41"/>
    <w:rsid w:val="00B34B30"/>
    <w:rsid w:val="00B34C58"/>
    <w:rsid w:val="00B34C92"/>
    <w:rsid w:val="00B34D2C"/>
    <w:rsid w:val="00B34EFA"/>
    <w:rsid w:val="00B34EFF"/>
    <w:rsid w:val="00B35014"/>
    <w:rsid w:val="00B35302"/>
    <w:rsid w:val="00B354CA"/>
    <w:rsid w:val="00B355F0"/>
    <w:rsid w:val="00B358CD"/>
    <w:rsid w:val="00B36030"/>
    <w:rsid w:val="00B360AA"/>
    <w:rsid w:val="00B36113"/>
    <w:rsid w:val="00B36214"/>
    <w:rsid w:val="00B36231"/>
    <w:rsid w:val="00B362CF"/>
    <w:rsid w:val="00B363E3"/>
    <w:rsid w:val="00B3645D"/>
    <w:rsid w:val="00B3658B"/>
    <w:rsid w:val="00B3660E"/>
    <w:rsid w:val="00B368D5"/>
    <w:rsid w:val="00B36B78"/>
    <w:rsid w:val="00B36D11"/>
    <w:rsid w:val="00B36F49"/>
    <w:rsid w:val="00B36F5C"/>
    <w:rsid w:val="00B36FDF"/>
    <w:rsid w:val="00B372BF"/>
    <w:rsid w:val="00B37563"/>
    <w:rsid w:val="00B37639"/>
    <w:rsid w:val="00B37840"/>
    <w:rsid w:val="00B3787A"/>
    <w:rsid w:val="00B37ACC"/>
    <w:rsid w:val="00B37C29"/>
    <w:rsid w:val="00B37D0E"/>
    <w:rsid w:val="00B37EA8"/>
    <w:rsid w:val="00B37F5B"/>
    <w:rsid w:val="00B37FD2"/>
    <w:rsid w:val="00B40296"/>
    <w:rsid w:val="00B40419"/>
    <w:rsid w:val="00B40497"/>
    <w:rsid w:val="00B4056B"/>
    <w:rsid w:val="00B40579"/>
    <w:rsid w:val="00B40712"/>
    <w:rsid w:val="00B40A6E"/>
    <w:rsid w:val="00B40BB8"/>
    <w:rsid w:val="00B40BEF"/>
    <w:rsid w:val="00B40E02"/>
    <w:rsid w:val="00B40EA2"/>
    <w:rsid w:val="00B4145F"/>
    <w:rsid w:val="00B415FD"/>
    <w:rsid w:val="00B4182E"/>
    <w:rsid w:val="00B418A1"/>
    <w:rsid w:val="00B41915"/>
    <w:rsid w:val="00B41C3E"/>
    <w:rsid w:val="00B41CBD"/>
    <w:rsid w:val="00B41E4D"/>
    <w:rsid w:val="00B42074"/>
    <w:rsid w:val="00B42527"/>
    <w:rsid w:val="00B428DE"/>
    <w:rsid w:val="00B428E1"/>
    <w:rsid w:val="00B42A96"/>
    <w:rsid w:val="00B42DC9"/>
    <w:rsid w:val="00B43059"/>
    <w:rsid w:val="00B430DC"/>
    <w:rsid w:val="00B43407"/>
    <w:rsid w:val="00B4341B"/>
    <w:rsid w:val="00B437C9"/>
    <w:rsid w:val="00B437F5"/>
    <w:rsid w:val="00B43B0B"/>
    <w:rsid w:val="00B43C7F"/>
    <w:rsid w:val="00B43FDE"/>
    <w:rsid w:val="00B440D7"/>
    <w:rsid w:val="00B44104"/>
    <w:rsid w:val="00B442B4"/>
    <w:rsid w:val="00B44A14"/>
    <w:rsid w:val="00B44A31"/>
    <w:rsid w:val="00B44B7E"/>
    <w:rsid w:val="00B44BC5"/>
    <w:rsid w:val="00B44E06"/>
    <w:rsid w:val="00B44F0A"/>
    <w:rsid w:val="00B4511E"/>
    <w:rsid w:val="00B4557A"/>
    <w:rsid w:val="00B4572B"/>
    <w:rsid w:val="00B45A61"/>
    <w:rsid w:val="00B45CBE"/>
    <w:rsid w:val="00B45CFA"/>
    <w:rsid w:val="00B46244"/>
    <w:rsid w:val="00B466C5"/>
    <w:rsid w:val="00B466E5"/>
    <w:rsid w:val="00B466EA"/>
    <w:rsid w:val="00B4673B"/>
    <w:rsid w:val="00B46CF7"/>
    <w:rsid w:val="00B46F11"/>
    <w:rsid w:val="00B470D0"/>
    <w:rsid w:val="00B472C1"/>
    <w:rsid w:val="00B473A3"/>
    <w:rsid w:val="00B47893"/>
    <w:rsid w:val="00B47A3D"/>
    <w:rsid w:val="00B47C2A"/>
    <w:rsid w:val="00B47C8F"/>
    <w:rsid w:val="00B47DB6"/>
    <w:rsid w:val="00B47DD6"/>
    <w:rsid w:val="00B47E6F"/>
    <w:rsid w:val="00B47E81"/>
    <w:rsid w:val="00B47F35"/>
    <w:rsid w:val="00B47F65"/>
    <w:rsid w:val="00B50034"/>
    <w:rsid w:val="00B5032D"/>
    <w:rsid w:val="00B505EB"/>
    <w:rsid w:val="00B50639"/>
    <w:rsid w:val="00B506A7"/>
    <w:rsid w:val="00B5082F"/>
    <w:rsid w:val="00B50951"/>
    <w:rsid w:val="00B50BFE"/>
    <w:rsid w:val="00B50D3F"/>
    <w:rsid w:val="00B50DD5"/>
    <w:rsid w:val="00B50DE9"/>
    <w:rsid w:val="00B50F89"/>
    <w:rsid w:val="00B51004"/>
    <w:rsid w:val="00B51252"/>
    <w:rsid w:val="00B513C7"/>
    <w:rsid w:val="00B514C5"/>
    <w:rsid w:val="00B51552"/>
    <w:rsid w:val="00B5158A"/>
    <w:rsid w:val="00B515B7"/>
    <w:rsid w:val="00B515E0"/>
    <w:rsid w:val="00B515FC"/>
    <w:rsid w:val="00B517C8"/>
    <w:rsid w:val="00B51985"/>
    <w:rsid w:val="00B5199D"/>
    <w:rsid w:val="00B51C7D"/>
    <w:rsid w:val="00B51E0C"/>
    <w:rsid w:val="00B5206D"/>
    <w:rsid w:val="00B5246B"/>
    <w:rsid w:val="00B52488"/>
    <w:rsid w:val="00B52B05"/>
    <w:rsid w:val="00B52B2F"/>
    <w:rsid w:val="00B52C3B"/>
    <w:rsid w:val="00B52D02"/>
    <w:rsid w:val="00B52E36"/>
    <w:rsid w:val="00B52FA9"/>
    <w:rsid w:val="00B53152"/>
    <w:rsid w:val="00B532B4"/>
    <w:rsid w:val="00B5363B"/>
    <w:rsid w:val="00B53A25"/>
    <w:rsid w:val="00B53AD8"/>
    <w:rsid w:val="00B53BDF"/>
    <w:rsid w:val="00B53D8C"/>
    <w:rsid w:val="00B53F51"/>
    <w:rsid w:val="00B53FD4"/>
    <w:rsid w:val="00B54106"/>
    <w:rsid w:val="00B541B0"/>
    <w:rsid w:val="00B542C7"/>
    <w:rsid w:val="00B5451D"/>
    <w:rsid w:val="00B54601"/>
    <w:rsid w:val="00B54840"/>
    <w:rsid w:val="00B548B3"/>
    <w:rsid w:val="00B54C27"/>
    <w:rsid w:val="00B54C56"/>
    <w:rsid w:val="00B54FDB"/>
    <w:rsid w:val="00B54FE4"/>
    <w:rsid w:val="00B5502A"/>
    <w:rsid w:val="00B550C7"/>
    <w:rsid w:val="00B55199"/>
    <w:rsid w:val="00B551A4"/>
    <w:rsid w:val="00B55254"/>
    <w:rsid w:val="00B5560E"/>
    <w:rsid w:val="00B5579D"/>
    <w:rsid w:val="00B5591A"/>
    <w:rsid w:val="00B55E8A"/>
    <w:rsid w:val="00B5601E"/>
    <w:rsid w:val="00B562CB"/>
    <w:rsid w:val="00B56430"/>
    <w:rsid w:val="00B565C8"/>
    <w:rsid w:val="00B56787"/>
    <w:rsid w:val="00B5679F"/>
    <w:rsid w:val="00B569D5"/>
    <w:rsid w:val="00B56E48"/>
    <w:rsid w:val="00B570F6"/>
    <w:rsid w:val="00B57158"/>
    <w:rsid w:val="00B572CA"/>
    <w:rsid w:val="00B5730D"/>
    <w:rsid w:val="00B57328"/>
    <w:rsid w:val="00B574AD"/>
    <w:rsid w:val="00B576DB"/>
    <w:rsid w:val="00B579B9"/>
    <w:rsid w:val="00B57AC1"/>
    <w:rsid w:val="00B57DB7"/>
    <w:rsid w:val="00B60447"/>
    <w:rsid w:val="00B6045A"/>
    <w:rsid w:val="00B604A3"/>
    <w:rsid w:val="00B6066B"/>
    <w:rsid w:val="00B606D6"/>
    <w:rsid w:val="00B609B7"/>
    <w:rsid w:val="00B60A08"/>
    <w:rsid w:val="00B60A5B"/>
    <w:rsid w:val="00B61332"/>
    <w:rsid w:val="00B61374"/>
    <w:rsid w:val="00B61781"/>
    <w:rsid w:val="00B6194C"/>
    <w:rsid w:val="00B61A0B"/>
    <w:rsid w:val="00B61AE2"/>
    <w:rsid w:val="00B61D02"/>
    <w:rsid w:val="00B61F8F"/>
    <w:rsid w:val="00B6202A"/>
    <w:rsid w:val="00B620DD"/>
    <w:rsid w:val="00B62173"/>
    <w:rsid w:val="00B62193"/>
    <w:rsid w:val="00B62236"/>
    <w:rsid w:val="00B622C3"/>
    <w:rsid w:val="00B62385"/>
    <w:rsid w:val="00B62A91"/>
    <w:rsid w:val="00B62CE7"/>
    <w:rsid w:val="00B62CFF"/>
    <w:rsid w:val="00B62EE5"/>
    <w:rsid w:val="00B62EE6"/>
    <w:rsid w:val="00B631F5"/>
    <w:rsid w:val="00B6324E"/>
    <w:rsid w:val="00B6328D"/>
    <w:rsid w:val="00B632FA"/>
    <w:rsid w:val="00B634A1"/>
    <w:rsid w:val="00B6352D"/>
    <w:rsid w:val="00B635A7"/>
    <w:rsid w:val="00B63754"/>
    <w:rsid w:val="00B637C1"/>
    <w:rsid w:val="00B6387A"/>
    <w:rsid w:val="00B639DB"/>
    <w:rsid w:val="00B63B97"/>
    <w:rsid w:val="00B63EF2"/>
    <w:rsid w:val="00B6406B"/>
    <w:rsid w:val="00B64374"/>
    <w:rsid w:val="00B64377"/>
    <w:rsid w:val="00B6439B"/>
    <w:rsid w:val="00B643E8"/>
    <w:rsid w:val="00B64406"/>
    <w:rsid w:val="00B64565"/>
    <w:rsid w:val="00B64882"/>
    <w:rsid w:val="00B64A43"/>
    <w:rsid w:val="00B64A6C"/>
    <w:rsid w:val="00B64C46"/>
    <w:rsid w:val="00B65077"/>
    <w:rsid w:val="00B65132"/>
    <w:rsid w:val="00B653AC"/>
    <w:rsid w:val="00B656AB"/>
    <w:rsid w:val="00B659D3"/>
    <w:rsid w:val="00B65BD1"/>
    <w:rsid w:val="00B65C62"/>
    <w:rsid w:val="00B65D92"/>
    <w:rsid w:val="00B65D9E"/>
    <w:rsid w:val="00B65F5A"/>
    <w:rsid w:val="00B66140"/>
    <w:rsid w:val="00B6622B"/>
    <w:rsid w:val="00B6660F"/>
    <w:rsid w:val="00B669DB"/>
    <w:rsid w:val="00B66E24"/>
    <w:rsid w:val="00B66E3C"/>
    <w:rsid w:val="00B66FBC"/>
    <w:rsid w:val="00B67218"/>
    <w:rsid w:val="00B672D2"/>
    <w:rsid w:val="00B67BB3"/>
    <w:rsid w:val="00B67E59"/>
    <w:rsid w:val="00B7018B"/>
    <w:rsid w:val="00B701C1"/>
    <w:rsid w:val="00B7038A"/>
    <w:rsid w:val="00B703C4"/>
    <w:rsid w:val="00B7049E"/>
    <w:rsid w:val="00B7051C"/>
    <w:rsid w:val="00B70A68"/>
    <w:rsid w:val="00B70A83"/>
    <w:rsid w:val="00B70AF4"/>
    <w:rsid w:val="00B70CE1"/>
    <w:rsid w:val="00B70D61"/>
    <w:rsid w:val="00B71638"/>
    <w:rsid w:val="00B71713"/>
    <w:rsid w:val="00B7174E"/>
    <w:rsid w:val="00B717C6"/>
    <w:rsid w:val="00B717F4"/>
    <w:rsid w:val="00B718B8"/>
    <w:rsid w:val="00B718E2"/>
    <w:rsid w:val="00B719AC"/>
    <w:rsid w:val="00B71A11"/>
    <w:rsid w:val="00B71D25"/>
    <w:rsid w:val="00B71D26"/>
    <w:rsid w:val="00B72038"/>
    <w:rsid w:val="00B7209F"/>
    <w:rsid w:val="00B721EB"/>
    <w:rsid w:val="00B7234A"/>
    <w:rsid w:val="00B723BB"/>
    <w:rsid w:val="00B724F3"/>
    <w:rsid w:val="00B72584"/>
    <w:rsid w:val="00B72AE4"/>
    <w:rsid w:val="00B73278"/>
    <w:rsid w:val="00B734B2"/>
    <w:rsid w:val="00B739C5"/>
    <w:rsid w:val="00B739FF"/>
    <w:rsid w:val="00B73BC3"/>
    <w:rsid w:val="00B73DE8"/>
    <w:rsid w:val="00B73EE6"/>
    <w:rsid w:val="00B73FF2"/>
    <w:rsid w:val="00B7414B"/>
    <w:rsid w:val="00B741B2"/>
    <w:rsid w:val="00B741EB"/>
    <w:rsid w:val="00B74456"/>
    <w:rsid w:val="00B74462"/>
    <w:rsid w:val="00B744FB"/>
    <w:rsid w:val="00B74B42"/>
    <w:rsid w:val="00B7513E"/>
    <w:rsid w:val="00B7529F"/>
    <w:rsid w:val="00B75918"/>
    <w:rsid w:val="00B7599B"/>
    <w:rsid w:val="00B75AAB"/>
    <w:rsid w:val="00B75D2C"/>
    <w:rsid w:val="00B76120"/>
    <w:rsid w:val="00B76126"/>
    <w:rsid w:val="00B76252"/>
    <w:rsid w:val="00B76679"/>
    <w:rsid w:val="00B768A5"/>
    <w:rsid w:val="00B76996"/>
    <w:rsid w:val="00B76A41"/>
    <w:rsid w:val="00B76B32"/>
    <w:rsid w:val="00B76B4A"/>
    <w:rsid w:val="00B76CEE"/>
    <w:rsid w:val="00B77285"/>
    <w:rsid w:val="00B776D2"/>
    <w:rsid w:val="00B7771C"/>
    <w:rsid w:val="00B77739"/>
    <w:rsid w:val="00B7778E"/>
    <w:rsid w:val="00B77846"/>
    <w:rsid w:val="00B778FA"/>
    <w:rsid w:val="00B7796F"/>
    <w:rsid w:val="00B77A00"/>
    <w:rsid w:val="00B77AA8"/>
    <w:rsid w:val="00B77BDE"/>
    <w:rsid w:val="00B77BEE"/>
    <w:rsid w:val="00B77C6F"/>
    <w:rsid w:val="00B77F75"/>
    <w:rsid w:val="00B77FD0"/>
    <w:rsid w:val="00B80280"/>
    <w:rsid w:val="00B80372"/>
    <w:rsid w:val="00B80576"/>
    <w:rsid w:val="00B805FA"/>
    <w:rsid w:val="00B809D0"/>
    <w:rsid w:val="00B80A1A"/>
    <w:rsid w:val="00B80D4B"/>
    <w:rsid w:val="00B80EB7"/>
    <w:rsid w:val="00B80F5A"/>
    <w:rsid w:val="00B80F6C"/>
    <w:rsid w:val="00B8125B"/>
    <w:rsid w:val="00B8125C"/>
    <w:rsid w:val="00B812AF"/>
    <w:rsid w:val="00B81544"/>
    <w:rsid w:val="00B815A2"/>
    <w:rsid w:val="00B816A1"/>
    <w:rsid w:val="00B81950"/>
    <w:rsid w:val="00B81BB9"/>
    <w:rsid w:val="00B81D3A"/>
    <w:rsid w:val="00B81E66"/>
    <w:rsid w:val="00B81EAC"/>
    <w:rsid w:val="00B81FA0"/>
    <w:rsid w:val="00B82024"/>
    <w:rsid w:val="00B821A9"/>
    <w:rsid w:val="00B821CD"/>
    <w:rsid w:val="00B8224C"/>
    <w:rsid w:val="00B822D2"/>
    <w:rsid w:val="00B82998"/>
    <w:rsid w:val="00B82AA7"/>
    <w:rsid w:val="00B82C62"/>
    <w:rsid w:val="00B82D90"/>
    <w:rsid w:val="00B82EE8"/>
    <w:rsid w:val="00B82F24"/>
    <w:rsid w:val="00B82F91"/>
    <w:rsid w:val="00B8314E"/>
    <w:rsid w:val="00B832AF"/>
    <w:rsid w:val="00B833F3"/>
    <w:rsid w:val="00B83C61"/>
    <w:rsid w:val="00B83E44"/>
    <w:rsid w:val="00B8406B"/>
    <w:rsid w:val="00B84275"/>
    <w:rsid w:val="00B84892"/>
    <w:rsid w:val="00B848D3"/>
    <w:rsid w:val="00B84BB9"/>
    <w:rsid w:val="00B84C14"/>
    <w:rsid w:val="00B84F84"/>
    <w:rsid w:val="00B84FF6"/>
    <w:rsid w:val="00B850FE"/>
    <w:rsid w:val="00B85190"/>
    <w:rsid w:val="00B85197"/>
    <w:rsid w:val="00B851F0"/>
    <w:rsid w:val="00B85220"/>
    <w:rsid w:val="00B853B1"/>
    <w:rsid w:val="00B853FC"/>
    <w:rsid w:val="00B8585D"/>
    <w:rsid w:val="00B85A36"/>
    <w:rsid w:val="00B85D63"/>
    <w:rsid w:val="00B85DEC"/>
    <w:rsid w:val="00B85F44"/>
    <w:rsid w:val="00B8616A"/>
    <w:rsid w:val="00B865DE"/>
    <w:rsid w:val="00B8681D"/>
    <w:rsid w:val="00B86971"/>
    <w:rsid w:val="00B86B0A"/>
    <w:rsid w:val="00B86B28"/>
    <w:rsid w:val="00B86B6C"/>
    <w:rsid w:val="00B86BBB"/>
    <w:rsid w:val="00B86CC3"/>
    <w:rsid w:val="00B86EE6"/>
    <w:rsid w:val="00B872AE"/>
    <w:rsid w:val="00B872FE"/>
    <w:rsid w:val="00B87366"/>
    <w:rsid w:val="00B87465"/>
    <w:rsid w:val="00B875B9"/>
    <w:rsid w:val="00B87761"/>
    <w:rsid w:val="00B87958"/>
    <w:rsid w:val="00B87A2B"/>
    <w:rsid w:val="00B87A3B"/>
    <w:rsid w:val="00B87B36"/>
    <w:rsid w:val="00B87C81"/>
    <w:rsid w:val="00B87FB4"/>
    <w:rsid w:val="00B9029F"/>
    <w:rsid w:val="00B9036B"/>
    <w:rsid w:val="00B9052A"/>
    <w:rsid w:val="00B9067C"/>
    <w:rsid w:val="00B90A29"/>
    <w:rsid w:val="00B90BB9"/>
    <w:rsid w:val="00B90C66"/>
    <w:rsid w:val="00B90E62"/>
    <w:rsid w:val="00B90F44"/>
    <w:rsid w:val="00B90F74"/>
    <w:rsid w:val="00B91119"/>
    <w:rsid w:val="00B9138A"/>
    <w:rsid w:val="00B9148C"/>
    <w:rsid w:val="00B917F8"/>
    <w:rsid w:val="00B9181B"/>
    <w:rsid w:val="00B919DC"/>
    <w:rsid w:val="00B91C2D"/>
    <w:rsid w:val="00B91CE0"/>
    <w:rsid w:val="00B91D40"/>
    <w:rsid w:val="00B920C8"/>
    <w:rsid w:val="00B92140"/>
    <w:rsid w:val="00B92374"/>
    <w:rsid w:val="00B924B1"/>
    <w:rsid w:val="00B924EC"/>
    <w:rsid w:val="00B928A4"/>
    <w:rsid w:val="00B9294F"/>
    <w:rsid w:val="00B9298E"/>
    <w:rsid w:val="00B92A53"/>
    <w:rsid w:val="00B92AED"/>
    <w:rsid w:val="00B92E04"/>
    <w:rsid w:val="00B92EB8"/>
    <w:rsid w:val="00B9329A"/>
    <w:rsid w:val="00B9335C"/>
    <w:rsid w:val="00B93474"/>
    <w:rsid w:val="00B936E7"/>
    <w:rsid w:val="00B93823"/>
    <w:rsid w:val="00B9382B"/>
    <w:rsid w:val="00B93941"/>
    <w:rsid w:val="00B93D6C"/>
    <w:rsid w:val="00B93EC0"/>
    <w:rsid w:val="00B940B3"/>
    <w:rsid w:val="00B941FB"/>
    <w:rsid w:val="00B94223"/>
    <w:rsid w:val="00B94234"/>
    <w:rsid w:val="00B945DA"/>
    <w:rsid w:val="00B94626"/>
    <w:rsid w:val="00B94A42"/>
    <w:rsid w:val="00B94B57"/>
    <w:rsid w:val="00B94B7C"/>
    <w:rsid w:val="00B95052"/>
    <w:rsid w:val="00B95120"/>
    <w:rsid w:val="00B9518D"/>
    <w:rsid w:val="00B9559F"/>
    <w:rsid w:val="00B955C0"/>
    <w:rsid w:val="00B95883"/>
    <w:rsid w:val="00B95940"/>
    <w:rsid w:val="00B959A6"/>
    <w:rsid w:val="00B95B25"/>
    <w:rsid w:val="00B95B2C"/>
    <w:rsid w:val="00B95E76"/>
    <w:rsid w:val="00B95E97"/>
    <w:rsid w:val="00B96032"/>
    <w:rsid w:val="00B96056"/>
    <w:rsid w:val="00B96298"/>
    <w:rsid w:val="00B96520"/>
    <w:rsid w:val="00B967E8"/>
    <w:rsid w:val="00B9680F"/>
    <w:rsid w:val="00B9696B"/>
    <w:rsid w:val="00B96A3C"/>
    <w:rsid w:val="00B96DE7"/>
    <w:rsid w:val="00B96FFF"/>
    <w:rsid w:val="00B971E2"/>
    <w:rsid w:val="00B97354"/>
    <w:rsid w:val="00B97829"/>
    <w:rsid w:val="00B97831"/>
    <w:rsid w:val="00B9794F"/>
    <w:rsid w:val="00B97A7B"/>
    <w:rsid w:val="00B97BE5"/>
    <w:rsid w:val="00B97E40"/>
    <w:rsid w:val="00BA0257"/>
    <w:rsid w:val="00BA0666"/>
    <w:rsid w:val="00BA0943"/>
    <w:rsid w:val="00BA0AA3"/>
    <w:rsid w:val="00BA0C7F"/>
    <w:rsid w:val="00BA0E8F"/>
    <w:rsid w:val="00BA0F72"/>
    <w:rsid w:val="00BA130A"/>
    <w:rsid w:val="00BA18FC"/>
    <w:rsid w:val="00BA1C06"/>
    <w:rsid w:val="00BA1D0F"/>
    <w:rsid w:val="00BA1F72"/>
    <w:rsid w:val="00BA2011"/>
    <w:rsid w:val="00BA2362"/>
    <w:rsid w:val="00BA24CA"/>
    <w:rsid w:val="00BA253E"/>
    <w:rsid w:val="00BA257F"/>
    <w:rsid w:val="00BA2687"/>
    <w:rsid w:val="00BA270F"/>
    <w:rsid w:val="00BA2731"/>
    <w:rsid w:val="00BA28DA"/>
    <w:rsid w:val="00BA2A10"/>
    <w:rsid w:val="00BA2B7B"/>
    <w:rsid w:val="00BA2F71"/>
    <w:rsid w:val="00BA317D"/>
    <w:rsid w:val="00BA3317"/>
    <w:rsid w:val="00BA3873"/>
    <w:rsid w:val="00BA39FE"/>
    <w:rsid w:val="00BA3CBA"/>
    <w:rsid w:val="00BA4003"/>
    <w:rsid w:val="00BA446D"/>
    <w:rsid w:val="00BA46B0"/>
    <w:rsid w:val="00BA494D"/>
    <w:rsid w:val="00BA4989"/>
    <w:rsid w:val="00BA4A82"/>
    <w:rsid w:val="00BA4E27"/>
    <w:rsid w:val="00BA512B"/>
    <w:rsid w:val="00BA51BC"/>
    <w:rsid w:val="00BA5238"/>
    <w:rsid w:val="00BA530C"/>
    <w:rsid w:val="00BA5559"/>
    <w:rsid w:val="00BA57A6"/>
    <w:rsid w:val="00BA58AE"/>
    <w:rsid w:val="00BA58B3"/>
    <w:rsid w:val="00BA5A48"/>
    <w:rsid w:val="00BA5CD1"/>
    <w:rsid w:val="00BA5D32"/>
    <w:rsid w:val="00BA5EC8"/>
    <w:rsid w:val="00BA5F4F"/>
    <w:rsid w:val="00BA622F"/>
    <w:rsid w:val="00BA6393"/>
    <w:rsid w:val="00BA642A"/>
    <w:rsid w:val="00BA6473"/>
    <w:rsid w:val="00BA6681"/>
    <w:rsid w:val="00BA6804"/>
    <w:rsid w:val="00BA6B1D"/>
    <w:rsid w:val="00BA6BDC"/>
    <w:rsid w:val="00BA6DCE"/>
    <w:rsid w:val="00BA7072"/>
    <w:rsid w:val="00BA71B2"/>
    <w:rsid w:val="00BA726E"/>
    <w:rsid w:val="00BA7698"/>
    <w:rsid w:val="00BA76C1"/>
    <w:rsid w:val="00BA7863"/>
    <w:rsid w:val="00BA79ED"/>
    <w:rsid w:val="00BA7AC0"/>
    <w:rsid w:val="00BA7BCC"/>
    <w:rsid w:val="00BB0227"/>
    <w:rsid w:val="00BB0456"/>
    <w:rsid w:val="00BB071D"/>
    <w:rsid w:val="00BB072C"/>
    <w:rsid w:val="00BB0810"/>
    <w:rsid w:val="00BB09DC"/>
    <w:rsid w:val="00BB0A33"/>
    <w:rsid w:val="00BB0A39"/>
    <w:rsid w:val="00BB0BD8"/>
    <w:rsid w:val="00BB0D01"/>
    <w:rsid w:val="00BB0D11"/>
    <w:rsid w:val="00BB1135"/>
    <w:rsid w:val="00BB13D2"/>
    <w:rsid w:val="00BB1470"/>
    <w:rsid w:val="00BB1980"/>
    <w:rsid w:val="00BB1B16"/>
    <w:rsid w:val="00BB1D1B"/>
    <w:rsid w:val="00BB1F44"/>
    <w:rsid w:val="00BB1F9D"/>
    <w:rsid w:val="00BB28C7"/>
    <w:rsid w:val="00BB295A"/>
    <w:rsid w:val="00BB2B5B"/>
    <w:rsid w:val="00BB2E04"/>
    <w:rsid w:val="00BB2E30"/>
    <w:rsid w:val="00BB3152"/>
    <w:rsid w:val="00BB3695"/>
    <w:rsid w:val="00BB3708"/>
    <w:rsid w:val="00BB3AAB"/>
    <w:rsid w:val="00BB3B6A"/>
    <w:rsid w:val="00BB3B86"/>
    <w:rsid w:val="00BB3BAB"/>
    <w:rsid w:val="00BB3E81"/>
    <w:rsid w:val="00BB4405"/>
    <w:rsid w:val="00BB44A9"/>
    <w:rsid w:val="00BB45E4"/>
    <w:rsid w:val="00BB47E6"/>
    <w:rsid w:val="00BB49C5"/>
    <w:rsid w:val="00BB4D4F"/>
    <w:rsid w:val="00BB4D70"/>
    <w:rsid w:val="00BB4DAF"/>
    <w:rsid w:val="00BB509F"/>
    <w:rsid w:val="00BB5176"/>
    <w:rsid w:val="00BB5472"/>
    <w:rsid w:val="00BB54BA"/>
    <w:rsid w:val="00BB5688"/>
    <w:rsid w:val="00BB57C0"/>
    <w:rsid w:val="00BB5A14"/>
    <w:rsid w:val="00BB5D8B"/>
    <w:rsid w:val="00BB5EA0"/>
    <w:rsid w:val="00BB5EE6"/>
    <w:rsid w:val="00BB5F8D"/>
    <w:rsid w:val="00BB5FF4"/>
    <w:rsid w:val="00BB620F"/>
    <w:rsid w:val="00BB628C"/>
    <w:rsid w:val="00BB64F9"/>
    <w:rsid w:val="00BB6A83"/>
    <w:rsid w:val="00BB6BA8"/>
    <w:rsid w:val="00BB6D4E"/>
    <w:rsid w:val="00BB6FA1"/>
    <w:rsid w:val="00BB70ED"/>
    <w:rsid w:val="00BB732E"/>
    <w:rsid w:val="00BB77CD"/>
    <w:rsid w:val="00BB7844"/>
    <w:rsid w:val="00BB7955"/>
    <w:rsid w:val="00BB7F18"/>
    <w:rsid w:val="00BB7F4F"/>
    <w:rsid w:val="00BC0020"/>
    <w:rsid w:val="00BC0150"/>
    <w:rsid w:val="00BC026C"/>
    <w:rsid w:val="00BC0435"/>
    <w:rsid w:val="00BC05A2"/>
    <w:rsid w:val="00BC067F"/>
    <w:rsid w:val="00BC06E3"/>
    <w:rsid w:val="00BC0DB3"/>
    <w:rsid w:val="00BC0DDC"/>
    <w:rsid w:val="00BC0FDC"/>
    <w:rsid w:val="00BC1433"/>
    <w:rsid w:val="00BC1471"/>
    <w:rsid w:val="00BC14E1"/>
    <w:rsid w:val="00BC156F"/>
    <w:rsid w:val="00BC16CF"/>
    <w:rsid w:val="00BC1716"/>
    <w:rsid w:val="00BC1CCE"/>
    <w:rsid w:val="00BC1F18"/>
    <w:rsid w:val="00BC1FEE"/>
    <w:rsid w:val="00BC2121"/>
    <w:rsid w:val="00BC2139"/>
    <w:rsid w:val="00BC21F0"/>
    <w:rsid w:val="00BC2579"/>
    <w:rsid w:val="00BC266C"/>
    <w:rsid w:val="00BC26C5"/>
    <w:rsid w:val="00BC283E"/>
    <w:rsid w:val="00BC28B6"/>
    <w:rsid w:val="00BC28B8"/>
    <w:rsid w:val="00BC2CEF"/>
    <w:rsid w:val="00BC2CF2"/>
    <w:rsid w:val="00BC2CF9"/>
    <w:rsid w:val="00BC2DBB"/>
    <w:rsid w:val="00BC345A"/>
    <w:rsid w:val="00BC37B6"/>
    <w:rsid w:val="00BC3983"/>
    <w:rsid w:val="00BC39D5"/>
    <w:rsid w:val="00BC3C1A"/>
    <w:rsid w:val="00BC3CD9"/>
    <w:rsid w:val="00BC418D"/>
    <w:rsid w:val="00BC41A6"/>
    <w:rsid w:val="00BC43DB"/>
    <w:rsid w:val="00BC44EB"/>
    <w:rsid w:val="00BC4513"/>
    <w:rsid w:val="00BC452F"/>
    <w:rsid w:val="00BC4596"/>
    <w:rsid w:val="00BC4853"/>
    <w:rsid w:val="00BC499C"/>
    <w:rsid w:val="00BC4E6D"/>
    <w:rsid w:val="00BC4EE4"/>
    <w:rsid w:val="00BC538A"/>
    <w:rsid w:val="00BC57DA"/>
    <w:rsid w:val="00BC589D"/>
    <w:rsid w:val="00BC5A71"/>
    <w:rsid w:val="00BC5B91"/>
    <w:rsid w:val="00BC5D2D"/>
    <w:rsid w:val="00BC5D32"/>
    <w:rsid w:val="00BC5DBD"/>
    <w:rsid w:val="00BC5F4A"/>
    <w:rsid w:val="00BC627C"/>
    <w:rsid w:val="00BC630A"/>
    <w:rsid w:val="00BC63B1"/>
    <w:rsid w:val="00BC63E6"/>
    <w:rsid w:val="00BC6724"/>
    <w:rsid w:val="00BC67B5"/>
    <w:rsid w:val="00BC6899"/>
    <w:rsid w:val="00BC69B4"/>
    <w:rsid w:val="00BC6DF0"/>
    <w:rsid w:val="00BC6F45"/>
    <w:rsid w:val="00BC71A2"/>
    <w:rsid w:val="00BC7721"/>
    <w:rsid w:val="00BC77F1"/>
    <w:rsid w:val="00BC78DE"/>
    <w:rsid w:val="00BC79B2"/>
    <w:rsid w:val="00BC79E1"/>
    <w:rsid w:val="00BC7A68"/>
    <w:rsid w:val="00BC7A6F"/>
    <w:rsid w:val="00BC7B9E"/>
    <w:rsid w:val="00BC7C49"/>
    <w:rsid w:val="00BC7EDA"/>
    <w:rsid w:val="00BC7F91"/>
    <w:rsid w:val="00BC7FB5"/>
    <w:rsid w:val="00BD013E"/>
    <w:rsid w:val="00BD0223"/>
    <w:rsid w:val="00BD030E"/>
    <w:rsid w:val="00BD0486"/>
    <w:rsid w:val="00BD0543"/>
    <w:rsid w:val="00BD066A"/>
    <w:rsid w:val="00BD0885"/>
    <w:rsid w:val="00BD0AF7"/>
    <w:rsid w:val="00BD0B5A"/>
    <w:rsid w:val="00BD0C43"/>
    <w:rsid w:val="00BD0F2A"/>
    <w:rsid w:val="00BD118F"/>
    <w:rsid w:val="00BD1457"/>
    <w:rsid w:val="00BD15D2"/>
    <w:rsid w:val="00BD1605"/>
    <w:rsid w:val="00BD1839"/>
    <w:rsid w:val="00BD1871"/>
    <w:rsid w:val="00BD1922"/>
    <w:rsid w:val="00BD1926"/>
    <w:rsid w:val="00BD1AE8"/>
    <w:rsid w:val="00BD1B3C"/>
    <w:rsid w:val="00BD1C0C"/>
    <w:rsid w:val="00BD1C30"/>
    <w:rsid w:val="00BD1E68"/>
    <w:rsid w:val="00BD2055"/>
    <w:rsid w:val="00BD2608"/>
    <w:rsid w:val="00BD2A20"/>
    <w:rsid w:val="00BD2BD2"/>
    <w:rsid w:val="00BD2E30"/>
    <w:rsid w:val="00BD2E93"/>
    <w:rsid w:val="00BD2F30"/>
    <w:rsid w:val="00BD3205"/>
    <w:rsid w:val="00BD3343"/>
    <w:rsid w:val="00BD3633"/>
    <w:rsid w:val="00BD3838"/>
    <w:rsid w:val="00BD3867"/>
    <w:rsid w:val="00BD39BA"/>
    <w:rsid w:val="00BD3CD1"/>
    <w:rsid w:val="00BD3E33"/>
    <w:rsid w:val="00BD4121"/>
    <w:rsid w:val="00BD42DD"/>
    <w:rsid w:val="00BD4309"/>
    <w:rsid w:val="00BD430E"/>
    <w:rsid w:val="00BD4403"/>
    <w:rsid w:val="00BD45D8"/>
    <w:rsid w:val="00BD4675"/>
    <w:rsid w:val="00BD47CC"/>
    <w:rsid w:val="00BD4854"/>
    <w:rsid w:val="00BD486C"/>
    <w:rsid w:val="00BD4A30"/>
    <w:rsid w:val="00BD4BB6"/>
    <w:rsid w:val="00BD4BF3"/>
    <w:rsid w:val="00BD5351"/>
    <w:rsid w:val="00BD54CD"/>
    <w:rsid w:val="00BD559B"/>
    <w:rsid w:val="00BD58B4"/>
    <w:rsid w:val="00BD5A0B"/>
    <w:rsid w:val="00BD5A34"/>
    <w:rsid w:val="00BD5C13"/>
    <w:rsid w:val="00BD5EA8"/>
    <w:rsid w:val="00BD605B"/>
    <w:rsid w:val="00BD60D3"/>
    <w:rsid w:val="00BD6231"/>
    <w:rsid w:val="00BD6681"/>
    <w:rsid w:val="00BD6812"/>
    <w:rsid w:val="00BD6868"/>
    <w:rsid w:val="00BD6AAE"/>
    <w:rsid w:val="00BD6B58"/>
    <w:rsid w:val="00BD6E3B"/>
    <w:rsid w:val="00BD709A"/>
    <w:rsid w:val="00BD70FE"/>
    <w:rsid w:val="00BD71E8"/>
    <w:rsid w:val="00BD737A"/>
    <w:rsid w:val="00BD74D0"/>
    <w:rsid w:val="00BD74D2"/>
    <w:rsid w:val="00BD76ED"/>
    <w:rsid w:val="00BD771D"/>
    <w:rsid w:val="00BD7732"/>
    <w:rsid w:val="00BD7804"/>
    <w:rsid w:val="00BD7CBE"/>
    <w:rsid w:val="00BD7CC8"/>
    <w:rsid w:val="00BD7DE9"/>
    <w:rsid w:val="00BD7E62"/>
    <w:rsid w:val="00BE00B4"/>
    <w:rsid w:val="00BE0828"/>
    <w:rsid w:val="00BE09C8"/>
    <w:rsid w:val="00BE0D2F"/>
    <w:rsid w:val="00BE0E9C"/>
    <w:rsid w:val="00BE0EFF"/>
    <w:rsid w:val="00BE0F15"/>
    <w:rsid w:val="00BE1059"/>
    <w:rsid w:val="00BE11E5"/>
    <w:rsid w:val="00BE145D"/>
    <w:rsid w:val="00BE1540"/>
    <w:rsid w:val="00BE1599"/>
    <w:rsid w:val="00BE17F6"/>
    <w:rsid w:val="00BE189C"/>
    <w:rsid w:val="00BE1926"/>
    <w:rsid w:val="00BE1B1B"/>
    <w:rsid w:val="00BE1D22"/>
    <w:rsid w:val="00BE1D55"/>
    <w:rsid w:val="00BE1E70"/>
    <w:rsid w:val="00BE2209"/>
    <w:rsid w:val="00BE22A3"/>
    <w:rsid w:val="00BE22CC"/>
    <w:rsid w:val="00BE2591"/>
    <w:rsid w:val="00BE25FA"/>
    <w:rsid w:val="00BE27B6"/>
    <w:rsid w:val="00BE27CD"/>
    <w:rsid w:val="00BE27E0"/>
    <w:rsid w:val="00BE2E76"/>
    <w:rsid w:val="00BE30E7"/>
    <w:rsid w:val="00BE338C"/>
    <w:rsid w:val="00BE34C1"/>
    <w:rsid w:val="00BE3613"/>
    <w:rsid w:val="00BE368E"/>
    <w:rsid w:val="00BE37F5"/>
    <w:rsid w:val="00BE3EBA"/>
    <w:rsid w:val="00BE43F7"/>
    <w:rsid w:val="00BE4573"/>
    <w:rsid w:val="00BE467F"/>
    <w:rsid w:val="00BE47C1"/>
    <w:rsid w:val="00BE4BD0"/>
    <w:rsid w:val="00BE4BDC"/>
    <w:rsid w:val="00BE4C97"/>
    <w:rsid w:val="00BE4D5A"/>
    <w:rsid w:val="00BE5137"/>
    <w:rsid w:val="00BE5313"/>
    <w:rsid w:val="00BE555D"/>
    <w:rsid w:val="00BE5908"/>
    <w:rsid w:val="00BE5A0C"/>
    <w:rsid w:val="00BE5B71"/>
    <w:rsid w:val="00BE5E31"/>
    <w:rsid w:val="00BE5F8A"/>
    <w:rsid w:val="00BE5FBE"/>
    <w:rsid w:val="00BE600F"/>
    <w:rsid w:val="00BE6013"/>
    <w:rsid w:val="00BE6125"/>
    <w:rsid w:val="00BE6290"/>
    <w:rsid w:val="00BE62B0"/>
    <w:rsid w:val="00BE649F"/>
    <w:rsid w:val="00BE66AF"/>
    <w:rsid w:val="00BE66FE"/>
    <w:rsid w:val="00BE67D6"/>
    <w:rsid w:val="00BE6A0B"/>
    <w:rsid w:val="00BE6F38"/>
    <w:rsid w:val="00BE7295"/>
    <w:rsid w:val="00BE72F9"/>
    <w:rsid w:val="00BE76AD"/>
    <w:rsid w:val="00BE770C"/>
    <w:rsid w:val="00BE77CC"/>
    <w:rsid w:val="00BE7805"/>
    <w:rsid w:val="00BE7838"/>
    <w:rsid w:val="00BE787E"/>
    <w:rsid w:val="00BE792E"/>
    <w:rsid w:val="00BE7B74"/>
    <w:rsid w:val="00BE7D5B"/>
    <w:rsid w:val="00BE7E42"/>
    <w:rsid w:val="00BF0013"/>
    <w:rsid w:val="00BF00DD"/>
    <w:rsid w:val="00BF03A6"/>
    <w:rsid w:val="00BF070D"/>
    <w:rsid w:val="00BF076F"/>
    <w:rsid w:val="00BF07DF"/>
    <w:rsid w:val="00BF0B06"/>
    <w:rsid w:val="00BF0F82"/>
    <w:rsid w:val="00BF1042"/>
    <w:rsid w:val="00BF1848"/>
    <w:rsid w:val="00BF19B8"/>
    <w:rsid w:val="00BF19E7"/>
    <w:rsid w:val="00BF1A28"/>
    <w:rsid w:val="00BF1B23"/>
    <w:rsid w:val="00BF1D82"/>
    <w:rsid w:val="00BF1E9B"/>
    <w:rsid w:val="00BF250E"/>
    <w:rsid w:val="00BF25A4"/>
    <w:rsid w:val="00BF2694"/>
    <w:rsid w:val="00BF27BC"/>
    <w:rsid w:val="00BF29F1"/>
    <w:rsid w:val="00BF2B7F"/>
    <w:rsid w:val="00BF2D3C"/>
    <w:rsid w:val="00BF2D8B"/>
    <w:rsid w:val="00BF2DBA"/>
    <w:rsid w:val="00BF301F"/>
    <w:rsid w:val="00BF304E"/>
    <w:rsid w:val="00BF30C8"/>
    <w:rsid w:val="00BF311E"/>
    <w:rsid w:val="00BF32EE"/>
    <w:rsid w:val="00BF337B"/>
    <w:rsid w:val="00BF33C0"/>
    <w:rsid w:val="00BF3619"/>
    <w:rsid w:val="00BF367B"/>
    <w:rsid w:val="00BF36CE"/>
    <w:rsid w:val="00BF36FA"/>
    <w:rsid w:val="00BF3BDA"/>
    <w:rsid w:val="00BF3BF9"/>
    <w:rsid w:val="00BF3D57"/>
    <w:rsid w:val="00BF3E2E"/>
    <w:rsid w:val="00BF3ECC"/>
    <w:rsid w:val="00BF3EF9"/>
    <w:rsid w:val="00BF4054"/>
    <w:rsid w:val="00BF40AF"/>
    <w:rsid w:val="00BF4387"/>
    <w:rsid w:val="00BF4428"/>
    <w:rsid w:val="00BF470C"/>
    <w:rsid w:val="00BF487B"/>
    <w:rsid w:val="00BF48D9"/>
    <w:rsid w:val="00BF4BD5"/>
    <w:rsid w:val="00BF4C7B"/>
    <w:rsid w:val="00BF5173"/>
    <w:rsid w:val="00BF5748"/>
    <w:rsid w:val="00BF5966"/>
    <w:rsid w:val="00BF5C2E"/>
    <w:rsid w:val="00BF5C33"/>
    <w:rsid w:val="00BF5F3C"/>
    <w:rsid w:val="00BF611E"/>
    <w:rsid w:val="00BF62D1"/>
    <w:rsid w:val="00BF636A"/>
    <w:rsid w:val="00BF698B"/>
    <w:rsid w:val="00BF6B30"/>
    <w:rsid w:val="00BF6B7A"/>
    <w:rsid w:val="00BF6BC5"/>
    <w:rsid w:val="00BF6D95"/>
    <w:rsid w:val="00BF6EC7"/>
    <w:rsid w:val="00BF7177"/>
    <w:rsid w:val="00BF71DB"/>
    <w:rsid w:val="00BF7268"/>
    <w:rsid w:val="00BF79FB"/>
    <w:rsid w:val="00BF7AA1"/>
    <w:rsid w:val="00BF7CE9"/>
    <w:rsid w:val="00BF7D65"/>
    <w:rsid w:val="00C003C8"/>
    <w:rsid w:val="00C00852"/>
    <w:rsid w:val="00C00866"/>
    <w:rsid w:val="00C00C1E"/>
    <w:rsid w:val="00C00E31"/>
    <w:rsid w:val="00C00E3D"/>
    <w:rsid w:val="00C00E42"/>
    <w:rsid w:val="00C00E86"/>
    <w:rsid w:val="00C00E87"/>
    <w:rsid w:val="00C00EA9"/>
    <w:rsid w:val="00C00EEB"/>
    <w:rsid w:val="00C00EEE"/>
    <w:rsid w:val="00C010D6"/>
    <w:rsid w:val="00C014CB"/>
    <w:rsid w:val="00C0153E"/>
    <w:rsid w:val="00C01561"/>
    <w:rsid w:val="00C0157C"/>
    <w:rsid w:val="00C017EC"/>
    <w:rsid w:val="00C01A27"/>
    <w:rsid w:val="00C01BDA"/>
    <w:rsid w:val="00C01D7F"/>
    <w:rsid w:val="00C01DBA"/>
    <w:rsid w:val="00C01E1D"/>
    <w:rsid w:val="00C01E64"/>
    <w:rsid w:val="00C01E68"/>
    <w:rsid w:val="00C021D5"/>
    <w:rsid w:val="00C021DE"/>
    <w:rsid w:val="00C02214"/>
    <w:rsid w:val="00C0223B"/>
    <w:rsid w:val="00C023B4"/>
    <w:rsid w:val="00C024AB"/>
    <w:rsid w:val="00C024B9"/>
    <w:rsid w:val="00C028CE"/>
    <w:rsid w:val="00C02935"/>
    <w:rsid w:val="00C029E1"/>
    <w:rsid w:val="00C02A2A"/>
    <w:rsid w:val="00C02E82"/>
    <w:rsid w:val="00C02F65"/>
    <w:rsid w:val="00C02FD9"/>
    <w:rsid w:val="00C0304D"/>
    <w:rsid w:val="00C030EA"/>
    <w:rsid w:val="00C031CF"/>
    <w:rsid w:val="00C0345F"/>
    <w:rsid w:val="00C03584"/>
    <w:rsid w:val="00C03961"/>
    <w:rsid w:val="00C03B2F"/>
    <w:rsid w:val="00C03C4E"/>
    <w:rsid w:val="00C040C4"/>
    <w:rsid w:val="00C04113"/>
    <w:rsid w:val="00C0451E"/>
    <w:rsid w:val="00C045E4"/>
    <w:rsid w:val="00C046CE"/>
    <w:rsid w:val="00C04A0B"/>
    <w:rsid w:val="00C04ACD"/>
    <w:rsid w:val="00C04BD5"/>
    <w:rsid w:val="00C04CC8"/>
    <w:rsid w:val="00C04E12"/>
    <w:rsid w:val="00C04EBF"/>
    <w:rsid w:val="00C05136"/>
    <w:rsid w:val="00C051C8"/>
    <w:rsid w:val="00C052F4"/>
    <w:rsid w:val="00C054D7"/>
    <w:rsid w:val="00C05738"/>
    <w:rsid w:val="00C05BDB"/>
    <w:rsid w:val="00C05BDD"/>
    <w:rsid w:val="00C061A9"/>
    <w:rsid w:val="00C06367"/>
    <w:rsid w:val="00C06374"/>
    <w:rsid w:val="00C06391"/>
    <w:rsid w:val="00C0645D"/>
    <w:rsid w:val="00C0657A"/>
    <w:rsid w:val="00C06689"/>
    <w:rsid w:val="00C066E9"/>
    <w:rsid w:val="00C069B4"/>
    <w:rsid w:val="00C06B53"/>
    <w:rsid w:val="00C06B89"/>
    <w:rsid w:val="00C06D37"/>
    <w:rsid w:val="00C06DD6"/>
    <w:rsid w:val="00C06DFF"/>
    <w:rsid w:val="00C07045"/>
    <w:rsid w:val="00C07197"/>
    <w:rsid w:val="00C071C4"/>
    <w:rsid w:val="00C07417"/>
    <w:rsid w:val="00C07688"/>
    <w:rsid w:val="00C07A3F"/>
    <w:rsid w:val="00C07C11"/>
    <w:rsid w:val="00C07EDD"/>
    <w:rsid w:val="00C10253"/>
    <w:rsid w:val="00C1044F"/>
    <w:rsid w:val="00C10667"/>
    <w:rsid w:val="00C108E8"/>
    <w:rsid w:val="00C10EA0"/>
    <w:rsid w:val="00C10F98"/>
    <w:rsid w:val="00C11191"/>
    <w:rsid w:val="00C111A4"/>
    <w:rsid w:val="00C112C3"/>
    <w:rsid w:val="00C113CB"/>
    <w:rsid w:val="00C114A5"/>
    <w:rsid w:val="00C11530"/>
    <w:rsid w:val="00C11782"/>
    <w:rsid w:val="00C11862"/>
    <w:rsid w:val="00C11CCF"/>
    <w:rsid w:val="00C11FA2"/>
    <w:rsid w:val="00C12225"/>
    <w:rsid w:val="00C125CD"/>
    <w:rsid w:val="00C12628"/>
    <w:rsid w:val="00C12775"/>
    <w:rsid w:val="00C12786"/>
    <w:rsid w:val="00C127CC"/>
    <w:rsid w:val="00C1281F"/>
    <w:rsid w:val="00C12BC6"/>
    <w:rsid w:val="00C12C6A"/>
    <w:rsid w:val="00C12D12"/>
    <w:rsid w:val="00C13099"/>
    <w:rsid w:val="00C1315B"/>
    <w:rsid w:val="00C1320C"/>
    <w:rsid w:val="00C13345"/>
    <w:rsid w:val="00C13369"/>
    <w:rsid w:val="00C1369E"/>
    <w:rsid w:val="00C1388B"/>
    <w:rsid w:val="00C13921"/>
    <w:rsid w:val="00C1392F"/>
    <w:rsid w:val="00C139D4"/>
    <w:rsid w:val="00C13AF4"/>
    <w:rsid w:val="00C13B58"/>
    <w:rsid w:val="00C13CBB"/>
    <w:rsid w:val="00C13D27"/>
    <w:rsid w:val="00C13DD5"/>
    <w:rsid w:val="00C13FFC"/>
    <w:rsid w:val="00C14334"/>
    <w:rsid w:val="00C14347"/>
    <w:rsid w:val="00C14435"/>
    <w:rsid w:val="00C1454B"/>
    <w:rsid w:val="00C1484A"/>
    <w:rsid w:val="00C148BF"/>
    <w:rsid w:val="00C14B2C"/>
    <w:rsid w:val="00C14CC4"/>
    <w:rsid w:val="00C14DCB"/>
    <w:rsid w:val="00C14E7F"/>
    <w:rsid w:val="00C14E84"/>
    <w:rsid w:val="00C1526D"/>
    <w:rsid w:val="00C15385"/>
    <w:rsid w:val="00C155CF"/>
    <w:rsid w:val="00C157EB"/>
    <w:rsid w:val="00C15803"/>
    <w:rsid w:val="00C15A45"/>
    <w:rsid w:val="00C15AE4"/>
    <w:rsid w:val="00C15BCA"/>
    <w:rsid w:val="00C15DDF"/>
    <w:rsid w:val="00C15E37"/>
    <w:rsid w:val="00C15F2A"/>
    <w:rsid w:val="00C15F5A"/>
    <w:rsid w:val="00C16352"/>
    <w:rsid w:val="00C16489"/>
    <w:rsid w:val="00C165BE"/>
    <w:rsid w:val="00C169F9"/>
    <w:rsid w:val="00C16B1C"/>
    <w:rsid w:val="00C16B9B"/>
    <w:rsid w:val="00C16BAB"/>
    <w:rsid w:val="00C16E97"/>
    <w:rsid w:val="00C16F35"/>
    <w:rsid w:val="00C1713B"/>
    <w:rsid w:val="00C174F6"/>
    <w:rsid w:val="00C176F7"/>
    <w:rsid w:val="00C179F2"/>
    <w:rsid w:val="00C17C33"/>
    <w:rsid w:val="00C17CA0"/>
    <w:rsid w:val="00C20068"/>
    <w:rsid w:val="00C20070"/>
    <w:rsid w:val="00C20265"/>
    <w:rsid w:val="00C204E8"/>
    <w:rsid w:val="00C207E1"/>
    <w:rsid w:val="00C20855"/>
    <w:rsid w:val="00C20BBE"/>
    <w:rsid w:val="00C20FE3"/>
    <w:rsid w:val="00C2102F"/>
    <w:rsid w:val="00C211F6"/>
    <w:rsid w:val="00C2133E"/>
    <w:rsid w:val="00C21D09"/>
    <w:rsid w:val="00C21DDD"/>
    <w:rsid w:val="00C21F3A"/>
    <w:rsid w:val="00C220A7"/>
    <w:rsid w:val="00C2215B"/>
    <w:rsid w:val="00C222BD"/>
    <w:rsid w:val="00C2259C"/>
    <w:rsid w:val="00C2276E"/>
    <w:rsid w:val="00C228C8"/>
    <w:rsid w:val="00C22935"/>
    <w:rsid w:val="00C22A43"/>
    <w:rsid w:val="00C22AE8"/>
    <w:rsid w:val="00C22B5F"/>
    <w:rsid w:val="00C22D32"/>
    <w:rsid w:val="00C22DC6"/>
    <w:rsid w:val="00C22DD4"/>
    <w:rsid w:val="00C23071"/>
    <w:rsid w:val="00C230C6"/>
    <w:rsid w:val="00C2327C"/>
    <w:rsid w:val="00C232B4"/>
    <w:rsid w:val="00C23318"/>
    <w:rsid w:val="00C2334E"/>
    <w:rsid w:val="00C2369E"/>
    <w:rsid w:val="00C236E0"/>
    <w:rsid w:val="00C23825"/>
    <w:rsid w:val="00C23870"/>
    <w:rsid w:val="00C23B2E"/>
    <w:rsid w:val="00C23CCB"/>
    <w:rsid w:val="00C23E51"/>
    <w:rsid w:val="00C23F2C"/>
    <w:rsid w:val="00C240D2"/>
    <w:rsid w:val="00C24452"/>
    <w:rsid w:val="00C2490C"/>
    <w:rsid w:val="00C24BBE"/>
    <w:rsid w:val="00C24DA7"/>
    <w:rsid w:val="00C24E86"/>
    <w:rsid w:val="00C24FE0"/>
    <w:rsid w:val="00C2511D"/>
    <w:rsid w:val="00C251F1"/>
    <w:rsid w:val="00C252A9"/>
    <w:rsid w:val="00C254AC"/>
    <w:rsid w:val="00C2569C"/>
    <w:rsid w:val="00C2597F"/>
    <w:rsid w:val="00C259D8"/>
    <w:rsid w:val="00C25E2F"/>
    <w:rsid w:val="00C25FC7"/>
    <w:rsid w:val="00C2612D"/>
    <w:rsid w:val="00C261F5"/>
    <w:rsid w:val="00C2639D"/>
    <w:rsid w:val="00C26793"/>
    <w:rsid w:val="00C2692A"/>
    <w:rsid w:val="00C26F1F"/>
    <w:rsid w:val="00C26F6B"/>
    <w:rsid w:val="00C26FAE"/>
    <w:rsid w:val="00C270F5"/>
    <w:rsid w:val="00C273FF"/>
    <w:rsid w:val="00C274AA"/>
    <w:rsid w:val="00C27682"/>
    <w:rsid w:val="00C27707"/>
    <w:rsid w:val="00C27840"/>
    <w:rsid w:val="00C279B6"/>
    <w:rsid w:val="00C27A81"/>
    <w:rsid w:val="00C27CDD"/>
    <w:rsid w:val="00C27D2A"/>
    <w:rsid w:val="00C27E02"/>
    <w:rsid w:val="00C27EEE"/>
    <w:rsid w:val="00C27F29"/>
    <w:rsid w:val="00C30069"/>
    <w:rsid w:val="00C30201"/>
    <w:rsid w:val="00C30329"/>
    <w:rsid w:val="00C304CC"/>
    <w:rsid w:val="00C307B3"/>
    <w:rsid w:val="00C30995"/>
    <w:rsid w:val="00C309EC"/>
    <w:rsid w:val="00C30C0A"/>
    <w:rsid w:val="00C30CD8"/>
    <w:rsid w:val="00C31042"/>
    <w:rsid w:val="00C31453"/>
    <w:rsid w:val="00C31801"/>
    <w:rsid w:val="00C31A74"/>
    <w:rsid w:val="00C31B31"/>
    <w:rsid w:val="00C31CBA"/>
    <w:rsid w:val="00C31D30"/>
    <w:rsid w:val="00C32142"/>
    <w:rsid w:val="00C32405"/>
    <w:rsid w:val="00C325A5"/>
    <w:rsid w:val="00C3280C"/>
    <w:rsid w:val="00C32824"/>
    <w:rsid w:val="00C32A51"/>
    <w:rsid w:val="00C32F95"/>
    <w:rsid w:val="00C3338A"/>
    <w:rsid w:val="00C33411"/>
    <w:rsid w:val="00C337AA"/>
    <w:rsid w:val="00C33A25"/>
    <w:rsid w:val="00C33CD2"/>
    <w:rsid w:val="00C33E9B"/>
    <w:rsid w:val="00C3410E"/>
    <w:rsid w:val="00C343BA"/>
    <w:rsid w:val="00C344EC"/>
    <w:rsid w:val="00C34713"/>
    <w:rsid w:val="00C34AE0"/>
    <w:rsid w:val="00C34EF1"/>
    <w:rsid w:val="00C34F7E"/>
    <w:rsid w:val="00C34FBC"/>
    <w:rsid w:val="00C35133"/>
    <w:rsid w:val="00C35222"/>
    <w:rsid w:val="00C352DE"/>
    <w:rsid w:val="00C3546F"/>
    <w:rsid w:val="00C35607"/>
    <w:rsid w:val="00C35622"/>
    <w:rsid w:val="00C356A6"/>
    <w:rsid w:val="00C35861"/>
    <w:rsid w:val="00C35966"/>
    <w:rsid w:val="00C35B9B"/>
    <w:rsid w:val="00C35C56"/>
    <w:rsid w:val="00C35CC0"/>
    <w:rsid w:val="00C35CFC"/>
    <w:rsid w:val="00C35D95"/>
    <w:rsid w:val="00C35DB9"/>
    <w:rsid w:val="00C361AE"/>
    <w:rsid w:val="00C3636A"/>
    <w:rsid w:val="00C36854"/>
    <w:rsid w:val="00C36BDC"/>
    <w:rsid w:val="00C37177"/>
    <w:rsid w:val="00C372F7"/>
    <w:rsid w:val="00C37446"/>
    <w:rsid w:val="00C3751E"/>
    <w:rsid w:val="00C37643"/>
    <w:rsid w:val="00C376E8"/>
    <w:rsid w:val="00C3789A"/>
    <w:rsid w:val="00C379D6"/>
    <w:rsid w:val="00C37A6A"/>
    <w:rsid w:val="00C37A6D"/>
    <w:rsid w:val="00C37B17"/>
    <w:rsid w:val="00C37BFD"/>
    <w:rsid w:val="00C37E64"/>
    <w:rsid w:val="00C400EB"/>
    <w:rsid w:val="00C404C6"/>
    <w:rsid w:val="00C406D8"/>
    <w:rsid w:val="00C406FC"/>
    <w:rsid w:val="00C407BE"/>
    <w:rsid w:val="00C40815"/>
    <w:rsid w:val="00C408FB"/>
    <w:rsid w:val="00C40939"/>
    <w:rsid w:val="00C409E5"/>
    <w:rsid w:val="00C40BAA"/>
    <w:rsid w:val="00C40E1C"/>
    <w:rsid w:val="00C40E3F"/>
    <w:rsid w:val="00C40F1E"/>
    <w:rsid w:val="00C41131"/>
    <w:rsid w:val="00C41182"/>
    <w:rsid w:val="00C41483"/>
    <w:rsid w:val="00C41577"/>
    <w:rsid w:val="00C41579"/>
    <w:rsid w:val="00C4186E"/>
    <w:rsid w:val="00C418FE"/>
    <w:rsid w:val="00C41A9C"/>
    <w:rsid w:val="00C41D09"/>
    <w:rsid w:val="00C41DD4"/>
    <w:rsid w:val="00C41F6C"/>
    <w:rsid w:val="00C41FAD"/>
    <w:rsid w:val="00C420D0"/>
    <w:rsid w:val="00C421BB"/>
    <w:rsid w:val="00C422E7"/>
    <w:rsid w:val="00C4250C"/>
    <w:rsid w:val="00C4256D"/>
    <w:rsid w:val="00C426FD"/>
    <w:rsid w:val="00C429A4"/>
    <w:rsid w:val="00C42B0F"/>
    <w:rsid w:val="00C42D5D"/>
    <w:rsid w:val="00C42DCC"/>
    <w:rsid w:val="00C42FF3"/>
    <w:rsid w:val="00C4304F"/>
    <w:rsid w:val="00C4334B"/>
    <w:rsid w:val="00C435A4"/>
    <w:rsid w:val="00C438D2"/>
    <w:rsid w:val="00C43B6C"/>
    <w:rsid w:val="00C43B79"/>
    <w:rsid w:val="00C43C72"/>
    <w:rsid w:val="00C43D05"/>
    <w:rsid w:val="00C43DA8"/>
    <w:rsid w:val="00C43F8D"/>
    <w:rsid w:val="00C43F99"/>
    <w:rsid w:val="00C44438"/>
    <w:rsid w:val="00C445F6"/>
    <w:rsid w:val="00C447B0"/>
    <w:rsid w:val="00C44B94"/>
    <w:rsid w:val="00C44C4E"/>
    <w:rsid w:val="00C44D98"/>
    <w:rsid w:val="00C44F68"/>
    <w:rsid w:val="00C450FB"/>
    <w:rsid w:val="00C45607"/>
    <w:rsid w:val="00C4571C"/>
    <w:rsid w:val="00C459EB"/>
    <w:rsid w:val="00C45A0B"/>
    <w:rsid w:val="00C45A54"/>
    <w:rsid w:val="00C45B70"/>
    <w:rsid w:val="00C45D34"/>
    <w:rsid w:val="00C460C2"/>
    <w:rsid w:val="00C46273"/>
    <w:rsid w:val="00C463CA"/>
    <w:rsid w:val="00C4673E"/>
    <w:rsid w:val="00C46860"/>
    <w:rsid w:val="00C46908"/>
    <w:rsid w:val="00C4694A"/>
    <w:rsid w:val="00C46A08"/>
    <w:rsid w:val="00C46C7D"/>
    <w:rsid w:val="00C46F8E"/>
    <w:rsid w:val="00C47163"/>
    <w:rsid w:val="00C473A1"/>
    <w:rsid w:val="00C473A4"/>
    <w:rsid w:val="00C47820"/>
    <w:rsid w:val="00C47833"/>
    <w:rsid w:val="00C47905"/>
    <w:rsid w:val="00C47B8E"/>
    <w:rsid w:val="00C47CA1"/>
    <w:rsid w:val="00C47CE4"/>
    <w:rsid w:val="00C47E21"/>
    <w:rsid w:val="00C47F3C"/>
    <w:rsid w:val="00C50154"/>
    <w:rsid w:val="00C5018D"/>
    <w:rsid w:val="00C50246"/>
    <w:rsid w:val="00C50ABC"/>
    <w:rsid w:val="00C50B13"/>
    <w:rsid w:val="00C50C5D"/>
    <w:rsid w:val="00C50D01"/>
    <w:rsid w:val="00C50D84"/>
    <w:rsid w:val="00C50F21"/>
    <w:rsid w:val="00C51134"/>
    <w:rsid w:val="00C512C3"/>
    <w:rsid w:val="00C512C7"/>
    <w:rsid w:val="00C5143D"/>
    <w:rsid w:val="00C514B6"/>
    <w:rsid w:val="00C51603"/>
    <w:rsid w:val="00C51713"/>
    <w:rsid w:val="00C517B2"/>
    <w:rsid w:val="00C51812"/>
    <w:rsid w:val="00C51892"/>
    <w:rsid w:val="00C51944"/>
    <w:rsid w:val="00C519EE"/>
    <w:rsid w:val="00C51D41"/>
    <w:rsid w:val="00C51E4F"/>
    <w:rsid w:val="00C51FB3"/>
    <w:rsid w:val="00C52107"/>
    <w:rsid w:val="00C5225B"/>
    <w:rsid w:val="00C52335"/>
    <w:rsid w:val="00C523AA"/>
    <w:rsid w:val="00C52444"/>
    <w:rsid w:val="00C52777"/>
    <w:rsid w:val="00C52845"/>
    <w:rsid w:val="00C52BBC"/>
    <w:rsid w:val="00C52C6D"/>
    <w:rsid w:val="00C52E88"/>
    <w:rsid w:val="00C5320A"/>
    <w:rsid w:val="00C53228"/>
    <w:rsid w:val="00C5328F"/>
    <w:rsid w:val="00C533F9"/>
    <w:rsid w:val="00C535D5"/>
    <w:rsid w:val="00C53824"/>
    <w:rsid w:val="00C53C92"/>
    <w:rsid w:val="00C53D6C"/>
    <w:rsid w:val="00C53DB1"/>
    <w:rsid w:val="00C540D0"/>
    <w:rsid w:val="00C54194"/>
    <w:rsid w:val="00C542BB"/>
    <w:rsid w:val="00C542FC"/>
    <w:rsid w:val="00C54798"/>
    <w:rsid w:val="00C548A7"/>
    <w:rsid w:val="00C548D6"/>
    <w:rsid w:val="00C54905"/>
    <w:rsid w:val="00C549D3"/>
    <w:rsid w:val="00C54BD5"/>
    <w:rsid w:val="00C54F87"/>
    <w:rsid w:val="00C55105"/>
    <w:rsid w:val="00C55121"/>
    <w:rsid w:val="00C5520A"/>
    <w:rsid w:val="00C55270"/>
    <w:rsid w:val="00C552F2"/>
    <w:rsid w:val="00C55333"/>
    <w:rsid w:val="00C55481"/>
    <w:rsid w:val="00C55724"/>
    <w:rsid w:val="00C55752"/>
    <w:rsid w:val="00C5585C"/>
    <w:rsid w:val="00C5588F"/>
    <w:rsid w:val="00C558DB"/>
    <w:rsid w:val="00C55A5B"/>
    <w:rsid w:val="00C55BEF"/>
    <w:rsid w:val="00C55E73"/>
    <w:rsid w:val="00C55E7C"/>
    <w:rsid w:val="00C55F27"/>
    <w:rsid w:val="00C56417"/>
    <w:rsid w:val="00C56A5D"/>
    <w:rsid w:val="00C5701D"/>
    <w:rsid w:val="00C57087"/>
    <w:rsid w:val="00C57317"/>
    <w:rsid w:val="00C5757C"/>
    <w:rsid w:val="00C57732"/>
    <w:rsid w:val="00C57751"/>
    <w:rsid w:val="00C57903"/>
    <w:rsid w:val="00C57E4B"/>
    <w:rsid w:val="00C57F4C"/>
    <w:rsid w:val="00C600BB"/>
    <w:rsid w:val="00C6020C"/>
    <w:rsid w:val="00C60242"/>
    <w:rsid w:val="00C602E1"/>
    <w:rsid w:val="00C6034B"/>
    <w:rsid w:val="00C603AB"/>
    <w:rsid w:val="00C604B1"/>
    <w:rsid w:val="00C6059B"/>
    <w:rsid w:val="00C6059F"/>
    <w:rsid w:val="00C606C1"/>
    <w:rsid w:val="00C60892"/>
    <w:rsid w:val="00C60955"/>
    <w:rsid w:val="00C60A4D"/>
    <w:rsid w:val="00C60CC9"/>
    <w:rsid w:val="00C60EA8"/>
    <w:rsid w:val="00C60F71"/>
    <w:rsid w:val="00C60FFC"/>
    <w:rsid w:val="00C61101"/>
    <w:rsid w:val="00C615A2"/>
    <w:rsid w:val="00C61869"/>
    <w:rsid w:val="00C61FD2"/>
    <w:rsid w:val="00C621C3"/>
    <w:rsid w:val="00C62244"/>
    <w:rsid w:val="00C623AA"/>
    <w:rsid w:val="00C62550"/>
    <w:rsid w:val="00C62585"/>
    <w:rsid w:val="00C62748"/>
    <w:rsid w:val="00C62884"/>
    <w:rsid w:val="00C62B33"/>
    <w:rsid w:val="00C62BF1"/>
    <w:rsid w:val="00C62C18"/>
    <w:rsid w:val="00C62D1F"/>
    <w:rsid w:val="00C62D65"/>
    <w:rsid w:val="00C63245"/>
    <w:rsid w:val="00C63329"/>
    <w:rsid w:val="00C633C8"/>
    <w:rsid w:val="00C63635"/>
    <w:rsid w:val="00C636C1"/>
    <w:rsid w:val="00C63979"/>
    <w:rsid w:val="00C63C79"/>
    <w:rsid w:val="00C63D69"/>
    <w:rsid w:val="00C6412F"/>
    <w:rsid w:val="00C6418D"/>
    <w:rsid w:val="00C6441B"/>
    <w:rsid w:val="00C64718"/>
    <w:rsid w:val="00C648E3"/>
    <w:rsid w:val="00C64D69"/>
    <w:rsid w:val="00C64EA8"/>
    <w:rsid w:val="00C65035"/>
    <w:rsid w:val="00C65084"/>
    <w:rsid w:val="00C650EE"/>
    <w:rsid w:val="00C65154"/>
    <w:rsid w:val="00C6535F"/>
    <w:rsid w:val="00C6591A"/>
    <w:rsid w:val="00C65927"/>
    <w:rsid w:val="00C6596D"/>
    <w:rsid w:val="00C65E15"/>
    <w:rsid w:val="00C65E98"/>
    <w:rsid w:val="00C65F35"/>
    <w:rsid w:val="00C65F98"/>
    <w:rsid w:val="00C65FDA"/>
    <w:rsid w:val="00C664DA"/>
    <w:rsid w:val="00C66540"/>
    <w:rsid w:val="00C66800"/>
    <w:rsid w:val="00C669DA"/>
    <w:rsid w:val="00C66C6D"/>
    <w:rsid w:val="00C66D24"/>
    <w:rsid w:val="00C66D5B"/>
    <w:rsid w:val="00C66EB1"/>
    <w:rsid w:val="00C66EEF"/>
    <w:rsid w:val="00C670BC"/>
    <w:rsid w:val="00C67124"/>
    <w:rsid w:val="00C671CC"/>
    <w:rsid w:val="00C67238"/>
    <w:rsid w:val="00C6767A"/>
    <w:rsid w:val="00C67EB2"/>
    <w:rsid w:val="00C67F9B"/>
    <w:rsid w:val="00C7002A"/>
    <w:rsid w:val="00C70034"/>
    <w:rsid w:val="00C70088"/>
    <w:rsid w:val="00C700E6"/>
    <w:rsid w:val="00C702BB"/>
    <w:rsid w:val="00C70436"/>
    <w:rsid w:val="00C70515"/>
    <w:rsid w:val="00C70599"/>
    <w:rsid w:val="00C708CE"/>
    <w:rsid w:val="00C70930"/>
    <w:rsid w:val="00C709AB"/>
    <w:rsid w:val="00C70A68"/>
    <w:rsid w:val="00C70B53"/>
    <w:rsid w:val="00C70D2A"/>
    <w:rsid w:val="00C70EAE"/>
    <w:rsid w:val="00C70EF1"/>
    <w:rsid w:val="00C70F9E"/>
    <w:rsid w:val="00C714C0"/>
    <w:rsid w:val="00C714D5"/>
    <w:rsid w:val="00C7175F"/>
    <w:rsid w:val="00C71777"/>
    <w:rsid w:val="00C71B74"/>
    <w:rsid w:val="00C71C48"/>
    <w:rsid w:val="00C71F19"/>
    <w:rsid w:val="00C722FD"/>
    <w:rsid w:val="00C723E2"/>
    <w:rsid w:val="00C7251B"/>
    <w:rsid w:val="00C72529"/>
    <w:rsid w:val="00C7299D"/>
    <w:rsid w:val="00C729A9"/>
    <w:rsid w:val="00C729F7"/>
    <w:rsid w:val="00C72AF6"/>
    <w:rsid w:val="00C72C70"/>
    <w:rsid w:val="00C732A8"/>
    <w:rsid w:val="00C7332B"/>
    <w:rsid w:val="00C73520"/>
    <w:rsid w:val="00C7354B"/>
    <w:rsid w:val="00C73633"/>
    <w:rsid w:val="00C7386C"/>
    <w:rsid w:val="00C73955"/>
    <w:rsid w:val="00C73BC9"/>
    <w:rsid w:val="00C73E1D"/>
    <w:rsid w:val="00C7417B"/>
    <w:rsid w:val="00C7418C"/>
    <w:rsid w:val="00C742B2"/>
    <w:rsid w:val="00C744E2"/>
    <w:rsid w:val="00C7476A"/>
    <w:rsid w:val="00C747E7"/>
    <w:rsid w:val="00C74BA8"/>
    <w:rsid w:val="00C75040"/>
    <w:rsid w:val="00C751C9"/>
    <w:rsid w:val="00C753F4"/>
    <w:rsid w:val="00C756DF"/>
    <w:rsid w:val="00C756F7"/>
    <w:rsid w:val="00C75882"/>
    <w:rsid w:val="00C7599D"/>
    <w:rsid w:val="00C75B42"/>
    <w:rsid w:val="00C75C1F"/>
    <w:rsid w:val="00C75DD6"/>
    <w:rsid w:val="00C76331"/>
    <w:rsid w:val="00C767C8"/>
    <w:rsid w:val="00C7689B"/>
    <w:rsid w:val="00C76AE4"/>
    <w:rsid w:val="00C76E45"/>
    <w:rsid w:val="00C771D6"/>
    <w:rsid w:val="00C7721D"/>
    <w:rsid w:val="00C772E4"/>
    <w:rsid w:val="00C77303"/>
    <w:rsid w:val="00C77436"/>
    <w:rsid w:val="00C77520"/>
    <w:rsid w:val="00C776A8"/>
    <w:rsid w:val="00C776D5"/>
    <w:rsid w:val="00C77714"/>
    <w:rsid w:val="00C777B2"/>
    <w:rsid w:val="00C7789E"/>
    <w:rsid w:val="00C7790C"/>
    <w:rsid w:val="00C77989"/>
    <w:rsid w:val="00C77B33"/>
    <w:rsid w:val="00C77CAF"/>
    <w:rsid w:val="00C77E82"/>
    <w:rsid w:val="00C8000B"/>
    <w:rsid w:val="00C8031D"/>
    <w:rsid w:val="00C8037D"/>
    <w:rsid w:val="00C803AB"/>
    <w:rsid w:val="00C80562"/>
    <w:rsid w:val="00C80576"/>
    <w:rsid w:val="00C806FC"/>
    <w:rsid w:val="00C807A4"/>
    <w:rsid w:val="00C80F15"/>
    <w:rsid w:val="00C810EC"/>
    <w:rsid w:val="00C812A8"/>
    <w:rsid w:val="00C812BA"/>
    <w:rsid w:val="00C8191A"/>
    <w:rsid w:val="00C8196A"/>
    <w:rsid w:val="00C81A18"/>
    <w:rsid w:val="00C81A1A"/>
    <w:rsid w:val="00C81A90"/>
    <w:rsid w:val="00C81C3C"/>
    <w:rsid w:val="00C81C4F"/>
    <w:rsid w:val="00C81F8B"/>
    <w:rsid w:val="00C82013"/>
    <w:rsid w:val="00C8202D"/>
    <w:rsid w:val="00C8230F"/>
    <w:rsid w:val="00C82314"/>
    <w:rsid w:val="00C82366"/>
    <w:rsid w:val="00C82440"/>
    <w:rsid w:val="00C826E3"/>
    <w:rsid w:val="00C82815"/>
    <w:rsid w:val="00C82841"/>
    <w:rsid w:val="00C8298D"/>
    <w:rsid w:val="00C82B32"/>
    <w:rsid w:val="00C82B90"/>
    <w:rsid w:val="00C82C33"/>
    <w:rsid w:val="00C82CA2"/>
    <w:rsid w:val="00C82ECD"/>
    <w:rsid w:val="00C835F6"/>
    <w:rsid w:val="00C83B95"/>
    <w:rsid w:val="00C83CE1"/>
    <w:rsid w:val="00C83F1D"/>
    <w:rsid w:val="00C83FFE"/>
    <w:rsid w:val="00C84069"/>
    <w:rsid w:val="00C840CE"/>
    <w:rsid w:val="00C84209"/>
    <w:rsid w:val="00C842D7"/>
    <w:rsid w:val="00C843BA"/>
    <w:rsid w:val="00C846D3"/>
    <w:rsid w:val="00C846EB"/>
    <w:rsid w:val="00C847DA"/>
    <w:rsid w:val="00C84CF7"/>
    <w:rsid w:val="00C84D19"/>
    <w:rsid w:val="00C850EB"/>
    <w:rsid w:val="00C8518E"/>
    <w:rsid w:val="00C851F9"/>
    <w:rsid w:val="00C85530"/>
    <w:rsid w:val="00C85718"/>
    <w:rsid w:val="00C857DB"/>
    <w:rsid w:val="00C858B5"/>
    <w:rsid w:val="00C859E3"/>
    <w:rsid w:val="00C85AFA"/>
    <w:rsid w:val="00C85BE6"/>
    <w:rsid w:val="00C85C97"/>
    <w:rsid w:val="00C86112"/>
    <w:rsid w:val="00C8622C"/>
    <w:rsid w:val="00C86BED"/>
    <w:rsid w:val="00C86CF7"/>
    <w:rsid w:val="00C86E1C"/>
    <w:rsid w:val="00C86FBA"/>
    <w:rsid w:val="00C86FEB"/>
    <w:rsid w:val="00C87177"/>
    <w:rsid w:val="00C8719B"/>
    <w:rsid w:val="00C8778E"/>
    <w:rsid w:val="00C8790F"/>
    <w:rsid w:val="00C879A9"/>
    <w:rsid w:val="00C87D08"/>
    <w:rsid w:val="00C87D73"/>
    <w:rsid w:val="00C90461"/>
    <w:rsid w:val="00C9069F"/>
    <w:rsid w:val="00C9072D"/>
    <w:rsid w:val="00C907FA"/>
    <w:rsid w:val="00C90804"/>
    <w:rsid w:val="00C90811"/>
    <w:rsid w:val="00C90A0D"/>
    <w:rsid w:val="00C90C4B"/>
    <w:rsid w:val="00C90D49"/>
    <w:rsid w:val="00C90FFB"/>
    <w:rsid w:val="00C9100E"/>
    <w:rsid w:val="00C91022"/>
    <w:rsid w:val="00C91312"/>
    <w:rsid w:val="00C91407"/>
    <w:rsid w:val="00C91412"/>
    <w:rsid w:val="00C9148E"/>
    <w:rsid w:val="00C9170E"/>
    <w:rsid w:val="00C91742"/>
    <w:rsid w:val="00C9186A"/>
    <w:rsid w:val="00C919BD"/>
    <w:rsid w:val="00C91AF8"/>
    <w:rsid w:val="00C91C5F"/>
    <w:rsid w:val="00C91FEF"/>
    <w:rsid w:val="00C92028"/>
    <w:rsid w:val="00C92277"/>
    <w:rsid w:val="00C92364"/>
    <w:rsid w:val="00C92647"/>
    <w:rsid w:val="00C9272D"/>
    <w:rsid w:val="00C927B2"/>
    <w:rsid w:val="00C928AD"/>
    <w:rsid w:val="00C92DB2"/>
    <w:rsid w:val="00C92F5F"/>
    <w:rsid w:val="00C92FF4"/>
    <w:rsid w:val="00C932BD"/>
    <w:rsid w:val="00C933A5"/>
    <w:rsid w:val="00C936B5"/>
    <w:rsid w:val="00C93780"/>
    <w:rsid w:val="00C9390A"/>
    <w:rsid w:val="00C93A01"/>
    <w:rsid w:val="00C93A38"/>
    <w:rsid w:val="00C93A9F"/>
    <w:rsid w:val="00C93ADA"/>
    <w:rsid w:val="00C93C71"/>
    <w:rsid w:val="00C93E09"/>
    <w:rsid w:val="00C9400E"/>
    <w:rsid w:val="00C9417B"/>
    <w:rsid w:val="00C943C0"/>
    <w:rsid w:val="00C94467"/>
    <w:rsid w:val="00C94725"/>
    <w:rsid w:val="00C94792"/>
    <w:rsid w:val="00C94BA4"/>
    <w:rsid w:val="00C94BF8"/>
    <w:rsid w:val="00C94CD3"/>
    <w:rsid w:val="00C94D57"/>
    <w:rsid w:val="00C94D62"/>
    <w:rsid w:val="00C95137"/>
    <w:rsid w:val="00C951A8"/>
    <w:rsid w:val="00C9526D"/>
    <w:rsid w:val="00C9528B"/>
    <w:rsid w:val="00C95520"/>
    <w:rsid w:val="00C955CF"/>
    <w:rsid w:val="00C9587A"/>
    <w:rsid w:val="00C958ED"/>
    <w:rsid w:val="00C9595C"/>
    <w:rsid w:val="00C95B13"/>
    <w:rsid w:val="00C95E01"/>
    <w:rsid w:val="00C95EC0"/>
    <w:rsid w:val="00C96008"/>
    <w:rsid w:val="00C9603F"/>
    <w:rsid w:val="00C960AE"/>
    <w:rsid w:val="00C960B9"/>
    <w:rsid w:val="00C960C9"/>
    <w:rsid w:val="00C96110"/>
    <w:rsid w:val="00C96435"/>
    <w:rsid w:val="00C964C8"/>
    <w:rsid w:val="00C9669B"/>
    <w:rsid w:val="00C967C8"/>
    <w:rsid w:val="00C969A4"/>
    <w:rsid w:val="00C96AAA"/>
    <w:rsid w:val="00C96C12"/>
    <w:rsid w:val="00C96EB0"/>
    <w:rsid w:val="00C96F08"/>
    <w:rsid w:val="00C96FBB"/>
    <w:rsid w:val="00C970DC"/>
    <w:rsid w:val="00C971EC"/>
    <w:rsid w:val="00C975FA"/>
    <w:rsid w:val="00C9763B"/>
    <w:rsid w:val="00C97648"/>
    <w:rsid w:val="00C9765D"/>
    <w:rsid w:val="00C978EA"/>
    <w:rsid w:val="00C9797A"/>
    <w:rsid w:val="00C97A09"/>
    <w:rsid w:val="00C97D8E"/>
    <w:rsid w:val="00C97EA2"/>
    <w:rsid w:val="00CA009A"/>
    <w:rsid w:val="00CA039A"/>
    <w:rsid w:val="00CA0484"/>
    <w:rsid w:val="00CA0C1D"/>
    <w:rsid w:val="00CA0C3E"/>
    <w:rsid w:val="00CA0DB2"/>
    <w:rsid w:val="00CA1262"/>
    <w:rsid w:val="00CA1351"/>
    <w:rsid w:val="00CA147E"/>
    <w:rsid w:val="00CA14DC"/>
    <w:rsid w:val="00CA160C"/>
    <w:rsid w:val="00CA1619"/>
    <w:rsid w:val="00CA1C91"/>
    <w:rsid w:val="00CA2102"/>
    <w:rsid w:val="00CA2129"/>
    <w:rsid w:val="00CA22C1"/>
    <w:rsid w:val="00CA2347"/>
    <w:rsid w:val="00CA23D2"/>
    <w:rsid w:val="00CA24AA"/>
    <w:rsid w:val="00CA25C3"/>
    <w:rsid w:val="00CA267F"/>
    <w:rsid w:val="00CA28FC"/>
    <w:rsid w:val="00CA2B17"/>
    <w:rsid w:val="00CA2B3A"/>
    <w:rsid w:val="00CA2BE5"/>
    <w:rsid w:val="00CA2E73"/>
    <w:rsid w:val="00CA2F86"/>
    <w:rsid w:val="00CA3041"/>
    <w:rsid w:val="00CA304F"/>
    <w:rsid w:val="00CA3113"/>
    <w:rsid w:val="00CA32B4"/>
    <w:rsid w:val="00CA38AC"/>
    <w:rsid w:val="00CA38BC"/>
    <w:rsid w:val="00CA39C1"/>
    <w:rsid w:val="00CA3A16"/>
    <w:rsid w:val="00CA3C42"/>
    <w:rsid w:val="00CA3C6A"/>
    <w:rsid w:val="00CA3E66"/>
    <w:rsid w:val="00CA3E92"/>
    <w:rsid w:val="00CA3F43"/>
    <w:rsid w:val="00CA3FD5"/>
    <w:rsid w:val="00CA421E"/>
    <w:rsid w:val="00CA4542"/>
    <w:rsid w:val="00CA46D1"/>
    <w:rsid w:val="00CA4755"/>
    <w:rsid w:val="00CA4784"/>
    <w:rsid w:val="00CA4797"/>
    <w:rsid w:val="00CA498E"/>
    <w:rsid w:val="00CA4D43"/>
    <w:rsid w:val="00CA52A4"/>
    <w:rsid w:val="00CA52ED"/>
    <w:rsid w:val="00CA5306"/>
    <w:rsid w:val="00CA564A"/>
    <w:rsid w:val="00CA580C"/>
    <w:rsid w:val="00CA58CA"/>
    <w:rsid w:val="00CA5A09"/>
    <w:rsid w:val="00CA5CAE"/>
    <w:rsid w:val="00CA5D50"/>
    <w:rsid w:val="00CA5DF7"/>
    <w:rsid w:val="00CA611F"/>
    <w:rsid w:val="00CA631F"/>
    <w:rsid w:val="00CA6482"/>
    <w:rsid w:val="00CA6597"/>
    <w:rsid w:val="00CA6977"/>
    <w:rsid w:val="00CA6B85"/>
    <w:rsid w:val="00CA6C75"/>
    <w:rsid w:val="00CA6DB4"/>
    <w:rsid w:val="00CA6EFC"/>
    <w:rsid w:val="00CA6F9E"/>
    <w:rsid w:val="00CA74E4"/>
    <w:rsid w:val="00CA74EE"/>
    <w:rsid w:val="00CA7DFD"/>
    <w:rsid w:val="00CA7F32"/>
    <w:rsid w:val="00CB0362"/>
    <w:rsid w:val="00CB03D0"/>
    <w:rsid w:val="00CB0554"/>
    <w:rsid w:val="00CB05BD"/>
    <w:rsid w:val="00CB06CD"/>
    <w:rsid w:val="00CB0716"/>
    <w:rsid w:val="00CB0764"/>
    <w:rsid w:val="00CB0841"/>
    <w:rsid w:val="00CB099E"/>
    <w:rsid w:val="00CB0D30"/>
    <w:rsid w:val="00CB115F"/>
    <w:rsid w:val="00CB11EE"/>
    <w:rsid w:val="00CB12EC"/>
    <w:rsid w:val="00CB17E3"/>
    <w:rsid w:val="00CB18D4"/>
    <w:rsid w:val="00CB18E3"/>
    <w:rsid w:val="00CB1DC5"/>
    <w:rsid w:val="00CB2123"/>
    <w:rsid w:val="00CB2238"/>
    <w:rsid w:val="00CB254C"/>
    <w:rsid w:val="00CB258E"/>
    <w:rsid w:val="00CB2AF6"/>
    <w:rsid w:val="00CB2CDD"/>
    <w:rsid w:val="00CB2D9D"/>
    <w:rsid w:val="00CB2FA0"/>
    <w:rsid w:val="00CB35B7"/>
    <w:rsid w:val="00CB3613"/>
    <w:rsid w:val="00CB3690"/>
    <w:rsid w:val="00CB39B0"/>
    <w:rsid w:val="00CB3A5A"/>
    <w:rsid w:val="00CB3CAB"/>
    <w:rsid w:val="00CB4078"/>
    <w:rsid w:val="00CB45A0"/>
    <w:rsid w:val="00CB488B"/>
    <w:rsid w:val="00CB4C02"/>
    <w:rsid w:val="00CB4DE7"/>
    <w:rsid w:val="00CB4ED3"/>
    <w:rsid w:val="00CB4EDC"/>
    <w:rsid w:val="00CB4F62"/>
    <w:rsid w:val="00CB540F"/>
    <w:rsid w:val="00CB57E0"/>
    <w:rsid w:val="00CB59DE"/>
    <w:rsid w:val="00CB5AAB"/>
    <w:rsid w:val="00CB5ABE"/>
    <w:rsid w:val="00CB5C1F"/>
    <w:rsid w:val="00CB5F51"/>
    <w:rsid w:val="00CB602C"/>
    <w:rsid w:val="00CB610C"/>
    <w:rsid w:val="00CB61DD"/>
    <w:rsid w:val="00CB6595"/>
    <w:rsid w:val="00CB6679"/>
    <w:rsid w:val="00CB66D1"/>
    <w:rsid w:val="00CB680B"/>
    <w:rsid w:val="00CB6839"/>
    <w:rsid w:val="00CB6875"/>
    <w:rsid w:val="00CB6968"/>
    <w:rsid w:val="00CB6CB6"/>
    <w:rsid w:val="00CB742C"/>
    <w:rsid w:val="00CB78BC"/>
    <w:rsid w:val="00CB7C52"/>
    <w:rsid w:val="00CB7C9C"/>
    <w:rsid w:val="00CB7D1E"/>
    <w:rsid w:val="00CB7DB8"/>
    <w:rsid w:val="00CB7FD3"/>
    <w:rsid w:val="00CC04E1"/>
    <w:rsid w:val="00CC05BD"/>
    <w:rsid w:val="00CC05C9"/>
    <w:rsid w:val="00CC06B0"/>
    <w:rsid w:val="00CC07B8"/>
    <w:rsid w:val="00CC08ED"/>
    <w:rsid w:val="00CC0A66"/>
    <w:rsid w:val="00CC0AC6"/>
    <w:rsid w:val="00CC0CE9"/>
    <w:rsid w:val="00CC0DA5"/>
    <w:rsid w:val="00CC0EF8"/>
    <w:rsid w:val="00CC0F56"/>
    <w:rsid w:val="00CC1112"/>
    <w:rsid w:val="00CC1379"/>
    <w:rsid w:val="00CC1741"/>
    <w:rsid w:val="00CC1F28"/>
    <w:rsid w:val="00CC2094"/>
    <w:rsid w:val="00CC214F"/>
    <w:rsid w:val="00CC2246"/>
    <w:rsid w:val="00CC2493"/>
    <w:rsid w:val="00CC264A"/>
    <w:rsid w:val="00CC29C1"/>
    <w:rsid w:val="00CC2A97"/>
    <w:rsid w:val="00CC2DEF"/>
    <w:rsid w:val="00CC2DF7"/>
    <w:rsid w:val="00CC2E3E"/>
    <w:rsid w:val="00CC3162"/>
    <w:rsid w:val="00CC3554"/>
    <w:rsid w:val="00CC35A4"/>
    <w:rsid w:val="00CC35CF"/>
    <w:rsid w:val="00CC3655"/>
    <w:rsid w:val="00CC367A"/>
    <w:rsid w:val="00CC3979"/>
    <w:rsid w:val="00CC3C91"/>
    <w:rsid w:val="00CC3DDC"/>
    <w:rsid w:val="00CC3E2F"/>
    <w:rsid w:val="00CC3E8B"/>
    <w:rsid w:val="00CC3EC7"/>
    <w:rsid w:val="00CC3ECA"/>
    <w:rsid w:val="00CC40B6"/>
    <w:rsid w:val="00CC4294"/>
    <w:rsid w:val="00CC4354"/>
    <w:rsid w:val="00CC43AC"/>
    <w:rsid w:val="00CC4595"/>
    <w:rsid w:val="00CC45D8"/>
    <w:rsid w:val="00CC4622"/>
    <w:rsid w:val="00CC4694"/>
    <w:rsid w:val="00CC47CF"/>
    <w:rsid w:val="00CC4B61"/>
    <w:rsid w:val="00CC4FF8"/>
    <w:rsid w:val="00CC5085"/>
    <w:rsid w:val="00CC50B2"/>
    <w:rsid w:val="00CC522B"/>
    <w:rsid w:val="00CC5349"/>
    <w:rsid w:val="00CC540F"/>
    <w:rsid w:val="00CC54CF"/>
    <w:rsid w:val="00CC5535"/>
    <w:rsid w:val="00CC55E0"/>
    <w:rsid w:val="00CC5A1C"/>
    <w:rsid w:val="00CC5ADD"/>
    <w:rsid w:val="00CC5DC3"/>
    <w:rsid w:val="00CC6209"/>
    <w:rsid w:val="00CC631A"/>
    <w:rsid w:val="00CC6492"/>
    <w:rsid w:val="00CC6601"/>
    <w:rsid w:val="00CC67B2"/>
    <w:rsid w:val="00CC6D3A"/>
    <w:rsid w:val="00CC6FD0"/>
    <w:rsid w:val="00CC703E"/>
    <w:rsid w:val="00CC71D7"/>
    <w:rsid w:val="00CC7223"/>
    <w:rsid w:val="00CC72A9"/>
    <w:rsid w:val="00CC746D"/>
    <w:rsid w:val="00CC7655"/>
    <w:rsid w:val="00CC772D"/>
    <w:rsid w:val="00CC7817"/>
    <w:rsid w:val="00CC7BB0"/>
    <w:rsid w:val="00CC7C83"/>
    <w:rsid w:val="00CC7D2E"/>
    <w:rsid w:val="00CC7F05"/>
    <w:rsid w:val="00CC7F2C"/>
    <w:rsid w:val="00CD028C"/>
    <w:rsid w:val="00CD033C"/>
    <w:rsid w:val="00CD073F"/>
    <w:rsid w:val="00CD081D"/>
    <w:rsid w:val="00CD0A77"/>
    <w:rsid w:val="00CD0C52"/>
    <w:rsid w:val="00CD0C5B"/>
    <w:rsid w:val="00CD0D6B"/>
    <w:rsid w:val="00CD0DD5"/>
    <w:rsid w:val="00CD0E16"/>
    <w:rsid w:val="00CD10AC"/>
    <w:rsid w:val="00CD10F1"/>
    <w:rsid w:val="00CD110D"/>
    <w:rsid w:val="00CD1210"/>
    <w:rsid w:val="00CD129E"/>
    <w:rsid w:val="00CD136D"/>
    <w:rsid w:val="00CD1610"/>
    <w:rsid w:val="00CD1626"/>
    <w:rsid w:val="00CD19E0"/>
    <w:rsid w:val="00CD1A63"/>
    <w:rsid w:val="00CD1AC6"/>
    <w:rsid w:val="00CD1B2F"/>
    <w:rsid w:val="00CD1B32"/>
    <w:rsid w:val="00CD1C9E"/>
    <w:rsid w:val="00CD1EEC"/>
    <w:rsid w:val="00CD233F"/>
    <w:rsid w:val="00CD23B7"/>
    <w:rsid w:val="00CD246E"/>
    <w:rsid w:val="00CD24D0"/>
    <w:rsid w:val="00CD253A"/>
    <w:rsid w:val="00CD28A5"/>
    <w:rsid w:val="00CD2B4F"/>
    <w:rsid w:val="00CD2B91"/>
    <w:rsid w:val="00CD2CD6"/>
    <w:rsid w:val="00CD2D39"/>
    <w:rsid w:val="00CD307A"/>
    <w:rsid w:val="00CD3364"/>
    <w:rsid w:val="00CD33C9"/>
    <w:rsid w:val="00CD3417"/>
    <w:rsid w:val="00CD346D"/>
    <w:rsid w:val="00CD3473"/>
    <w:rsid w:val="00CD34CE"/>
    <w:rsid w:val="00CD37BA"/>
    <w:rsid w:val="00CD3923"/>
    <w:rsid w:val="00CD3BC6"/>
    <w:rsid w:val="00CD3E4D"/>
    <w:rsid w:val="00CD401D"/>
    <w:rsid w:val="00CD40D9"/>
    <w:rsid w:val="00CD41EE"/>
    <w:rsid w:val="00CD41F5"/>
    <w:rsid w:val="00CD421F"/>
    <w:rsid w:val="00CD425F"/>
    <w:rsid w:val="00CD4314"/>
    <w:rsid w:val="00CD459F"/>
    <w:rsid w:val="00CD4751"/>
    <w:rsid w:val="00CD47AF"/>
    <w:rsid w:val="00CD4920"/>
    <w:rsid w:val="00CD4CB9"/>
    <w:rsid w:val="00CD4DFF"/>
    <w:rsid w:val="00CD4EF7"/>
    <w:rsid w:val="00CD510B"/>
    <w:rsid w:val="00CD521E"/>
    <w:rsid w:val="00CD5283"/>
    <w:rsid w:val="00CD529F"/>
    <w:rsid w:val="00CD5455"/>
    <w:rsid w:val="00CD5686"/>
    <w:rsid w:val="00CD5906"/>
    <w:rsid w:val="00CD59B5"/>
    <w:rsid w:val="00CD5A81"/>
    <w:rsid w:val="00CD5BB5"/>
    <w:rsid w:val="00CD5BDA"/>
    <w:rsid w:val="00CD5DF8"/>
    <w:rsid w:val="00CD5F6E"/>
    <w:rsid w:val="00CD6309"/>
    <w:rsid w:val="00CD649A"/>
    <w:rsid w:val="00CD64E8"/>
    <w:rsid w:val="00CD65BB"/>
    <w:rsid w:val="00CD65FD"/>
    <w:rsid w:val="00CD6830"/>
    <w:rsid w:val="00CD6D43"/>
    <w:rsid w:val="00CD6E39"/>
    <w:rsid w:val="00CD6E52"/>
    <w:rsid w:val="00CD6F61"/>
    <w:rsid w:val="00CD7113"/>
    <w:rsid w:val="00CD7130"/>
    <w:rsid w:val="00CD7156"/>
    <w:rsid w:val="00CD734D"/>
    <w:rsid w:val="00CD778A"/>
    <w:rsid w:val="00CD7B81"/>
    <w:rsid w:val="00CD7BD1"/>
    <w:rsid w:val="00CE0015"/>
    <w:rsid w:val="00CE0242"/>
    <w:rsid w:val="00CE0720"/>
    <w:rsid w:val="00CE078B"/>
    <w:rsid w:val="00CE081E"/>
    <w:rsid w:val="00CE0849"/>
    <w:rsid w:val="00CE097A"/>
    <w:rsid w:val="00CE0CA6"/>
    <w:rsid w:val="00CE0EEF"/>
    <w:rsid w:val="00CE0F04"/>
    <w:rsid w:val="00CE1016"/>
    <w:rsid w:val="00CE10FD"/>
    <w:rsid w:val="00CE1150"/>
    <w:rsid w:val="00CE1690"/>
    <w:rsid w:val="00CE1748"/>
    <w:rsid w:val="00CE1761"/>
    <w:rsid w:val="00CE17C3"/>
    <w:rsid w:val="00CE1E08"/>
    <w:rsid w:val="00CE25D4"/>
    <w:rsid w:val="00CE28E3"/>
    <w:rsid w:val="00CE2AE1"/>
    <w:rsid w:val="00CE2B04"/>
    <w:rsid w:val="00CE2C45"/>
    <w:rsid w:val="00CE2C61"/>
    <w:rsid w:val="00CE2C8D"/>
    <w:rsid w:val="00CE2D68"/>
    <w:rsid w:val="00CE2DC6"/>
    <w:rsid w:val="00CE2FF2"/>
    <w:rsid w:val="00CE30A2"/>
    <w:rsid w:val="00CE3249"/>
    <w:rsid w:val="00CE32A9"/>
    <w:rsid w:val="00CE32CF"/>
    <w:rsid w:val="00CE337A"/>
    <w:rsid w:val="00CE363C"/>
    <w:rsid w:val="00CE3C39"/>
    <w:rsid w:val="00CE3C81"/>
    <w:rsid w:val="00CE3D88"/>
    <w:rsid w:val="00CE3E28"/>
    <w:rsid w:val="00CE3EBA"/>
    <w:rsid w:val="00CE3F16"/>
    <w:rsid w:val="00CE4000"/>
    <w:rsid w:val="00CE427D"/>
    <w:rsid w:val="00CE441F"/>
    <w:rsid w:val="00CE4497"/>
    <w:rsid w:val="00CE44A4"/>
    <w:rsid w:val="00CE47C6"/>
    <w:rsid w:val="00CE4C31"/>
    <w:rsid w:val="00CE4E98"/>
    <w:rsid w:val="00CE4F7D"/>
    <w:rsid w:val="00CE512F"/>
    <w:rsid w:val="00CE537A"/>
    <w:rsid w:val="00CE5560"/>
    <w:rsid w:val="00CE55DE"/>
    <w:rsid w:val="00CE594B"/>
    <w:rsid w:val="00CE59A1"/>
    <w:rsid w:val="00CE5A0E"/>
    <w:rsid w:val="00CE5BA2"/>
    <w:rsid w:val="00CE5CFC"/>
    <w:rsid w:val="00CE5D38"/>
    <w:rsid w:val="00CE605F"/>
    <w:rsid w:val="00CE612A"/>
    <w:rsid w:val="00CE6163"/>
    <w:rsid w:val="00CE61B2"/>
    <w:rsid w:val="00CE66A8"/>
    <w:rsid w:val="00CE66F2"/>
    <w:rsid w:val="00CE6BE5"/>
    <w:rsid w:val="00CE6E53"/>
    <w:rsid w:val="00CE6F66"/>
    <w:rsid w:val="00CE71BE"/>
    <w:rsid w:val="00CE7388"/>
    <w:rsid w:val="00CE73F5"/>
    <w:rsid w:val="00CE7A12"/>
    <w:rsid w:val="00CE7AD0"/>
    <w:rsid w:val="00CE7BB0"/>
    <w:rsid w:val="00CE7EBB"/>
    <w:rsid w:val="00CE7FE9"/>
    <w:rsid w:val="00CF01EB"/>
    <w:rsid w:val="00CF02B4"/>
    <w:rsid w:val="00CF0328"/>
    <w:rsid w:val="00CF038B"/>
    <w:rsid w:val="00CF0497"/>
    <w:rsid w:val="00CF04BE"/>
    <w:rsid w:val="00CF0A29"/>
    <w:rsid w:val="00CF0C8E"/>
    <w:rsid w:val="00CF0CFC"/>
    <w:rsid w:val="00CF0D3F"/>
    <w:rsid w:val="00CF0F6A"/>
    <w:rsid w:val="00CF0F77"/>
    <w:rsid w:val="00CF1081"/>
    <w:rsid w:val="00CF1090"/>
    <w:rsid w:val="00CF1154"/>
    <w:rsid w:val="00CF11A1"/>
    <w:rsid w:val="00CF1226"/>
    <w:rsid w:val="00CF14E2"/>
    <w:rsid w:val="00CF1665"/>
    <w:rsid w:val="00CF16F2"/>
    <w:rsid w:val="00CF18CB"/>
    <w:rsid w:val="00CF1A52"/>
    <w:rsid w:val="00CF1C52"/>
    <w:rsid w:val="00CF1FAB"/>
    <w:rsid w:val="00CF1FF0"/>
    <w:rsid w:val="00CF201E"/>
    <w:rsid w:val="00CF2580"/>
    <w:rsid w:val="00CF278B"/>
    <w:rsid w:val="00CF282A"/>
    <w:rsid w:val="00CF2A4F"/>
    <w:rsid w:val="00CF2A8C"/>
    <w:rsid w:val="00CF2C4F"/>
    <w:rsid w:val="00CF2FD1"/>
    <w:rsid w:val="00CF3566"/>
    <w:rsid w:val="00CF36C7"/>
    <w:rsid w:val="00CF36D2"/>
    <w:rsid w:val="00CF3901"/>
    <w:rsid w:val="00CF3BE7"/>
    <w:rsid w:val="00CF3C0B"/>
    <w:rsid w:val="00CF3D88"/>
    <w:rsid w:val="00CF3D8D"/>
    <w:rsid w:val="00CF3F56"/>
    <w:rsid w:val="00CF4010"/>
    <w:rsid w:val="00CF40AD"/>
    <w:rsid w:val="00CF41A6"/>
    <w:rsid w:val="00CF45A8"/>
    <w:rsid w:val="00CF4714"/>
    <w:rsid w:val="00CF498E"/>
    <w:rsid w:val="00CF4BE0"/>
    <w:rsid w:val="00CF4BF6"/>
    <w:rsid w:val="00CF4BFE"/>
    <w:rsid w:val="00CF4EAD"/>
    <w:rsid w:val="00CF4FB5"/>
    <w:rsid w:val="00CF509B"/>
    <w:rsid w:val="00CF51F4"/>
    <w:rsid w:val="00CF526F"/>
    <w:rsid w:val="00CF52E0"/>
    <w:rsid w:val="00CF53FE"/>
    <w:rsid w:val="00CF5797"/>
    <w:rsid w:val="00CF57F8"/>
    <w:rsid w:val="00CF58C6"/>
    <w:rsid w:val="00CF58CA"/>
    <w:rsid w:val="00CF5963"/>
    <w:rsid w:val="00CF5A4B"/>
    <w:rsid w:val="00CF5C0B"/>
    <w:rsid w:val="00CF5C37"/>
    <w:rsid w:val="00CF5ED0"/>
    <w:rsid w:val="00CF5F12"/>
    <w:rsid w:val="00CF5FD0"/>
    <w:rsid w:val="00CF5FEB"/>
    <w:rsid w:val="00CF602C"/>
    <w:rsid w:val="00CF6083"/>
    <w:rsid w:val="00CF617E"/>
    <w:rsid w:val="00CF62E1"/>
    <w:rsid w:val="00CF6343"/>
    <w:rsid w:val="00CF6651"/>
    <w:rsid w:val="00CF69C8"/>
    <w:rsid w:val="00CF6A12"/>
    <w:rsid w:val="00CF6A36"/>
    <w:rsid w:val="00CF6D12"/>
    <w:rsid w:val="00CF6E13"/>
    <w:rsid w:val="00CF7114"/>
    <w:rsid w:val="00CF7204"/>
    <w:rsid w:val="00CF75D1"/>
    <w:rsid w:val="00CF76CC"/>
    <w:rsid w:val="00CF792B"/>
    <w:rsid w:val="00CF798A"/>
    <w:rsid w:val="00CF79FE"/>
    <w:rsid w:val="00CF7AB5"/>
    <w:rsid w:val="00CF7BC1"/>
    <w:rsid w:val="00CF7F0B"/>
    <w:rsid w:val="00D003AB"/>
    <w:rsid w:val="00D0053F"/>
    <w:rsid w:val="00D005A9"/>
    <w:rsid w:val="00D00908"/>
    <w:rsid w:val="00D009A8"/>
    <w:rsid w:val="00D00BD6"/>
    <w:rsid w:val="00D00C40"/>
    <w:rsid w:val="00D00CAD"/>
    <w:rsid w:val="00D00CCE"/>
    <w:rsid w:val="00D00D3D"/>
    <w:rsid w:val="00D00ED6"/>
    <w:rsid w:val="00D013A6"/>
    <w:rsid w:val="00D01548"/>
    <w:rsid w:val="00D0178A"/>
    <w:rsid w:val="00D017BF"/>
    <w:rsid w:val="00D019A7"/>
    <w:rsid w:val="00D019B5"/>
    <w:rsid w:val="00D01A13"/>
    <w:rsid w:val="00D01A90"/>
    <w:rsid w:val="00D01CA2"/>
    <w:rsid w:val="00D01CA9"/>
    <w:rsid w:val="00D01E7D"/>
    <w:rsid w:val="00D01F14"/>
    <w:rsid w:val="00D01FEE"/>
    <w:rsid w:val="00D0213E"/>
    <w:rsid w:val="00D02150"/>
    <w:rsid w:val="00D02426"/>
    <w:rsid w:val="00D0262E"/>
    <w:rsid w:val="00D02657"/>
    <w:rsid w:val="00D02846"/>
    <w:rsid w:val="00D02F5C"/>
    <w:rsid w:val="00D02F63"/>
    <w:rsid w:val="00D034FF"/>
    <w:rsid w:val="00D03AEE"/>
    <w:rsid w:val="00D03D47"/>
    <w:rsid w:val="00D03D50"/>
    <w:rsid w:val="00D03DBC"/>
    <w:rsid w:val="00D03FAB"/>
    <w:rsid w:val="00D0404E"/>
    <w:rsid w:val="00D041BF"/>
    <w:rsid w:val="00D042EF"/>
    <w:rsid w:val="00D04314"/>
    <w:rsid w:val="00D0472B"/>
    <w:rsid w:val="00D04B09"/>
    <w:rsid w:val="00D04CE4"/>
    <w:rsid w:val="00D04D91"/>
    <w:rsid w:val="00D04F0A"/>
    <w:rsid w:val="00D050F5"/>
    <w:rsid w:val="00D05373"/>
    <w:rsid w:val="00D054BE"/>
    <w:rsid w:val="00D056EB"/>
    <w:rsid w:val="00D0571B"/>
    <w:rsid w:val="00D05773"/>
    <w:rsid w:val="00D05915"/>
    <w:rsid w:val="00D05AAA"/>
    <w:rsid w:val="00D05AF5"/>
    <w:rsid w:val="00D05B22"/>
    <w:rsid w:val="00D05CE2"/>
    <w:rsid w:val="00D05E03"/>
    <w:rsid w:val="00D05F6E"/>
    <w:rsid w:val="00D062EF"/>
    <w:rsid w:val="00D063F5"/>
    <w:rsid w:val="00D0644F"/>
    <w:rsid w:val="00D064C4"/>
    <w:rsid w:val="00D065E2"/>
    <w:rsid w:val="00D06729"/>
    <w:rsid w:val="00D067DA"/>
    <w:rsid w:val="00D06966"/>
    <w:rsid w:val="00D06A82"/>
    <w:rsid w:val="00D06C8E"/>
    <w:rsid w:val="00D06CDB"/>
    <w:rsid w:val="00D06DE1"/>
    <w:rsid w:val="00D06E0B"/>
    <w:rsid w:val="00D06F77"/>
    <w:rsid w:val="00D06FD8"/>
    <w:rsid w:val="00D070FF"/>
    <w:rsid w:val="00D07223"/>
    <w:rsid w:val="00D07289"/>
    <w:rsid w:val="00D074BE"/>
    <w:rsid w:val="00D07614"/>
    <w:rsid w:val="00D07D4A"/>
    <w:rsid w:val="00D07D6E"/>
    <w:rsid w:val="00D07EC5"/>
    <w:rsid w:val="00D102D0"/>
    <w:rsid w:val="00D102E2"/>
    <w:rsid w:val="00D10574"/>
    <w:rsid w:val="00D1058C"/>
    <w:rsid w:val="00D10724"/>
    <w:rsid w:val="00D109C3"/>
    <w:rsid w:val="00D10A6F"/>
    <w:rsid w:val="00D10B5D"/>
    <w:rsid w:val="00D10EA8"/>
    <w:rsid w:val="00D111B4"/>
    <w:rsid w:val="00D1150E"/>
    <w:rsid w:val="00D115A0"/>
    <w:rsid w:val="00D115CB"/>
    <w:rsid w:val="00D115D6"/>
    <w:rsid w:val="00D1167C"/>
    <w:rsid w:val="00D117FE"/>
    <w:rsid w:val="00D11BCD"/>
    <w:rsid w:val="00D11C05"/>
    <w:rsid w:val="00D11CB8"/>
    <w:rsid w:val="00D11ECC"/>
    <w:rsid w:val="00D11F42"/>
    <w:rsid w:val="00D12121"/>
    <w:rsid w:val="00D121FD"/>
    <w:rsid w:val="00D12342"/>
    <w:rsid w:val="00D124EC"/>
    <w:rsid w:val="00D126E4"/>
    <w:rsid w:val="00D12837"/>
    <w:rsid w:val="00D12B24"/>
    <w:rsid w:val="00D12B65"/>
    <w:rsid w:val="00D12C53"/>
    <w:rsid w:val="00D132CF"/>
    <w:rsid w:val="00D134A8"/>
    <w:rsid w:val="00D137A7"/>
    <w:rsid w:val="00D1383C"/>
    <w:rsid w:val="00D139BB"/>
    <w:rsid w:val="00D13D0B"/>
    <w:rsid w:val="00D140FA"/>
    <w:rsid w:val="00D14180"/>
    <w:rsid w:val="00D142C1"/>
    <w:rsid w:val="00D14344"/>
    <w:rsid w:val="00D143AF"/>
    <w:rsid w:val="00D143CB"/>
    <w:rsid w:val="00D1443C"/>
    <w:rsid w:val="00D14460"/>
    <w:rsid w:val="00D1464B"/>
    <w:rsid w:val="00D1472E"/>
    <w:rsid w:val="00D14893"/>
    <w:rsid w:val="00D14994"/>
    <w:rsid w:val="00D14B9E"/>
    <w:rsid w:val="00D14C1E"/>
    <w:rsid w:val="00D14D0D"/>
    <w:rsid w:val="00D14D9B"/>
    <w:rsid w:val="00D14E78"/>
    <w:rsid w:val="00D14EBB"/>
    <w:rsid w:val="00D15573"/>
    <w:rsid w:val="00D15589"/>
    <w:rsid w:val="00D15663"/>
    <w:rsid w:val="00D1573B"/>
    <w:rsid w:val="00D157AF"/>
    <w:rsid w:val="00D15843"/>
    <w:rsid w:val="00D158CE"/>
    <w:rsid w:val="00D15A1F"/>
    <w:rsid w:val="00D15D33"/>
    <w:rsid w:val="00D15D77"/>
    <w:rsid w:val="00D15D87"/>
    <w:rsid w:val="00D15FD4"/>
    <w:rsid w:val="00D16050"/>
    <w:rsid w:val="00D16155"/>
    <w:rsid w:val="00D1618D"/>
    <w:rsid w:val="00D1622E"/>
    <w:rsid w:val="00D167A0"/>
    <w:rsid w:val="00D167E5"/>
    <w:rsid w:val="00D16B26"/>
    <w:rsid w:val="00D16BAC"/>
    <w:rsid w:val="00D16ED1"/>
    <w:rsid w:val="00D1709D"/>
    <w:rsid w:val="00D1716B"/>
    <w:rsid w:val="00D174B8"/>
    <w:rsid w:val="00D1757B"/>
    <w:rsid w:val="00D17822"/>
    <w:rsid w:val="00D17945"/>
    <w:rsid w:val="00D17CA7"/>
    <w:rsid w:val="00D17D57"/>
    <w:rsid w:val="00D17EEA"/>
    <w:rsid w:val="00D20264"/>
    <w:rsid w:val="00D2034B"/>
    <w:rsid w:val="00D20368"/>
    <w:rsid w:val="00D205F7"/>
    <w:rsid w:val="00D2060A"/>
    <w:rsid w:val="00D208B1"/>
    <w:rsid w:val="00D20914"/>
    <w:rsid w:val="00D20D5F"/>
    <w:rsid w:val="00D21144"/>
    <w:rsid w:val="00D217CA"/>
    <w:rsid w:val="00D21976"/>
    <w:rsid w:val="00D21B20"/>
    <w:rsid w:val="00D21D3E"/>
    <w:rsid w:val="00D21DA7"/>
    <w:rsid w:val="00D222A6"/>
    <w:rsid w:val="00D225CE"/>
    <w:rsid w:val="00D227C3"/>
    <w:rsid w:val="00D22877"/>
    <w:rsid w:val="00D22A0D"/>
    <w:rsid w:val="00D22BC2"/>
    <w:rsid w:val="00D22D1B"/>
    <w:rsid w:val="00D22DA5"/>
    <w:rsid w:val="00D23014"/>
    <w:rsid w:val="00D235A5"/>
    <w:rsid w:val="00D23946"/>
    <w:rsid w:val="00D2399D"/>
    <w:rsid w:val="00D23CE3"/>
    <w:rsid w:val="00D23D9D"/>
    <w:rsid w:val="00D23E2F"/>
    <w:rsid w:val="00D23E80"/>
    <w:rsid w:val="00D23FDC"/>
    <w:rsid w:val="00D24159"/>
    <w:rsid w:val="00D241A9"/>
    <w:rsid w:val="00D246A7"/>
    <w:rsid w:val="00D248DF"/>
    <w:rsid w:val="00D24A3F"/>
    <w:rsid w:val="00D24AFE"/>
    <w:rsid w:val="00D24BCC"/>
    <w:rsid w:val="00D24E1B"/>
    <w:rsid w:val="00D24E49"/>
    <w:rsid w:val="00D251D1"/>
    <w:rsid w:val="00D251E3"/>
    <w:rsid w:val="00D25385"/>
    <w:rsid w:val="00D253DE"/>
    <w:rsid w:val="00D25448"/>
    <w:rsid w:val="00D2561F"/>
    <w:rsid w:val="00D25779"/>
    <w:rsid w:val="00D25785"/>
    <w:rsid w:val="00D25A22"/>
    <w:rsid w:val="00D25B85"/>
    <w:rsid w:val="00D25C2F"/>
    <w:rsid w:val="00D25C58"/>
    <w:rsid w:val="00D25E65"/>
    <w:rsid w:val="00D25F53"/>
    <w:rsid w:val="00D25FDB"/>
    <w:rsid w:val="00D260A6"/>
    <w:rsid w:val="00D260D3"/>
    <w:rsid w:val="00D264C3"/>
    <w:rsid w:val="00D2651B"/>
    <w:rsid w:val="00D2654A"/>
    <w:rsid w:val="00D265AE"/>
    <w:rsid w:val="00D266D5"/>
    <w:rsid w:val="00D266EE"/>
    <w:rsid w:val="00D268B4"/>
    <w:rsid w:val="00D269D8"/>
    <w:rsid w:val="00D269F3"/>
    <w:rsid w:val="00D26A13"/>
    <w:rsid w:val="00D26A9A"/>
    <w:rsid w:val="00D26B85"/>
    <w:rsid w:val="00D26CA1"/>
    <w:rsid w:val="00D26D84"/>
    <w:rsid w:val="00D26E07"/>
    <w:rsid w:val="00D26F04"/>
    <w:rsid w:val="00D26F73"/>
    <w:rsid w:val="00D26FF3"/>
    <w:rsid w:val="00D270CC"/>
    <w:rsid w:val="00D27759"/>
    <w:rsid w:val="00D27992"/>
    <w:rsid w:val="00D27D10"/>
    <w:rsid w:val="00D30052"/>
    <w:rsid w:val="00D306C5"/>
    <w:rsid w:val="00D3094F"/>
    <w:rsid w:val="00D30A88"/>
    <w:rsid w:val="00D30C96"/>
    <w:rsid w:val="00D30E4F"/>
    <w:rsid w:val="00D30E7C"/>
    <w:rsid w:val="00D30E80"/>
    <w:rsid w:val="00D31159"/>
    <w:rsid w:val="00D312E2"/>
    <w:rsid w:val="00D31429"/>
    <w:rsid w:val="00D3165E"/>
    <w:rsid w:val="00D316B3"/>
    <w:rsid w:val="00D31B34"/>
    <w:rsid w:val="00D31BF8"/>
    <w:rsid w:val="00D31D24"/>
    <w:rsid w:val="00D31D7D"/>
    <w:rsid w:val="00D31E8E"/>
    <w:rsid w:val="00D31FB2"/>
    <w:rsid w:val="00D3222D"/>
    <w:rsid w:val="00D32260"/>
    <w:rsid w:val="00D3235F"/>
    <w:rsid w:val="00D3247A"/>
    <w:rsid w:val="00D32619"/>
    <w:rsid w:val="00D3261C"/>
    <w:rsid w:val="00D3265D"/>
    <w:rsid w:val="00D3267D"/>
    <w:rsid w:val="00D328E4"/>
    <w:rsid w:val="00D32CB4"/>
    <w:rsid w:val="00D32DCC"/>
    <w:rsid w:val="00D32EA2"/>
    <w:rsid w:val="00D32ED9"/>
    <w:rsid w:val="00D32EDA"/>
    <w:rsid w:val="00D32F56"/>
    <w:rsid w:val="00D33479"/>
    <w:rsid w:val="00D33830"/>
    <w:rsid w:val="00D33B36"/>
    <w:rsid w:val="00D33C6A"/>
    <w:rsid w:val="00D33D7A"/>
    <w:rsid w:val="00D340A8"/>
    <w:rsid w:val="00D34121"/>
    <w:rsid w:val="00D34185"/>
    <w:rsid w:val="00D34415"/>
    <w:rsid w:val="00D34547"/>
    <w:rsid w:val="00D34667"/>
    <w:rsid w:val="00D348A8"/>
    <w:rsid w:val="00D34A94"/>
    <w:rsid w:val="00D34C60"/>
    <w:rsid w:val="00D34DB4"/>
    <w:rsid w:val="00D34E2E"/>
    <w:rsid w:val="00D34E37"/>
    <w:rsid w:val="00D34EA9"/>
    <w:rsid w:val="00D34EAC"/>
    <w:rsid w:val="00D34F2D"/>
    <w:rsid w:val="00D34F66"/>
    <w:rsid w:val="00D35404"/>
    <w:rsid w:val="00D35447"/>
    <w:rsid w:val="00D357F2"/>
    <w:rsid w:val="00D35D9E"/>
    <w:rsid w:val="00D35ED5"/>
    <w:rsid w:val="00D3600F"/>
    <w:rsid w:val="00D36280"/>
    <w:rsid w:val="00D3642B"/>
    <w:rsid w:val="00D36513"/>
    <w:rsid w:val="00D36730"/>
    <w:rsid w:val="00D36787"/>
    <w:rsid w:val="00D36939"/>
    <w:rsid w:val="00D36B2D"/>
    <w:rsid w:val="00D36BAE"/>
    <w:rsid w:val="00D36C05"/>
    <w:rsid w:val="00D36CCA"/>
    <w:rsid w:val="00D36D21"/>
    <w:rsid w:val="00D37026"/>
    <w:rsid w:val="00D3702C"/>
    <w:rsid w:val="00D3709F"/>
    <w:rsid w:val="00D37155"/>
    <w:rsid w:val="00D37163"/>
    <w:rsid w:val="00D3740C"/>
    <w:rsid w:val="00D378F8"/>
    <w:rsid w:val="00D37BB3"/>
    <w:rsid w:val="00D37E18"/>
    <w:rsid w:val="00D4022D"/>
    <w:rsid w:val="00D4039B"/>
    <w:rsid w:val="00D4041B"/>
    <w:rsid w:val="00D40502"/>
    <w:rsid w:val="00D405CD"/>
    <w:rsid w:val="00D40A19"/>
    <w:rsid w:val="00D40AC0"/>
    <w:rsid w:val="00D40ACF"/>
    <w:rsid w:val="00D40D9C"/>
    <w:rsid w:val="00D40E9B"/>
    <w:rsid w:val="00D4105A"/>
    <w:rsid w:val="00D4135E"/>
    <w:rsid w:val="00D41422"/>
    <w:rsid w:val="00D4156B"/>
    <w:rsid w:val="00D4164B"/>
    <w:rsid w:val="00D419D4"/>
    <w:rsid w:val="00D41BC7"/>
    <w:rsid w:val="00D41C74"/>
    <w:rsid w:val="00D41D86"/>
    <w:rsid w:val="00D41DAE"/>
    <w:rsid w:val="00D42291"/>
    <w:rsid w:val="00D42311"/>
    <w:rsid w:val="00D4243A"/>
    <w:rsid w:val="00D42474"/>
    <w:rsid w:val="00D424BD"/>
    <w:rsid w:val="00D4298B"/>
    <w:rsid w:val="00D429F5"/>
    <w:rsid w:val="00D42E4C"/>
    <w:rsid w:val="00D42F28"/>
    <w:rsid w:val="00D43062"/>
    <w:rsid w:val="00D4340A"/>
    <w:rsid w:val="00D434EE"/>
    <w:rsid w:val="00D435A2"/>
    <w:rsid w:val="00D43778"/>
    <w:rsid w:val="00D439F7"/>
    <w:rsid w:val="00D43A47"/>
    <w:rsid w:val="00D43FF7"/>
    <w:rsid w:val="00D440C5"/>
    <w:rsid w:val="00D440D1"/>
    <w:rsid w:val="00D441C3"/>
    <w:rsid w:val="00D44303"/>
    <w:rsid w:val="00D44360"/>
    <w:rsid w:val="00D44407"/>
    <w:rsid w:val="00D4465B"/>
    <w:rsid w:val="00D447C1"/>
    <w:rsid w:val="00D4481B"/>
    <w:rsid w:val="00D44860"/>
    <w:rsid w:val="00D44908"/>
    <w:rsid w:val="00D44B53"/>
    <w:rsid w:val="00D44B9A"/>
    <w:rsid w:val="00D44D40"/>
    <w:rsid w:val="00D450CD"/>
    <w:rsid w:val="00D452AA"/>
    <w:rsid w:val="00D4538B"/>
    <w:rsid w:val="00D4550B"/>
    <w:rsid w:val="00D456D9"/>
    <w:rsid w:val="00D4570F"/>
    <w:rsid w:val="00D457B1"/>
    <w:rsid w:val="00D4587F"/>
    <w:rsid w:val="00D45989"/>
    <w:rsid w:val="00D45B08"/>
    <w:rsid w:val="00D45B5B"/>
    <w:rsid w:val="00D45CC0"/>
    <w:rsid w:val="00D45D31"/>
    <w:rsid w:val="00D46046"/>
    <w:rsid w:val="00D46057"/>
    <w:rsid w:val="00D46326"/>
    <w:rsid w:val="00D46421"/>
    <w:rsid w:val="00D46674"/>
    <w:rsid w:val="00D466E0"/>
    <w:rsid w:val="00D466FA"/>
    <w:rsid w:val="00D468C3"/>
    <w:rsid w:val="00D46CC1"/>
    <w:rsid w:val="00D46D50"/>
    <w:rsid w:val="00D46F3B"/>
    <w:rsid w:val="00D472BC"/>
    <w:rsid w:val="00D472C9"/>
    <w:rsid w:val="00D47346"/>
    <w:rsid w:val="00D4744D"/>
    <w:rsid w:val="00D47538"/>
    <w:rsid w:val="00D4781B"/>
    <w:rsid w:val="00D47913"/>
    <w:rsid w:val="00D47A57"/>
    <w:rsid w:val="00D47AA9"/>
    <w:rsid w:val="00D47B6E"/>
    <w:rsid w:val="00D47E94"/>
    <w:rsid w:val="00D50047"/>
    <w:rsid w:val="00D504DD"/>
    <w:rsid w:val="00D50963"/>
    <w:rsid w:val="00D50B2F"/>
    <w:rsid w:val="00D5126C"/>
    <w:rsid w:val="00D512E5"/>
    <w:rsid w:val="00D514F5"/>
    <w:rsid w:val="00D5153B"/>
    <w:rsid w:val="00D515D4"/>
    <w:rsid w:val="00D518A2"/>
    <w:rsid w:val="00D51CC8"/>
    <w:rsid w:val="00D51CDB"/>
    <w:rsid w:val="00D51D64"/>
    <w:rsid w:val="00D51F02"/>
    <w:rsid w:val="00D51F24"/>
    <w:rsid w:val="00D51F7E"/>
    <w:rsid w:val="00D52130"/>
    <w:rsid w:val="00D525B4"/>
    <w:rsid w:val="00D527F0"/>
    <w:rsid w:val="00D5281A"/>
    <w:rsid w:val="00D52C30"/>
    <w:rsid w:val="00D52EBE"/>
    <w:rsid w:val="00D52F5B"/>
    <w:rsid w:val="00D53003"/>
    <w:rsid w:val="00D531D1"/>
    <w:rsid w:val="00D531ED"/>
    <w:rsid w:val="00D533B0"/>
    <w:rsid w:val="00D533FA"/>
    <w:rsid w:val="00D53721"/>
    <w:rsid w:val="00D537A1"/>
    <w:rsid w:val="00D5397C"/>
    <w:rsid w:val="00D53A77"/>
    <w:rsid w:val="00D53B4B"/>
    <w:rsid w:val="00D53ED5"/>
    <w:rsid w:val="00D540D4"/>
    <w:rsid w:val="00D543D2"/>
    <w:rsid w:val="00D54499"/>
    <w:rsid w:val="00D5456A"/>
    <w:rsid w:val="00D54673"/>
    <w:rsid w:val="00D54924"/>
    <w:rsid w:val="00D54E93"/>
    <w:rsid w:val="00D550E8"/>
    <w:rsid w:val="00D55284"/>
    <w:rsid w:val="00D552B8"/>
    <w:rsid w:val="00D55438"/>
    <w:rsid w:val="00D55578"/>
    <w:rsid w:val="00D556DE"/>
    <w:rsid w:val="00D557CA"/>
    <w:rsid w:val="00D559C8"/>
    <w:rsid w:val="00D55A7B"/>
    <w:rsid w:val="00D55B84"/>
    <w:rsid w:val="00D55EB3"/>
    <w:rsid w:val="00D561BC"/>
    <w:rsid w:val="00D561CC"/>
    <w:rsid w:val="00D561EB"/>
    <w:rsid w:val="00D562DE"/>
    <w:rsid w:val="00D56486"/>
    <w:rsid w:val="00D56511"/>
    <w:rsid w:val="00D565B3"/>
    <w:rsid w:val="00D565E3"/>
    <w:rsid w:val="00D56995"/>
    <w:rsid w:val="00D56C58"/>
    <w:rsid w:val="00D56EC7"/>
    <w:rsid w:val="00D56F2B"/>
    <w:rsid w:val="00D56F61"/>
    <w:rsid w:val="00D571C5"/>
    <w:rsid w:val="00D571D2"/>
    <w:rsid w:val="00D576F7"/>
    <w:rsid w:val="00D5796F"/>
    <w:rsid w:val="00D57BE2"/>
    <w:rsid w:val="00D57C59"/>
    <w:rsid w:val="00D57C70"/>
    <w:rsid w:val="00D57C81"/>
    <w:rsid w:val="00D57EFE"/>
    <w:rsid w:val="00D6040D"/>
    <w:rsid w:val="00D60430"/>
    <w:rsid w:val="00D605BF"/>
    <w:rsid w:val="00D607A6"/>
    <w:rsid w:val="00D608EA"/>
    <w:rsid w:val="00D60BB7"/>
    <w:rsid w:val="00D60F14"/>
    <w:rsid w:val="00D610D4"/>
    <w:rsid w:val="00D6168B"/>
    <w:rsid w:val="00D61700"/>
    <w:rsid w:val="00D61882"/>
    <w:rsid w:val="00D61A69"/>
    <w:rsid w:val="00D61AC9"/>
    <w:rsid w:val="00D61B99"/>
    <w:rsid w:val="00D61C50"/>
    <w:rsid w:val="00D61EF8"/>
    <w:rsid w:val="00D61F0C"/>
    <w:rsid w:val="00D61FB2"/>
    <w:rsid w:val="00D6218B"/>
    <w:rsid w:val="00D6248B"/>
    <w:rsid w:val="00D62861"/>
    <w:rsid w:val="00D62C39"/>
    <w:rsid w:val="00D62EBB"/>
    <w:rsid w:val="00D631AC"/>
    <w:rsid w:val="00D63211"/>
    <w:rsid w:val="00D6321D"/>
    <w:rsid w:val="00D6324E"/>
    <w:rsid w:val="00D637D2"/>
    <w:rsid w:val="00D63904"/>
    <w:rsid w:val="00D63A43"/>
    <w:rsid w:val="00D63A63"/>
    <w:rsid w:val="00D63BEC"/>
    <w:rsid w:val="00D63C10"/>
    <w:rsid w:val="00D63C54"/>
    <w:rsid w:val="00D63DFD"/>
    <w:rsid w:val="00D63E63"/>
    <w:rsid w:val="00D64209"/>
    <w:rsid w:val="00D64576"/>
    <w:rsid w:val="00D64683"/>
    <w:rsid w:val="00D64B80"/>
    <w:rsid w:val="00D64CB6"/>
    <w:rsid w:val="00D6507E"/>
    <w:rsid w:val="00D6516D"/>
    <w:rsid w:val="00D651E6"/>
    <w:rsid w:val="00D65350"/>
    <w:rsid w:val="00D654DB"/>
    <w:rsid w:val="00D65514"/>
    <w:rsid w:val="00D656C0"/>
    <w:rsid w:val="00D65779"/>
    <w:rsid w:val="00D658A6"/>
    <w:rsid w:val="00D658E9"/>
    <w:rsid w:val="00D658F3"/>
    <w:rsid w:val="00D659D6"/>
    <w:rsid w:val="00D65A5C"/>
    <w:rsid w:val="00D65E69"/>
    <w:rsid w:val="00D65F39"/>
    <w:rsid w:val="00D661E7"/>
    <w:rsid w:val="00D66322"/>
    <w:rsid w:val="00D6658F"/>
    <w:rsid w:val="00D66694"/>
    <w:rsid w:val="00D667BF"/>
    <w:rsid w:val="00D667DA"/>
    <w:rsid w:val="00D66886"/>
    <w:rsid w:val="00D66AC4"/>
    <w:rsid w:val="00D66D20"/>
    <w:rsid w:val="00D670CB"/>
    <w:rsid w:val="00D6718E"/>
    <w:rsid w:val="00D671A3"/>
    <w:rsid w:val="00D6735C"/>
    <w:rsid w:val="00D67435"/>
    <w:rsid w:val="00D6746B"/>
    <w:rsid w:val="00D6764A"/>
    <w:rsid w:val="00D67729"/>
    <w:rsid w:val="00D6798D"/>
    <w:rsid w:val="00D679FE"/>
    <w:rsid w:val="00D67E04"/>
    <w:rsid w:val="00D67FA0"/>
    <w:rsid w:val="00D701C8"/>
    <w:rsid w:val="00D70311"/>
    <w:rsid w:val="00D7070A"/>
    <w:rsid w:val="00D70809"/>
    <w:rsid w:val="00D70B51"/>
    <w:rsid w:val="00D70BF0"/>
    <w:rsid w:val="00D70C61"/>
    <w:rsid w:val="00D70CAA"/>
    <w:rsid w:val="00D70CFB"/>
    <w:rsid w:val="00D70DFF"/>
    <w:rsid w:val="00D70FE1"/>
    <w:rsid w:val="00D71149"/>
    <w:rsid w:val="00D712DE"/>
    <w:rsid w:val="00D7130C"/>
    <w:rsid w:val="00D713B0"/>
    <w:rsid w:val="00D71572"/>
    <w:rsid w:val="00D7188A"/>
    <w:rsid w:val="00D718B9"/>
    <w:rsid w:val="00D71AF3"/>
    <w:rsid w:val="00D71D2D"/>
    <w:rsid w:val="00D71FEC"/>
    <w:rsid w:val="00D72140"/>
    <w:rsid w:val="00D721D5"/>
    <w:rsid w:val="00D72211"/>
    <w:rsid w:val="00D7227F"/>
    <w:rsid w:val="00D7249F"/>
    <w:rsid w:val="00D72595"/>
    <w:rsid w:val="00D726AA"/>
    <w:rsid w:val="00D72A3E"/>
    <w:rsid w:val="00D72CEE"/>
    <w:rsid w:val="00D72E7A"/>
    <w:rsid w:val="00D72EC9"/>
    <w:rsid w:val="00D72ECB"/>
    <w:rsid w:val="00D73533"/>
    <w:rsid w:val="00D73751"/>
    <w:rsid w:val="00D739B9"/>
    <w:rsid w:val="00D73A67"/>
    <w:rsid w:val="00D73AA2"/>
    <w:rsid w:val="00D73AEF"/>
    <w:rsid w:val="00D73AF3"/>
    <w:rsid w:val="00D73B3E"/>
    <w:rsid w:val="00D73D21"/>
    <w:rsid w:val="00D73DB0"/>
    <w:rsid w:val="00D74039"/>
    <w:rsid w:val="00D740DD"/>
    <w:rsid w:val="00D743AE"/>
    <w:rsid w:val="00D74426"/>
    <w:rsid w:val="00D74773"/>
    <w:rsid w:val="00D748C5"/>
    <w:rsid w:val="00D74C6E"/>
    <w:rsid w:val="00D74D9D"/>
    <w:rsid w:val="00D74E89"/>
    <w:rsid w:val="00D74EFE"/>
    <w:rsid w:val="00D74F06"/>
    <w:rsid w:val="00D75215"/>
    <w:rsid w:val="00D7565A"/>
    <w:rsid w:val="00D7565D"/>
    <w:rsid w:val="00D756B4"/>
    <w:rsid w:val="00D756F0"/>
    <w:rsid w:val="00D756FE"/>
    <w:rsid w:val="00D757C5"/>
    <w:rsid w:val="00D7597A"/>
    <w:rsid w:val="00D75BB8"/>
    <w:rsid w:val="00D761DD"/>
    <w:rsid w:val="00D76415"/>
    <w:rsid w:val="00D765C3"/>
    <w:rsid w:val="00D76894"/>
    <w:rsid w:val="00D768BF"/>
    <w:rsid w:val="00D76959"/>
    <w:rsid w:val="00D76AB1"/>
    <w:rsid w:val="00D76B29"/>
    <w:rsid w:val="00D76B36"/>
    <w:rsid w:val="00D76C65"/>
    <w:rsid w:val="00D77201"/>
    <w:rsid w:val="00D778CF"/>
    <w:rsid w:val="00D77B8A"/>
    <w:rsid w:val="00D77C23"/>
    <w:rsid w:val="00D77CD0"/>
    <w:rsid w:val="00D77D4D"/>
    <w:rsid w:val="00D77E03"/>
    <w:rsid w:val="00D77EF4"/>
    <w:rsid w:val="00D80039"/>
    <w:rsid w:val="00D802D4"/>
    <w:rsid w:val="00D80397"/>
    <w:rsid w:val="00D80799"/>
    <w:rsid w:val="00D8096B"/>
    <w:rsid w:val="00D80A63"/>
    <w:rsid w:val="00D80AF7"/>
    <w:rsid w:val="00D80B3B"/>
    <w:rsid w:val="00D81041"/>
    <w:rsid w:val="00D81157"/>
    <w:rsid w:val="00D812C2"/>
    <w:rsid w:val="00D8169F"/>
    <w:rsid w:val="00D818D0"/>
    <w:rsid w:val="00D81B2D"/>
    <w:rsid w:val="00D81C6E"/>
    <w:rsid w:val="00D81CEB"/>
    <w:rsid w:val="00D81EEE"/>
    <w:rsid w:val="00D822C7"/>
    <w:rsid w:val="00D8281C"/>
    <w:rsid w:val="00D82829"/>
    <w:rsid w:val="00D82996"/>
    <w:rsid w:val="00D829AC"/>
    <w:rsid w:val="00D82A43"/>
    <w:rsid w:val="00D82AE5"/>
    <w:rsid w:val="00D82C1C"/>
    <w:rsid w:val="00D82D2D"/>
    <w:rsid w:val="00D82DC6"/>
    <w:rsid w:val="00D82ECB"/>
    <w:rsid w:val="00D82F8A"/>
    <w:rsid w:val="00D830D5"/>
    <w:rsid w:val="00D8336B"/>
    <w:rsid w:val="00D839F0"/>
    <w:rsid w:val="00D839F3"/>
    <w:rsid w:val="00D83A30"/>
    <w:rsid w:val="00D83B69"/>
    <w:rsid w:val="00D84022"/>
    <w:rsid w:val="00D84038"/>
    <w:rsid w:val="00D840D1"/>
    <w:rsid w:val="00D841D0"/>
    <w:rsid w:val="00D8421C"/>
    <w:rsid w:val="00D8456C"/>
    <w:rsid w:val="00D84BE8"/>
    <w:rsid w:val="00D84C6C"/>
    <w:rsid w:val="00D85010"/>
    <w:rsid w:val="00D8517D"/>
    <w:rsid w:val="00D852AD"/>
    <w:rsid w:val="00D85317"/>
    <w:rsid w:val="00D85325"/>
    <w:rsid w:val="00D85473"/>
    <w:rsid w:val="00D854E3"/>
    <w:rsid w:val="00D85507"/>
    <w:rsid w:val="00D8552C"/>
    <w:rsid w:val="00D85776"/>
    <w:rsid w:val="00D8583B"/>
    <w:rsid w:val="00D859A4"/>
    <w:rsid w:val="00D85AA8"/>
    <w:rsid w:val="00D85B0E"/>
    <w:rsid w:val="00D85EA3"/>
    <w:rsid w:val="00D85ED4"/>
    <w:rsid w:val="00D85F6B"/>
    <w:rsid w:val="00D86764"/>
    <w:rsid w:val="00D86818"/>
    <w:rsid w:val="00D86A69"/>
    <w:rsid w:val="00D86FD1"/>
    <w:rsid w:val="00D86FE7"/>
    <w:rsid w:val="00D873D2"/>
    <w:rsid w:val="00D87519"/>
    <w:rsid w:val="00D87599"/>
    <w:rsid w:val="00D8771A"/>
    <w:rsid w:val="00D87A9E"/>
    <w:rsid w:val="00D87B43"/>
    <w:rsid w:val="00D9002F"/>
    <w:rsid w:val="00D90094"/>
    <w:rsid w:val="00D901D4"/>
    <w:rsid w:val="00D902AF"/>
    <w:rsid w:val="00D90322"/>
    <w:rsid w:val="00D90B21"/>
    <w:rsid w:val="00D90CE4"/>
    <w:rsid w:val="00D90CF2"/>
    <w:rsid w:val="00D90D80"/>
    <w:rsid w:val="00D90F36"/>
    <w:rsid w:val="00D9101F"/>
    <w:rsid w:val="00D91047"/>
    <w:rsid w:val="00D911AA"/>
    <w:rsid w:val="00D9123A"/>
    <w:rsid w:val="00D91476"/>
    <w:rsid w:val="00D914AD"/>
    <w:rsid w:val="00D91535"/>
    <w:rsid w:val="00D917FA"/>
    <w:rsid w:val="00D91AAC"/>
    <w:rsid w:val="00D91B78"/>
    <w:rsid w:val="00D92089"/>
    <w:rsid w:val="00D921B3"/>
    <w:rsid w:val="00D922E8"/>
    <w:rsid w:val="00D92328"/>
    <w:rsid w:val="00D92384"/>
    <w:rsid w:val="00D92A0E"/>
    <w:rsid w:val="00D92A76"/>
    <w:rsid w:val="00D92C3C"/>
    <w:rsid w:val="00D92CBB"/>
    <w:rsid w:val="00D9302D"/>
    <w:rsid w:val="00D93073"/>
    <w:rsid w:val="00D93189"/>
    <w:rsid w:val="00D93456"/>
    <w:rsid w:val="00D934B9"/>
    <w:rsid w:val="00D935E4"/>
    <w:rsid w:val="00D9364F"/>
    <w:rsid w:val="00D937D6"/>
    <w:rsid w:val="00D93AF7"/>
    <w:rsid w:val="00D93D0E"/>
    <w:rsid w:val="00D940C5"/>
    <w:rsid w:val="00D94100"/>
    <w:rsid w:val="00D9411B"/>
    <w:rsid w:val="00D945C6"/>
    <w:rsid w:val="00D947F2"/>
    <w:rsid w:val="00D949F8"/>
    <w:rsid w:val="00D94BCC"/>
    <w:rsid w:val="00D94C52"/>
    <w:rsid w:val="00D94CF2"/>
    <w:rsid w:val="00D94D50"/>
    <w:rsid w:val="00D94DC8"/>
    <w:rsid w:val="00D951B7"/>
    <w:rsid w:val="00D954C4"/>
    <w:rsid w:val="00D95932"/>
    <w:rsid w:val="00D95A27"/>
    <w:rsid w:val="00D95B36"/>
    <w:rsid w:val="00D95C78"/>
    <w:rsid w:val="00D95D82"/>
    <w:rsid w:val="00D95E11"/>
    <w:rsid w:val="00D96319"/>
    <w:rsid w:val="00D9633A"/>
    <w:rsid w:val="00D963D8"/>
    <w:rsid w:val="00D96909"/>
    <w:rsid w:val="00D96B42"/>
    <w:rsid w:val="00D96C4C"/>
    <w:rsid w:val="00D96E03"/>
    <w:rsid w:val="00D96EC4"/>
    <w:rsid w:val="00D96FDC"/>
    <w:rsid w:val="00D97060"/>
    <w:rsid w:val="00D97132"/>
    <w:rsid w:val="00D9732E"/>
    <w:rsid w:val="00D97370"/>
    <w:rsid w:val="00D97400"/>
    <w:rsid w:val="00D9741C"/>
    <w:rsid w:val="00D974D0"/>
    <w:rsid w:val="00D97599"/>
    <w:rsid w:val="00D975F6"/>
    <w:rsid w:val="00D97B16"/>
    <w:rsid w:val="00D97B79"/>
    <w:rsid w:val="00D97D47"/>
    <w:rsid w:val="00DA01FB"/>
    <w:rsid w:val="00DA0506"/>
    <w:rsid w:val="00DA0643"/>
    <w:rsid w:val="00DA073F"/>
    <w:rsid w:val="00DA0769"/>
    <w:rsid w:val="00DA090B"/>
    <w:rsid w:val="00DA0940"/>
    <w:rsid w:val="00DA0B62"/>
    <w:rsid w:val="00DA0C66"/>
    <w:rsid w:val="00DA0CD2"/>
    <w:rsid w:val="00DA0CE8"/>
    <w:rsid w:val="00DA0CF9"/>
    <w:rsid w:val="00DA0DDB"/>
    <w:rsid w:val="00DA0EC3"/>
    <w:rsid w:val="00DA0FE8"/>
    <w:rsid w:val="00DA1432"/>
    <w:rsid w:val="00DA1712"/>
    <w:rsid w:val="00DA1886"/>
    <w:rsid w:val="00DA18DC"/>
    <w:rsid w:val="00DA196C"/>
    <w:rsid w:val="00DA1C88"/>
    <w:rsid w:val="00DA1F3E"/>
    <w:rsid w:val="00DA1FE0"/>
    <w:rsid w:val="00DA263C"/>
    <w:rsid w:val="00DA2644"/>
    <w:rsid w:val="00DA28F0"/>
    <w:rsid w:val="00DA313C"/>
    <w:rsid w:val="00DA331C"/>
    <w:rsid w:val="00DA3534"/>
    <w:rsid w:val="00DA3837"/>
    <w:rsid w:val="00DA3A21"/>
    <w:rsid w:val="00DA3AC5"/>
    <w:rsid w:val="00DA3D1E"/>
    <w:rsid w:val="00DA4178"/>
    <w:rsid w:val="00DA418E"/>
    <w:rsid w:val="00DA4280"/>
    <w:rsid w:val="00DA438D"/>
    <w:rsid w:val="00DA4580"/>
    <w:rsid w:val="00DA4897"/>
    <w:rsid w:val="00DA499C"/>
    <w:rsid w:val="00DA4AA5"/>
    <w:rsid w:val="00DA4D47"/>
    <w:rsid w:val="00DA4D77"/>
    <w:rsid w:val="00DA4DCC"/>
    <w:rsid w:val="00DA4E8B"/>
    <w:rsid w:val="00DA5004"/>
    <w:rsid w:val="00DA52F5"/>
    <w:rsid w:val="00DA5411"/>
    <w:rsid w:val="00DA5512"/>
    <w:rsid w:val="00DA558C"/>
    <w:rsid w:val="00DA55F4"/>
    <w:rsid w:val="00DA56B4"/>
    <w:rsid w:val="00DA56C8"/>
    <w:rsid w:val="00DA595E"/>
    <w:rsid w:val="00DA5A2C"/>
    <w:rsid w:val="00DA5AEE"/>
    <w:rsid w:val="00DA5C72"/>
    <w:rsid w:val="00DA5E3D"/>
    <w:rsid w:val="00DA5E6B"/>
    <w:rsid w:val="00DA621C"/>
    <w:rsid w:val="00DA6729"/>
    <w:rsid w:val="00DA69C7"/>
    <w:rsid w:val="00DA6B77"/>
    <w:rsid w:val="00DA6DA2"/>
    <w:rsid w:val="00DA71B8"/>
    <w:rsid w:val="00DA7369"/>
    <w:rsid w:val="00DA7764"/>
    <w:rsid w:val="00DA7C4F"/>
    <w:rsid w:val="00DA7E5D"/>
    <w:rsid w:val="00DA7EBE"/>
    <w:rsid w:val="00DB02E0"/>
    <w:rsid w:val="00DB03A0"/>
    <w:rsid w:val="00DB03AB"/>
    <w:rsid w:val="00DB05B7"/>
    <w:rsid w:val="00DB0724"/>
    <w:rsid w:val="00DB0747"/>
    <w:rsid w:val="00DB0992"/>
    <w:rsid w:val="00DB09E4"/>
    <w:rsid w:val="00DB0B70"/>
    <w:rsid w:val="00DB0C40"/>
    <w:rsid w:val="00DB0E41"/>
    <w:rsid w:val="00DB0E96"/>
    <w:rsid w:val="00DB0F08"/>
    <w:rsid w:val="00DB0F61"/>
    <w:rsid w:val="00DB101E"/>
    <w:rsid w:val="00DB113E"/>
    <w:rsid w:val="00DB1262"/>
    <w:rsid w:val="00DB1434"/>
    <w:rsid w:val="00DB1540"/>
    <w:rsid w:val="00DB1835"/>
    <w:rsid w:val="00DB18C9"/>
    <w:rsid w:val="00DB1A8D"/>
    <w:rsid w:val="00DB1B52"/>
    <w:rsid w:val="00DB1CEC"/>
    <w:rsid w:val="00DB1D4A"/>
    <w:rsid w:val="00DB1E8C"/>
    <w:rsid w:val="00DB1EE6"/>
    <w:rsid w:val="00DB1EFD"/>
    <w:rsid w:val="00DB209A"/>
    <w:rsid w:val="00DB2221"/>
    <w:rsid w:val="00DB2260"/>
    <w:rsid w:val="00DB237A"/>
    <w:rsid w:val="00DB2436"/>
    <w:rsid w:val="00DB2511"/>
    <w:rsid w:val="00DB27E2"/>
    <w:rsid w:val="00DB2A39"/>
    <w:rsid w:val="00DB2A9A"/>
    <w:rsid w:val="00DB2B08"/>
    <w:rsid w:val="00DB2B7D"/>
    <w:rsid w:val="00DB2CBA"/>
    <w:rsid w:val="00DB2DDF"/>
    <w:rsid w:val="00DB2E61"/>
    <w:rsid w:val="00DB2F0E"/>
    <w:rsid w:val="00DB31EC"/>
    <w:rsid w:val="00DB33B8"/>
    <w:rsid w:val="00DB33FE"/>
    <w:rsid w:val="00DB35E5"/>
    <w:rsid w:val="00DB3884"/>
    <w:rsid w:val="00DB38DD"/>
    <w:rsid w:val="00DB395E"/>
    <w:rsid w:val="00DB3A19"/>
    <w:rsid w:val="00DB3BA5"/>
    <w:rsid w:val="00DB3BED"/>
    <w:rsid w:val="00DB3C12"/>
    <w:rsid w:val="00DB3C8A"/>
    <w:rsid w:val="00DB3D51"/>
    <w:rsid w:val="00DB3E46"/>
    <w:rsid w:val="00DB3E71"/>
    <w:rsid w:val="00DB3E74"/>
    <w:rsid w:val="00DB4055"/>
    <w:rsid w:val="00DB40F0"/>
    <w:rsid w:val="00DB430D"/>
    <w:rsid w:val="00DB4757"/>
    <w:rsid w:val="00DB4909"/>
    <w:rsid w:val="00DB4A62"/>
    <w:rsid w:val="00DB4B38"/>
    <w:rsid w:val="00DB4BAF"/>
    <w:rsid w:val="00DB4DCC"/>
    <w:rsid w:val="00DB4E29"/>
    <w:rsid w:val="00DB5421"/>
    <w:rsid w:val="00DB5424"/>
    <w:rsid w:val="00DB5622"/>
    <w:rsid w:val="00DB5772"/>
    <w:rsid w:val="00DB577A"/>
    <w:rsid w:val="00DB5FD9"/>
    <w:rsid w:val="00DB660A"/>
    <w:rsid w:val="00DB6959"/>
    <w:rsid w:val="00DB6A21"/>
    <w:rsid w:val="00DB6A2D"/>
    <w:rsid w:val="00DB6CA9"/>
    <w:rsid w:val="00DB6F6B"/>
    <w:rsid w:val="00DB6FA6"/>
    <w:rsid w:val="00DB6FD6"/>
    <w:rsid w:val="00DB7683"/>
    <w:rsid w:val="00DB7D3E"/>
    <w:rsid w:val="00DB7E6B"/>
    <w:rsid w:val="00DC0713"/>
    <w:rsid w:val="00DC098E"/>
    <w:rsid w:val="00DC0D63"/>
    <w:rsid w:val="00DC0E09"/>
    <w:rsid w:val="00DC1113"/>
    <w:rsid w:val="00DC1130"/>
    <w:rsid w:val="00DC1495"/>
    <w:rsid w:val="00DC15A5"/>
    <w:rsid w:val="00DC15B8"/>
    <w:rsid w:val="00DC1C49"/>
    <w:rsid w:val="00DC1C6A"/>
    <w:rsid w:val="00DC1C97"/>
    <w:rsid w:val="00DC1EA1"/>
    <w:rsid w:val="00DC21C3"/>
    <w:rsid w:val="00DC22A0"/>
    <w:rsid w:val="00DC23A8"/>
    <w:rsid w:val="00DC25FD"/>
    <w:rsid w:val="00DC2631"/>
    <w:rsid w:val="00DC2748"/>
    <w:rsid w:val="00DC2850"/>
    <w:rsid w:val="00DC29D9"/>
    <w:rsid w:val="00DC2A0C"/>
    <w:rsid w:val="00DC2A95"/>
    <w:rsid w:val="00DC2BEC"/>
    <w:rsid w:val="00DC2D12"/>
    <w:rsid w:val="00DC2DCA"/>
    <w:rsid w:val="00DC2DFF"/>
    <w:rsid w:val="00DC2E19"/>
    <w:rsid w:val="00DC2E44"/>
    <w:rsid w:val="00DC2EA5"/>
    <w:rsid w:val="00DC2ED5"/>
    <w:rsid w:val="00DC2F9A"/>
    <w:rsid w:val="00DC3109"/>
    <w:rsid w:val="00DC31A5"/>
    <w:rsid w:val="00DC3242"/>
    <w:rsid w:val="00DC3259"/>
    <w:rsid w:val="00DC3293"/>
    <w:rsid w:val="00DC33D2"/>
    <w:rsid w:val="00DC34E1"/>
    <w:rsid w:val="00DC3522"/>
    <w:rsid w:val="00DC356B"/>
    <w:rsid w:val="00DC3579"/>
    <w:rsid w:val="00DC39E2"/>
    <w:rsid w:val="00DC3A59"/>
    <w:rsid w:val="00DC3A62"/>
    <w:rsid w:val="00DC3AFD"/>
    <w:rsid w:val="00DC44B7"/>
    <w:rsid w:val="00DC44E9"/>
    <w:rsid w:val="00DC450C"/>
    <w:rsid w:val="00DC4548"/>
    <w:rsid w:val="00DC460F"/>
    <w:rsid w:val="00DC4626"/>
    <w:rsid w:val="00DC4887"/>
    <w:rsid w:val="00DC4913"/>
    <w:rsid w:val="00DC498E"/>
    <w:rsid w:val="00DC49AB"/>
    <w:rsid w:val="00DC49B2"/>
    <w:rsid w:val="00DC4A60"/>
    <w:rsid w:val="00DC4AFC"/>
    <w:rsid w:val="00DC4B59"/>
    <w:rsid w:val="00DC4C2C"/>
    <w:rsid w:val="00DC4DDC"/>
    <w:rsid w:val="00DC5019"/>
    <w:rsid w:val="00DC51BF"/>
    <w:rsid w:val="00DC52FE"/>
    <w:rsid w:val="00DC5369"/>
    <w:rsid w:val="00DC54D8"/>
    <w:rsid w:val="00DC551B"/>
    <w:rsid w:val="00DC55A9"/>
    <w:rsid w:val="00DC5691"/>
    <w:rsid w:val="00DC5891"/>
    <w:rsid w:val="00DC58D5"/>
    <w:rsid w:val="00DC59C8"/>
    <w:rsid w:val="00DC5AE9"/>
    <w:rsid w:val="00DC5D40"/>
    <w:rsid w:val="00DC5F2F"/>
    <w:rsid w:val="00DC5FD9"/>
    <w:rsid w:val="00DC610D"/>
    <w:rsid w:val="00DC626C"/>
    <w:rsid w:val="00DC65BB"/>
    <w:rsid w:val="00DC672A"/>
    <w:rsid w:val="00DC67EF"/>
    <w:rsid w:val="00DC6B01"/>
    <w:rsid w:val="00DC6BA8"/>
    <w:rsid w:val="00DC6C85"/>
    <w:rsid w:val="00DC6E0D"/>
    <w:rsid w:val="00DC70A7"/>
    <w:rsid w:val="00DC7111"/>
    <w:rsid w:val="00DC72CD"/>
    <w:rsid w:val="00DC7B0F"/>
    <w:rsid w:val="00DC7B11"/>
    <w:rsid w:val="00DC7D61"/>
    <w:rsid w:val="00DD003F"/>
    <w:rsid w:val="00DD033D"/>
    <w:rsid w:val="00DD048D"/>
    <w:rsid w:val="00DD04C5"/>
    <w:rsid w:val="00DD05A6"/>
    <w:rsid w:val="00DD05E2"/>
    <w:rsid w:val="00DD06C6"/>
    <w:rsid w:val="00DD06DC"/>
    <w:rsid w:val="00DD0750"/>
    <w:rsid w:val="00DD09E0"/>
    <w:rsid w:val="00DD0CE7"/>
    <w:rsid w:val="00DD0F55"/>
    <w:rsid w:val="00DD1016"/>
    <w:rsid w:val="00DD1204"/>
    <w:rsid w:val="00DD1339"/>
    <w:rsid w:val="00DD13A6"/>
    <w:rsid w:val="00DD159E"/>
    <w:rsid w:val="00DD15B6"/>
    <w:rsid w:val="00DD16DA"/>
    <w:rsid w:val="00DD184D"/>
    <w:rsid w:val="00DD19A5"/>
    <w:rsid w:val="00DD1BEF"/>
    <w:rsid w:val="00DD1D1E"/>
    <w:rsid w:val="00DD1E57"/>
    <w:rsid w:val="00DD1F2E"/>
    <w:rsid w:val="00DD1F5A"/>
    <w:rsid w:val="00DD2114"/>
    <w:rsid w:val="00DD24E2"/>
    <w:rsid w:val="00DD27A6"/>
    <w:rsid w:val="00DD287D"/>
    <w:rsid w:val="00DD28DD"/>
    <w:rsid w:val="00DD2CD1"/>
    <w:rsid w:val="00DD2D7A"/>
    <w:rsid w:val="00DD2FA7"/>
    <w:rsid w:val="00DD315B"/>
    <w:rsid w:val="00DD31C6"/>
    <w:rsid w:val="00DD32D4"/>
    <w:rsid w:val="00DD32F1"/>
    <w:rsid w:val="00DD3300"/>
    <w:rsid w:val="00DD3C99"/>
    <w:rsid w:val="00DD3D22"/>
    <w:rsid w:val="00DD3EA4"/>
    <w:rsid w:val="00DD3F25"/>
    <w:rsid w:val="00DD42AB"/>
    <w:rsid w:val="00DD43C3"/>
    <w:rsid w:val="00DD45CB"/>
    <w:rsid w:val="00DD460D"/>
    <w:rsid w:val="00DD478C"/>
    <w:rsid w:val="00DD4892"/>
    <w:rsid w:val="00DD4B6F"/>
    <w:rsid w:val="00DD4DBD"/>
    <w:rsid w:val="00DD5019"/>
    <w:rsid w:val="00DD5214"/>
    <w:rsid w:val="00DD5369"/>
    <w:rsid w:val="00DD571B"/>
    <w:rsid w:val="00DD59B7"/>
    <w:rsid w:val="00DD5ADC"/>
    <w:rsid w:val="00DD5B98"/>
    <w:rsid w:val="00DD5BDC"/>
    <w:rsid w:val="00DD5D18"/>
    <w:rsid w:val="00DD5DF7"/>
    <w:rsid w:val="00DD5F13"/>
    <w:rsid w:val="00DD604F"/>
    <w:rsid w:val="00DD6313"/>
    <w:rsid w:val="00DD6389"/>
    <w:rsid w:val="00DD64C0"/>
    <w:rsid w:val="00DD66BC"/>
    <w:rsid w:val="00DD6732"/>
    <w:rsid w:val="00DD68B9"/>
    <w:rsid w:val="00DD6918"/>
    <w:rsid w:val="00DD6BDC"/>
    <w:rsid w:val="00DD6BFE"/>
    <w:rsid w:val="00DD6DA8"/>
    <w:rsid w:val="00DD6DD5"/>
    <w:rsid w:val="00DD731E"/>
    <w:rsid w:val="00DD7607"/>
    <w:rsid w:val="00DD7668"/>
    <w:rsid w:val="00DD773E"/>
    <w:rsid w:val="00DD7847"/>
    <w:rsid w:val="00DD790F"/>
    <w:rsid w:val="00DD79A7"/>
    <w:rsid w:val="00DD7B6E"/>
    <w:rsid w:val="00DD7E87"/>
    <w:rsid w:val="00DD7EFA"/>
    <w:rsid w:val="00DE00E9"/>
    <w:rsid w:val="00DE038B"/>
    <w:rsid w:val="00DE05CB"/>
    <w:rsid w:val="00DE075D"/>
    <w:rsid w:val="00DE076E"/>
    <w:rsid w:val="00DE0D3B"/>
    <w:rsid w:val="00DE0DCD"/>
    <w:rsid w:val="00DE11B6"/>
    <w:rsid w:val="00DE139C"/>
    <w:rsid w:val="00DE13B3"/>
    <w:rsid w:val="00DE1440"/>
    <w:rsid w:val="00DE15AE"/>
    <w:rsid w:val="00DE18B9"/>
    <w:rsid w:val="00DE18C8"/>
    <w:rsid w:val="00DE196C"/>
    <w:rsid w:val="00DE1A2D"/>
    <w:rsid w:val="00DE1A53"/>
    <w:rsid w:val="00DE1ADB"/>
    <w:rsid w:val="00DE1B26"/>
    <w:rsid w:val="00DE1E20"/>
    <w:rsid w:val="00DE1E4C"/>
    <w:rsid w:val="00DE219B"/>
    <w:rsid w:val="00DE2207"/>
    <w:rsid w:val="00DE228A"/>
    <w:rsid w:val="00DE22EB"/>
    <w:rsid w:val="00DE2539"/>
    <w:rsid w:val="00DE297D"/>
    <w:rsid w:val="00DE2AF1"/>
    <w:rsid w:val="00DE2CB1"/>
    <w:rsid w:val="00DE2D26"/>
    <w:rsid w:val="00DE2E5D"/>
    <w:rsid w:val="00DE3013"/>
    <w:rsid w:val="00DE30DA"/>
    <w:rsid w:val="00DE3173"/>
    <w:rsid w:val="00DE321D"/>
    <w:rsid w:val="00DE3292"/>
    <w:rsid w:val="00DE3728"/>
    <w:rsid w:val="00DE39E4"/>
    <w:rsid w:val="00DE3A7D"/>
    <w:rsid w:val="00DE3BAB"/>
    <w:rsid w:val="00DE3BFA"/>
    <w:rsid w:val="00DE3DF1"/>
    <w:rsid w:val="00DE3E0A"/>
    <w:rsid w:val="00DE3F96"/>
    <w:rsid w:val="00DE4287"/>
    <w:rsid w:val="00DE437B"/>
    <w:rsid w:val="00DE4382"/>
    <w:rsid w:val="00DE4597"/>
    <w:rsid w:val="00DE4790"/>
    <w:rsid w:val="00DE47BC"/>
    <w:rsid w:val="00DE4849"/>
    <w:rsid w:val="00DE4957"/>
    <w:rsid w:val="00DE4B01"/>
    <w:rsid w:val="00DE4BE5"/>
    <w:rsid w:val="00DE4D58"/>
    <w:rsid w:val="00DE4DD3"/>
    <w:rsid w:val="00DE4E10"/>
    <w:rsid w:val="00DE50F7"/>
    <w:rsid w:val="00DE51B4"/>
    <w:rsid w:val="00DE5353"/>
    <w:rsid w:val="00DE540C"/>
    <w:rsid w:val="00DE54A0"/>
    <w:rsid w:val="00DE54C7"/>
    <w:rsid w:val="00DE5808"/>
    <w:rsid w:val="00DE5893"/>
    <w:rsid w:val="00DE5BFD"/>
    <w:rsid w:val="00DE5D44"/>
    <w:rsid w:val="00DE5F6B"/>
    <w:rsid w:val="00DE6055"/>
    <w:rsid w:val="00DE60CD"/>
    <w:rsid w:val="00DE6302"/>
    <w:rsid w:val="00DE63B2"/>
    <w:rsid w:val="00DE63E6"/>
    <w:rsid w:val="00DE6430"/>
    <w:rsid w:val="00DE6433"/>
    <w:rsid w:val="00DE64A4"/>
    <w:rsid w:val="00DE6605"/>
    <w:rsid w:val="00DE67D3"/>
    <w:rsid w:val="00DE68B8"/>
    <w:rsid w:val="00DE6998"/>
    <w:rsid w:val="00DE6CFA"/>
    <w:rsid w:val="00DE6D1F"/>
    <w:rsid w:val="00DE7139"/>
    <w:rsid w:val="00DE715A"/>
    <w:rsid w:val="00DE7228"/>
    <w:rsid w:val="00DE72FD"/>
    <w:rsid w:val="00DE74AE"/>
    <w:rsid w:val="00DE7501"/>
    <w:rsid w:val="00DE77EC"/>
    <w:rsid w:val="00DE7A19"/>
    <w:rsid w:val="00DE7BE2"/>
    <w:rsid w:val="00DE7CBD"/>
    <w:rsid w:val="00DE7EAB"/>
    <w:rsid w:val="00DF00B8"/>
    <w:rsid w:val="00DF013C"/>
    <w:rsid w:val="00DF0522"/>
    <w:rsid w:val="00DF0724"/>
    <w:rsid w:val="00DF0762"/>
    <w:rsid w:val="00DF076E"/>
    <w:rsid w:val="00DF0781"/>
    <w:rsid w:val="00DF084C"/>
    <w:rsid w:val="00DF08FE"/>
    <w:rsid w:val="00DF09C2"/>
    <w:rsid w:val="00DF0CFB"/>
    <w:rsid w:val="00DF0E52"/>
    <w:rsid w:val="00DF0F04"/>
    <w:rsid w:val="00DF1401"/>
    <w:rsid w:val="00DF1670"/>
    <w:rsid w:val="00DF1832"/>
    <w:rsid w:val="00DF1BD9"/>
    <w:rsid w:val="00DF1C0F"/>
    <w:rsid w:val="00DF1CFF"/>
    <w:rsid w:val="00DF1DE2"/>
    <w:rsid w:val="00DF20BF"/>
    <w:rsid w:val="00DF212F"/>
    <w:rsid w:val="00DF2159"/>
    <w:rsid w:val="00DF24E1"/>
    <w:rsid w:val="00DF2520"/>
    <w:rsid w:val="00DF257A"/>
    <w:rsid w:val="00DF286D"/>
    <w:rsid w:val="00DF2BFD"/>
    <w:rsid w:val="00DF2E10"/>
    <w:rsid w:val="00DF2E2E"/>
    <w:rsid w:val="00DF2E2F"/>
    <w:rsid w:val="00DF2E9D"/>
    <w:rsid w:val="00DF2FFF"/>
    <w:rsid w:val="00DF30AF"/>
    <w:rsid w:val="00DF3359"/>
    <w:rsid w:val="00DF33BA"/>
    <w:rsid w:val="00DF3480"/>
    <w:rsid w:val="00DF3488"/>
    <w:rsid w:val="00DF3861"/>
    <w:rsid w:val="00DF3E56"/>
    <w:rsid w:val="00DF4008"/>
    <w:rsid w:val="00DF4108"/>
    <w:rsid w:val="00DF45A2"/>
    <w:rsid w:val="00DF45AB"/>
    <w:rsid w:val="00DF47F4"/>
    <w:rsid w:val="00DF4A0E"/>
    <w:rsid w:val="00DF4E36"/>
    <w:rsid w:val="00DF5142"/>
    <w:rsid w:val="00DF514E"/>
    <w:rsid w:val="00DF533C"/>
    <w:rsid w:val="00DF55CB"/>
    <w:rsid w:val="00DF5721"/>
    <w:rsid w:val="00DF573E"/>
    <w:rsid w:val="00DF5970"/>
    <w:rsid w:val="00DF5A32"/>
    <w:rsid w:val="00DF5B6A"/>
    <w:rsid w:val="00DF5B9A"/>
    <w:rsid w:val="00DF5BCA"/>
    <w:rsid w:val="00DF5CB7"/>
    <w:rsid w:val="00DF5DEE"/>
    <w:rsid w:val="00DF5F46"/>
    <w:rsid w:val="00DF629B"/>
    <w:rsid w:val="00DF62E4"/>
    <w:rsid w:val="00DF6715"/>
    <w:rsid w:val="00DF676B"/>
    <w:rsid w:val="00DF67B5"/>
    <w:rsid w:val="00DF6A68"/>
    <w:rsid w:val="00DF6ACB"/>
    <w:rsid w:val="00DF6BBD"/>
    <w:rsid w:val="00DF6E48"/>
    <w:rsid w:val="00DF6E6B"/>
    <w:rsid w:val="00DF70A9"/>
    <w:rsid w:val="00DF71C3"/>
    <w:rsid w:val="00DF71F5"/>
    <w:rsid w:val="00DF727D"/>
    <w:rsid w:val="00DF72DB"/>
    <w:rsid w:val="00DF7433"/>
    <w:rsid w:val="00DF7701"/>
    <w:rsid w:val="00DF7752"/>
    <w:rsid w:val="00DF7B38"/>
    <w:rsid w:val="00DF7E74"/>
    <w:rsid w:val="00DF7FFC"/>
    <w:rsid w:val="00E000CD"/>
    <w:rsid w:val="00E00264"/>
    <w:rsid w:val="00E00388"/>
    <w:rsid w:val="00E00392"/>
    <w:rsid w:val="00E0041E"/>
    <w:rsid w:val="00E004FB"/>
    <w:rsid w:val="00E0059F"/>
    <w:rsid w:val="00E0065D"/>
    <w:rsid w:val="00E0068D"/>
    <w:rsid w:val="00E006DC"/>
    <w:rsid w:val="00E0089D"/>
    <w:rsid w:val="00E00E20"/>
    <w:rsid w:val="00E010B0"/>
    <w:rsid w:val="00E010C3"/>
    <w:rsid w:val="00E01123"/>
    <w:rsid w:val="00E0117A"/>
    <w:rsid w:val="00E01463"/>
    <w:rsid w:val="00E014A2"/>
    <w:rsid w:val="00E0156F"/>
    <w:rsid w:val="00E01634"/>
    <w:rsid w:val="00E01CA1"/>
    <w:rsid w:val="00E01E77"/>
    <w:rsid w:val="00E01EF8"/>
    <w:rsid w:val="00E01F79"/>
    <w:rsid w:val="00E01F7D"/>
    <w:rsid w:val="00E0201F"/>
    <w:rsid w:val="00E02108"/>
    <w:rsid w:val="00E0227D"/>
    <w:rsid w:val="00E02439"/>
    <w:rsid w:val="00E0243A"/>
    <w:rsid w:val="00E02459"/>
    <w:rsid w:val="00E027D8"/>
    <w:rsid w:val="00E0284D"/>
    <w:rsid w:val="00E02BC0"/>
    <w:rsid w:val="00E03539"/>
    <w:rsid w:val="00E03543"/>
    <w:rsid w:val="00E038FA"/>
    <w:rsid w:val="00E03A8C"/>
    <w:rsid w:val="00E03ABF"/>
    <w:rsid w:val="00E03D45"/>
    <w:rsid w:val="00E0432B"/>
    <w:rsid w:val="00E044E2"/>
    <w:rsid w:val="00E04541"/>
    <w:rsid w:val="00E0454A"/>
    <w:rsid w:val="00E04608"/>
    <w:rsid w:val="00E04639"/>
    <w:rsid w:val="00E047AD"/>
    <w:rsid w:val="00E048BB"/>
    <w:rsid w:val="00E04B62"/>
    <w:rsid w:val="00E04C4A"/>
    <w:rsid w:val="00E04CC5"/>
    <w:rsid w:val="00E05219"/>
    <w:rsid w:val="00E05626"/>
    <w:rsid w:val="00E05681"/>
    <w:rsid w:val="00E05741"/>
    <w:rsid w:val="00E05985"/>
    <w:rsid w:val="00E05A52"/>
    <w:rsid w:val="00E05D1F"/>
    <w:rsid w:val="00E062A3"/>
    <w:rsid w:val="00E062E9"/>
    <w:rsid w:val="00E064E4"/>
    <w:rsid w:val="00E06696"/>
    <w:rsid w:val="00E0675A"/>
    <w:rsid w:val="00E06BE0"/>
    <w:rsid w:val="00E06CA1"/>
    <w:rsid w:val="00E06E11"/>
    <w:rsid w:val="00E06E8A"/>
    <w:rsid w:val="00E07063"/>
    <w:rsid w:val="00E074A4"/>
    <w:rsid w:val="00E07686"/>
    <w:rsid w:val="00E07728"/>
    <w:rsid w:val="00E079E0"/>
    <w:rsid w:val="00E07AEE"/>
    <w:rsid w:val="00E07C4C"/>
    <w:rsid w:val="00E1002D"/>
    <w:rsid w:val="00E10053"/>
    <w:rsid w:val="00E100C3"/>
    <w:rsid w:val="00E1027D"/>
    <w:rsid w:val="00E10455"/>
    <w:rsid w:val="00E10998"/>
    <w:rsid w:val="00E10AD4"/>
    <w:rsid w:val="00E10C62"/>
    <w:rsid w:val="00E1151E"/>
    <w:rsid w:val="00E11662"/>
    <w:rsid w:val="00E119BA"/>
    <w:rsid w:val="00E11A39"/>
    <w:rsid w:val="00E11A5D"/>
    <w:rsid w:val="00E11A60"/>
    <w:rsid w:val="00E11AC8"/>
    <w:rsid w:val="00E11C5C"/>
    <w:rsid w:val="00E11CA5"/>
    <w:rsid w:val="00E11FD5"/>
    <w:rsid w:val="00E12131"/>
    <w:rsid w:val="00E123B7"/>
    <w:rsid w:val="00E124DC"/>
    <w:rsid w:val="00E12525"/>
    <w:rsid w:val="00E128A0"/>
    <w:rsid w:val="00E12CC1"/>
    <w:rsid w:val="00E12CD3"/>
    <w:rsid w:val="00E12D7B"/>
    <w:rsid w:val="00E12EB4"/>
    <w:rsid w:val="00E12FAE"/>
    <w:rsid w:val="00E12FAF"/>
    <w:rsid w:val="00E13290"/>
    <w:rsid w:val="00E1365C"/>
    <w:rsid w:val="00E1385C"/>
    <w:rsid w:val="00E13B58"/>
    <w:rsid w:val="00E13FA3"/>
    <w:rsid w:val="00E14077"/>
    <w:rsid w:val="00E14155"/>
    <w:rsid w:val="00E142D4"/>
    <w:rsid w:val="00E1432B"/>
    <w:rsid w:val="00E14423"/>
    <w:rsid w:val="00E14475"/>
    <w:rsid w:val="00E14837"/>
    <w:rsid w:val="00E1485F"/>
    <w:rsid w:val="00E149F5"/>
    <w:rsid w:val="00E14A8B"/>
    <w:rsid w:val="00E14C6E"/>
    <w:rsid w:val="00E14F3E"/>
    <w:rsid w:val="00E14FB8"/>
    <w:rsid w:val="00E1541B"/>
    <w:rsid w:val="00E15476"/>
    <w:rsid w:val="00E158F1"/>
    <w:rsid w:val="00E1590A"/>
    <w:rsid w:val="00E15935"/>
    <w:rsid w:val="00E15ADF"/>
    <w:rsid w:val="00E15B39"/>
    <w:rsid w:val="00E15F23"/>
    <w:rsid w:val="00E15F34"/>
    <w:rsid w:val="00E15FE7"/>
    <w:rsid w:val="00E1600E"/>
    <w:rsid w:val="00E16043"/>
    <w:rsid w:val="00E162C7"/>
    <w:rsid w:val="00E166C0"/>
    <w:rsid w:val="00E16829"/>
    <w:rsid w:val="00E16BCD"/>
    <w:rsid w:val="00E171DD"/>
    <w:rsid w:val="00E17235"/>
    <w:rsid w:val="00E1725C"/>
    <w:rsid w:val="00E1730B"/>
    <w:rsid w:val="00E17523"/>
    <w:rsid w:val="00E17627"/>
    <w:rsid w:val="00E17A3C"/>
    <w:rsid w:val="00E17AF1"/>
    <w:rsid w:val="00E17F6E"/>
    <w:rsid w:val="00E202EB"/>
    <w:rsid w:val="00E20542"/>
    <w:rsid w:val="00E2074B"/>
    <w:rsid w:val="00E209B3"/>
    <w:rsid w:val="00E20A0D"/>
    <w:rsid w:val="00E20BC6"/>
    <w:rsid w:val="00E20C42"/>
    <w:rsid w:val="00E20D3F"/>
    <w:rsid w:val="00E20D76"/>
    <w:rsid w:val="00E212A4"/>
    <w:rsid w:val="00E213F7"/>
    <w:rsid w:val="00E215B8"/>
    <w:rsid w:val="00E215F6"/>
    <w:rsid w:val="00E2161D"/>
    <w:rsid w:val="00E21721"/>
    <w:rsid w:val="00E21951"/>
    <w:rsid w:val="00E219F0"/>
    <w:rsid w:val="00E21F48"/>
    <w:rsid w:val="00E21F6F"/>
    <w:rsid w:val="00E221CC"/>
    <w:rsid w:val="00E221D2"/>
    <w:rsid w:val="00E22384"/>
    <w:rsid w:val="00E2246A"/>
    <w:rsid w:val="00E22537"/>
    <w:rsid w:val="00E22579"/>
    <w:rsid w:val="00E22A33"/>
    <w:rsid w:val="00E22CCD"/>
    <w:rsid w:val="00E230FB"/>
    <w:rsid w:val="00E233CA"/>
    <w:rsid w:val="00E23662"/>
    <w:rsid w:val="00E23BCF"/>
    <w:rsid w:val="00E23F29"/>
    <w:rsid w:val="00E240E3"/>
    <w:rsid w:val="00E242E3"/>
    <w:rsid w:val="00E2454D"/>
    <w:rsid w:val="00E2463C"/>
    <w:rsid w:val="00E247E2"/>
    <w:rsid w:val="00E24AD6"/>
    <w:rsid w:val="00E24C44"/>
    <w:rsid w:val="00E24D74"/>
    <w:rsid w:val="00E24E8F"/>
    <w:rsid w:val="00E24EC5"/>
    <w:rsid w:val="00E25050"/>
    <w:rsid w:val="00E25236"/>
    <w:rsid w:val="00E25379"/>
    <w:rsid w:val="00E25541"/>
    <w:rsid w:val="00E255E9"/>
    <w:rsid w:val="00E255F2"/>
    <w:rsid w:val="00E25738"/>
    <w:rsid w:val="00E257A7"/>
    <w:rsid w:val="00E2595E"/>
    <w:rsid w:val="00E25BAE"/>
    <w:rsid w:val="00E25C5A"/>
    <w:rsid w:val="00E25E2B"/>
    <w:rsid w:val="00E261D4"/>
    <w:rsid w:val="00E26247"/>
    <w:rsid w:val="00E2647F"/>
    <w:rsid w:val="00E264D5"/>
    <w:rsid w:val="00E268F4"/>
    <w:rsid w:val="00E26C20"/>
    <w:rsid w:val="00E26C9D"/>
    <w:rsid w:val="00E26DF8"/>
    <w:rsid w:val="00E26DFE"/>
    <w:rsid w:val="00E26E4F"/>
    <w:rsid w:val="00E271A1"/>
    <w:rsid w:val="00E279D8"/>
    <w:rsid w:val="00E27BB4"/>
    <w:rsid w:val="00E27F14"/>
    <w:rsid w:val="00E27F68"/>
    <w:rsid w:val="00E301F4"/>
    <w:rsid w:val="00E303BE"/>
    <w:rsid w:val="00E3048A"/>
    <w:rsid w:val="00E305F3"/>
    <w:rsid w:val="00E3060A"/>
    <w:rsid w:val="00E3065F"/>
    <w:rsid w:val="00E306D6"/>
    <w:rsid w:val="00E30723"/>
    <w:rsid w:val="00E307A3"/>
    <w:rsid w:val="00E30844"/>
    <w:rsid w:val="00E30890"/>
    <w:rsid w:val="00E3093D"/>
    <w:rsid w:val="00E30AA7"/>
    <w:rsid w:val="00E30AF2"/>
    <w:rsid w:val="00E30C62"/>
    <w:rsid w:val="00E30DE3"/>
    <w:rsid w:val="00E31107"/>
    <w:rsid w:val="00E31304"/>
    <w:rsid w:val="00E314D3"/>
    <w:rsid w:val="00E3155A"/>
    <w:rsid w:val="00E31626"/>
    <w:rsid w:val="00E31786"/>
    <w:rsid w:val="00E317BE"/>
    <w:rsid w:val="00E319E3"/>
    <w:rsid w:val="00E31D8B"/>
    <w:rsid w:val="00E31E06"/>
    <w:rsid w:val="00E32085"/>
    <w:rsid w:val="00E32091"/>
    <w:rsid w:val="00E320C6"/>
    <w:rsid w:val="00E320CA"/>
    <w:rsid w:val="00E3235D"/>
    <w:rsid w:val="00E325C3"/>
    <w:rsid w:val="00E329E2"/>
    <w:rsid w:val="00E32A1E"/>
    <w:rsid w:val="00E32C17"/>
    <w:rsid w:val="00E32C45"/>
    <w:rsid w:val="00E32CB8"/>
    <w:rsid w:val="00E32EC3"/>
    <w:rsid w:val="00E32F34"/>
    <w:rsid w:val="00E333F5"/>
    <w:rsid w:val="00E336D6"/>
    <w:rsid w:val="00E338C9"/>
    <w:rsid w:val="00E33C46"/>
    <w:rsid w:val="00E33CA3"/>
    <w:rsid w:val="00E33D0C"/>
    <w:rsid w:val="00E33E43"/>
    <w:rsid w:val="00E33E8A"/>
    <w:rsid w:val="00E33F4F"/>
    <w:rsid w:val="00E340F7"/>
    <w:rsid w:val="00E34168"/>
    <w:rsid w:val="00E3443A"/>
    <w:rsid w:val="00E3449E"/>
    <w:rsid w:val="00E34681"/>
    <w:rsid w:val="00E346DC"/>
    <w:rsid w:val="00E3480E"/>
    <w:rsid w:val="00E34955"/>
    <w:rsid w:val="00E34CDC"/>
    <w:rsid w:val="00E34DA9"/>
    <w:rsid w:val="00E34DC2"/>
    <w:rsid w:val="00E34F77"/>
    <w:rsid w:val="00E351C4"/>
    <w:rsid w:val="00E351E8"/>
    <w:rsid w:val="00E352B5"/>
    <w:rsid w:val="00E355C9"/>
    <w:rsid w:val="00E359C9"/>
    <w:rsid w:val="00E36150"/>
    <w:rsid w:val="00E36498"/>
    <w:rsid w:val="00E364F9"/>
    <w:rsid w:val="00E36525"/>
    <w:rsid w:val="00E36584"/>
    <w:rsid w:val="00E369BD"/>
    <w:rsid w:val="00E36C63"/>
    <w:rsid w:val="00E36CBF"/>
    <w:rsid w:val="00E36E15"/>
    <w:rsid w:val="00E36F32"/>
    <w:rsid w:val="00E36F9E"/>
    <w:rsid w:val="00E370DD"/>
    <w:rsid w:val="00E371BE"/>
    <w:rsid w:val="00E3738F"/>
    <w:rsid w:val="00E373D2"/>
    <w:rsid w:val="00E37532"/>
    <w:rsid w:val="00E3761B"/>
    <w:rsid w:val="00E37743"/>
    <w:rsid w:val="00E37818"/>
    <w:rsid w:val="00E378EA"/>
    <w:rsid w:val="00E37B02"/>
    <w:rsid w:val="00E37BDC"/>
    <w:rsid w:val="00E37D9E"/>
    <w:rsid w:val="00E37F83"/>
    <w:rsid w:val="00E401F9"/>
    <w:rsid w:val="00E402A8"/>
    <w:rsid w:val="00E40327"/>
    <w:rsid w:val="00E4041F"/>
    <w:rsid w:val="00E40509"/>
    <w:rsid w:val="00E40E11"/>
    <w:rsid w:val="00E40EA2"/>
    <w:rsid w:val="00E40F48"/>
    <w:rsid w:val="00E40FA1"/>
    <w:rsid w:val="00E410C4"/>
    <w:rsid w:val="00E4115D"/>
    <w:rsid w:val="00E41299"/>
    <w:rsid w:val="00E412A0"/>
    <w:rsid w:val="00E41315"/>
    <w:rsid w:val="00E413BD"/>
    <w:rsid w:val="00E417F5"/>
    <w:rsid w:val="00E4183B"/>
    <w:rsid w:val="00E41898"/>
    <w:rsid w:val="00E419EF"/>
    <w:rsid w:val="00E41A4B"/>
    <w:rsid w:val="00E41ACE"/>
    <w:rsid w:val="00E41B41"/>
    <w:rsid w:val="00E41D7E"/>
    <w:rsid w:val="00E41EB7"/>
    <w:rsid w:val="00E41FEA"/>
    <w:rsid w:val="00E421D2"/>
    <w:rsid w:val="00E4243B"/>
    <w:rsid w:val="00E424BE"/>
    <w:rsid w:val="00E4296A"/>
    <w:rsid w:val="00E42B4F"/>
    <w:rsid w:val="00E42B86"/>
    <w:rsid w:val="00E42EB8"/>
    <w:rsid w:val="00E42F41"/>
    <w:rsid w:val="00E43163"/>
    <w:rsid w:val="00E431C0"/>
    <w:rsid w:val="00E433ED"/>
    <w:rsid w:val="00E4379A"/>
    <w:rsid w:val="00E437B2"/>
    <w:rsid w:val="00E43A8C"/>
    <w:rsid w:val="00E43E80"/>
    <w:rsid w:val="00E4409B"/>
    <w:rsid w:val="00E44168"/>
    <w:rsid w:val="00E44242"/>
    <w:rsid w:val="00E44346"/>
    <w:rsid w:val="00E443F5"/>
    <w:rsid w:val="00E44586"/>
    <w:rsid w:val="00E445D2"/>
    <w:rsid w:val="00E446B4"/>
    <w:rsid w:val="00E44AF1"/>
    <w:rsid w:val="00E44CB1"/>
    <w:rsid w:val="00E44D54"/>
    <w:rsid w:val="00E44DB0"/>
    <w:rsid w:val="00E45019"/>
    <w:rsid w:val="00E45148"/>
    <w:rsid w:val="00E4531D"/>
    <w:rsid w:val="00E45363"/>
    <w:rsid w:val="00E45938"/>
    <w:rsid w:val="00E45E3D"/>
    <w:rsid w:val="00E45F73"/>
    <w:rsid w:val="00E45FB1"/>
    <w:rsid w:val="00E46184"/>
    <w:rsid w:val="00E46456"/>
    <w:rsid w:val="00E464BF"/>
    <w:rsid w:val="00E466A4"/>
    <w:rsid w:val="00E4688A"/>
    <w:rsid w:val="00E4699C"/>
    <w:rsid w:val="00E46B2F"/>
    <w:rsid w:val="00E46D64"/>
    <w:rsid w:val="00E46E9F"/>
    <w:rsid w:val="00E46F5C"/>
    <w:rsid w:val="00E476C5"/>
    <w:rsid w:val="00E4786C"/>
    <w:rsid w:val="00E478A6"/>
    <w:rsid w:val="00E47A66"/>
    <w:rsid w:val="00E47A8F"/>
    <w:rsid w:val="00E47B8B"/>
    <w:rsid w:val="00E5006A"/>
    <w:rsid w:val="00E5019D"/>
    <w:rsid w:val="00E50345"/>
    <w:rsid w:val="00E505C1"/>
    <w:rsid w:val="00E50D20"/>
    <w:rsid w:val="00E50E18"/>
    <w:rsid w:val="00E50E5C"/>
    <w:rsid w:val="00E5116B"/>
    <w:rsid w:val="00E513A9"/>
    <w:rsid w:val="00E514A4"/>
    <w:rsid w:val="00E51822"/>
    <w:rsid w:val="00E51AEB"/>
    <w:rsid w:val="00E51BE4"/>
    <w:rsid w:val="00E51F92"/>
    <w:rsid w:val="00E52124"/>
    <w:rsid w:val="00E522B3"/>
    <w:rsid w:val="00E523B2"/>
    <w:rsid w:val="00E52474"/>
    <w:rsid w:val="00E52A91"/>
    <w:rsid w:val="00E52D6D"/>
    <w:rsid w:val="00E52EBC"/>
    <w:rsid w:val="00E52F99"/>
    <w:rsid w:val="00E53223"/>
    <w:rsid w:val="00E53386"/>
    <w:rsid w:val="00E534A4"/>
    <w:rsid w:val="00E534FA"/>
    <w:rsid w:val="00E5350F"/>
    <w:rsid w:val="00E5375C"/>
    <w:rsid w:val="00E53875"/>
    <w:rsid w:val="00E539FD"/>
    <w:rsid w:val="00E53A17"/>
    <w:rsid w:val="00E53D3A"/>
    <w:rsid w:val="00E53E60"/>
    <w:rsid w:val="00E53EDD"/>
    <w:rsid w:val="00E544D8"/>
    <w:rsid w:val="00E5451F"/>
    <w:rsid w:val="00E54555"/>
    <w:rsid w:val="00E548CA"/>
    <w:rsid w:val="00E5492C"/>
    <w:rsid w:val="00E54B9B"/>
    <w:rsid w:val="00E54BB1"/>
    <w:rsid w:val="00E54BBD"/>
    <w:rsid w:val="00E551CF"/>
    <w:rsid w:val="00E5540C"/>
    <w:rsid w:val="00E55562"/>
    <w:rsid w:val="00E55620"/>
    <w:rsid w:val="00E556CA"/>
    <w:rsid w:val="00E55721"/>
    <w:rsid w:val="00E55A2D"/>
    <w:rsid w:val="00E55B01"/>
    <w:rsid w:val="00E55CF5"/>
    <w:rsid w:val="00E5611C"/>
    <w:rsid w:val="00E561BA"/>
    <w:rsid w:val="00E564E1"/>
    <w:rsid w:val="00E5670E"/>
    <w:rsid w:val="00E567B3"/>
    <w:rsid w:val="00E56B55"/>
    <w:rsid w:val="00E56D75"/>
    <w:rsid w:val="00E570C8"/>
    <w:rsid w:val="00E57161"/>
    <w:rsid w:val="00E57383"/>
    <w:rsid w:val="00E576B0"/>
    <w:rsid w:val="00E57715"/>
    <w:rsid w:val="00E57738"/>
    <w:rsid w:val="00E57B06"/>
    <w:rsid w:val="00E57CED"/>
    <w:rsid w:val="00E57D47"/>
    <w:rsid w:val="00E57EDC"/>
    <w:rsid w:val="00E57F62"/>
    <w:rsid w:val="00E60029"/>
    <w:rsid w:val="00E60065"/>
    <w:rsid w:val="00E6008B"/>
    <w:rsid w:val="00E600F9"/>
    <w:rsid w:val="00E60205"/>
    <w:rsid w:val="00E60599"/>
    <w:rsid w:val="00E608D0"/>
    <w:rsid w:val="00E60BBC"/>
    <w:rsid w:val="00E61193"/>
    <w:rsid w:val="00E6136B"/>
    <w:rsid w:val="00E61435"/>
    <w:rsid w:val="00E61452"/>
    <w:rsid w:val="00E614CE"/>
    <w:rsid w:val="00E61571"/>
    <w:rsid w:val="00E619FB"/>
    <w:rsid w:val="00E620B5"/>
    <w:rsid w:val="00E6215B"/>
    <w:rsid w:val="00E621AE"/>
    <w:rsid w:val="00E621B8"/>
    <w:rsid w:val="00E62208"/>
    <w:rsid w:val="00E626FD"/>
    <w:rsid w:val="00E62710"/>
    <w:rsid w:val="00E62B3B"/>
    <w:rsid w:val="00E62CE6"/>
    <w:rsid w:val="00E62D8D"/>
    <w:rsid w:val="00E62F63"/>
    <w:rsid w:val="00E63025"/>
    <w:rsid w:val="00E630CC"/>
    <w:rsid w:val="00E63300"/>
    <w:rsid w:val="00E6352F"/>
    <w:rsid w:val="00E635A7"/>
    <w:rsid w:val="00E635D1"/>
    <w:rsid w:val="00E63690"/>
    <w:rsid w:val="00E6381C"/>
    <w:rsid w:val="00E63A18"/>
    <w:rsid w:val="00E63C01"/>
    <w:rsid w:val="00E63C25"/>
    <w:rsid w:val="00E63CE3"/>
    <w:rsid w:val="00E63EE4"/>
    <w:rsid w:val="00E64065"/>
    <w:rsid w:val="00E640F3"/>
    <w:rsid w:val="00E642EF"/>
    <w:rsid w:val="00E6440D"/>
    <w:rsid w:val="00E64844"/>
    <w:rsid w:val="00E6489B"/>
    <w:rsid w:val="00E648A3"/>
    <w:rsid w:val="00E64AF2"/>
    <w:rsid w:val="00E64B6B"/>
    <w:rsid w:val="00E64C57"/>
    <w:rsid w:val="00E64DE3"/>
    <w:rsid w:val="00E64E07"/>
    <w:rsid w:val="00E65047"/>
    <w:rsid w:val="00E652D7"/>
    <w:rsid w:val="00E655B9"/>
    <w:rsid w:val="00E656AF"/>
    <w:rsid w:val="00E656F8"/>
    <w:rsid w:val="00E65A3B"/>
    <w:rsid w:val="00E664D6"/>
    <w:rsid w:val="00E665DA"/>
    <w:rsid w:val="00E66658"/>
    <w:rsid w:val="00E667EA"/>
    <w:rsid w:val="00E668B1"/>
    <w:rsid w:val="00E669FB"/>
    <w:rsid w:val="00E66A30"/>
    <w:rsid w:val="00E66BBD"/>
    <w:rsid w:val="00E66ECD"/>
    <w:rsid w:val="00E66F16"/>
    <w:rsid w:val="00E6707E"/>
    <w:rsid w:val="00E67193"/>
    <w:rsid w:val="00E67264"/>
    <w:rsid w:val="00E6746D"/>
    <w:rsid w:val="00E6746E"/>
    <w:rsid w:val="00E674D7"/>
    <w:rsid w:val="00E674F2"/>
    <w:rsid w:val="00E67573"/>
    <w:rsid w:val="00E675C5"/>
    <w:rsid w:val="00E67604"/>
    <w:rsid w:val="00E67A42"/>
    <w:rsid w:val="00E67B54"/>
    <w:rsid w:val="00E67B8D"/>
    <w:rsid w:val="00E67C24"/>
    <w:rsid w:val="00E67C4A"/>
    <w:rsid w:val="00E67EE4"/>
    <w:rsid w:val="00E70046"/>
    <w:rsid w:val="00E70077"/>
    <w:rsid w:val="00E70209"/>
    <w:rsid w:val="00E70275"/>
    <w:rsid w:val="00E70744"/>
    <w:rsid w:val="00E708B3"/>
    <w:rsid w:val="00E70B48"/>
    <w:rsid w:val="00E70B85"/>
    <w:rsid w:val="00E70D44"/>
    <w:rsid w:val="00E70FF0"/>
    <w:rsid w:val="00E710E7"/>
    <w:rsid w:val="00E713DF"/>
    <w:rsid w:val="00E71547"/>
    <w:rsid w:val="00E71686"/>
    <w:rsid w:val="00E71724"/>
    <w:rsid w:val="00E71880"/>
    <w:rsid w:val="00E71996"/>
    <w:rsid w:val="00E71B15"/>
    <w:rsid w:val="00E71BF6"/>
    <w:rsid w:val="00E71C86"/>
    <w:rsid w:val="00E71DF0"/>
    <w:rsid w:val="00E71F67"/>
    <w:rsid w:val="00E71FC8"/>
    <w:rsid w:val="00E722C9"/>
    <w:rsid w:val="00E723CD"/>
    <w:rsid w:val="00E724AE"/>
    <w:rsid w:val="00E72625"/>
    <w:rsid w:val="00E726F6"/>
    <w:rsid w:val="00E729B3"/>
    <w:rsid w:val="00E72B1C"/>
    <w:rsid w:val="00E72B92"/>
    <w:rsid w:val="00E72DF6"/>
    <w:rsid w:val="00E731F3"/>
    <w:rsid w:val="00E73344"/>
    <w:rsid w:val="00E735AE"/>
    <w:rsid w:val="00E739A2"/>
    <w:rsid w:val="00E73A32"/>
    <w:rsid w:val="00E73C47"/>
    <w:rsid w:val="00E73F38"/>
    <w:rsid w:val="00E74044"/>
    <w:rsid w:val="00E745E2"/>
    <w:rsid w:val="00E747DB"/>
    <w:rsid w:val="00E74A3A"/>
    <w:rsid w:val="00E74A94"/>
    <w:rsid w:val="00E74E33"/>
    <w:rsid w:val="00E75092"/>
    <w:rsid w:val="00E750C6"/>
    <w:rsid w:val="00E754CD"/>
    <w:rsid w:val="00E75799"/>
    <w:rsid w:val="00E757D1"/>
    <w:rsid w:val="00E759B9"/>
    <w:rsid w:val="00E75ADB"/>
    <w:rsid w:val="00E75D2F"/>
    <w:rsid w:val="00E75EEC"/>
    <w:rsid w:val="00E75F4E"/>
    <w:rsid w:val="00E7601A"/>
    <w:rsid w:val="00E76284"/>
    <w:rsid w:val="00E7628C"/>
    <w:rsid w:val="00E76547"/>
    <w:rsid w:val="00E768EB"/>
    <w:rsid w:val="00E76C27"/>
    <w:rsid w:val="00E76CB3"/>
    <w:rsid w:val="00E76E84"/>
    <w:rsid w:val="00E76F03"/>
    <w:rsid w:val="00E77231"/>
    <w:rsid w:val="00E7770E"/>
    <w:rsid w:val="00E779A9"/>
    <w:rsid w:val="00E77A8E"/>
    <w:rsid w:val="00E77B13"/>
    <w:rsid w:val="00E77BF6"/>
    <w:rsid w:val="00E77DAC"/>
    <w:rsid w:val="00E77EC7"/>
    <w:rsid w:val="00E80028"/>
    <w:rsid w:val="00E80169"/>
    <w:rsid w:val="00E80270"/>
    <w:rsid w:val="00E80331"/>
    <w:rsid w:val="00E80459"/>
    <w:rsid w:val="00E80512"/>
    <w:rsid w:val="00E805E2"/>
    <w:rsid w:val="00E806A9"/>
    <w:rsid w:val="00E80853"/>
    <w:rsid w:val="00E80996"/>
    <w:rsid w:val="00E809EF"/>
    <w:rsid w:val="00E80B82"/>
    <w:rsid w:val="00E80B89"/>
    <w:rsid w:val="00E811A6"/>
    <w:rsid w:val="00E812A2"/>
    <w:rsid w:val="00E812A5"/>
    <w:rsid w:val="00E8141E"/>
    <w:rsid w:val="00E817F6"/>
    <w:rsid w:val="00E81818"/>
    <w:rsid w:val="00E8187F"/>
    <w:rsid w:val="00E81967"/>
    <w:rsid w:val="00E81BAF"/>
    <w:rsid w:val="00E81D64"/>
    <w:rsid w:val="00E81E16"/>
    <w:rsid w:val="00E81FCE"/>
    <w:rsid w:val="00E820BE"/>
    <w:rsid w:val="00E8260B"/>
    <w:rsid w:val="00E82644"/>
    <w:rsid w:val="00E82AAE"/>
    <w:rsid w:val="00E82AE3"/>
    <w:rsid w:val="00E82B7B"/>
    <w:rsid w:val="00E82C48"/>
    <w:rsid w:val="00E82DEA"/>
    <w:rsid w:val="00E82F9D"/>
    <w:rsid w:val="00E83056"/>
    <w:rsid w:val="00E830B9"/>
    <w:rsid w:val="00E830DD"/>
    <w:rsid w:val="00E833A1"/>
    <w:rsid w:val="00E833FF"/>
    <w:rsid w:val="00E83406"/>
    <w:rsid w:val="00E837A5"/>
    <w:rsid w:val="00E8380A"/>
    <w:rsid w:val="00E83853"/>
    <w:rsid w:val="00E839C6"/>
    <w:rsid w:val="00E83D2C"/>
    <w:rsid w:val="00E83F2A"/>
    <w:rsid w:val="00E840CE"/>
    <w:rsid w:val="00E8443B"/>
    <w:rsid w:val="00E84AAA"/>
    <w:rsid w:val="00E84C71"/>
    <w:rsid w:val="00E84F7B"/>
    <w:rsid w:val="00E85090"/>
    <w:rsid w:val="00E85344"/>
    <w:rsid w:val="00E854B1"/>
    <w:rsid w:val="00E856AD"/>
    <w:rsid w:val="00E857AB"/>
    <w:rsid w:val="00E858AD"/>
    <w:rsid w:val="00E85A44"/>
    <w:rsid w:val="00E85B38"/>
    <w:rsid w:val="00E85B77"/>
    <w:rsid w:val="00E85BDB"/>
    <w:rsid w:val="00E85C1E"/>
    <w:rsid w:val="00E85CFA"/>
    <w:rsid w:val="00E85DB3"/>
    <w:rsid w:val="00E8609C"/>
    <w:rsid w:val="00E861C9"/>
    <w:rsid w:val="00E8624A"/>
    <w:rsid w:val="00E862A0"/>
    <w:rsid w:val="00E862F8"/>
    <w:rsid w:val="00E869B2"/>
    <w:rsid w:val="00E86AAA"/>
    <w:rsid w:val="00E86C64"/>
    <w:rsid w:val="00E86CC9"/>
    <w:rsid w:val="00E86E5D"/>
    <w:rsid w:val="00E86F38"/>
    <w:rsid w:val="00E8702C"/>
    <w:rsid w:val="00E87187"/>
    <w:rsid w:val="00E8734A"/>
    <w:rsid w:val="00E877C6"/>
    <w:rsid w:val="00E87814"/>
    <w:rsid w:val="00E87940"/>
    <w:rsid w:val="00E87B1E"/>
    <w:rsid w:val="00E87BC5"/>
    <w:rsid w:val="00E87EBD"/>
    <w:rsid w:val="00E902A6"/>
    <w:rsid w:val="00E90393"/>
    <w:rsid w:val="00E90B09"/>
    <w:rsid w:val="00E90C54"/>
    <w:rsid w:val="00E90F3F"/>
    <w:rsid w:val="00E913EA"/>
    <w:rsid w:val="00E913F1"/>
    <w:rsid w:val="00E91478"/>
    <w:rsid w:val="00E916BD"/>
    <w:rsid w:val="00E9179C"/>
    <w:rsid w:val="00E91CFF"/>
    <w:rsid w:val="00E91E95"/>
    <w:rsid w:val="00E91FC2"/>
    <w:rsid w:val="00E9206C"/>
    <w:rsid w:val="00E92444"/>
    <w:rsid w:val="00E924F9"/>
    <w:rsid w:val="00E926F3"/>
    <w:rsid w:val="00E92768"/>
    <w:rsid w:val="00E928A8"/>
    <w:rsid w:val="00E928F0"/>
    <w:rsid w:val="00E92B1E"/>
    <w:rsid w:val="00E92C36"/>
    <w:rsid w:val="00E9306F"/>
    <w:rsid w:val="00E930A1"/>
    <w:rsid w:val="00E93264"/>
    <w:rsid w:val="00E9327B"/>
    <w:rsid w:val="00E933DC"/>
    <w:rsid w:val="00E93548"/>
    <w:rsid w:val="00E93550"/>
    <w:rsid w:val="00E93A29"/>
    <w:rsid w:val="00E93C6F"/>
    <w:rsid w:val="00E93D67"/>
    <w:rsid w:val="00E94165"/>
    <w:rsid w:val="00E94179"/>
    <w:rsid w:val="00E943BC"/>
    <w:rsid w:val="00E9441B"/>
    <w:rsid w:val="00E948D9"/>
    <w:rsid w:val="00E949F5"/>
    <w:rsid w:val="00E94A4D"/>
    <w:rsid w:val="00E94A7D"/>
    <w:rsid w:val="00E94ABD"/>
    <w:rsid w:val="00E94ACB"/>
    <w:rsid w:val="00E94C67"/>
    <w:rsid w:val="00E94DFD"/>
    <w:rsid w:val="00E94E81"/>
    <w:rsid w:val="00E94FCF"/>
    <w:rsid w:val="00E94FD6"/>
    <w:rsid w:val="00E95069"/>
    <w:rsid w:val="00E952B9"/>
    <w:rsid w:val="00E9538A"/>
    <w:rsid w:val="00E95449"/>
    <w:rsid w:val="00E95728"/>
    <w:rsid w:val="00E95B13"/>
    <w:rsid w:val="00E95B4D"/>
    <w:rsid w:val="00E95B5E"/>
    <w:rsid w:val="00E95B5F"/>
    <w:rsid w:val="00E95BE8"/>
    <w:rsid w:val="00E95C18"/>
    <w:rsid w:val="00E95CEF"/>
    <w:rsid w:val="00E95D2A"/>
    <w:rsid w:val="00E95F68"/>
    <w:rsid w:val="00E96097"/>
    <w:rsid w:val="00E960D8"/>
    <w:rsid w:val="00E96225"/>
    <w:rsid w:val="00E9627F"/>
    <w:rsid w:val="00E965EF"/>
    <w:rsid w:val="00E965FE"/>
    <w:rsid w:val="00E966FE"/>
    <w:rsid w:val="00E96762"/>
    <w:rsid w:val="00E9680D"/>
    <w:rsid w:val="00E96AD9"/>
    <w:rsid w:val="00E96ED3"/>
    <w:rsid w:val="00E970A8"/>
    <w:rsid w:val="00E9711A"/>
    <w:rsid w:val="00E9719D"/>
    <w:rsid w:val="00E97265"/>
    <w:rsid w:val="00E975BC"/>
    <w:rsid w:val="00E9798E"/>
    <w:rsid w:val="00E97D48"/>
    <w:rsid w:val="00E97E38"/>
    <w:rsid w:val="00EA0336"/>
    <w:rsid w:val="00EA0545"/>
    <w:rsid w:val="00EA061B"/>
    <w:rsid w:val="00EA06A8"/>
    <w:rsid w:val="00EA079D"/>
    <w:rsid w:val="00EA07FD"/>
    <w:rsid w:val="00EA082F"/>
    <w:rsid w:val="00EA088D"/>
    <w:rsid w:val="00EA0A1C"/>
    <w:rsid w:val="00EA0C5C"/>
    <w:rsid w:val="00EA0CB9"/>
    <w:rsid w:val="00EA0ECA"/>
    <w:rsid w:val="00EA0F4A"/>
    <w:rsid w:val="00EA11F1"/>
    <w:rsid w:val="00EA123D"/>
    <w:rsid w:val="00EA1391"/>
    <w:rsid w:val="00EA1830"/>
    <w:rsid w:val="00EA1855"/>
    <w:rsid w:val="00EA1896"/>
    <w:rsid w:val="00EA18F6"/>
    <w:rsid w:val="00EA1A0E"/>
    <w:rsid w:val="00EA1B8E"/>
    <w:rsid w:val="00EA1E92"/>
    <w:rsid w:val="00EA1F17"/>
    <w:rsid w:val="00EA2036"/>
    <w:rsid w:val="00EA219F"/>
    <w:rsid w:val="00EA236C"/>
    <w:rsid w:val="00EA2380"/>
    <w:rsid w:val="00EA280C"/>
    <w:rsid w:val="00EA29DA"/>
    <w:rsid w:val="00EA2E00"/>
    <w:rsid w:val="00EA32D1"/>
    <w:rsid w:val="00EA334A"/>
    <w:rsid w:val="00EA336E"/>
    <w:rsid w:val="00EA3387"/>
    <w:rsid w:val="00EA3466"/>
    <w:rsid w:val="00EA3B0C"/>
    <w:rsid w:val="00EA3BB0"/>
    <w:rsid w:val="00EA3CFF"/>
    <w:rsid w:val="00EA3DF2"/>
    <w:rsid w:val="00EA3FFC"/>
    <w:rsid w:val="00EA44E4"/>
    <w:rsid w:val="00EA458C"/>
    <w:rsid w:val="00EA4793"/>
    <w:rsid w:val="00EA4915"/>
    <w:rsid w:val="00EA4A53"/>
    <w:rsid w:val="00EA4BBE"/>
    <w:rsid w:val="00EA4D84"/>
    <w:rsid w:val="00EA4DE9"/>
    <w:rsid w:val="00EA4E04"/>
    <w:rsid w:val="00EA4E41"/>
    <w:rsid w:val="00EA4F64"/>
    <w:rsid w:val="00EA4F9F"/>
    <w:rsid w:val="00EA4FBA"/>
    <w:rsid w:val="00EA50DB"/>
    <w:rsid w:val="00EA51B3"/>
    <w:rsid w:val="00EA54B1"/>
    <w:rsid w:val="00EA57BF"/>
    <w:rsid w:val="00EA5849"/>
    <w:rsid w:val="00EA585F"/>
    <w:rsid w:val="00EA5972"/>
    <w:rsid w:val="00EA5BC2"/>
    <w:rsid w:val="00EA5EF8"/>
    <w:rsid w:val="00EA60AD"/>
    <w:rsid w:val="00EA63FC"/>
    <w:rsid w:val="00EA64DA"/>
    <w:rsid w:val="00EA6612"/>
    <w:rsid w:val="00EA6735"/>
    <w:rsid w:val="00EA6BA4"/>
    <w:rsid w:val="00EA6C98"/>
    <w:rsid w:val="00EA6E2D"/>
    <w:rsid w:val="00EA6FC1"/>
    <w:rsid w:val="00EA7420"/>
    <w:rsid w:val="00EA7476"/>
    <w:rsid w:val="00EA752F"/>
    <w:rsid w:val="00EA7547"/>
    <w:rsid w:val="00EA7617"/>
    <w:rsid w:val="00EA7847"/>
    <w:rsid w:val="00EA788C"/>
    <w:rsid w:val="00EA7AD1"/>
    <w:rsid w:val="00EA7BFE"/>
    <w:rsid w:val="00EA7D68"/>
    <w:rsid w:val="00EA7DA1"/>
    <w:rsid w:val="00EB0505"/>
    <w:rsid w:val="00EB0522"/>
    <w:rsid w:val="00EB05EC"/>
    <w:rsid w:val="00EB06D3"/>
    <w:rsid w:val="00EB09EB"/>
    <w:rsid w:val="00EB0A50"/>
    <w:rsid w:val="00EB0AD7"/>
    <w:rsid w:val="00EB0CB3"/>
    <w:rsid w:val="00EB0E60"/>
    <w:rsid w:val="00EB0FCB"/>
    <w:rsid w:val="00EB10D9"/>
    <w:rsid w:val="00EB1103"/>
    <w:rsid w:val="00EB150F"/>
    <w:rsid w:val="00EB1880"/>
    <w:rsid w:val="00EB19F8"/>
    <w:rsid w:val="00EB1C73"/>
    <w:rsid w:val="00EB1E42"/>
    <w:rsid w:val="00EB1FDD"/>
    <w:rsid w:val="00EB206E"/>
    <w:rsid w:val="00EB20FB"/>
    <w:rsid w:val="00EB229D"/>
    <w:rsid w:val="00EB23E8"/>
    <w:rsid w:val="00EB23FD"/>
    <w:rsid w:val="00EB2417"/>
    <w:rsid w:val="00EB24B8"/>
    <w:rsid w:val="00EB25F3"/>
    <w:rsid w:val="00EB274C"/>
    <w:rsid w:val="00EB29AC"/>
    <w:rsid w:val="00EB2A9D"/>
    <w:rsid w:val="00EB2D0D"/>
    <w:rsid w:val="00EB2D43"/>
    <w:rsid w:val="00EB2D97"/>
    <w:rsid w:val="00EB2E15"/>
    <w:rsid w:val="00EB3127"/>
    <w:rsid w:val="00EB368B"/>
    <w:rsid w:val="00EB3832"/>
    <w:rsid w:val="00EB3919"/>
    <w:rsid w:val="00EB3A47"/>
    <w:rsid w:val="00EB3AEA"/>
    <w:rsid w:val="00EB3D64"/>
    <w:rsid w:val="00EB3D99"/>
    <w:rsid w:val="00EB3F57"/>
    <w:rsid w:val="00EB410B"/>
    <w:rsid w:val="00EB4174"/>
    <w:rsid w:val="00EB419E"/>
    <w:rsid w:val="00EB41C3"/>
    <w:rsid w:val="00EB41FC"/>
    <w:rsid w:val="00EB42AF"/>
    <w:rsid w:val="00EB438E"/>
    <w:rsid w:val="00EB458B"/>
    <w:rsid w:val="00EB46DE"/>
    <w:rsid w:val="00EB485A"/>
    <w:rsid w:val="00EB4ACF"/>
    <w:rsid w:val="00EB4C0D"/>
    <w:rsid w:val="00EB4D60"/>
    <w:rsid w:val="00EB4DE5"/>
    <w:rsid w:val="00EB4E0F"/>
    <w:rsid w:val="00EB5313"/>
    <w:rsid w:val="00EB5505"/>
    <w:rsid w:val="00EB5540"/>
    <w:rsid w:val="00EB56E1"/>
    <w:rsid w:val="00EB5825"/>
    <w:rsid w:val="00EB587B"/>
    <w:rsid w:val="00EB58DE"/>
    <w:rsid w:val="00EB596E"/>
    <w:rsid w:val="00EB5999"/>
    <w:rsid w:val="00EB5A90"/>
    <w:rsid w:val="00EB5BE3"/>
    <w:rsid w:val="00EB5CF5"/>
    <w:rsid w:val="00EB6077"/>
    <w:rsid w:val="00EB6197"/>
    <w:rsid w:val="00EB61A6"/>
    <w:rsid w:val="00EB61C2"/>
    <w:rsid w:val="00EB623A"/>
    <w:rsid w:val="00EB62BE"/>
    <w:rsid w:val="00EB644F"/>
    <w:rsid w:val="00EB6915"/>
    <w:rsid w:val="00EB6B0C"/>
    <w:rsid w:val="00EB6B92"/>
    <w:rsid w:val="00EB6C24"/>
    <w:rsid w:val="00EB6D38"/>
    <w:rsid w:val="00EB6D5E"/>
    <w:rsid w:val="00EB6EB4"/>
    <w:rsid w:val="00EB6EC3"/>
    <w:rsid w:val="00EB6EF1"/>
    <w:rsid w:val="00EB70D0"/>
    <w:rsid w:val="00EB70E6"/>
    <w:rsid w:val="00EB71C5"/>
    <w:rsid w:val="00EB7359"/>
    <w:rsid w:val="00EB75E3"/>
    <w:rsid w:val="00EB763D"/>
    <w:rsid w:val="00EB7682"/>
    <w:rsid w:val="00EB76FF"/>
    <w:rsid w:val="00EB7BDC"/>
    <w:rsid w:val="00EB7C1E"/>
    <w:rsid w:val="00EB7CB8"/>
    <w:rsid w:val="00EB7DE5"/>
    <w:rsid w:val="00EB7DE6"/>
    <w:rsid w:val="00EB7F0E"/>
    <w:rsid w:val="00EC0001"/>
    <w:rsid w:val="00EC0142"/>
    <w:rsid w:val="00EC01B3"/>
    <w:rsid w:val="00EC098C"/>
    <w:rsid w:val="00EC0AE8"/>
    <w:rsid w:val="00EC0BA2"/>
    <w:rsid w:val="00EC0C7B"/>
    <w:rsid w:val="00EC0D84"/>
    <w:rsid w:val="00EC0F29"/>
    <w:rsid w:val="00EC10E2"/>
    <w:rsid w:val="00EC126A"/>
    <w:rsid w:val="00EC1328"/>
    <w:rsid w:val="00EC1440"/>
    <w:rsid w:val="00EC180C"/>
    <w:rsid w:val="00EC1866"/>
    <w:rsid w:val="00EC1CAD"/>
    <w:rsid w:val="00EC1EC9"/>
    <w:rsid w:val="00EC2190"/>
    <w:rsid w:val="00EC21F2"/>
    <w:rsid w:val="00EC22D6"/>
    <w:rsid w:val="00EC22F6"/>
    <w:rsid w:val="00EC2329"/>
    <w:rsid w:val="00EC2531"/>
    <w:rsid w:val="00EC26C4"/>
    <w:rsid w:val="00EC2AC3"/>
    <w:rsid w:val="00EC2E59"/>
    <w:rsid w:val="00EC3072"/>
    <w:rsid w:val="00EC3154"/>
    <w:rsid w:val="00EC32B4"/>
    <w:rsid w:val="00EC366E"/>
    <w:rsid w:val="00EC3755"/>
    <w:rsid w:val="00EC37FF"/>
    <w:rsid w:val="00EC3953"/>
    <w:rsid w:val="00EC3BB2"/>
    <w:rsid w:val="00EC3DA8"/>
    <w:rsid w:val="00EC3DAD"/>
    <w:rsid w:val="00EC3F1B"/>
    <w:rsid w:val="00EC3F25"/>
    <w:rsid w:val="00EC3FA4"/>
    <w:rsid w:val="00EC3FD4"/>
    <w:rsid w:val="00EC41A8"/>
    <w:rsid w:val="00EC43EB"/>
    <w:rsid w:val="00EC444A"/>
    <w:rsid w:val="00EC47BD"/>
    <w:rsid w:val="00EC47DD"/>
    <w:rsid w:val="00EC4A83"/>
    <w:rsid w:val="00EC4B2E"/>
    <w:rsid w:val="00EC4D0F"/>
    <w:rsid w:val="00EC4E04"/>
    <w:rsid w:val="00EC4F30"/>
    <w:rsid w:val="00EC5042"/>
    <w:rsid w:val="00EC52CE"/>
    <w:rsid w:val="00EC530F"/>
    <w:rsid w:val="00EC5AB6"/>
    <w:rsid w:val="00EC5B80"/>
    <w:rsid w:val="00EC5D8A"/>
    <w:rsid w:val="00EC5DEA"/>
    <w:rsid w:val="00EC5E5B"/>
    <w:rsid w:val="00EC605B"/>
    <w:rsid w:val="00EC6309"/>
    <w:rsid w:val="00EC637D"/>
    <w:rsid w:val="00EC6616"/>
    <w:rsid w:val="00EC66D7"/>
    <w:rsid w:val="00EC67B5"/>
    <w:rsid w:val="00EC6909"/>
    <w:rsid w:val="00EC691C"/>
    <w:rsid w:val="00EC692B"/>
    <w:rsid w:val="00EC69C6"/>
    <w:rsid w:val="00EC6ADD"/>
    <w:rsid w:val="00EC6AF8"/>
    <w:rsid w:val="00EC6BEC"/>
    <w:rsid w:val="00EC6C39"/>
    <w:rsid w:val="00EC6C70"/>
    <w:rsid w:val="00EC6D6A"/>
    <w:rsid w:val="00EC7111"/>
    <w:rsid w:val="00EC727A"/>
    <w:rsid w:val="00EC7495"/>
    <w:rsid w:val="00EC7505"/>
    <w:rsid w:val="00EC7720"/>
    <w:rsid w:val="00EC7786"/>
    <w:rsid w:val="00EC79BA"/>
    <w:rsid w:val="00EC7BFB"/>
    <w:rsid w:val="00EC7E48"/>
    <w:rsid w:val="00EC7E71"/>
    <w:rsid w:val="00EC7FE6"/>
    <w:rsid w:val="00ED038B"/>
    <w:rsid w:val="00ED06BB"/>
    <w:rsid w:val="00ED06E1"/>
    <w:rsid w:val="00ED090C"/>
    <w:rsid w:val="00ED09FE"/>
    <w:rsid w:val="00ED0B16"/>
    <w:rsid w:val="00ED0EA9"/>
    <w:rsid w:val="00ED10F0"/>
    <w:rsid w:val="00ED160E"/>
    <w:rsid w:val="00ED191B"/>
    <w:rsid w:val="00ED19D8"/>
    <w:rsid w:val="00ED1A48"/>
    <w:rsid w:val="00ED1A54"/>
    <w:rsid w:val="00ED1B57"/>
    <w:rsid w:val="00ED1C15"/>
    <w:rsid w:val="00ED213D"/>
    <w:rsid w:val="00ED220B"/>
    <w:rsid w:val="00ED249B"/>
    <w:rsid w:val="00ED24AB"/>
    <w:rsid w:val="00ED251E"/>
    <w:rsid w:val="00ED29E7"/>
    <w:rsid w:val="00ED2A9C"/>
    <w:rsid w:val="00ED2E45"/>
    <w:rsid w:val="00ED3193"/>
    <w:rsid w:val="00ED333E"/>
    <w:rsid w:val="00ED355D"/>
    <w:rsid w:val="00ED37FC"/>
    <w:rsid w:val="00ED3837"/>
    <w:rsid w:val="00ED3FD2"/>
    <w:rsid w:val="00ED4027"/>
    <w:rsid w:val="00ED4192"/>
    <w:rsid w:val="00ED4239"/>
    <w:rsid w:val="00ED42FC"/>
    <w:rsid w:val="00ED45D6"/>
    <w:rsid w:val="00ED45FA"/>
    <w:rsid w:val="00ED4649"/>
    <w:rsid w:val="00ED46C4"/>
    <w:rsid w:val="00ED47B8"/>
    <w:rsid w:val="00ED49AB"/>
    <w:rsid w:val="00ED49F3"/>
    <w:rsid w:val="00ED4AEE"/>
    <w:rsid w:val="00ED4B3D"/>
    <w:rsid w:val="00ED4C93"/>
    <w:rsid w:val="00ED4E7B"/>
    <w:rsid w:val="00ED4FC9"/>
    <w:rsid w:val="00ED50CF"/>
    <w:rsid w:val="00ED54D9"/>
    <w:rsid w:val="00ED5855"/>
    <w:rsid w:val="00ED5A99"/>
    <w:rsid w:val="00ED5D55"/>
    <w:rsid w:val="00ED5FAE"/>
    <w:rsid w:val="00ED602E"/>
    <w:rsid w:val="00ED61FD"/>
    <w:rsid w:val="00ED6419"/>
    <w:rsid w:val="00ED6551"/>
    <w:rsid w:val="00ED6646"/>
    <w:rsid w:val="00ED6698"/>
    <w:rsid w:val="00ED6699"/>
    <w:rsid w:val="00ED672B"/>
    <w:rsid w:val="00ED6849"/>
    <w:rsid w:val="00ED6868"/>
    <w:rsid w:val="00ED6897"/>
    <w:rsid w:val="00ED6F13"/>
    <w:rsid w:val="00ED7221"/>
    <w:rsid w:val="00ED7307"/>
    <w:rsid w:val="00ED734F"/>
    <w:rsid w:val="00ED73CD"/>
    <w:rsid w:val="00ED773E"/>
    <w:rsid w:val="00ED782C"/>
    <w:rsid w:val="00ED78ED"/>
    <w:rsid w:val="00ED7AD2"/>
    <w:rsid w:val="00ED7C68"/>
    <w:rsid w:val="00ED7D53"/>
    <w:rsid w:val="00ED7F0E"/>
    <w:rsid w:val="00ED7FAD"/>
    <w:rsid w:val="00EE075F"/>
    <w:rsid w:val="00EE078B"/>
    <w:rsid w:val="00EE0954"/>
    <w:rsid w:val="00EE0C15"/>
    <w:rsid w:val="00EE0C68"/>
    <w:rsid w:val="00EE11A6"/>
    <w:rsid w:val="00EE13CB"/>
    <w:rsid w:val="00EE1529"/>
    <w:rsid w:val="00EE1613"/>
    <w:rsid w:val="00EE177A"/>
    <w:rsid w:val="00EE1AFD"/>
    <w:rsid w:val="00EE1AFE"/>
    <w:rsid w:val="00EE1EC5"/>
    <w:rsid w:val="00EE203F"/>
    <w:rsid w:val="00EE20F7"/>
    <w:rsid w:val="00EE21CB"/>
    <w:rsid w:val="00EE228F"/>
    <w:rsid w:val="00EE231C"/>
    <w:rsid w:val="00EE26BF"/>
    <w:rsid w:val="00EE277C"/>
    <w:rsid w:val="00EE2820"/>
    <w:rsid w:val="00EE2C57"/>
    <w:rsid w:val="00EE2C73"/>
    <w:rsid w:val="00EE32E5"/>
    <w:rsid w:val="00EE33C9"/>
    <w:rsid w:val="00EE3527"/>
    <w:rsid w:val="00EE353D"/>
    <w:rsid w:val="00EE370E"/>
    <w:rsid w:val="00EE3A2A"/>
    <w:rsid w:val="00EE3A89"/>
    <w:rsid w:val="00EE3DE3"/>
    <w:rsid w:val="00EE3E35"/>
    <w:rsid w:val="00EE3FCA"/>
    <w:rsid w:val="00EE41DB"/>
    <w:rsid w:val="00EE4330"/>
    <w:rsid w:val="00EE4409"/>
    <w:rsid w:val="00EE4A46"/>
    <w:rsid w:val="00EE4A66"/>
    <w:rsid w:val="00EE4D1B"/>
    <w:rsid w:val="00EE4ECB"/>
    <w:rsid w:val="00EE5435"/>
    <w:rsid w:val="00EE5B40"/>
    <w:rsid w:val="00EE63AB"/>
    <w:rsid w:val="00EE676C"/>
    <w:rsid w:val="00EE6790"/>
    <w:rsid w:val="00EE684A"/>
    <w:rsid w:val="00EE6891"/>
    <w:rsid w:val="00EE6A4F"/>
    <w:rsid w:val="00EE6A8A"/>
    <w:rsid w:val="00EE6CCB"/>
    <w:rsid w:val="00EE6E66"/>
    <w:rsid w:val="00EE6EC2"/>
    <w:rsid w:val="00EE7180"/>
    <w:rsid w:val="00EE74CF"/>
    <w:rsid w:val="00EE764B"/>
    <w:rsid w:val="00EE770F"/>
    <w:rsid w:val="00EE779A"/>
    <w:rsid w:val="00EE7885"/>
    <w:rsid w:val="00EE7A62"/>
    <w:rsid w:val="00EE7E55"/>
    <w:rsid w:val="00EF0010"/>
    <w:rsid w:val="00EF0049"/>
    <w:rsid w:val="00EF04ED"/>
    <w:rsid w:val="00EF0604"/>
    <w:rsid w:val="00EF08C2"/>
    <w:rsid w:val="00EF099A"/>
    <w:rsid w:val="00EF0AAD"/>
    <w:rsid w:val="00EF0B23"/>
    <w:rsid w:val="00EF0B47"/>
    <w:rsid w:val="00EF1077"/>
    <w:rsid w:val="00EF1143"/>
    <w:rsid w:val="00EF11C2"/>
    <w:rsid w:val="00EF11C3"/>
    <w:rsid w:val="00EF12BF"/>
    <w:rsid w:val="00EF175B"/>
    <w:rsid w:val="00EF18DD"/>
    <w:rsid w:val="00EF1967"/>
    <w:rsid w:val="00EF196B"/>
    <w:rsid w:val="00EF1972"/>
    <w:rsid w:val="00EF19FA"/>
    <w:rsid w:val="00EF1A4B"/>
    <w:rsid w:val="00EF1AB4"/>
    <w:rsid w:val="00EF1AF8"/>
    <w:rsid w:val="00EF1C66"/>
    <w:rsid w:val="00EF1CF5"/>
    <w:rsid w:val="00EF1E10"/>
    <w:rsid w:val="00EF2351"/>
    <w:rsid w:val="00EF237B"/>
    <w:rsid w:val="00EF23A9"/>
    <w:rsid w:val="00EF261B"/>
    <w:rsid w:val="00EF2648"/>
    <w:rsid w:val="00EF26FA"/>
    <w:rsid w:val="00EF28FC"/>
    <w:rsid w:val="00EF296A"/>
    <w:rsid w:val="00EF2B7E"/>
    <w:rsid w:val="00EF2D3B"/>
    <w:rsid w:val="00EF3110"/>
    <w:rsid w:val="00EF3234"/>
    <w:rsid w:val="00EF3713"/>
    <w:rsid w:val="00EF3FB4"/>
    <w:rsid w:val="00EF40FA"/>
    <w:rsid w:val="00EF41E9"/>
    <w:rsid w:val="00EF4308"/>
    <w:rsid w:val="00EF4345"/>
    <w:rsid w:val="00EF44EE"/>
    <w:rsid w:val="00EF4A52"/>
    <w:rsid w:val="00EF4CF0"/>
    <w:rsid w:val="00EF4E1E"/>
    <w:rsid w:val="00EF5210"/>
    <w:rsid w:val="00EF5256"/>
    <w:rsid w:val="00EF5391"/>
    <w:rsid w:val="00EF554D"/>
    <w:rsid w:val="00EF5861"/>
    <w:rsid w:val="00EF58C6"/>
    <w:rsid w:val="00EF5B4A"/>
    <w:rsid w:val="00EF5D39"/>
    <w:rsid w:val="00EF5D6B"/>
    <w:rsid w:val="00EF5D94"/>
    <w:rsid w:val="00EF610E"/>
    <w:rsid w:val="00EF63D2"/>
    <w:rsid w:val="00EF6471"/>
    <w:rsid w:val="00EF6482"/>
    <w:rsid w:val="00EF64C5"/>
    <w:rsid w:val="00EF6658"/>
    <w:rsid w:val="00EF6713"/>
    <w:rsid w:val="00EF68C3"/>
    <w:rsid w:val="00EF68C6"/>
    <w:rsid w:val="00EF6968"/>
    <w:rsid w:val="00EF6BF3"/>
    <w:rsid w:val="00EF6C9F"/>
    <w:rsid w:val="00EF6D05"/>
    <w:rsid w:val="00EF7424"/>
    <w:rsid w:val="00EF75FE"/>
    <w:rsid w:val="00EF7600"/>
    <w:rsid w:val="00EF7647"/>
    <w:rsid w:val="00EF7670"/>
    <w:rsid w:val="00EF774C"/>
    <w:rsid w:val="00EF7794"/>
    <w:rsid w:val="00EF799C"/>
    <w:rsid w:val="00EF79A2"/>
    <w:rsid w:val="00EF7AAF"/>
    <w:rsid w:val="00EF7EE4"/>
    <w:rsid w:val="00F00055"/>
    <w:rsid w:val="00F0023D"/>
    <w:rsid w:val="00F0040C"/>
    <w:rsid w:val="00F0062D"/>
    <w:rsid w:val="00F00729"/>
    <w:rsid w:val="00F0072D"/>
    <w:rsid w:val="00F00758"/>
    <w:rsid w:val="00F00909"/>
    <w:rsid w:val="00F009F9"/>
    <w:rsid w:val="00F00B27"/>
    <w:rsid w:val="00F00B43"/>
    <w:rsid w:val="00F00EB8"/>
    <w:rsid w:val="00F00F69"/>
    <w:rsid w:val="00F01009"/>
    <w:rsid w:val="00F01461"/>
    <w:rsid w:val="00F016FD"/>
    <w:rsid w:val="00F0198D"/>
    <w:rsid w:val="00F019D2"/>
    <w:rsid w:val="00F01E3D"/>
    <w:rsid w:val="00F01EB2"/>
    <w:rsid w:val="00F01F2F"/>
    <w:rsid w:val="00F0202A"/>
    <w:rsid w:val="00F0213C"/>
    <w:rsid w:val="00F022B2"/>
    <w:rsid w:val="00F02458"/>
    <w:rsid w:val="00F025B6"/>
    <w:rsid w:val="00F0285F"/>
    <w:rsid w:val="00F02978"/>
    <w:rsid w:val="00F02A38"/>
    <w:rsid w:val="00F02C38"/>
    <w:rsid w:val="00F02DED"/>
    <w:rsid w:val="00F02FE7"/>
    <w:rsid w:val="00F030A9"/>
    <w:rsid w:val="00F03121"/>
    <w:rsid w:val="00F0316F"/>
    <w:rsid w:val="00F0336C"/>
    <w:rsid w:val="00F03454"/>
    <w:rsid w:val="00F03497"/>
    <w:rsid w:val="00F03577"/>
    <w:rsid w:val="00F035E0"/>
    <w:rsid w:val="00F039A4"/>
    <w:rsid w:val="00F039B6"/>
    <w:rsid w:val="00F03EB6"/>
    <w:rsid w:val="00F0450E"/>
    <w:rsid w:val="00F04569"/>
    <w:rsid w:val="00F048B9"/>
    <w:rsid w:val="00F048D7"/>
    <w:rsid w:val="00F048EC"/>
    <w:rsid w:val="00F04C2F"/>
    <w:rsid w:val="00F04C56"/>
    <w:rsid w:val="00F04D8D"/>
    <w:rsid w:val="00F04FFA"/>
    <w:rsid w:val="00F0509A"/>
    <w:rsid w:val="00F051B6"/>
    <w:rsid w:val="00F053F5"/>
    <w:rsid w:val="00F05412"/>
    <w:rsid w:val="00F05507"/>
    <w:rsid w:val="00F0566B"/>
    <w:rsid w:val="00F056B2"/>
    <w:rsid w:val="00F056D5"/>
    <w:rsid w:val="00F05A02"/>
    <w:rsid w:val="00F05C13"/>
    <w:rsid w:val="00F05D7D"/>
    <w:rsid w:val="00F05E67"/>
    <w:rsid w:val="00F05EE8"/>
    <w:rsid w:val="00F05F23"/>
    <w:rsid w:val="00F05FD2"/>
    <w:rsid w:val="00F06016"/>
    <w:rsid w:val="00F060C3"/>
    <w:rsid w:val="00F062D2"/>
    <w:rsid w:val="00F0653A"/>
    <w:rsid w:val="00F066D2"/>
    <w:rsid w:val="00F06892"/>
    <w:rsid w:val="00F068CF"/>
    <w:rsid w:val="00F068DC"/>
    <w:rsid w:val="00F06A6F"/>
    <w:rsid w:val="00F06BAF"/>
    <w:rsid w:val="00F06D7F"/>
    <w:rsid w:val="00F06DF7"/>
    <w:rsid w:val="00F06F92"/>
    <w:rsid w:val="00F0722D"/>
    <w:rsid w:val="00F07414"/>
    <w:rsid w:val="00F0752D"/>
    <w:rsid w:val="00F0753D"/>
    <w:rsid w:val="00F0793D"/>
    <w:rsid w:val="00F07C5A"/>
    <w:rsid w:val="00F07E91"/>
    <w:rsid w:val="00F07FB8"/>
    <w:rsid w:val="00F103B7"/>
    <w:rsid w:val="00F10456"/>
    <w:rsid w:val="00F1071B"/>
    <w:rsid w:val="00F10C69"/>
    <w:rsid w:val="00F10CB3"/>
    <w:rsid w:val="00F10DA1"/>
    <w:rsid w:val="00F10E47"/>
    <w:rsid w:val="00F10EFB"/>
    <w:rsid w:val="00F10F15"/>
    <w:rsid w:val="00F10F85"/>
    <w:rsid w:val="00F11043"/>
    <w:rsid w:val="00F112C3"/>
    <w:rsid w:val="00F1149E"/>
    <w:rsid w:val="00F11875"/>
    <w:rsid w:val="00F119AA"/>
    <w:rsid w:val="00F11AC1"/>
    <w:rsid w:val="00F11B43"/>
    <w:rsid w:val="00F11D63"/>
    <w:rsid w:val="00F11D99"/>
    <w:rsid w:val="00F120FD"/>
    <w:rsid w:val="00F1287C"/>
    <w:rsid w:val="00F12890"/>
    <w:rsid w:val="00F12ADF"/>
    <w:rsid w:val="00F12C07"/>
    <w:rsid w:val="00F12D83"/>
    <w:rsid w:val="00F12E98"/>
    <w:rsid w:val="00F12EF9"/>
    <w:rsid w:val="00F12FF0"/>
    <w:rsid w:val="00F13067"/>
    <w:rsid w:val="00F1337F"/>
    <w:rsid w:val="00F13A1A"/>
    <w:rsid w:val="00F13A4E"/>
    <w:rsid w:val="00F13AE7"/>
    <w:rsid w:val="00F13BBD"/>
    <w:rsid w:val="00F1449A"/>
    <w:rsid w:val="00F1468D"/>
    <w:rsid w:val="00F1480C"/>
    <w:rsid w:val="00F14875"/>
    <w:rsid w:val="00F14921"/>
    <w:rsid w:val="00F1498E"/>
    <w:rsid w:val="00F149BE"/>
    <w:rsid w:val="00F14AA1"/>
    <w:rsid w:val="00F14D59"/>
    <w:rsid w:val="00F14DD8"/>
    <w:rsid w:val="00F14F88"/>
    <w:rsid w:val="00F15216"/>
    <w:rsid w:val="00F15366"/>
    <w:rsid w:val="00F15420"/>
    <w:rsid w:val="00F1547E"/>
    <w:rsid w:val="00F154ED"/>
    <w:rsid w:val="00F1570C"/>
    <w:rsid w:val="00F15942"/>
    <w:rsid w:val="00F1594C"/>
    <w:rsid w:val="00F15A3F"/>
    <w:rsid w:val="00F15B3C"/>
    <w:rsid w:val="00F15C46"/>
    <w:rsid w:val="00F15D76"/>
    <w:rsid w:val="00F15DB7"/>
    <w:rsid w:val="00F15E00"/>
    <w:rsid w:val="00F15F89"/>
    <w:rsid w:val="00F1604A"/>
    <w:rsid w:val="00F163CE"/>
    <w:rsid w:val="00F1691C"/>
    <w:rsid w:val="00F16A5D"/>
    <w:rsid w:val="00F16A73"/>
    <w:rsid w:val="00F16AF1"/>
    <w:rsid w:val="00F16B3A"/>
    <w:rsid w:val="00F16C1A"/>
    <w:rsid w:val="00F16D93"/>
    <w:rsid w:val="00F16E26"/>
    <w:rsid w:val="00F16EA6"/>
    <w:rsid w:val="00F1733F"/>
    <w:rsid w:val="00F1737C"/>
    <w:rsid w:val="00F173B5"/>
    <w:rsid w:val="00F17490"/>
    <w:rsid w:val="00F1776B"/>
    <w:rsid w:val="00F177C8"/>
    <w:rsid w:val="00F17844"/>
    <w:rsid w:val="00F17B86"/>
    <w:rsid w:val="00F17D51"/>
    <w:rsid w:val="00F17DB1"/>
    <w:rsid w:val="00F17DB3"/>
    <w:rsid w:val="00F17FE6"/>
    <w:rsid w:val="00F20069"/>
    <w:rsid w:val="00F201D4"/>
    <w:rsid w:val="00F201D5"/>
    <w:rsid w:val="00F203BF"/>
    <w:rsid w:val="00F203F8"/>
    <w:rsid w:val="00F2047E"/>
    <w:rsid w:val="00F2078B"/>
    <w:rsid w:val="00F20991"/>
    <w:rsid w:val="00F20BB9"/>
    <w:rsid w:val="00F20D50"/>
    <w:rsid w:val="00F21158"/>
    <w:rsid w:val="00F211E6"/>
    <w:rsid w:val="00F21283"/>
    <w:rsid w:val="00F213F0"/>
    <w:rsid w:val="00F21456"/>
    <w:rsid w:val="00F2148D"/>
    <w:rsid w:val="00F215A4"/>
    <w:rsid w:val="00F21623"/>
    <w:rsid w:val="00F216D0"/>
    <w:rsid w:val="00F21A96"/>
    <w:rsid w:val="00F21AB6"/>
    <w:rsid w:val="00F21AD3"/>
    <w:rsid w:val="00F21C36"/>
    <w:rsid w:val="00F21C73"/>
    <w:rsid w:val="00F21F42"/>
    <w:rsid w:val="00F21FBE"/>
    <w:rsid w:val="00F2228D"/>
    <w:rsid w:val="00F225F9"/>
    <w:rsid w:val="00F2265C"/>
    <w:rsid w:val="00F2293D"/>
    <w:rsid w:val="00F22ACE"/>
    <w:rsid w:val="00F22C63"/>
    <w:rsid w:val="00F22C8E"/>
    <w:rsid w:val="00F22CC9"/>
    <w:rsid w:val="00F22CED"/>
    <w:rsid w:val="00F23204"/>
    <w:rsid w:val="00F2345C"/>
    <w:rsid w:val="00F23550"/>
    <w:rsid w:val="00F235CB"/>
    <w:rsid w:val="00F23F5D"/>
    <w:rsid w:val="00F24334"/>
    <w:rsid w:val="00F24428"/>
    <w:rsid w:val="00F24552"/>
    <w:rsid w:val="00F245A5"/>
    <w:rsid w:val="00F2464B"/>
    <w:rsid w:val="00F24760"/>
    <w:rsid w:val="00F247F9"/>
    <w:rsid w:val="00F2486E"/>
    <w:rsid w:val="00F24C63"/>
    <w:rsid w:val="00F24DF7"/>
    <w:rsid w:val="00F24F4F"/>
    <w:rsid w:val="00F252F5"/>
    <w:rsid w:val="00F2548F"/>
    <w:rsid w:val="00F25820"/>
    <w:rsid w:val="00F25838"/>
    <w:rsid w:val="00F25C50"/>
    <w:rsid w:val="00F26310"/>
    <w:rsid w:val="00F263CA"/>
    <w:rsid w:val="00F26578"/>
    <w:rsid w:val="00F26A5F"/>
    <w:rsid w:val="00F26A7E"/>
    <w:rsid w:val="00F26B59"/>
    <w:rsid w:val="00F26D21"/>
    <w:rsid w:val="00F26EB1"/>
    <w:rsid w:val="00F26F0C"/>
    <w:rsid w:val="00F26F74"/>
    <w:rsid w:val="00F271DA"/>
    <w:rsid w:val="00F274D2"/>
    <w:rsid w:val="00F275AC"/>
    <w:rsid w:val="00F275D8"/>
    <w:rsid w:val="00F2794D"/>
    <w:rsid w:val="00F27B56"/>
    <w:rsid w:val="00F27C06"/>
    <w:rsid w:val="00F27E34"/>
    <w:rsid w:val="00F27EBE"/>
    <w:rsid w:val="00F27FB1"/>
    <w:rsid w:val="00F30051"/>
    <w:rsid w:val="00F30106"/>
    <w:rsid w:val="00F30402"/>
    <w:rsid w:val="00F304C3"/>
    <w:rsid w:val="00F305C9"/>
    <w:rsid w:val="00F30713"/>
    <w:rsid w:val="00F30947"/>
    <w:rsid w:val="00F30AB1"/>
    <w:rsid w:val="00F30AB5"/>
    <w:rsid w:val="00F30ACD"/>
    <w:rsid w:val="00F310AE"/>
    <w:rsid w:val="00F31127"/>
    <w:rsid w:val="00F3112D"/>
    <w:rsid w:val="00F31222"/>
    <w:rsid w:val="00F31228"/>
    <w:rsid w:val="00F31261"/>
    <w:rsid w:val="00F31544"/>
    <w:rsid w:val="00F3180E"/>
    <w:rsid w:val="00F3186B"/>
    <w:rsid w:val="00F319C0"/>
    <w:rsid w:val="00F31BB7"/>
    <w:rsid w:val="00F31CC3"/>
    <w:rsid w:val="00F31D2F"/>
    <w:rsid w:val="00F31F5B"/>
    <w:rsid w:val="00F32027"/>
    <w:rsid w:val="00F325C0"/>
    <w:rsid w:val="00F3276D"/>
    <w:rsid w:val="00F3291E"/>
    <w:rsid w:val="00F32B38"/>
    <w:rsid w:val="00F33172"/>
    <w:rsid w:val="00F334C9"/>
    <w:rsid w:val="00F33545"/>
    <w:rsid w:val="00F336CB"/>
    <w:rsid w:val="00F33961"/>
    <w:rsid w:val="00F33AC8"/>
    <w:rsid w:val="00F33CD0"/>
    <w:rsid w:val="00F33DC5"/>
    <w:rsid w:val="00F341E9"/>
    <w:rsid w:val="00F342C6"/>
    <w:rsid w:val="00F34614"/>
    <w:rsid w:val="00F347D7"/>
    <w:rsid w:val="00F34872"/>
    <w:rsid w:val="00F348BA"/>
    <w:rsid w:val="00F348DA"/>
    <w:rsid w:val="00F3491B"/>
    <w:rsid w:val="00F349CD"/>
    <w:rsid w:val="00F34C6E"/>
    <w:rsid w:val="00F34CB4"/>
    <w:rsid w:val="00F34F5C"/>
    <w:rsid w:val="00F35577"/>
    <w:rsid w:val="00F356D7"/>
    <w:rsid w:val="00F356E4"/>
    <w:rsid w:val="00F35F84"/>
    <w:rsid w:val="00F36417"/>
    <w:rsid w:val="00F3647B"/>
    <w:rsid w:val="00F3648E"/>
    <w:rsid w:val="00F3661F"/>
    <w:rsid w:val="00F36994"/>
    <w:rsid w:val="00F36AD7"/>
    <w:rsid w:val="00F36B10"/>
    <w:rsid w:val="00F36B67"/>
    <w:rsid w:val="00F36EED"/>
    <w:rsid w:val="00F3705D"/>
    <w:rsid w:val="00F370B9"/>
    <w:rsid w:val="00F374C5"/>
    <w:rsid w:val="00F374D5"/>
    <w:rsid w:val="00F3754E"/>
    <w:rsid w:val="00F3775B"/>
    <w:rsid w:val="00F37A09"/>
    <w:rsid w:val="00F37BBC"/>
    <w:rsid w:val="00F37D5F"/>
    <w:rsid w:val="00F40219"/>
    <w:rsid w:val="00F40637"/>
    <w:rsid w:val="00F409E6"/>
    <w:rsid w:val="00F40C9F"/>
    <w:rsid w:val="00F40D47"/>
    <w:rsid w:val="00F40D91"/>
    <w:rsid w:val="00F40E20"/>
    <w:rsid w:val="00F40F6F"/>
    <w:rsid w:val="00F4120A"/>
    <w:rsid w:val="00F41276"/>
    <w:rsid w:val="00F412DC"/>
    <w:rsid w:val="00F41415"/>
    <w:rsid w:val="00F41516"/>
    <w:rsid w:val="00F41628"/>
    <w:rsid w:val="00F41660"/>
    <w:rsid w:val="00F416EE"/>
    <w:rsid w:val="00F418BC"/>
    <w:rsid w:val="00F41D86"/>
    <w:rsid w:val="00F41DEF"/>
    <w:rsid w:val="00F41EBB"/>
    <w:rsid w:val="00F4222C"/>
    <w:rsid w:val="00F42236"/>
    <w:rsid w:val="00F422BB"/>
    <w:rsid w:val="00F4265E"/>
    <w:rsid w:val="00F427AF"/>
    <w:rsid w:val="00F4283E"/>
    <w:rsid w:val="00F4284C"/>
    <w:rsid w:val="00F428BE"/>
    <w:rsid w:val="00F42C13"/>
    <w:rsid w:val="00F42C99"/>
    <w:rsid w:val="00F42F57"/>
    <w:rsid w:val="00F431E6"/>
    <w:rsid w:val="00F4324A"/>
    <w:rsid w:val="00F43342"/>
    <w:rsid w:val="00F434C8"/>
    <w:rsid w:val="00F435D3"/>
    <w:rsid w:val="00F435E9"/>
    <w:rsid w:val="00F43620"/>
    <w:rsid w:val="00F43925"/>
    <w:rsid w:val="00F43BEA"/>
    <w:rsid w:val="00F43CFD"/>
    <w:rsid w:val="00F43DEC"/>
    <w:rsid w:val="00F43FA0"/>
    <w:rsid w:val="00F440B8"/>
    <w:rsid w:val="00F44483"/>
    <w:rsid w:val="00F448E0"/>
    <w:rsid w:val="00F4492E"/>
    <w:rsid w:val="00F449BC"/>
    <w:rsid w:val="00F44A0F"/>
    <w:rsid w:val="00F44AD7"/>
    <w:rsid w:val="00F44C9F"/>
    <w:rsid w:val="00F44CB5"/>
    <w:rsid w:val="00F44EF3"/>
    <w:rsid w:val="00F45031"/>
    <w:rsid w:val="00F452F9"/>
    <w:rsid w:val="00F4590C"/>
    <w:rsid w:val="00F45A28"/>
    <w:rsid w:val="00F45A7D"/>
    <w:rsid w:val="00F45C95"/>
    <w:rsid w:val="00F45CB9"/>
    <w:rsid w:val="00F45E77"/>
    <w:rsid w:val="00F45F46"/>
    <w:rsid w:val="00F46365"/>
    <w:rsid w:val="00F46678"/>
    <w:rsid w:val="00F4692D"/>
    <w:rsid w:val="00F46A4D"/>
    <w:rsid w:val="00F46C4B"/>
    <w:rsid w:val="00F46DDB"/>
    <w:rsid w:val="00F46DED"/>
    <w:rsid w:val="00F46EAE"/>
    <w:rsid w:val="00F46EBA"/>
    <w:rsid w:val="00F46EF5"/>
    <w:rsid w:val="00F46FA9"/>
    <w:rsid w:val="00F46FEE"/>
    <w:rsid w:val="00F4702E"/>
    <w:rsid w:val="00F4723A"/>
    <w:rsid w:val="00F473C4"/>
    <w:rsid w:val="00F47566"/>
    <w:rsid w:val="00F47771"/>
    <w:rsid w:val="00F47C33"/>
    <w:rsid w:val="00F47D7F"/>
    <w:rsid w:val="00F47E16"/>
    <w:rsid w:val="00F500F9"/>
    <w:rsid w:val="00F50130"/>
    <w:rsid w:val="00F504E2"/>
    <w:rsid w:val="00F50595"/>
    <w:rsid w:val="00F506A9"/>
    <w:rsid w:val="00F5090C"/>
    <w:rsid w:val="00F50B09"/>
    <w:rsid w:val="00F50BF8"/>
    <w:rsid w:val="00F50C09"/>
    <w:rsid w:val="00F51242"/>
    <w:rsid w:val="00F51453"/>
    <w:rsid w:val="00F51749"/>
    <w:rsid w:val="00F51820"/>
    <w:rsid w:val="00F518A5"/>
    <w:rsid w:val="00F519A1"/>
    <w:rsid w:val="00F51AEF"/>
    <w:rsid w:val="00F51FA4"/>
    <w:rsid w:val="00F520B5"/>
    <w:rsid w:val="00F522A2"/>
    <w:rsid w:val="00F52610"/>
    <w:rsid w:val="00F52670"/>
    <w:rsid w:val="00F528C7"/>
    <w:rsid w:val="00F529B0"/>
    <w:rsid w:val="00F52A5C"/>
    <w:rsid w:val="00F52BD7"/>
    <w:rsid w:val="00F52BE1"/>
    <w:rsid w:val="00F53082"/>
    <w:rsid w:val="00F534C2"/>
    <w:rsid w:val="00F5376F"/>
    <w:rsid w:val="00F538C7"/>
    <w:rsid w:val="00F539BF"/>
    <w:rsid w:val="00F53B52"/>
    <w:rsid w:val="00F53D4A"/>
    <w:rsid w:val="00F53FD9"/>
    <w:rsid w:val="00F541B7"/>
    <w:rsid w:val="00F5445C"/>
    <w:rsid w:val="00F544E1"/>
    <w:rsid w:val="00F54702"/>
    <w:rsid w:val="00F548BE"/>
    <w:rsid w:val="00F54954"/>
    <w:rsid w:val="00F54BD0"/>
    <w:rsid w:val="00F54BE0"/>
    <w:rsid w:val="00F54D7F"/>
    <w:rsid w:val="00F54D9B"/>
    <w:rsid w:val="00F54DDE"/>
    <w:rsid w:val="00F54DEA"/>
    <w:rsid w:val="00F55175"/>
    <w:rsid w:val="00F55230"/>
    <w:rsid w:val="00F55279"/>
    <w:rsid w:val="00F552D9"/>
    <w:rsid w:val="00F556E3"/>
    <w:rsid w:val="00F55738"/>
    <w:rsid w:val="00F558A6"/>
    <w:rsid w:val="00F55FF9"/>
    <w:rsid w:val="00F5611F"/>
    <w:rsid w:val="00F561F5"/>
    <w:rsid w:val="00F562BC"/>
    <w:rsid w:val="00F564C2"/>
    <w:rsid w:val="00F5667F"/>
    <w:rsid w:val="00F567C1"/>
    <w:rsid w:val="00F569F1"/>
    <w:rsid w:val="00F56B15"/>
    <w:rsid w:val="00F570D4"/>
    <w:rsid w:val="00F5738D"/>
    <w:rsid w:val="00F5743D"/>
    <w:rsid w:val="00F57455"/>
    <w:rsid w:val="00F575ED"/>
    <w:rsid w:val="00F57611"/>
    <w:rsid w:val="00F576A1"/>
    <w:rsid w:val="00F576E6"/>
    <w:rsid w:val="00F5776F"/>
    <w:rsid w:val="00F57A56"/>
    <w:rsid w:val="00F57A62"/>
    <w:rsid w:val="00F57C73"/>
    <w:rsid w:val="00F57D1D"/>
    <w:rsid w:val="00F57F5B"/>
    <w:rsid w:val="00F60055"/>
    <w:rsid w:val="00F602C4"/>
    <w:rsid w:val="00F6032A"/>
    <w:rsid w:val="00F60489"/>
    <w:rsid w:val="00F60620"/>
    <w:rsid w:val="00F60B9B"/>
    <w:rsid w:val="00F60EC7"/>
    <w:rsid w:val="00F60FE4"/>
    <w:rsid w:val="00F6105C"/>
    <w:rsid w:val="00F61117"/>
    <w:rsid w:val="00F611BA"/>
    <w:rsid w:val="00F615DF"/>
    <w:rsid w:val="00F61615"/>
    <w:rsid w:val="00F616D5"/>
    <w:rsid w:val="00F61733"/>
    <w:rsid w:val="00F61B21"/>
    <w:rsid w:val="00F61C95"/>
    <w:rsid w:val="00F61D61"/>
    <w:rsid w:val="00F61E31"/>
    <w:rsid w:val="00F62272"/>
    <w:rsid w:val="00F626BE"/>
    <w:rsid w:val="00F629AA"/>
    <w:rsid w:val="00F629EE"/>
    <w:rsid w:val="00F62B2D"/>
    <w:rsid w:val="00F62FFA"/>
    <w:rsid w:val="00F63385"/>
    <w:rsid w:val="00F63442"/>
    <w:rsid w:val="00F63636"/>
    <w:rsid w:val="00F63832"/>
    <w:rsid w:val="00F63A12"/>
    <w:rsid w:val="00F63FAE"/>
    <w:rsid w:val="00F640B9"/>
    <w:rsid w:val="00F641A9"/>
    <w:rsid w:val="00F64342"/>
    <w:rsid w:val="00F644BC"/>
    <w:rsid w:val="00F645FC"/>
    <w:rsid w:val="00F646F7"/>
    <w:rsid w:val="00F646FF"/>
    <w:rsid w:val="00F64BA1"/>
    <w:rsid w:val="00F650EE"/>
    <w:rsid w:val="00F65239"/>
    <w:rsid w:val="00F65282"/>
    <w:rsid w:val="00F6528E"/>
    <w:rsid w:val="00F65563"/>
    <w:rsid w:val="00F6578D"/>
    <w:rsid w:val="00F657D7"/>
    <w:rsid w:val="00F657E1"/>
    <w:rsid w:val="00F65B1A"/>
    <w:rsid w:val="00F65B1E"/>
    <w:rsid w:val="00F66087"/>
    <w:rsid w:val="00F6610C"/>
    <w:rsid w:val="00F66955"/>
    <w:rsid w:val="00F669D1"/>
    <w:rsid w:val="00F66D31"/>
    <w:rsid w:val="00F67072"/>
    <w:rsid w:val="00F67467"/>
    <w:rsid w:val="00F67682"/>
    <w:rsid w:val="00F67A43"/>
    <w:rsid w:val="00F67C8A"/>
    <w:rsid w:val="00F67CA2"/>
    <w:rsid w:val="00F67D05"/>
    <w:rsid w:val="00F67E1D"/>
    <w:rsid w:val="00F700F5"/>
    <w:rsid w:val="00F70349"/>
    <w:rsid w:val="00F703ED"/>
    <w:rsid w:val="00F70737"/>
    <w:rsid w:val="00F7084B"/>
    <w:rsid w:val="00F709C4"/>
    <w:rsid w:val="00F70ABD"/>
    <w:rsid w:val="00F70BCB"/>
    <w:rsid w:val="00F70D1C"/>
    <w:rsid w:val="00F70E0C"/>
    <w:rsid w:val="00F7117B"/>
    <w:rsid w:val="00F711C6"/>
    <w:rsid w:val="00F711C7"/>
    <w:rsid w:val="00F711D6"/>
    <w:rsid w:val="00F71294"/>
    <w:rsid w:val="00F71326"/>
    <w:rsid w:val="00F716C5"/>
    <w:rsid w:val="00F7180D"/>
    <w:rsid w:val="00F71B5C"/>
    <w:rsid w:val="00F71C91"/>
    <w:rsid w:val="00F71EBF"/>
    <w:rsid w:val="00F723BC"/>
    <w:rsid w:val="00F7250C"/>
    <w:rsid w:val="00F72761"/>
    <w:rsid w:val="00F7279B"/>
    <w:rsid w:val="00F7283A"/>
    <w:rsid w:val="00F72A82"/>
    <w:rsid w:val="00F72AF4"/>
    <w:rsid w:val="00F72B04"/>
    <w:rsid w:val="00F730C7"/>
    <w:rsid w:val="00F73174"/>
    <w:rsid w:val="00F731C2"/>
    <w:rsid w:val="00F731E5"/>
    <w:rsid w:val="00F734CD"/>
    <w:rsid w:val="00F73503"/>
    <w:rsid w:val="00F73577"/>
    <w:rsid w:val="00F73645"/>
    <w:rsid w:val="00F737D6"/>
    <w:rsid w:val="00F7386C"/>
    <w:rsid w:val="00F73AEA"/>
    <w:rsid w:val="00F73B6A"/>
    <w:rsid w:val="00F73BE6"/>
    <w:rsid w:val="00F73E9D"/>
    <w:rsid w:val="00F73F8D"/>
    <w:rsid w:val="00F73F99"/>
    <w:rsid w:val="00F7402C"/>
    <w:rsid w:val="00F74398"/>
    <w:rsid w:val="00F7489E"/>
    <w:rsid w:val="00F748A6"/>
    <w:rsid w:val="00F7493E"/>
    <w:rsid w:val="00F74DB8"/>
    <w:rsid w:val="00F74E4A"/>
    <w:rsid w:val="00F75138"/>
    <w:rsid w:val="00F7516A"/>
    <w:rsid w:val="00F751FA"/>
    <w:rsid w:val="00F7528A"/>
    <w:rsid w:val="00F752B6"/>
    <w:rsid w:val="00F753AF"/>
    <w:rsid w:val="00F75446"/>
    <w:rsid w:val="00F754F2"/>
    <w:rsid w:val="00F7558F"/>
    <w:rsid w:val="00F75B1F"/>
    <w:rsid w:val="00F75BE6"/>
    <w:rsid w:val="00F75DDC"/>
    <w:rsid w:val="00F75EE8"/>
    <w:rsid w:val="00F7634D"/>
    <w:rsid w:val="00F763DF"/>
    <w:rsid w:val="00F7656B"/>
    <w:rsid w:val="00F765A7"/>
    <w:rsid w:val="00F7688F"/>
    <w:rsid w:val="00F76B26"/>
    <w:rsid w:val="00F76CC9"/>
    <w:rsid w:val="00F76E58"/>
    <w:rsid w:val="00F773EA"/>
    <w:rsid w:val="00F77435"/>
    <w:rsid w:val="00F77541"/>
    <w:rsid w:val="00F7766A"/>
    <w:rsid w:val="00F7798F"/>
    <w:rsid w:val="00F77B07"/>
    <w:rsid w:val="00F77D51"/>
    <w:rsid w:val="00F77E66"/>
    <w:rsid w:val="00F77F36"/>
    <w:rsid w:val="00F80009"/>
    <w:rsid w:val="00F8012F"/>
    <w:rsid w:val="00F801F8"/>
    <w:rsid w:val="00F8024E"/>
    <w:rsid w:val="00F80506"/>
    <w:rsid w:val="00F8061C"/>
    <w:rsid w:val="00F809D9"/>
    <w:rsid w:val="00F80D79"/>
    <w:rsid w:val="00F80EF7"/>
    <w:rsid w:val="00F80F68"/>
    <w:rsid w:val="00F810A3"/>
    <w:rsid w:val="00F81331"/>
    <w:rsid w:val="00F813A2"/>
    <w:rsid w:val="00F818E3"/>
    <w:rsid w:val="00F8191C"/>
    <w:rsid w:val="00F81BFE"/>
    <w:rsid w:val="00F81D05"/>
    <w:rsid w:val="00F81F91"/>
    <w:rsid w:val="00F821E4"/>
    <w:rsid w:val="00F8267C"/>
    <w:rsid w:val="00F82898"/>
    <w:rsid w:val="00F82A12"/>
    <w:rsid w:val="00F82BD9"/>
    <w:rsid w:val="00F82C84"/>
    <w:rsid w:val="00F82F7B"/>
    <w:rsid w:val="00F83407"/>
    <w:rsid w:val="00F83509"/>
    <w:rsid w:val="00F83611"/>
    <w:rsid w:val="00F837CA"/>
    <w:rsid w:val="00F839CE"/>
    <w:rsid w:val="00F83B50"/>
    <w:rsid w:val="00F83B9B"/>
    <w:rsid w:val="00F83C32"/>
    <w:rsid w:val="00F8419A"/>
    <w:rsid w:val="00F843B8"/>
    <w:rsid w:val="00F84561"/>
    <w:rsid w:val="00F84A7A"/>
    <w:rsid w:val="00F84DBB"/>
    <w:rsid w:val="00F84E2A"/>
    <w:rsid w:val="00F84ED2"/>
    <w:rsid w:val="00F850C2"/>
    <w:rsid w:val="00F85354"/>
    <w:rsid w:val="00F853AC"/>
    <w:rsid w:val="00F8547C"/>
    <w:rsid w:val="00F858DD"/>
    <w:rsid w:val="00F85946"/>
    <w:rsid w:val="00F85A34"/>
    <w:rsid w:val="00F85A8C"/>
    <w:rsid w:val="00F85CD1"/>
    <w:rsid w:val="00F85D7D"/>
    <w:rsid w:val="00F85E58"/>
    <w:rsid w:val="00F85F2A"/>
    <w:rsid w:val="00F86034"/>
    <w:rsid w:val="00F86078"/>
    <w:rsid w:val="00F860E2"/>
    <w:rsid w:val="00F86570"/>
    <w:rsid w:val="00F865BE"/>
    <w:rsid w:val="00F86BA8"/>
    <w:rsid w:val="00F86BBD"/>
    <w:rsid w:val="00F86E6F"/>
    <w:rsid w:val="00F870E4"/>
    <w:rsid w:val="00F871F0"/>
    <w:rsid w:val="00F87201"/>
    <w:rsid w:val="00F87561"/>
    <w:rsid w:val="00F8779C"/>
    <w:rsid w:val="00F87D93"/>
    <w:rsid w:val="00F9005C"/>
    <w:rsid w:val="00F900FD"/>
    <w:rsid w:val="00F90290"/>
    <w:rsid w:val="00F902EA"/>
    <w:rsid w:val="00F9042D"/>
    <w:rsid w:val="00F90430"/>
    <w:rsid w:val="00F9058E"/>
    <w:rsid w:val="00F9058F"/>
    <w:rsid w:val="00F907E8"/>
    <w:rsid w:val="00F9082E"/>
    <w:rsid w:val="00F9094F"/>
    <w:rsid w:val="00F90BEC"/>
    <w:rsid w:val="00F90F29"/>
    <w:rsid w:val="00F90F49"/>
    <w:rsid w:val="00F91113"/>
    <w:rsid w:val="00F91497"/>
    <w:rsid w:val="00F91550"/>
    <w:rsid w:val="00F915C4"/>
    <w:rsid w:val="00F9178F"/>
    <w:rsid w:val="00F917FE"/>
    <w:rsid w:val="00F91895"/>
    <w:rsid w:val="00F91896"/>
    <w:rsid w:val="00F91969"/>
    <w:rsid w:val="00F91AE7"/>
    <w:rsid w:val="00F91D38"/>
    <w:rsid w:val="00F91ED3"/>
    <w:rsid w:val="00F91F4B"/>
    <w:rsid w:val="00F92B19"/>
    <w:rsid w:val="00F92FFD"/>
    <w:rsid w:val="00F93342"/>
    <w:rsid w:val="00F93431"/>
    <w:rsid w:val="00F935DF"/>
    <w:rsid w:val="00F938B8"/>
    <w:rsid w:val="00F93960"/>
    <w:rsid w:val="00F939D5"/>
    <w:rsid w:val="00F93C0B"/>
    <w:rsid w:val="00F93C20"/>
    <w:rsid w:val="00F93C96"/>
    <w:rsid w:val="00F93D47"/>
    <w:rsid w:val="00F93E1F"/>
    <w:rsid w:val="00F93E2F"/>
    <w:rsid w:val="00F93EC5"/>
    <w:rsid w:val="00F94492"/>
    <w:rsid w:val="00F94621"/>
    <w:rsid w:val="00F946D0"/>
    <w:rsid w:val="00F946DA"/>
    <w:rsid w:val="00F948B2"/>
    <w:rsid w:val="00F94CB0"/>
    <w:rsid w:val="00F94DC6"/>
    <w:rsid w:val="00F95606"/>
    <w:rsid w:val="00F956A9"/>
    <w:rsid w:val="00F956AE"/>
    <w:rsid w:val="00F95A8E"/>
    <w:rsid w:val="00F95BBF"/>
    <w:rsid w:val="00F95BC2"/>
    <w:rsid w:val="00F95E85"/>
    <w:rsid w:val="00F95E9F"/>
    <w:rsid w:val="00F95EB7"/>
    <w:rsid w:val="00F961E0"/>
    <w:rsid w:val="00F96616"/>
    <w:rsid w:val="00F96770"/>
    <w:rsid w:val="00F969AB"/>
    <w:rsid w:val="00F96A59"/>
    <w:rsid w:val="00F96D95"/>
    <w:rsid w:val="00F96DEC"/>
    <w:rsid w:val="00F9709B"/>
    <w:rsid w:val="00F9717A"/>
    <w:rsid w:val="00F9725D"/>
    <w:rsid w:val="00F972B8"/>
    <w:rsid w:val="00F97393"/>
    <w:rsid w:val="00F973E3"/>
    <w:rsid w:val="00F97511"/>
    <w:rsid w:val="00F975F6"/>
    <w:rsid w:val="00F9780E"/>
    <w:rsid w:val="00F97878"/>
    <w:rsid w:val="00F97CA7"/>
    <w:rsid w:val="00F97D5F"/>
    <w:rsid w:val="00FA0228"/>
    <w:rsid w:val="00FA02D2"/>
    <w:rsid w:val="00FA0352"/>
    <w:rsid w:val="00FA041C"/>
    <w:rsid w:val="00FA078F"/>
    <w:rsid w:val="00FA0964"/>
    <w:rsid w:val="00FA0C65"/>
    <w:rsid w:val="00FA0C88"/>
    <w:rsid w:val="00FA0CAA"/>
    <w:rsid w:val="00FA0CCD"/>
    <w:rsid w:val="00FA0D0C"/>
    <w:rsid w:val="00FA1335"/>
    <w:rsid w:val="00FA1339"/>
    <w:rsid w:val="00FA13D3"/>
    <w:rsid w:val="00FA168C"/>
    <w:rsid w:val="00FA16E6"/>
    <w:rsid w:val="00FA1BDF"/>
    <w:rsid w:val="00FA1CD8"/>
    <w:rsid w:val="00FA1D9E"/>
    <w:rsid w:val="00FA1E51"/>
    <w:rsid w:val="00FA22FA"/>
    <w:rsid w:val="00FA2354"/>
    <w:rsid w:val="00FA23AA"/>
    <w:rsid w:val="00FA261E"/>
    <w:rsid w:val="00FA284E"/>
    <w:rsid w:val="00FA2C77"/>
    <w:rsid w:val="00FA2F47"/>
    <w:rsid w:val="00FA3309"/>
    <w:rsid w:val="00FA3529"/>
    <w:rsid w:val="00FA36F0"/>
    <w:rsid w:val="00FA381C"/>
    <w:rsid w:val="00FA3980"/>
    <w:rsid w:val="00FA3C2A"/>
    <w:rsid w:val="00FA3DE7"/>
    <w:rsid w:val="00FA3EB6"/>
    <w:rsid w:val="00FA41F4"/>
    <w:rsid w:val="00FA4290"/>
    <w:rsid w:val="00FA42AE"/>
    <w:rsid w:val="00FA4302"/>
    <w:rsid w:val="00FA440D"/>
    <w:rsid w:val="00FA4654"/>
    <w:rsid w:val="00FA47D9"/>
    <w:rsid w:val="00FA4922"/>
    <w:rsid w:val="00FA4B55"/>
    <w:rsid w:val="00FA4F47"/>
    <w:rsid w:val="00FA51F3"/>
    <w:rsid w:val="00FA526C"/>
    <w:rsid w:val="00FA53B1"/>
    <w:rsid w:val="00FA54CA"/>
    <w:rsid w:val="00FA5592"/>
    <w:rsid w:val="00FA5600"/>
    <w:rsid w:val="00FA562A"/>
    <w:rsid w:val="00FA5720"/>
    <w:rsid w:val="00FA584A"/>
    <w:rsid w:val="00FA59C2"/>
    <w:rsid w:val="00FA5B88"/>
    <w:rsid w:val="00FA5BD2"/>
    <w:rsid w:val="00FA5C24"/>
    <w:rsid w:val="00FA5C4B"/>
    <w:rsid w:val="00FA5FA6"/>
    <w:rsid w:val="00FA5FED"/>
    <w:rsid w:val="00FA61E2"/>
    <w:rsid w:val="00FA64DD"/>
    <w:rsid w:val="00FA66B8"/>
    <w:rsid w:val="00FA67ED"/>
    <w:rsid w:val="00FA682E"/>
    <w:rsid w:val="00FA6A87"/>
    <w:rsid w:val="00FA7014"/>
    <w:rsid w:val="00FA707B"/>
    <w:rsid w:val="00FA7447"/>
    <w:rsid w:val="00FA7991"/>
    <w:rsid w:val="00FA7A28"/>
    <w:rsid w:val="00FA7A50"/>
    <w:rsid w:val="00FA7C92"/>
    <w:rsid w:val="00FA7DCF"/>
    <w:rsid w:val="00FA7EB3"/>
    <w:rsid w:val="00FB0067"/>
    <w:rsid w:val="00FB00C0"/>
    <w:rsid w:val="00FB0471"/>
    <w:rsid w:val="00FB04A2"/>
    <w:rsid w:val="00FB0506"/>
    <w:rsid w:val="00FB07F9"/>
    <w:rsid w:val="00FB092E"/>
    <w:rsid w:val="00FB0952"/>
    <w:rsid w:val="00FB0A0F"/>
    <w:rsid w:val="00FB0ADE"/>
    <w:rsid w:val="00FB12BB"/>
    <w:rsid w:val="00FB131D"/>
    <w:rsid w:val="00FB1401"/>
    <w:rsid w:val="00FB1458"/>
    <w:rsid w:val="00FB194F"/>
    <w:rsid w:val="00FB19B7"/>
    <w:rsid w:val="00FB1D14"/>
    <w:rsid w:val="00FB1DD7"/>
    <w:rsid w:val="00FB1FAF"/>
    <w:rsid w:val="00FB1FE5"/>
    <w:rsid w:val="00FB23C9"/>
    <w:rsid w:val="00FB23D3"/>
    <w:rsid w:val="00FB25D5"/>
    <w:rsid w:val="00FB266A"/>
    <w:rsid w:val="00FB2760"/>
    <w:rsid w:val="00FB27DC"/>
    <w:rsid w:val="00FB2F74"/>
    <w:rsid w:val="00FB2FF4"/>
    <w:rsid w:val="00FB3108"/>
    <w:rsid w:val="00FB31CC"/>
    <w:rsid w:val="00FB323D"/>
    <w:rsid w:val="00FB3681"/>
    <w:rsid w:val="00FB3695"/>
    <w:rsid w:val="00FB36B3"/>
    <w:rsid w:val="00FB36C0"/>
    <w:rsid w:val="00FB38EB"/>
    <w:rsid w:val="00FB3A07"/>
    <w:rsid w:val="00FB3FE3"/>
    <w:rsid w:val="00FB46A9"/>
    <w:rsid w:val="00FB4AE9"/>
    <w:rsid w:val="00FB52AF"/>
    <w:rsid w:val="00FB5487"/>
    <w:rsid w:val="00FB587C"/>
    <w:rsid w:val="00FB5AD0"/>
    <w:rsid w:val="00FB5D09"/>
    <w:rsid w:val="00FB5F7C"/>
    <w:rsid w:val="00FB5F8B"/>
    <w:rsid w:val="00FB656C"/>
    <w:rsid w:val="00FB683E"/>
    <w:rsid w:val="00FB6934"/>
    <w:rsid w:val="00FB6ED1"/>
    <w:rsid w:val="00FB6F77"/>
    <w:rsid w:val="00FB7262"/>
    <w:rsid w:val="00FB74B8"/>
    <w:rsid w:val="00FB7502"/>
    <w:rsid w:val="00FB761D"/>
    <w:rsid w:val="00FB7A16"/>
    <w:rsid w:val="00FB7A87"/>
    <w:rsid w:val="00FB7B8F"/>
    <w:rsid w:val="00FB7C74"/>
    <w:rsid w:val="00FB7D34"/>
    <w:rsid w:val="00FB7FDE"/>
    <w:rsid w:val="00FC0034"/>
    <w:rsid w:val="00FC005F"/>
    <w:rsid w:val="00FC0213"/>
    <w:rsid w:val="00FC0247"/>
    <w:rsid w:val="00FC03AA"/>
    <w:rsid w:val="00FC04B7"/>
    <w:rsid w:val="00FC0728"/>
    <w:rsid w:val="00FC0813"/>
    <w:rsid w:val="00FC0D44"/>
    <w:rsid w:val="00FC0DAB"/>
    <w:rsid w:val="00FC0DB9"/>
    <w:rsid w:val="00FC12C4"/>
    <w:rsid w:val="00FC1329"/>
    <w:rsid w:val="00FC13D0"/>
    <w:rsid w:val="00FC175A"/>
    <w:rsid w:val="00FC18B8"/>
    <w:rsid w:val="00FC18D0"/>
    <w:rsid w:val="00FC1907"/>
    <w:rsid w:val="00FC1AC0"/>
    <w:rsid w:val="00FC1AC6"/>
    <w:rsid w:val="00FC1C40"/>
    <w:rsid w:val="00FC1C9A"/>
    <w:rsid w:val="00FC1F15"/>
    <w:rsid w:val="00FC1F26"/>
    <w:rsid w:val="00FC1F41"/>
    <w:rsid w:val="00FC28C3"/>
    <w:rsid w:val="00FC2962"/>
    <w:rsid w:val="00FC31A3"/>
    <w:rsid w:val="00FC32DA"/>
    <w:rsid w:val="00FC3301"/>
    <w:rsid w:val="00FC3315"/>
    <w:rsid w:val="00FC33A3"/>
    <w:rsid w:val="00FC33AD"/>
    <w:rsid w:val="00FC34BB"/>
    <w:rsid w:val="00FC35AA"/>
    <w:rsid w:val="00FC35E3"/>
    <w:rsid w:val="00FC3648"/>
    <w:rsid w:val="00FC3789"/>
    <w:rsid w:val="00FC37C7"/>
    <w:rsid w:val="00FC37F5"/>
    <w:rsid w:val="00FC3906"/>
    <w:rsid w:val="00FC392E"/>
    <w:rsid w:val="00FC398C"/>
    <w:rsid w:val="00FC399F"/>
    <w:rsid w:val="00FC3A0F"/>
    <w:rsid w:val="00FC3AEA"/>
    <w:rsid w:val="00FC3DD2"/>
    <w:rsid w:val="00FC3FAA"/>
    <w:rsid w:val="00FC3FF8"/>
    <w:rsid w:val="00FC418F"/>
    <w:rsid w:val="00FC44CE"/>
    <w:rsid w:val="00FC450D"/>
    <w:rsid w:val="00FC4635"/>
    <w:rsid w:val="00FC48A0"/>
    <w:rsid w:val="00FC4CA8"/>
    <w:rsid w:val="00FC4F0E"/>
    <w:rsid w:val="00FC52A9"/>
    <w:rsid w:val="00FC5304"/>
    <w:rsid w:val="00FC544F"/>
    <w:rsid w:val="00FC548D"/>
    <w:rsid w:val="00FC56B5"/>
    <w:rsid w:val="00FC573D"/>
    <w:rsid w:val="00FC58E1"/>
    <w:rsid w:val="00FC59AC"/>
    <w:rsid w:val="00FC5AC6"/>
    <w:rsid w:val="00FC5D2C"/>
    <w:rsid w:val="00FC6015"/>
    <w:rsid w:val="00FC603C"/>
    <w:rsid w:val="00FC6098"/>
    <w:rsid w:val="00FC60D6"/>
    <w:rsid w:val="00FC62BA"/>
    <w:rsid w:val="00FC62C5"/>
    <w:rsid w:val="00FC64B5"/>
    <w:rsid w:val="00FC659A"/>
    <w:rsid w:val="00FC66D1"/>
    <w:rsid w:val="00FC6804"/>
    <w:rsid w:val="00FC6886"/>
    <w:rsid w:val="00FC697C"/>
    <w:rsid w:val="00FC69C9"/>
    <w:rsid w:val="00FC6ABE"/>
    <w:rsid w:val="00FC6B18"/>
    <w:rsid w:val="00FC6BE4"/>
    <w:rsid w:val="00FC6BFC"/>
    <w:rsid w:val="00FC6C08"/>
    <w:rsid w:val="00FC6DD7"/>
    <w:rsid w:val="00FC6F17"/>
    <w:rsid w:val="00FC6F6D"/>
    <w:rsid w:val="00FC7177"/>
    <w:rsid w:val="00FC7189"/>
    <w:rsid w:val="00FC7477"/>
    <w:rsid w:val="00FC7500"/>
    <w:rsid w:val="00FC7756"/>
    <w:rsid w:val="00FC78D0"/>
    <w:rsid w:val="00FC79F4"/>
    <w:rsid w:val="00FC7BDD"/>
    <w:rsid w:val="00FC7BF0"/>
    <w:rsid w:val="00FC7D3D"/>
    <w:rsid w:val="00FC7D7D"/>
    <w:rsid w:val="00FD01B8"/>
    <w:rsid w:val="00FD0253"/>
    <w:rsid w:val="00FD044E"/>
    <w:rsid w:val="00FD0469"/>
    <w:rsid w:val="00FD050B"/>
    <w:rsid w:val="00FD087C"/>
    <w:rsid w:val="00FD0ADE"/>
    <w:rsid w:val="00FD0BAE"/>
    <w:rsid w:val="00FD0CB9"/>
    <w:rsid w:val="00FD0EE1"/>
    <w:rsid w:val="00FD110E"/>
    <w:rsid w:val="00FD1391"/>
    <w:rsid w:val="00FD13BF"/>
    <w:rsid w:val="00FD13CB"/>
    <w:rsid w:val="00FD15A0"/>
    <w:rsid w:val="00FD15B3"/>
    <w:rsid w:val="00FD15C7"/>
    <w:rsid w:val="00FD1692"/>
    <w:rsid w:val="00FD183D"/>
    <w:rsid w:val="00FD1AB4"/>
    <w:rsid w:val="00FD1ACF"/>
    <w:rsid w:val="00FD1BB5"/>
    <w:rsid w:val="00FD1DC6"/>
    <w:rsid w:val="00FD1F33"/>
    <w:rsid w:val="00FD1FF2"/>
    <w:rsid w:val="00FD23E5"/>
    <w:rsid w:val="00FD260A"/>
    <w:rsid w:val="00FD27A6"/>
    <w:rsid w:val="00FD295A"/>
    <w:rsid w:val="00FD299D"/>
    <w:rsid w:val="00FD2B68"/>
    <w:rsid w:val="00FD30F7"/>
    <w:rsid w:val="00FD31DC"/>
    <w:rsid w:val="00FD3387"/>
    <w:rsid w:val="00FD3911"/>
    <w:rsid w:val="00FD392A"/>
    <w:rsid w:val="00FD3A67"/>
    <w:rsid w:val="00FD3A6D"/>
    <w:rsid w:val="00FD3B5D"/>
    <w:rsid w:val="00FD3E1F"/>
    <w:rsid w:val="00FD418C"/>
    <w:rsid w:val="00FD443B"/>
    <w:rsid w:val="00FD45DC"/>
    <w:rsid w:val="00FD46A7"/>
    <w:rsid w:val="00FD48EB"/>
    <w:rsid w:val="00FD49D3"/>
    <w:rsid w:val="00FD4BBD"/>
    <w:rsid w:val="00FD4C7A"/>
    <w:rsid w:val="00FD4C97"/>
    <w:rsid w:val="00FD50F4"/>
    <w:rsid w:val="00FD51A1"/>
    <w:rsid w:val="00FD56D3"/>
    <w:rsid w:val="00FD5751"/>
    <w:rsid w:val="00FD59B8"/>
    <w:rsid w:val="00FD5B08"/>
    <w:rsid w:val="00FD5B82"/>
    <w:rsid w:val="00FD5C58"/>
    <w:rsid w:val="00FD5DD9"/>
    <w:rsid w:val="00FD5E36"/>
    <w:rsid w:val="00FD5EAC"/>
    <w:rsid w:val="00FD6296"/>
    <w:rsid w:val="00FD65A7"/>
    <w:rsid w:val="00FD690D"/>
    <w:rsid w:val="00FD694C"/>
    <w:rsid w:val="00FD6959"/>
    <w:rsid w:val="00FD698E"/>
    <w:rsid w:val="00FD6D32"/>
    <w:rsid w:val="00FD6E4F"/>
    <w:rsid w:val="00FD6F0A"/>
    <w:rsid w:val="00FD6FC6"/>
    <w:rsid w:val="00FD776D"/>
    <w:rsid w:val="00FD779E"/>
    <w:rsid w:val="00FD7A95"/>
    <w:rsid w:val="00FD7AFE"/>
    <w:rsid w:val="00FD7B99"/>
    <w:rsid w:val="00FD7C8E"/>
    <w:rsid w:val="00FD7DFC"/>
    <w:rsid w:val="00FD7FD5"/>
    <w:rsid w:val="00FE06CC"/>
    <w:rsid w:val="00FE0901"/>
    <w:rsid w:val="00FE0A69"/>
    <w:rsid w:val="00FE0B5B"/>
    <w:rsid w:val="00FE0B92"/>
    <w:rsid w:val="00FE0C12"/>
    <w:rsid w:val="00FE0C5C"/>
    <w:rsid w:val="00FE0EED"/>
    <w:rsid w:val="00FE1011"/>
    <w:rsid w:val="00FE12E2"/>
    <w:rsid w:val="00FE12E8"/>
    <w:rsid w:val="00FE142D"/>
    <w:rsid w:val="00FE1582"/>
    <w:rsid w:val="00FE16DC"/>
    <w:rsid w:val="00FE1789"/>
    <w:rsid w:val="00FE18A7"/>
    <w:rsid w:val="00FE198C"/>
    <w:rsid w:val="00FE1A34"/>
    <w:rsid w:val="00FE1AA8"/>
    <w:rsid w:val="00FE1B56"/>
    <w:rsid w:val="00FE1E07"/>
    <w:rsid w:val="00FE1E4A"/>
    <w:rsid w:val="00FE1E95"/>
    <w:rsid w:val="00FE1ECB"/>
    <w:rsid w:val="00FE1EDB"/>
    <w:rsid w:val="00FE1F39"/>
    <w:rsid w:val="00FE1F65"/>
    <w:rsid w:val="00FE2025"/>
    <w:rsid w:val="00FE20DD"/>
    <w:rsid w:val="00FE2246"/>
    <w:rsid w:val="00FE226D"/>
    <w:rsid w:val="00FE25A0"/>
    <w:rsid w:val="00FE2A4C"/>
    <w:rsid w:val="00FE2CBD"/>
    <w:rsid w:val="00FE2EA5"/>
    <w:rsid w:val="00FE2FDE"/>
    <w:rsid w:val="00FE3068"/>
    <w:rsid w:val="00FE3553"/>
    <w:rsid w:val="00FE36B3"/>
    <w:rsid w:val="00FE3B0E"/>
    <w:rsid w:val="00FE3FCE"/>
    <w:rsid w:val="00FE3FF3"/>
    <w:rsid w:val="00FE40B8"/>
    <w:rsid w:val="00FE41AF"/>
    <w:rsid w:val="00FE41C3"/>
    <w:rsid w:val="00FE42D2"/>
    <w:rsid w:val="00FE43DC"/>
    <w:rsid w:val="00FE43E4"/>
    <w:rsid w:val="00FE4533"/>
    <w:rsid w:val="00FE4683"/>
    <w:rsid w:val="00FE4AE1"/>
    <w:rsid w:val="00FE4AE6"/>
    <w:rsid w:val="00FE4B14"/>
    <w:rsid w:val="00FE4B66"/>
    <w:rsid w:val="00FE4D6B"/>
    <w:rsid w:val="00FE4F87"/>
    <w:rsid w:val="00FE5056"/>
    <w:rsid w:val="00FE508B"/>
    <w:rsid w:val="00FE52EE"/>
    <w:rsid w:val="00FE52F7"/>
    <w:rsid w:val="00FE5324"/>
    <w:rsid w:val="00FE532D"/>
    <w:rsid w:val="00FE5359"/>
    <w:rsid w:val="00FE53D4"/>
    <w:rsid w:val="00FE5487"/>
    <w:rsid w:val="00FE5539"/>
    <w:rsid w:val="00FE5596"/>
    <w:rsid w:val="00FE57B7"/>
    <w:rsid w:val="00FE589C"/>
    <w:rsid w:val="00FE5A0B"/>
    <w:rsid w:val="00FE5A4B"/>
    <w:rsid w:val="00FE5B6A"/>
    <w:rsid w:val="00FE5D72"/>
    <w:rsid w:val="00FE61F2"/>
    <w:rsid w:val="00FE625B"/>
    <w:rsid w:val="00FE647D"/>
    <w:rsid w:val="00FE66F8"/>
    <w:rsid w:val="00FE66FB"/>
    <w:rsid w:val="00FE6944"/>
    <w:rsid w:val="00FE6A9C"/>
    <w:rsid w:val="00FE6CC7"/>
    <w:rsid w:val="00FE6CFD"/>
    <w:rsid w:val="00FE6D08"/>
    <w:rsid w:val="00FE6E5E"/>
    <w:rsid w:val="00FE6E79"/>
    <w:rsid w:val="00FE6FB0"/>
    <w:rsid w:val="00FE6FC7"/>
    <w:rsid w:val="00FE7023"/>
    <w:rsid w:val="00FE7463"/>
    <w:rsid w:val="00FE74A0"/>
    <w:rsid w:val="00FE74B1"/>
    <w:rsid w:val="00FE76F2"/>
    <w:rsid w:val="00FE792F"/>
    <w:rsid w:val="00FE7CD0"/>
    <w:rsid w:val="00FE7D9F"/>
    <w:rsid w:val="00FE7ED7"/>
    <w:rsid w:val="00FF0158"/>
    <w:rsid w:val="00FF0319"/>
    <w:rsid w:val="00FF0562"/>
    <w:rsid w:val="00FF0981"/>
    <w:rsid w:val="00FF114E"/>
    <w:rsid w:val="00FF133F"/>
    <w:rsid w:val="00FF16FE"/>
    <w:rsid w:val="00FF174A"/>
    <w:rsid w:val="00FF17E1"/>
    <w:rsid w:val="00FF1A3C"/>
    <w:rsid w:val="00FF1AD8"/>
    <w:rsid w:val="00FF1B66"/>
    <w:rsid w:val="00FF1C94"/>
    <w:rsid w:val="00FF1F51"/>
    <w:rsid w:val="00FF2177"/>
    <w:rsid w:val="00FF220A"/>
    <w:rsid w:val="00FF224D"/>
    <w:rsid w:val="00FF25F5"/>
    <w:rsid w:val="00FF26D3"/>
    <w:rsid w:val="00FF27B5"/>
    <w:rsid w:val="00FF285A"/>
    <w:rsid w:val="00FF2879"/>
    <w:rsid w:val="00FF2A52"/>
    <w:rsid w:val="00FF2A91"/>
    <w:rsid w:val="00FF2AA2"/>
    <w:rsid w:val="00FF2B6F"/>
    <w:rsid w:val="00FF2C3D"/>
    <w:rsid w:val="00FF2E3C"/>
    <w:rsid w:val="00FF2EF8"/>
    <w:rsid w:val="00FF2F02"/>
    <w:rsid w:val="00FF2F65"/>
    <w:rsid w:val="00FF2F85"/>
    <w:rsid w:val="00FF2FA6"/>
    <w:rsid w:val="00FF31F3"/>
    <w:rsid w:val="00FF32A1"/>
    <w:rsid w:val="00FF33E6"/>
    <w:rsid w:val="00FF33EF"/>
    <w:rsid w:val="00FF36C2"/>
    <w:rsid w:val="00FF3829"/>
    <w:rsid w:val="00FF3924"/>
    <w:rsid w:val="00FF3A0A"/>
    <w:rsid w:val="00FF3F6F"/>
    <w:rsid w:val="00FF3F72"/>
    <w:rsid w:val="00FF4050"/>
    <w:rsid w:val="00FF43C0"/>
    <w:rsid w:val="00FF44AB"/>
    <w:rsid w:val="00FF47BB"/>
    <w:rsid w:val="00FF480E"/>
    <w:rsid w:val="00FF4AF0"/>
    <w:rsid w:val="00FF4F94"/>
    <w:rsid w:val="00FF505C"/>
    <w:rsid w:val="00FF5901"/>
    <w:rsid w:val="00FF5AA5"/>
    <w:rsid w:val="00FF5B6F"/>
    <w:rsid w:val="00FF5EB3"/>
    <w:rsid w:val="00FF5EE5"/>
    <w:rsid w:val="00FF5FF1"/>
    <w:rsid w:val="00FF6099"/>
    <w:rsid w:val="00FF6119"/>
    <w:rsid w:val="00FF65E2"/>
    <w:rsid w:val="00FF66FD"/>
    <w:rsid w:val="00FF67E3"/>
    <w:rsid w:val="00FF69A0"/>
    <w:rsid w:val="00FF69AD"/>
    <w:rsid w:val="00FF6BB0"/>
    <w:rsid w:val="00FF6E0F"/>
    <w:rsid w:val="00FF71EA"/>
    <w:rsid w:val="00FF754D"/>
    <w:rsid w:val="00FF75DA"/>
    <w:rsid w:val="00FF7890"/>
    <w:rsid w:val="00FF78E9"/>
    <w:rsid w:val="00FF7BBB"/>
    <w:rsid w:val="00FF7E8E"/>
    <w:rsid w:val="010ED09C"/>
    <w:rsid w:val="0122EE0F"/>
    <w:rsid w:val="013CE025"/>
    <w:rsid w:val="016540D4"/>
    <w:rsid w:val="01F1428D"/>
    <w:rsid w:val="0236ABF8"/>
    <w:rsid w:val="024CA0CE"/>
    <w:rsid w:val="0259510E"/>
    <w:rsid w:val="02C16D29"/>
    <w:rsid w:val="02F6FBB7"/>
    <w:rsid w:val="030B1FD2"/>
    <w:rsid w:val="0346963D"/>
    <w:rsid w:val="03786E07"/>
    <w:rsid w:val="03CD59B0"/>
    <w:rsid w:val="03D29A2C"/>
    <w:rsid w:val="0410FF4F"/>
    <w:rsid w:val="04161210"/>
    <w:rsid w:val="044CE03A"/>
    <w:rsid w:val="04646F4C"/>
    <w:rsid w:val="0496B883"/>
    <w:rsid w:val="04C3DFF0"/>
    <w:rsid w:val="04CBEFAF"/>
    <w:rsid w:val="04DFBDD9"/>
    <w:rsid w:val="05060D85"/>
    <w:rsid w:val="05850239"/>
    <w:rsid w:val="05F91BA9"/>
    <w:rsid w:val="05F9854B"/>
    <w:rsid w:val="069BDAA1"/>
    <w:rsid w:val="069EB4F8"/>
    <w:rsid w:val="06CD113B"/>
    <w:rsid w:val="06D69C2A"/>
    <w:rsid w:val="070A1D1B"/>
    <w:rsid w:val="07200490"/>
    <w:rsid w:val="078326F4"/>
    <w:rsid w:val="07A757A7"/>
    <w:rsid w:val="07C4CF77"/>
    <w:rsid w:val="07E5D1A3"/>
    <w:rsid w:val="082AC892"/>
    <w:rsid w:val="083008BC"/>
    <w:rsid w:val="084D5B94"/>
    <w:rsid w:val="08650AFE"/>
    <w:rsid w:val="08B04511"/>
    <w:rsid w:val="08E98333"/>
    <w:rsid w:val="093A4E77"/>
    <w:rsid w:val="093CC25B"/>
    <w:rsid w:val="09663EE4"/>
    <w:rsid w:val="096D9A79"/>
    <w:rsid w:val="09AD77BF"/>
    <w:rsid w:val="09C4D155"/>
    <w:rsid w:val="09CA48E6"/>
    <w:rsid w:val="09EA6787"/>
    <w:rsid w:val="0A03ABFC"/>
    <w:rsid w:val="0A855394"/>
    <w:rsid w:val="0AB6F7BA"/>
    <w:rsid w:val="0B011232"/>
    <w:rsid w:val="0B1BC69E"/>
    <w:rsid w:val="0B1DE0AC"/>
    <w:rsid w:val="0B278AC7"/>
    <w:rsid w:val="0B2F3EA4"/>
    <w:rsid w:val="0B328613"/>
    <w:rsid w:val="0BBAA6DA"/>
    <w:rsid w:val="0BFA0539"/>
    <w:rsid w:val="0C0090FE"/>
    <w:rsid w:val="0C0852DC"/>
    <w:rsid w:val="0C1F2C56"/>
    <w:rsid w:val="0C20A684"/>
    <w:rsid w:val="0CAF2D59"/>
    <w:rsid w:val="0CC963AB"/>
    <w:rsid w:val="0DBCBC2A"/>
    <w:rsid w:val="0DE8BBB0"/>
    <w:rsid w:val="0E567458"/>
    <w:rsid w:val="0E6F138E"/>
    <w:rsid w:val="0E7776C2"/>
    <w:rsid w:val="0EF3559F"/>
    <w:rsid w:val="0F4132AB"/>
    <w:rsid w:val="0F45CC6D"/>
    <w:rsid w:val="0F846173"/>
    <w:rsid w:val="0FF00EF5"/>
    <w:rsid w:val="10376E79"/>
    <w:rsid w:val="10454F51"/>
    <w:rsid w:val="1080A407"/>
    <w:rsid w:val="108AEB4D"/>
    <w:rsid w:val="10ACCCE8"/>
    <w:rsid w:val="11043F12"/>
    <w:rsid w:val="115EF60D"/>
    <w:rsid w:val="116834DB"/>
    <w:rsid w:val="11A4C18E"/>
    <w:rsid w:val="11C4192A"/>
    <w:rsid w:val="11C734C5"/>
    <w:rsid w:val="11D21F86"/>
    <w:rsid w:val="11DF3E4F"/>
    <w:rsid w:val="11E65FCD"/>
    <w:rsid w:val="11E727CC"/>
    <w:rsid w:val="1230E606"/>
    <w:rsid w:val="12826F85"/>
    <w:rsid w:val="12BC0235"/>
    <w:rsid w:val="12F3DE04"/>
    <w:rsid w:val="134560BF"/>
    <w:rsid w:val="13FB44DC"/>
    <w:rsid w:val="140B79B2"/>
    <w:rsid w:val="143FC2FD"/>
    <w:rsid w:val="144375D0"/>
    <w:rsid w:val="144F5214"/>
    <w:rsid w:val="145B7C20"/>
    <w:rsid w:val="14BA3B86"/>
    <w:rsid w:val="14F8EE49"/>
    <w:rsid w:val="1534D887"/>
    <w:rsid w:val="1552A2A3"/>
    <w:rsid w:val="15A14D21"/>
    <w:rsid w:val="15F3A2F7"/>
    <w:rsid w:val="1622FDD0"/>
    <w:rsid w:val="16235FE3"/>
    <w:rsid w:val="166A1861"/>
    <w:rsid w:val="17141F96"/>
    <w:rsid w:val="17215B42"/>
    <w:rsid w:val="174C4AFB"/>
    <w:rsid w:val="1783A808"/>
    <w:rsid w:val="183D05D4"/>
    <w:rsid w:val="187C622E"/>
    <w:rsid w:val="1895750E"/>
    <w:rsid w:val="18A235FA"/>
    <w:rsid w:val="18ACBA1A"/>
    <w:rsid w:val="18CCB101"/>
    <w:rsid w:val="18EFBD5C"/>
    <w:rsid w:val="196185E3"/>
    <w:rsid w:val="19715411"/>
    <w:rsid w:val="19C10F99"/>
    <w:rsid w:val="19D3D318"/>
    <w:rsid w:val="19E29271"/>
    <w:rsid w:val="1A171926"/>
    <w:rsid w:val="1AAA06E8"/>
    <w:rsid w:val="1B417772"/>
    <w:rsid w:val="1B704C43"/>
    <w:rsid w:val="1B8040C8"/>
    <w:rsid w:val="1BBCEC95"/>
    <w:rsid w:val="1BE6A5D5"/>
    <w:rsid w:val="1C0E480B"/>
    <w:rsid w:val="1C608496"/>
    <w:rsid w:val="1CA72E6B"/>
    <w:rsid w:val="1CAD400C"/>
    <w:rsid w:val="1CB5C9C0"/>
    <w:rsid w:val="1CCF01E9"/>
    <w:rsid w:val="1CD94CBF"/>
    <w:rsid w:val="1CE871A3"/>
    <w:rsid w:val="1D008A94"/>
    <w:rsid w:val="1D0F9B7F"/>
    <w:rsid w:val="1D807F02"/>
    <w:rsid w:val="1D99484A"/>
    <w:rsid w:val="1DCE2B29"/>
    <w:rsid w:val="1DDB5531"/>
    <w:rsid w:val="1E5456F7"/>
    <w:rsid w:val="1E6C337B"/>
    <w:rsid w:val="1EBB2D43"/>
    <w:rsid w:val="1EED781A"/>
    <w:rsid w:val="1FE75A62"/>
    <w:rsid w:val="1FEDF406"/>
    <w:rsid w:val="20064B09"/>
    <w:rsid w:val="205108F6"/>
    <w:rsid w:val="20D554A7"/>
    <w:rsid w:val="2121A531"/>
    <w:rsid w:val="215E5DAC"/>
    <w:rsid w:val="2182E85B"/>
    <w:rsid w:val="219B2AFE"/>
    <w:rsid w:val="21E570C2"/>
    <w:rsid w:val="21FDE717"/>
    <w:rsid w:val="2202F2E4"/>
    <w:rsid w:val="2221EA7F"/>
    <w:rsid w:val="22335156"/>
    <w:rsid w:val="225BED29"/>
    <w:rsid w:val="22DE9151"/>
    <w:rsid w:val="22FF86D9"/>
    <w:rsid w:val="235314B1"/>
    <w:rsid w:val="23786B00"/>
    <w:rsid w:val="23B26358"/>
    <w:rsid w:val="23D041E7"/>
    <w:rsid w:val="23DEC8F7"/>
    <w:rsid w:val="2445EDE4"/>
    <w:rsid w:val="247B5D0A"/>
    <w:rsid w:val="2496CDCA"/>
    <w:rsid w:val="24A49502"/>
    <w:rsid w:val="24C3FD22"/>
    <w:rsid w:val="24D95E83"/>
    <w:rsid w:val="25A2C317"/>
    <w:rsid w:val="25E2CF55"/>
    <w:rsid w:val="263EC6CD"/>
    <w:rsid w:val="26FA945C"/>
    <w:rsid w:val="270459E0"/>
    <w:rsid w:val="272C0546"/>
    <w:rsid w:val="275C3558"/>
    <w:rsid w:val="27AC878E"/>
    <w:rsid w:val="280FBBC2"/>
    <w:rsid w:val="28639761"/>
    <w:rsid w:val="286865B0"/>
    <w:rsid w:val="286C4432"/>
    <w:rsid w:val="288C5FD5"/>
    <w:rsid w:val="288DE57A"/>
    <w:rsid w:val="28AF44C2"/>
    <w:rsid w:val="294596BB"/>
    <w:rsid w:val="294857EF"/>
    <w:rsid w:val="29B292A6"/>
    <w:rsid w:val="2A1C0219"/>
    <w:rsid w:val="2A89C553"/>
    <w:rsid w:val="2B31C0F7"/>
    <w:rsid w:val="2B5E9361"/>
    <w:rsid w:val="2BAADE61"/>
    <w:rsid w:val="2BDAABC5"/>
    <w:rsid w:val="2C2F5A9F"/>
    <w:rsid w:val="2C3A8794"/>
    <w:rsid w:val="2C469257"/>
    <w:rsid w:val="2C883557"/>
    <w:rsid w:val="2C90224D"/>
    <w:rsid w:val="2CB06DE7"/>
    <w:rsid w:val="2D13F93B"/>
    <w:rsid w:val="2D140A83"/>
    <w:rsid w:val="2D39C44D"/>
    <w:rsid w:val="2D5823BF"/>
    <w:rsid w:val="2DC58AAF"/>
    <w:rsid w:val="2DC8B4DD"/>
    <w:rsid w:val="2DFEEEB1"/>
    <w:rsid w:val="2E5C7685"/>
    <w:rsid w:val="2E6DCAEE"/>
    <w:rsid w:val="2E8040C9"/>
    <w:rsid w:val="2EAEB6D4"/>
    <w:rsid w:val="2EB68139"/>
    <w:rsid w:val="2EC6C6A3"/>
    <w:rsid w:val="2ECD24CC"/>
    <w:rsid w:val="2ED39B75"/>
    <w:rsid w:val="2F179F7A"/>
    <w:rsid w:val="2F265533"/>
    <w:rsid w:val="2F5596C4"/>
    <w:rsid w:val="2F6291FC"/>
    <w:rsid w:val="2F91122F"/>
    <w:rsid w:val="2FBA8BCB"/>
    <w:rsid w:val="2FE4EE39"/>
    <w:rsid w:val="2FEB574A"/>
    <w:rsid w:val="30206CEB"/>
    <w:rsid w:val="3084EC68"/>
    <w:rsid w:val="3088C704"/>
    <w:rsid w:val="30D39A56"/>
    <w:rsid w:val="30DF7C9C"/>
    <w:rsid w:val="30EFBA8E"/>
    <w:rsid w:val="310D380E"/>
    <w:rsid w:val="31928DC8"/>
    <w:rsid w:val="31FD5F9A"/>
    <w:rsid w:val="32039D13"/>
    <w:rsid w:val="320AB03E"/>
    <w:rsid w:val="322AD55E"/>
    <w:rsid w:val="322F6466"/>
    <w:rsid w:val="3247F8CF"/>
    <w:rsid w:val="32C10BBE"/>
    <w:rsid w:val="32E54B63"/>
    <w:rsid w:val="3301568F"/>
    <w:rsid w:val="330669CB"/>
    <w:rsid w:val="3378ADE5"/>
    <w:rsid w:val="338E2890"/>
    <w:rsid w:val="33C02AFD"/>
    <w:rsid w:val="33C2E45F"/>
    <w:rsid w:val="33C3DF2F"/>
    <w:rsid w:val="341FD67A"/>
    <w:rsid w:val="34373561"/>
    <w:rsid w:val="3472DF53"/>
    <w:rsid w:val="34931C8F"/>
    <w:rsid w:val="34D24E66"/>
    <w:rsid w:val="34E59A03"/>
    <w:rsid w:val="3518F1B8"/>
    <w:rsid w:val="3533688A"/>
    <w:rsid w:val="3538741D"/>
    <w:rsid w:val="353B058A"/>
    <w:rsid w:val="35ABB584"/>
    <w:rsid w:val="35D42701"/>
    <w:rsid w:val="3636B3B9"/>
    <w:rsid w:val="3685870A"/>
    <w:rsid w:val="3690CD56"/>
    <w:rsid w:val="36B8823B"/>
    <w:rsid w:val="3706B3A9"/>
    <w:rsid w:val="37A96D1A"/>
    <w:rsid w:val="3810C58F"/>
    <w:rsid w:val="3812D8CD"/>
    <w:rsid w:val="381DA2ED"/>
    <w:rsid w:val="3830A1B5"/>
    <w:rsid w:val="38597DEF"/>
    <w:rsid w:val="38707BCE"/>
    <w:rsid w:val="38B63E0E"/>
    <w:rsid w:val="38BFA77B"/>
    <w:rsid w:val="38EC8A02"/>
    <w:rsid w:val="392E5637"/>
    <w:rsid w:val="398FE9BF"/>
    <w:rsid w:val="399C9F86"/>
    <w:rsid w:val="39A3C2C3"/>
    <w:rsid w:val="39B73BE6"/>
    <w:rsid w:val="39DF7DED"/>
    <w:rsid w:val="3A169DD6"/>
    <w:rsid w:val="3A548809"/>
    <w:rsid w:val="3A5AC569"/>
    <w:rsid w:val="3A6261CD"/>
    <w:rsid w:val="3A6F91B5"/>
    <w:rsid w:val="3A7DFAD7"/>
    <w:rsid w:val="3AC2A145"/>
    <w:rsid w:val="3ADB322A"/>
    <w:rsid w:val="3AE66B94"/>
    <w:rsid w:val="3B2BE4F0"/>
    <w:rsid w:val="3B47C3D4"/>
    <w:rsid w:val="3B66B157"/>
    <w:rsid w:val="3B7F8901"/>
    <w:rsid w:val="3B918153"/>
    <w:rsid w:val="3BAA470E"/>
    <w:rsid w:val="3C1E558F"/>
    <w:rsid w:val="3C1F1549"/>
    <w:rsid w:val="3C395E67"/>
    <w:rsid w:val="3C77D1E7"/>
    <w:rsid w:val="3C830618"/>
    <w:rsid w:val="3C9D713A"/>
    <w:rsid w:val="3D086107"/>
    <w:rsid w:val="3D68760A"/>
    <w:rsid w:val="3DAD8EA4"/>
    <w:rsid w:val="3DBF4C67"/>
    <w:rsid w:val="3DFC2B23"/>
    <w:rsid w:val="3E04C5B5"/>
    <w:rsid w:val="3E21EF4B"/>
    <w:rsid w:val="3E282462"/>
    <w:rsid w:val="3E341826"/>
    <w:rsid w:val="3E9E5219"/>
    <w:rsid w:val="3ED29B9A"/>
    <w:rsid w:val="3F31C6FF"/>
    <w:rsid w:val="3F5EE4A3"/>
    <w:rsid w:val="3F694787"/>
    <w:rsid w:val="3F6B8746"/>
    <w:rsid w:val="3F6D644D"/>
    <w:rsid w:val="3F823A89"/>
    <w:rsid w:val="3FBA62AF"/>
    <w:rsid w:val="3FC81F24"/>
    <w:rsid w:val="3FD37A6A"/>
    <w:rsid w:val="3FE35D55"/>
    <w:rsid w:val="3FFAD809"/>
    <w:rsid w:val="40712A1A"/>
    <w:rsid w:val="40894CA4"/>
    <w:rsid w:val="40C8C0B7"/>
    <w:rsid w:val="40F687F2"/>
    <w:rsid w:val="41135A89"/>
    <w:rsid w:val="4113804B"/>
    <w:rsid w:val="41194B96"/>
    <w:rsid w:val="414125F1"/>
    <w:rsid w:val="415359E5"/>
    <w:rsid w:val="416F718E"/>
    <w:rsid w:val="41A96026"/>
    <w:rsid w:val="41B0F151"/>
    <w:rsid w:val="41C58116"/>
    <w:rsid w:val="41D030ED"/>
    <w:rsid w:val="41E0E2A3"/>
    <w:rsid w:val="4208EFC6"/>
    <w:rsid w:val="427A679D"/>
    <w:rsid w:val="429992F2"/>
    <w:rsid w:val="42C68CDF"/>
    <w:rsid w:val="42FCC475"/>
    <w:rsid w:val="42FD4670"/>
    <w:rsid w:val="437F9D16"/>
    <w:rsid w:val="43FB0B2B"/>
    <w:rsid w:val="4470996C"/>
    <w:rsid w:val="44AA35BA"/>
    <w:rsid w:val="44AFF6CB"/>
    <w:rsid w:val="44B4A420"/>
    <w:rsid w:val="44CA981F"/>
    <w:rsid w:val="44FD214E"/>
    <w:rsid w:val="4509F1CF"/>
    <w:rsid w:val="45112C52"/>
    <w:rsid w:val="4579D0B8"/>
    <w:rsid w:val="45E7FBEB"/>
    <w:rsid w:val="45F798CF"/>
    <w:rsid w:val="46094DE0"/>
    <w:rsid w:val="46264B7E"/>
    <w:rsid w:val="465D21DA"/>
    <w:rsid w:val="4684F2D5"/>
    <w:rsid w:val="468CE1A2"/>
    <w:rsid w:val="46B92201"/>
    <w:rsid w:val="46CC65CC"/>
    <w:rsid w:val="46E52369"/>
    <w:rsid w:val="4709F02F"/>
    <w:rsid w:val="4710F8EB"/>
    <w:rsid w:val="4728282A"/>
    <w:rsid w:val="472C5244"/>
    <w:rsid w:val="4794CE3B"/>
    <w:rsid w:val="47D28D68"/>
    <w:rsid w:val="47E8081E"/>
    <w:rsid w:val="481ECA5C"/>
    <w:rsid w:val="48D682DC"/>
    <w:rsid w:val="49283E65"/>
    <w:rsid w:val="4963ADBC"/>
    <w:rsid w:val="49A2071A"/>
    <w:rsid w:val="49C48264"/>
    <w:rsid w:val="4A4BF140"/>
    <w:rsid w:val="4A896D36"/>
    <w:rsid w:val="4B12FCF1"/>
    <w:rsid w:val="4BCB57F2"/>
    <w:rsid w:val="4BD58C37"/>
    <w:rsid w:val="4BDD9103"/>
    <w:rsid w:val="4C3B49FD"/>
    <w:rsid w:val="4C4A344B"/>
    <w:rsid w:val="4C4AD497"/>
    <w:rsid w:val="4C8439A2"/>
    <w:rsid w:val="4CB3305D"/>
    <w:rsid w:val="4CC8854C"/>
    <w:rsid w:val="4CEE91F7"/>
    <w:rsid w:val="4D72AC46"/>
    <w:rsid w:val="4DEA16C8"/>
    <w:rsid w:val="4E194C68"/>
    <w:rsid w:val="4E1DCABC"/>
    <w:rsid w:val="4E274BD9"/>
    <w:rsid w:val="4E2C210C"/>
    <w:rsid w:val="4E3DF7BD"/>
    <w:rsid w:val="4E6AEC8C"/>
    <w:rsid w:val="4E6F085F"/>
    <w:rsid w:val="4E761B65"/>
    <w:rsid w:val="4EFE1D31"/>
    <w:rsid w:val="4F201C25"/>
    <w:rsid w:val="4F35C383"/>
    <w:rsid w:val="4F4AE61B"/>
    <w:rsid w:val="4F536710"/>
    <w:rsid w:val="4F68D8E8"/>
    <w:rsid w:val="4FBB75BD"/>
    <w:rsid w:val="50BEE20E"/>
    <w:rsid w:val="50F51786"/>
    <w:rsid w:val="515B23C8"/>
    <w:rsid w:val="516A46F5"/>
    <w:rsid w:val="516C80DE"/>
    <w:rsid w:val="517406D6"/>
    <w:rsid w:val="5198C335"/>
    <w:rsid w:val="51FFEB04"/>
    <w:rsid w:val="520DEAE0"/>
    <w:rsid w:val="52C2CE5F"/>
    <w:rsid w:val="5341819E"/>
    <w:rsid w:val="53496749"/>
    <w:rsid w:val="5419F534"/>
    <w:rsid w:val="544BDEF0"/>
    <w:rsid w:val="54875EFC"/>
    <w:rsid w:val="54DCDF02"/>
    <w:rsid w:val="54E97C6A"/>
    <w:rsid w:val="554E277B"/>
    <w:rsid w:val="55AF60B7"/>
    <w:rsid w:val="55E4AFFB"/>
    <w:rsid w:val="55FE51FD"/>
    <w:rsid w:val="569E5DE2"/>
    <w:rsid w:val="56A0113C"/>
    <w:rsid w:val="56D035BF"/>
    <w:rsid w:val="56D1FE6F"/>
    <w:rsid w:val="5702E6D2"/>
    <w:rsid w:val="574D7910"/>
    <w:rsid w:val="57DED924"/>
    <w:rsid w:val="5847F728"/>
    <w:rsid w:val="585BFB9E"/>
    <w:rsid w:val="58A82669"/>
    <w:rsid w:val="58C518AB"/>
    <w:rsid w:val="58F36874"/>
    <w:rsid w:val="5934E1A2"/>
    <w:rsid w:val="5935DE2C"/>
    <w:rsid w:val="5971708F"/>
    <w:rsid w:val="59BC78C9"/>
    <w:rsid w:val="5A283F3D"/>
    <w:rsid w:val="5A56E565"/>
    <w:rsid w:val="5AB89AC3"/>
    <w:rsid w:val="5ACFCD2A"/>
    <w:rsid w:val="5B4A92FF"/>
    <w:rsid w:val="5B70506C"/>
    <w:rsid w:val="5BB3731E"/>
    <w:rsid w:val="5BE2F998"/>
    <w:rsid w:val="5C7E62F0"/>
    <w:rsid w:val="5C8492C8"/>
    <w:rsid w:val="5CB94B4E"/>
    <w:rsid w:val="5D3A4814"/>
    <w:rsid w:val="5D514294"/>
    <w:rsid w:val="5D8ED670"/>
    <w:rsid w:val="5DA2F3ED"/>
    <w:rsid w:val="5DA6642B"/>
    <w:rsid w:val="5DB1CEDF"/>
    <w:rsid w:val="5DF163B6"/>
    <w:rsid w:val="5E4BCD63"/>
    <w:rsid w:val="5E81E352"/>
    <w:rsid w:val="5E9C4D58"/>
    <w:rsid w:val="5EE3FE78"/>
    <w:rsid w:val="5F4E36B8"/>
    <w:rsid w:val="5F58A859"/>
    <w:rsid w:val="5FE4A624"/>
    <w:rsid w:val="5FF7F777"/>
    <w:rsid w:val="60073A10"/>
    <w:rsid w:val="604ED349"/>
    <w:rsid w:val="607767AE"/>
    <w:rsid w:val="60AE3282"/>
    <w:rsid w:val="60EE109C"/>
    <w:rsid w:val="6187CC49"/>
    <w:rsid w:val="61B11DAF"/>
    <w:rsid w:val="61B1D37C"/>
    <w:rsid w:val="625BBC39"/>
    <w:rsid w:val="626162BA"/>
    <w:rsid w:val="626DADB3"/>
    <w:rsid w:val="626FFDBE"/>
    <w:rsid w:val="62711E7A"/>
    <w:rsid w:val="62CA9616"/>
    <w:rsid w:val="62DA02C9"/>
    <w:rsid w:val="62FB8516"/>
    <w:rsid w:val="6310AE60"/>
    <w:rsid w:val="632F00C1"/>
    <w:rsid w:val="63472059"/>
    <w:rsid w:val="63473463"/>
    <w:rsid w:val="63949209"/>
    <w:rsid w:val="63BF79F9"/>
    <w:rsid w:val="63CDD7B9"/>
    <w:rsid w:val="63D5DFCF"/>
    <w:rsid w:val="63EB3840"/>
    <w:rsid w:val="63F2D41A"/>
    <w:rsid w:val="64123730"/>
    <w:rsid w:val="643110EC"/>
    <w:rsid w:val="647FC68C"/>
    <w:rsid w:val="648E5EC6"/>
    <w:rsid w:val="64AB0046"/>
    <w:rsid w:val="64C642B3"/>
    <w:rsid w:val="64CD191A"/>
    <w:rsid w:val="65533FFC"/>
    <w:rsid w:val="65949008"/>
    <w:rsid w:val="65AC3D71"/>
    <w:rsid w:val="65BBD84C"/>
    <w:rsid w:val="65E371D0"/>
    <w:rsid w:val="6649B0E3"/>
    <w:rsid w:val="66AE1B3B"/>
    <w:rsid w:val="66B03F10"/>
    <w:rsid w:val="670838BA"/>
    <w:rsid w:val="6752451A"/>
    <w:rsid w:val="67DA1C7C"/>
    <w:rsid w:val="67E9EC7E"/>
    <w:rsid w:val="67F8BE86"/>
    <w:rsid w:val="67FA4C0D"/>
    <w:rsid w:val="67FBC965"/>
    <w:rsid w:val="67FC4BC1"/>
    <w:rsid w:val="686505B3"/>
    <w:rsid w:val="68C3AEC6"/>
    <w:rsid w:val="68CEDDD6"/>
    <w:rsid w:val="68FEE2E1"/>
    <w:rsid w:val="69164DA0"/>
    <w:rsid w:val="69C615C3"/>
    <w:rsid w:val="69EAB0E3"/>
    <w:rsid w:val="6A548368"/>
    <w:rsid w:val="6A5E73DF"/>
    <w:rsid w:val="6A76930D"/>
    <w:rsid w:val="6A90D5DD"/>
    <w:rsid w:val="6AD00BBB"/>
    <w:rsid w:val="6AEBB270"/>
    <w:rsid w:val="6AF99474"/>
    <w:rsid w:val="6AFAE4EC"/>
    <w:rsid w:val="6B007FF0"/>
    <w:rsid w:val="6B5E3A95"/>
    <w:rsid w:val="6BA9DB9D"/>
    <w:rsid w:val="6BBFE2A1"/>
    <w:rsid w:val="6BF2BDF3"/>
    <w:rsid w:val="6C2D8873"/>
    <w:rsid w:val="6CBF7DC1"/>
    <w:rsid w:val="6CC4F1DC"/>
    <w:rsid w:val="6CC53540"/>
    <w:rsid w:val="6CF39E80"/>
    <w:rsid w:val="6D128859"/>
    <w:rsid w:val="6DB8300C"/>
    <w:rsid w:val="6DB90230"/>
    <w:rsid w:val="6DC732FD"/>
    <w:rsid w:val="6DD46F57"/>
    <w:rsid w:val="6E10FEE6"/>
    <w:rsid w:val="6E2C1699"/>
    <w:rsid w:val="6E99223F"/>
    <w:rsid w:val="6E9EAA6F"/>
    <w:rsid w:val="6ED90FA2"/>
    <w:rsid w:val="6F2E04D2"/>
    <w:rsid w:val="6F2F2A22"/>
    <w:rsid w:val="6F6C01B5"/>
    <w:rsid w:val="6F878DD1"/>
    <w:rsid w:val="6F88A1E6"/>
    <w:rsid w:val="6FA9BDB7"/>
    <w:rsid w:val="6FF37D31"/>
    <w:rsid w:val="701EDEF3"/>
    <w:rsid w:val="70306946"/>
    <w:rsid w:val="7034C8A9"/>
    <w:rsid w:val="7049A5DB"/>
    <w:rsid w:val="70572FCC"/>
    <w:rsid w:val="7097111D"/>
    <w:rsid w:val="70A54AEE"/>
    <w:rsid w:val="70E059EB"/>
    <w:rsid w:val="70E98020"/>
    <w:rsid w:val="7172596C"/>
    <w:rsid w:val="7181E5E3"/>
    <w:rsid w:val="719A4489"/>
    <w:rsid w:val="719E0E0F"/>
    <w:rsid w:val="71C39808"/>
    <w:rsid w:val="720C55BC"/>
    <w:rsid w:val="72862E5D"/>
    <w:rsid w:val="729317D5"/>
    <w:rsid w:val="7297F136"/>
    <w:rsid w:val="72AD040E"/>
    <w:rsid w:val="72AEC9E0"/>
    <w:rsid w:val="72CC1F6B"/>
    <w:rsid w:val="72CE8B10"/>
    <w:rsid w:val="72FDE792"/>
    <w:rsid w:val="731AFAE6"/>
    <w:rsid w:val="731D519D"/>
    <w:rsid w:val="732BCBA4"/>
    <w:rsid w:val="735AFCA7"/>
    <w:rsid w:val="73A1C4AC"/>
    <w:rsid w:val="73F3DAA7"/>
    <w:rsid w:val="7400783C"/>
    <w:rsid w:val="741A1240"/>
    <w:rsid w:val="74AB228D"/>
    <w:rsid w:val="74F643A8"/>
    <w:rsid w:val="74FDAA32"/>
    <w:rsid w:val="750FE52C"/>
    <w:rsid w:val="75DC8661"/>
    <w:rsid w:val="76D7A783"/>
    <w:rsid w:val="773633E9"/>
    <w:rsid w:val="77DAC1FC"/>
    <w:rsid w:val="782A2316"/>
    <w:rsid w:val="78449711"/>
    <w:rsid w:val="78963F5F"/>
    <w:rsid w:val="790176BE"/>
    <w:rsid w:val="7927E810"/>
    <w:rsid w:val="793F2AA9"/>
    <w:rsid w:val="794B3D8E"/>
    <w:rsid w:val="79E8B99F"/>
    <w:rsid w:val="79F2780C"/>
    <w:rsid w:val="7A20405B"/>
    <w:rsid w:val="7A6B01E4"/>
    <w:rsid w:val="7AA93466"/>
    <w:rsid w:val="7AFFF88C"/>
    <w:rsid w:val="7B0A1ABF"/>
    <w:rsid w:val="7B7095A1"/>
    <w:rsid w:val="7BA02CF1"/>
    <w:rsid w:val="7BC72C44"/>
    <w:rsid w:val="7BD6CA4F"/>
    <w:rsid w:val="7BDBAF89"/>
    <w:rsid w:val="7C0C8319"/>
    <w:rsid w:val="7C13E880"/>
    <w:rsid w:val="7C47D7BD"/>
    <w:rsid w:val="7C49D2B5"/>
    <w:rsid w:val="7C71C12E"/>
    <w:rsid w:val="7CB5882B"/>
    <w:rsid w:val="7CDD3C8F"/>
    <w:rsid w:val="7D40E6F6"/>
    <w:rsid w:val="7D6E89B4"/>
    <w:rsid w:val="7E93A312"/>
    <w:rsid w:val="7E94934A"/>
    <w:rsid w:val="7ED60616"/>
    <w:rsid w:val="7F05444A"/>
    <w:rsid w:val="7F22E0E3"/>
    <w:rsid w:val="7F457AC7"/>
    <w:rsid w:val="7F70B7D7"/>
    <w:rsid w:val="7FA1B229"/>
    <w:rsid w:val="7FBBC167"/>
    <w:rsid w:val="7FD9B595"/>
    <w:rsid w:val="7FDDD9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95A61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3CE"/>
    <w:pPr>
      <w:spacing w:after="160" w:line="259" w:lineRule="auto"/>
    </w:pPr>
    <w:rPr>
      <w:rFonts w:eastAsiaTheme="minorEastAsia"/>
    </w:rPr>
  </w:style>
  <w:style w:type="paragraph" w:styleId="Heading1">
    <w:name w:val="heading 1"/>
    <w:basedOn w:val="Normal"/>
    <w:next w:val="Normal"/>
    <w:link w:val="Heading1Char"/>
    <w:uiPriority w:val="9"/>
    <w:qFormat/>
    <w:rsid w:val="003F1F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404A2"/>
    <w:pPr>
      <w:keepNext/>
      <w:keepLines/>
      <w:numPr>
        <w:ilvl w:val="1"/>
        <w:numId w:val="1"/>
      </w:numPr>
      <w:spacing w:before="40" w:after="0" w:line="240" w:lineRule="auto"/>
      <w:outlineLvl w:val="1"/>
    </w:pPr>
    <w:rPr>
      <w:rFonts w:asciiTheme="majorHAnsi" w:eastAsia="Times New Roman" w:hAnsiTheme="majorHAnsi" w:cstheme="majorBidi"/>
      <w:color w:val="365F91" w:themeColor="accent1" w:themeShade="BF"/>
      <w:sz w:val="32"/>
      <w:szCs w:val="32"/>
      <w:lang w:eastAsia="en-IE"/>
    </w:rPr>
  </w:style>
  <w:style w:type="paragraph" w:styleId="Heading3">
    <w:name w:val="heading 3"/>
    <w:basedOn w:val="Normal"/>
    <w:next w:val="Normal"/>
    <w:link w:val="Heading3Char"/>
    <w:uiPriority w:val="9"/>
    <w:unhideWhenUsed/>
    <w:qFormat/>
    <w:rsid w:val="0053389F"/>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3389F"/>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85139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04A2"/>
    <w:rPr>
      <w:rFonts w:asciiTheme="majorHAnsi" w:eastAsia="Times New Roman" w:hAnsiTheme="majorHAnsi" w:cstheme="majorBidi"/>
      <w:color w:val="365F91" w:themeColor="accent1" w:themeShade="BF"/>
      <w:sz w:val="32"/>
      <w:szCs w:val="32"/>
      <w:lang w:val="sv-SE" w:eastAsia="en-IE"/>
    </w:rPr>
  </w:style>
  <w:style w:type="character" w:customStyle="1" w:styleId="Heading3Char">
    <w:name w:val="Heading 3 Char"/>
    <w:basedOn w:val="DefaultParagraphFont"/>
    <w:link w:val="Heading3"/>
    <w:uiPriority w:val="9"/>
    <w:rsid w:val="0053389F"/>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53389F"/>
    <w:rPr>
      <w:rFonts w:asciiTheme="majorHAnsi" w:eastAsiaTheme="majorEastAsia" w:hAnsiTheme="majorHAnsi" w:cstheme="majorBidi"/>
      <w:color w:val="365F91" w:themeColor="accent1" w:themeShade="BF"/>
      <w:sz w:val="24"/>
      <w:szCs w:val="24"/>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rsid w:val="0053389F"/>
    <w:pPr>
      <w:ind w:left="720"/>
      <w:contextualSpacing/>
    </w:p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link w:val="ListParagraph"/>
    <w:uiPriority w:val="34"/>
    <w:qFormat/>
    <w:rsid w:val="0053389F"/>
    <w:rPr>
      <w:rFonts w:eastAsiaTheme="minorEastAsia"/>
    </w:rPr>
  </w:style>
  <w:style w:type="paragraph" w:styleId="FootnoteText">
    <w:name w:val="footnote text"/>
    <w:basedOn w:val="Normal"/>
    <w:link w:val="FootnoteTextChar"/>
    <w:uiPriority w:val="99"/>
    <w:unhideWhenUsed/>
    <w:rsid w:val="003F1FF2"/>
    <w:pPr>
      <w:spacing w:after="0" w:line="240" w:lineRule="auto"/>
      <w:jc w:val="both"/>
    </w:pPr>
    <w:rPr>
      <w:rFonts w:ascii="Times New Roman" w:eastAsiaTheme="minorHAnsi" w:hAnsi="Times New Roman"/>
      <w:sz w:val="20"/>
      <w:szCs w:val="20"/>
    </w:rPr>
  </w:style>
  <w:style w:type="character" w:customStyle="1" w:styleId="FootnoteTextChar">
    <w:name w:val="Footnote Text Char"/>
    <w:basedOn w:val="DefaultParagraphFont"/>
    <w:link w:val="FootnoteText"/>
    <w:uiPriority w:val="99"/>
    <w:rsid w:val="003F1FF2"/>
    <w:rPr>
      <w:rFonts w:ascii="Times New Roman" w:hAnsi="Times New Roman"/>
      <w:sz w:val="20"/>
      <w:szCs w:val="20"/>
    </w:rPr>
  </w:style>
  <w:style w:type="character" w:styleId="FootnoteReference">
    <w:name w:val="footnote reference"/>
    <w:aliases w:val="Footnote symbol,IT Fußnotenzeichen,Footnote symboFußnotenzeichen,Footnote sign,-E Fußnotenzeichen,ESPON Footnote No,Footnote call,Footnote Reference Superscript,Footnote reference number,Times 10 Point,Exposant 3 Point,Ref,SUPERS,numb"/>
    <w:basedOn w:val="DefaultParagraphFont"/>
    <w:uiPriority w:val="99"/>
    <w:unhideWhenUsed/>
    <w:qFormat/>
    <w:rsid w:val="003F1FF2"/>
    <w:rPr>
      <w:vertAlign w:val="superscript"/>
    </w:rPr>
  </w:style>
  <w:style w:type="paragraph" w:styleId="Title">
    <w:name w:val="Title"/>
    <w:basedOn w:val="Normal"/>
    <w:next w:val="Normal"/>
    <w:link w:val="TitleChar"/>
    <w:uiPriority w:val="10"/>
    <w:qFormat/>
    <w:rsid w:val="003F1F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FF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F1FF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362B5"/>
    <w:pPr>
      <w:outlineLvl w:val="9"/>
    </w:pPr>
  </w:style>
  <w:style w:type="paragraph" w:styleId="TOC1">
    <w:name w:val="toc 1"/>
    <w:basedOn w:val="Normal"/>
    <w:next w:val="Normal"/>
    <w:autoRedefine/>
    <w:uiPriority w:val="39"/>
    <w:unhideWhenUsed/>
    <w:rsid w:val="0021675B"/>
    <w:pPr>
      <w:tabs>
        <w:tab w:val="left" w:pos="440"/>
        <w:tab w:val="right" w:leader="dot" w:pos="9062"/>
      </w:tabs>
      <w:spacing w:after="100"/>
    </w:pPr>
    <w:rPr>
      <w:rFonts w:ascii="Times New Roman" w:hAnsi="Times New Roman" w:cs="Times New Roman"/>
      <w:noProof/>
      <w:color w:val="000000" w:themeColor="text1"/>
      <w:lang w:eastAsia="en-IE"/>
    </w:rPr>
  </w:style>
  <w:style w:type="paragraph" w:styleId="TOC2">
    <w:name w:val="toc 2"/>
    <w:basedOn w:val="Normal"/>
    <w:next w:val="Normal"/>
    <w:autoRedefine/>
    <w:uiPriority w:val="39"/>
    <w:unhideWhenUsed/>
    <w:rsid w:val="003F09F0"/>
    <w:pPr>
      <w:tabs>
        <w:tab w:val="left" w:pos="880"/>
        <w:tab w:val="right" w:leader="dot" w:pos="9062"/>
      </w:tabs>
      <w:spacing w:after="100"/>
      <w:ind w:left="220"/>
    </w:pPr>
  </w:style>
  <w:style w:type="character" w:styleId="Hyperlink">
    <w:name w:val="Hyperlink"/>
    <w:basedOn w:val="DefaultParagraphFont"/>
    <w:uiPriority w:val="99"/>
    <w:unhideWhenUsed/>
    <w:rsid w:val="005362B5"/>
    <w:rPr>
      <w:color w:val="0000FF" w:themeColor="hyperlink"/>
      <w:u w:val="single"/>
    </w:rPr>
  </w:style>
  <w:style w:type="character" w:styleId="CommentReference">
    <w:name w:val="annotation reference"/>
    <w:basedOn w:val="DefaultParagraphFont"/>
    <w:uiPriority w:val="99"/>
    <w:semiHidden/>
    <w:unhideWhenUsed/>
    <w:rsid w:val="00777014"/>
    <w:rPr>
      <w:sz w:val="16"/>
      <w:szCs w:val="16"/>
    </w:rPr>
  </w:style>
  <w:style w:type="paragraph" w:styleId="CommentText">
    <w:name w:val="annotation text"/>
    <w:basedOn w:val="Normal"/>
    <w:link w:val="CommentTextChar"/>
    <w:uiPriority w:val="99"/>
    <w:unhideWhenUsed/>
    <w:rsid w:val="00777014"/>
    <w:pPr>
      <w:spacing w:line="240" w:lineRule="auto"/>
    </w:pPr>
    <w:rPr>
      <w:sz w:val="20"/>
      <w:szCs w:val="20"/>
    </w:rPr>
  </w:style>
  <w:style w:type="character" w:customStyle="1" w:styleId="CommentTextChar">
    <w:name w:val="Comment Text Char"/>
    <w:basedOn w:val="DefaultParagraphFont"/>
    <w:link w:val="CommentText"/>
    <w:uiPriority w:val="99"/>
    <w:rsid w:val="0077701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77014"/>
    <w:rPr>
      <w:b/>
      <w:bCs/>
    </w:rPr>
  </w:style>
  <w:style w:type="character" w:customStyle="1" w:styleId="CommentSubjectChar">
    <w:name w:val="Comment Subject Char"/>
    <w:basedOn w:val="CommentTextChar"/>
    <w:link w:val="CommentSubject"/>
    <w:uiPriority w:val="99"/>
    <w:semiHidden/>
    <w:rsid w:val="00777014"/>
    <w:rPr>
      <w:rFonts w:eastAsiaTheme="minorEastAsia"/>
      <w:b/>
      <w:bCs/>
      <w:sz w:val="20"/>
      <w:szCs w:val="20"/>
    </w:rPr>
  </w:style>
  <w:style w:type="paragraph" w:styleId="TOC3">
    <w:name w:val="toc 3"/>
    <w:basedOn w:val="Normal"/>
    <w:next w:val="Normal"/>
    <w:autoRedefine/>
    <w:uiPriority w:val="39"/>
    <w:unhideWhenUsed/>
    <w:rsid w:val="00DD16DA"/>
    <w:pPr>
      <w:tabs>
        <w:tab w:val="left" w:pos="1100"/>
        <w:tab w:val="right" w:leader="dot" w:pos="9062"/>
      </w:tabs>
      <w:spacing w:after="100"/>
      <w:ind w:left="440"/>
    </w:pPr>
  </w:style>
  <w:style w:type="paragraph" w:styleId="Revision">
    <w:name w:val="Revision"/>
    <w:hidden/>
    <w:uiPriority w:val="99"/>
    <w:semiHidden/>
    <w:rsid w:val="000C5FF3"/>
    <w:pPr>
      <w:spacing w:after="0" w:line="240" w:lineRule="auto"/>
    </w:pPr>
    <w:rPr>
      <w:rFonts w:eastAsiaTheme="minorEastAsia"/>
    </w:rPr>
  </w:style>
  <w:style w:type="paragraph" w:styleId="Header">
    <w:name w:val="header"/>
    <w:basedOn w:val="Normal"/>
    <w:link w:val="HeaderChar"/>
    <w:uiPriority w:val="99"/>
    <w:unhideWhenUsed/>
    <w:rsid w:val="009044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480"/>
    <w:rPr>
      <w:rFonts w:eastAsiaTheme="minorEastAsia"/>
    </w:rPr>
  </w:style>
  <w:style w:type="paragraph" w:styleId="Footer">
    <w:name w:val="footer"/>
    <w:basedOn w:val="Normal"/>
    <w:link w:val="FooterChar"/>
    <w:uiPriority w:val="99"/>
    <w:unhideWhenUsed/>
    <w:rsid w:val="009044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480"/>
    <w:rPr>
      <w:rFonts w:eastAsiaTheme="minorEastAsia"/>
    </w:rPr>
  </w:style>
  <w:style w:type="character" w:customStyle="1" w:styleId="UnresolvedMention1">
    <w:name w:val="Unresolved Mention1"/>
    <w:basedOn w:val="DefaultParagraphFont"/>
    <w:uiPriority w:val="99"/>
    <w:semiHidden/>
    <w:unhideWhenUsed/>
    <w:rsid w:val="00CA28FC"/>
    <w:rPr>
      <w:color w:val="605E5C"/>
      <w:shd w:val="clear" w:color="auto" w:fill="E1DFDD"/>
    </w:rPr>
  </w:style>
  <w:style w:type="paragraph" w:styleId="EndnoteText">
    <w:name w:val="endnote text"/>
    <w:basedOn w:val="Normal"/>
    <w:link w:val="EndnoteTextChar"/>
    <w:uiPriority w:val="99"/>
    <w:semiHidden/>
    <w:unhideWhenUsed/>
    <w:rsid w:val="00A516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167A"/>
    <w:rPr>
      <w:rFonts w:eastAsiaTheme="minorEastAsia"/>
      <w:sz w:val="20"/>
      <w:szCs w:val="20"/>
    </w:rPr>
  </w:style>
  <w:style w:type="character" w:styleId="EndnoteReference">
    <w:name w:val="endnote reference"/>
    <w:basedOn w:val="DefaultParagraphFont"/>
    <w:uiPriority w:val="99"/>
    <w:semiHidden/>
    <w:unhideWhenUsed/>
    <w:rsid w:val="00A5167A"/>
    <w:rPr>
      <w:vertAlign w:val="superscript"/>
    </w:rPr>
  </w:style>
  <w:style w:type="character" w:styleId="FollowedHyperlink">
    <w:name w:val="FollowedHyperlink"/>
    <w:basedOn w:val="DefaultParagraphFont"/>
    <w:uiPriority w:val="99"/>
    <w:semiHidden/>
    <w:unhideWhenUsed/>
    <w:rsid w:val="00224B7D"/>
    <w:rPr>
      <w:color w:val="800080" w:themeColor="followedHyperlink"/>
      <w:u w:val="single"/>
    </w:rPr>
  </w:style>
  <w:style w:type="character" w:customStyle="1" w:styleId="Mention1">
    <w:name w:val="Mention1"/>
    <w:basedOn w:val="DefaultParagraphFont"/>
    <w:uiPriority w:val="99"/>
    <w:unhideWhenUsed/>
    <w:rsid w:val="006D799A"/>
    <w:rPr>
      <w:color w:val="2B579A"/>
      <w:shd w:val="clear" w:color="auto" w:fill="E1DFDD"/>
    </w:rPr>
  </w:style>
  <w:style w:type="paragraph" w:customStyle="1" w:styleId="Text1">
    <w:name w:val="Text 1"/>
    <w:basedOn w:val="Normal"/>
    <w:uiPriority w:val="1"/>
    <w:qFormat/>
    <w:rsid w:val="003F1797"/>
    <w:pPr>
      <w:spacing w:after="240" w:line="240" w:lineRule="auto"/>
      <w:ind w:left="482"/>
      <w:jc w:val="both"/>
    </w:pPr>
    <w:rPr>
      <w:rFonts w:ascii="Times New Roman" w:eastAsia="Times New Roman" w:hAnsi="Times New Roman" w:cs="Times New Roman"/>
      <w:sz w:val="24"/>
      <w:szCs w:val="20"/>
      <w:lang w:eastAsia="en-GB"/>
    </w:rPr>
  </w:style>
  <w:style w:type="character" w:customStyle="1" w:styleId="ui-provider">
    <w:name w:val="ui-provider"/>
    <w:basedOn w:val="DefaultParagraphFont"/>
    <w:rsid w:val="00507EFC"/>
  </w:style>
  <w:style w:type="character" w:customStyle="1" w:styleId="normaltextrun">
    <w:name w:val="normaltextrun"/>
    <w:basedOn w:val="DefaultParagraphFont"/>
    <w:rsid w:val="00B61F8F"/>
  </w:style>
  <w:style w:type="character" w:customStyle="1" w:styleId="eop">
    <w:name w:val="eop"/>
    <w:basedOn w:val="DefaultParagraphFont"/>
    <w:rsid w:val="00B61F8F"/>
  </w:style>
  <w:style w:type="character" w:customStyle="1" w:styleId="superscript">
    <w:name w:val="superscript"/>
    <w:basedOn w:val="DefaultParagraphFont"/>
    <w:rsid w:val="00865498"/>
  </w:style>
  <w:style w:type="character" w:customStyle="1" w:styleId="Marker">
    <w:name w:val="Marker"/>
    <w:basedOn w:val="DefaultParagraphFont"/>
    <w:rsid w:val="00915255"/>
    <w:rPr>
      <w:color w:val="0000FF"/>
      <w:shd w:val="clear" w:color="auto" w:fill="auto"/>
    </w:rPr>
  </w:style>
  <w:style w:type="paragraph" w:customStyle="1" w:styleId="Pagedecouverture">
    <w:name w:val="Page de couverture"/>
    <w:basedOn w:val="Normal"/>
    <w:next w:val="Normal"/>
    <w:link w:val="PagedecouvertureChar"/>
    <w:rsid w:val="00915255"/>
    <w:pPr>
      <w:spacing w:after="0" w:line="240" w:lineRule="auto"/>
      <w:jc w:val="both"/>
    </w:pPr>
    <w:rPr>
      <w:rFonts w:ascii="Times New Roman" w:eastAsiaTheme="minorHAnsi" w:hAnsi="Times New Roman" w:cs="Times New Roman"/>
      <w:sz w:val="24"/>
    </w:rPr>
  </w:style>
  <w:style w:type="paragraph" w:customStyle="1" w:styleId="Typedudocument">
    <w:name w:val="Type du document"/>
    <w:basedOn w:val="Normal"/>
    <w:next w:val="Normal"/>
    <w:rsid w:val="00915255"/>
    <w:pPr>
      <w:spacing w:before="360" w:after="0" w:line="240" w:lineRule="auto"/>
      <w:jc w:val="center"/>
    </w:pPr>
    <w:rPr>
      <w:rFonts w:ascii="Times New Roman" w:eastAsiaTheme="minorHAnsi" w:hAnsi="Times New Roman" w:cs="Times New Roman"/>
      <w:b/>
      <w:sz w:val="24"/>
    </w:rPr>
  </w:style>
  <w:style w:type="paragraph" w:customStyle="1" w:styleId="Titreobjet">
    <w:name w:val="Titre objet"/>
    <w:basedOn w:val="Normal"/>
    <w:next w:val="Normal"/>
    <w:rsid w:val="00915255"/>
    <w:pPr>
      <w:spacing w:before="360" w:after="360" w:line="240" w:lineRule="auto"/>
      <w:jc w:val="center"/>
    </w:pPr>
    <w:rPr>
      <w:rFonts w:ascii="Times New Roman" w:eastAsiaTheme="minorHAnsi" w:hAnsi="Times New Roman" w:cs="Times New Roman"/>
      <w:b/>
      <w:sz w:val="24"/>
    </w:rPr>
  </w:style>
  <w:style w:type="paragraph" w:customStyle="1" w:styleId="FooterCoverPage">
    <w:name w:val="Footer Cover Page"/>
    <w:basedOn w:val="Normal"/>
    <w:link w:val="FooterCoverPageChar"/>
    <w:rsid w:val="00915255"/>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PagedecouvertureChar">
    <w:name w:val="Page de couverture Char"/>
    <w:basedOn w:val="DefaultParagraphFont"/>
    <w:link w:val="Pagedecouverture"/>
    <w:rsid w:val="00915255"/>
    <w:rPr>
      <w:rFonts w:ascii="Times New Roman" w:hAnsi="Times New Roman" w:cs="Times New Roman"/>
      <w:sz w:val="24"/>
    </w:rPr>
  </w:style>
  <w:style w:type="character" w:customStyle="1" w:styleId="FooterCoverPageChar">
    <w:name w:val="Footer Cover Page Char"/>
    <w:basedOn w:val="PagedecouvertureChar"/>
    <w:link w:val="FooterCoverPage"/>
    <w:rsid w:val="00915255"/>
    <w:rPr>
      <w:rFonts w:ascii="Times New Roman" w:eastAsiaTheme="minorEastAsia" w:hAnsi="Times New Roman" w:cs="Times New Roman"/>
      <w:sz w:val="24"/>
    </w:rPr>
  </w:style>
  <w:style w:type="paragraph" w:customStyle="1" w:styleId="FooterSensitivity">
    <w:name w:val="Footer Sensitivity"/>
    <w:basedOn w:val="Normal"/>
    <w:link w:val="FooterSensitivityChar"/>
    <w:rsid w:val="00915255"/>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sid w:val="00915255"/>
    <w:rPr>
      <w:rFonts w:ascii="Times New Roman" w:eastAsiaTheme="minorEastAsia" w:hAnsi="Times New Roman" w:cs="Times New Roman"/>
      <w:b/>
      <w:sz w:val="32"/>
    </w:rPr>
  </w:style>
  <w:style w:type="paragraph" w:customStyle="1" w:styleId="HeaderCoverPage">
    <w:name w:val="Header Cover Page"/>
    <w:basedOn w:val="Normal"/>
    <w:link w:val="HeaderCoverPageChar"/>
    <w:rsid w:val="00915255"/>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PagedecouvertureChar"/>
    <w:link w:val="HeaderCoverPage"/>
    <w:rsid w:val="00915255"/>
    <w:rPr>
      <w:rFonts w:ascii="Times New Roman" w:eastAsiaTheme="minorEastAsia" w:hAnsi="Times New Roman" w:cs="Times New Roman"/>
      <w:sz w:val="24"/>
    </w:rPr>
  </w:style>
  <w:style w:type="paragraph" w:customStyle="1" w:styleId="HeaderSensitivity">
    <w:name w:val="Header Sensitivity"/>
    <w:basedOn w:val="Normal"/>
    <w:link w:val="HeaderSensitivityChar"/>
    <w:rsid w:val="00915255"/>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sid w:val="00915255"/>
    <w:rPr>
      <w:rFonts w:ascii="Times New Roman" w:eastAsiaTheme="minorEastAsia" w:hAnsi="Times New Roman" w:cs="Times New Roman"/>
      <w:b/>
      <w:sz w:val="32"/>
    </w:rPr>
  </w:style>
  <w:style w:type="paragraph" w:customStyle="1" w:styleId="HeaderSensitivityRight">
    <w:name w:val="Header Sensitivity Right"/>
    <w:basedOn w:val="Normal"/>
    <w:link w:val="HeaderSensitivityRightChar"/>
    <w:rsid w:val="00915255"/>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PagedecouvertureChar"/>
    <w:link w:val="HeaderSensitivityRight"/>
    <w:rsid w:val="00915255"/>
    <w:rPr>
      <w:rFonts w:ascii="Times New Roman" w:eastAsiaTheme="minorEastAsia" w:hAnsi="Times New Roman" w:cs="Times New Roman"/>
      <w:sz w:val="28"/>
    </w:rPr>
  </w:style>
  <w:style w:type="character" w:customStyle="1" w:styleId="Heading5Char">
    <w:name w:val="Heading 5 Char"/>
    <w:basedOn w:val="DefaultParagraphFont"/>
    <w:link w:val="Heading5"/>
    <w:uiPriority w:val="9"/>
    <w:rsid w:val="00851392"/>
    <w:rPr>
      <w:rFonts w:asciiTheme="majorHAnsi" w:eastAsiaTheme="majorEastAsia" w:hAnsiTheme="majorHAnsi" w:cstheme="majorBidi"/>
      <w:color w:val="365F91" w:themeColor="accent1" w:themeShade="BF"/>
    </w:rPr>
  </w:style>
  <w:style w:type="character" w:customStyle="1" w:styleId="cf01">
    <w:name w:val="cf01"/>
    <w:basedOn w:val="DefaultParagraphFont"/>
    <w:rsid w:val="00F00729"/>
    <w:rPr>
      <w:rFonts w:ascii="Segoe UI" w:hAnsi="Segoe UI" w:cs="Segoe UI" w:hint="default"/>
      <w:sz w:val="18"/>
      <w:szCs w:val="18"/>
    </w:rPr>
  </w:style>
  <w:style w:type="paragraph" w:styleId="BalloonText">
    <w:name w:val="Balloon Text"/>
    <w:basedOn w:val="Normal"/>
    <w:link w:val="BalloonTextChar"/>
    <w:uiPriority w:val="99"/>
    <w:semiHidden/>
    <w:unhideWhenUsed/>
    <w:rsid w:val="00EF52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256"/>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20405">
      <w:bodyDiv w:val="1"/>
      <w:marLeft w:val="0"/>
      <w:marRight w:val="0"/>
      <w:marTop w:val="0"/>
      <w:marBottom w:val="0"/>
      <w:divBdr>
        <w:top w:val="none" w:sz="0" w:space="0" w:color="auto"/>
        <w:left w:val="none" w:sz="0" w:space="0" w:color="auto"/>
        <w:bottom w:val="none" w:sz="0" w:space="0" w:color="auto"/>
        <w:right w:val="none" w:sz="0" w:space="0" w:color="auto"/>
      </w:divBdr>
    </w:div>
    <w:div w:id="358900420">
      <w:bodyDiv w:val="1"/>
      <w:marLeft w:val="0"/>
      <w:marRight w:val="0"/>
      <w:marTop w:val="0"/>
      <w:marBottom w:val="0"/>
      <w:divBdr>
        <w:top w:val="none" w:sz="0" w:space="0" w:color="auto"/>
        <w:left w:val="none" w:sz="0" w:space="0" w:color="auto"/>
        <w:bottom w:val="none" w:sz="0" w:space="0" w:color="auto"/>
        <w:right w:val="none" w:sz="0" w:space="0" w:color="auto"/>
      </w:divBdr>
    </w:div>
    <w:div w:id="365065273">
      <w:bodyDiv w:val="1"/>
      <w:marLeft w:val="0"/>
      <w:marRight w:val="0"/>
      <w:marTop w:val="0"/>
      <w:marBottom w:val="0"/>
      <w:divBdr>
        <w:top w:val="none" w:sz="0" w:space="0" w:color="auto"/>
        <w:left w:val="none" w:sz="0" w:space="0" w:color="auto"/>
        <w:bottom w:val="none" w:sz="0" w:space="0" w:color="auto"/>
        <w:right w:val="none" w:sz="0" w:space="0" w:color="auto"/>
      </w:divBdr>
    </w:div>
    <w:div w:id="383876553">
      <w:bodyDiv w:val="1"/>
      <w:marLeft w:val="0"/>
      <w:marRight w:val="0"/>
      <w:marTop w:val="0"/>
      <w:marBottom w:val="0"/>
      <w:divBdr>
        <w:top w:val="none" w:sz="0" w:space="0" w:color="auto"/>
        <w:left w:val="none" w:sz="0" w:space="0" w:color="auto"/>
        <w:bottom w:val="none" w:sz="0" w:space="0" w:color="auto"/>
        <w:right w:val="none" w:sz="0" w:space="0" w:color="auto"/>
      </w:divBdr>
    </w:div>
    <w:div w:id="422262284">
      <w:bodyDiv w:val="1"/>
      <w:marLeft w:val="0"/>
      <w:marRight w:val="0"/>
      <w:marTop w:val="0"/>
      <w:marBottom w:val="0"/>
      <w:divBdr>
        <w:top w:val="none" w:sz="0" w:space="0" w:color="auto"/>
        <w:left w:val="none" w:sz="0" w:space="0" w:color="auto"/>
        <w:bottom w:val="none" w:sz="0" w:space="0" w:color="auto"/>
        <w:right w:val="none" w:sz="0" w:space="0" w:color="auto"/>
      </w:divBdr>
    </w:div>
    <w:div w:id="529953912">
      <w:bodyDiv w:val="1"/>
      <w:marLeft w:val="0"/>
      <w:marRight w:val="0"/>
      <w:marTop w:val="0"/>
      <w:marBottom w:val="0"/>
      <w:divBdr>
        <w:top w:val="none" w:sz="0" w:space="0" w:color="auto"/>
        <w:left w:val="none" w:sz="0" w:space="0" w:color="auto"/>
        <w:bottom w:val="none" w:sz="0" w:space="0" w:color="auto"/>
        <w:right w:val="none" w:sz="0" w:space="0" w:color="auto"/>
      </w:divBdr>
    </w:div>
    <w:div w:id="544682505">
      <w:bodyDiv w:val="1"/>
      <w:marLeft w:val="0"/>
      <w:marRight w:val="0"/>
      <w:marTop w:val="0"/>
      <w:marBottom w:val="0"/>
      <w:divBdr>
        <w:top w:val="none" w:sz="0" w:space="0" w:color="auto"/>
        <w:left w:val="none" w:sz="0" w:space="0" w:color="auto"/>
        <w:bottom w:val="none" w:sz="0" w:space="0" w:color="auto"/>
        <w:right w:val="none" w:sz="0" w:space="0" w:color="auto"/>
      </w:divBdr>
    </w:div>
    <w:div w:id="591474248">
      <w:bodyDiv w:val="1"/>
      <w:marLeft w:val="0"/>
      <w:marRight w:val="0"/>
      <w:marTop w:val="0"/>
      <w:marBottom w:val="0"/>
      <w:divBdr>
        <w:top w:val="none" w:sz="0" w:space="0" w:color="auto"/>
        <w:left w:val="none" w:sz="0" w:space="0" w:color="auto"/>
        <w:bottom w:val="none" w:sz="0" w:space="0" w:color="auto"/>
        <w:right w:val="none" w:sz="0" w:space="0" w:color="auto"/>
      </w:divBdr>
    </w:div>
    <w:div w:id="632366832">
      <w:bodyDiv w:val="1"/>
      <w:marLeft w:val="0"/>
      <w:marRight w:val="0"/>
      <w:marTop w:val="0"/>
      <w:marBottom w:val="0"/>
      <w:divBdr>
        <w:top w:val="none" w:sz="0" w:space="0" w:color="auto"/>
        <w:left w:val="none" w:sz="0" w:space="0" w:color="auto"/>
        <w:bottom w:val="none" w:sz="0" w:space="0" w:color="auto"/>
        <w:right w:val="none" w:sz="0" w:space="0" w:color="auto"/>
      </w:divBdr>
    </w:div>
    <w:div w:id="647174555">
      <w:bodyDiv w:val="1"/>
      <w:marLeft w:val="0"/>
      <w:marRight w:val="0"/>
      <w:marTop w:val="0"/>
      <w:marBottom w:val="0"/>
      <w:divBdr>
        <w:top w:val="none" w:sz="0" w:space="0" w:color="auto"/>
        <w:left w:val="none" w:sz="0" w:space="0" w:color="auto"/>
        <w:bottom w:val="none" w:sz="0" w:space="0" w:color="auto"/>
        <w:right w:val="none" w:sz="0" w:space="0" w:color="auto"/>
      </w:divBdr>
    </w:div>
    <w:div w:id="744031736">
      <w:bodyDiv w:val="1"/>
      <w:marLeft w:val="0"/>
      <w:marRight w:val="0"/>
      <w:marTop w:val="0"/>
      <w:marBottom w:val="0"/>
      <w:divBdr>
        <w:top w:val="none" w:sz="0" w:space="0" w:color="auto"/>
        <w:left w:val="none" w:sz="0" w:space="0" w:color="auto"/>
        <w:bottom w:val="none" w:sz="0" w:space="0" w:color="auto"/>
        <w:right w:val="none" w:sz="0" w:space="0" w:color="auto"/>
      </w:divBdr>
    </w:div>
    <w:div w:id="763764609">
      <w:bodyDiv w:val="1"/>
      <w:marLeft w:val="0"/>
      <w:marRight w:val="0"/>
      <w:marTop w:val="0"/>
      <w:marBottom w:val="0"/>
      <w:divBdr>
        <w:top w:val="none" w:sz="0" w:space="0" w:color="auto"/>
        <w:left w:val="none" w:sz="0" w:space="0" w:color="auto"/>
        <w:bottom w:val="none" w:sz="0" w:space="0" w:color="auto"/>
        <w:right w:val="none" w:sz="0" w:space="0" w:color="auto"/>
      </w:divBdr>
    </w:div>
    <w:div w:id="777062709">
      <w:bodyDiv w:val="1"/>
      <w:marLeft w:val="0"/>
      <w:marRight w:val="0"/>
      <w:marTop w:val="0"/>
      <w:marBottom w:val="0"/>
      <w:divBdr>
        <w:top w:val="none" w:sz="0" w:space="0" w:color="auto"/>
        <w:left w:val="none" w:sz="0" w:space="0" w:color="auto"/>
        <w:bottom w:val="none" w:sz="0" w:space="0" w:color="auto"/>
        <w:right w:val="none" w:sz="0" w:space="0" w:color="auto"/>
      </w:divBdr>
    </w:div>
    <w:div w:id="800222156">
      <w:bodyDiv w:val="1"/>
      <w:marLeft w:val="0"/>
      <w:marRight w:val="0"/>
      <w:marTop w:val="0"/>
      <w:marBottom w:val="0"/>
      <w:divBdr>
        <w:top w:val="none" w:sz="0" w:space="0" w:color="auto"/>
        <w:left w:val="none" w:sz="0" w:space="0" w:color="auto"/>
        <w:bottom w:val="none" w:sz="0" w:space="0" w:color="auto"/>
        <w:right w:val="none" w:sz="0" w:space="0" w:color="auto"/>
      </w:divBdr>
    </w:div>
    <w:div w:id="902789652">
      <w:bodyDiv w:val="1"/>
      <w:marLeft w:val="0"/>
      <w:marRight w:val="0"/>
      <w:marTop w:val="0"/>
      <w:marBottom w:val="0"/>
      <w:divBdr>
        <w:top w:val="none" w:sz="0" w:space="0" w:color="auto"/>
        <w:left w:val="none" w:sz="0" w:space="0" w:color="auto"/>
        <w:bottom w:val="none" w:sz="0" w:space="0" w:color="auto"/>
        <w:right w:val="none" w:sz="0" w:space="0" w:color="auto"/>
      </w:divBdr>
    </w:div>
    <w:div w:id="946471371">
      <w:bodyDiv w:val="1"/>
      <w:marLeft w:val="0"/>
      <w:marRight w:val="0"/>
      <w:marTop w:val="0"/>
      <w:marBottom w:val="0"/>
      <w:divBdr>
        <w:top w:val="none" w:sz="0" w:space="0" w:color="auto"/>
        <w:left w:val="none" w:sz="0" w:space="0" w:color="auto"/>
        <w:bottom w:val="none" w:sz="0" w:space="0" w:color="auto"/>
        <w:right w:val="none" w:sz="0" w:space="0" w:color="auto"/>
      </w:divBdr>
    </w:div>
    <w:div w:id="965812771">
      <w:bodyDiv w:val="1"/>
      <w:marLeft w:val="0"/>
      <w:marRight w:val="0"/>
      <w:marTop w:val="0"/>
      <w:marBottom w:val="0"/>
      <w:divBdr>
        <w:top w:val="none" w:sz="0" w:space="0" w:color="auto"/>
        <w:left w:val="none" w:sz="0" w:space="0" w:color="auto"/>
        <w:bottom w:val="none" w:sz="0" w:space="0" w:color="auto"/>
        <w:right w:val="none" w:sz="0" w:space="0" w:color="auto"/>
      </w:divBdr>
    </w:div>
    <w:div w:id="1083066943">
      <w:bodyDiv w:val="1"/>
      <w:marLeft w:val="0"/>
      <w:marRight w:val="0"/>
      <w:marTop w:val="0"/>
      <w:marBottom w:val="0"/>
      <w:divBdr>
        <w:top w:val="none" w:sz="0" w:space="0" w:color="auto"/>
        <w:left w:val="none" w:sz="0" w:space="0" w:color="auto"/>
        <w:bottom w:val="none" w:sz="0" w:space="0" w:color="auto"/>
        <w:right w:val="none" w:sz="0" w:space="0" w:color="auto"/>
      </w:divBdr>
    </w:div>
    <w:div w:id="1150751631">
      <w:bodyDiv w:val="1"/>
      <w:marLeft w:val="0"/>
      <w:marRight w:val="0"/>
      <w:marTop w:val="0"/>
      <w:marBottom w:val="0"/>
      <w:divBdr>
        <w:top w:val="none" w:sz="0" w:space="0" w:color="auto"/>
        <w:left w:val="none" w:sz="0" w:space="0" w:color="auto"/>
        <w:bottom w:val="none" w:sz="0" w:space="0" w:color="auto"/>
        <w:right w:val="none" w:sz="0" w:space="0" w:color="auto"/>
      </w:divBdr>
    </w:div>
    <w:div w:id="1153183816">
      <w:bodyDiv w:val="1"/>
      <w:marLeft w:val="0"/>
      <w:marRight w:val="0"/>
      <w:marTop w:val="0"/>
      <w:marBottom w:val="0"/>
      <w:divBdr>
        <w:top w:val="none" w:sz="0" w:space="0" w:color="auto"/>
        <w:left w:val="none" w:sz="0" w:space="0" w:color="auto"/>
        <w:bottom w:val="none" w:sz="0" w:space="0" w:color="auto"/>
        <w:right w:val="none" w:sz="0" w:space="0" w:color="auto"/>
      </w:divBdr>
    </w:div>
    <w:div w:id="1269696332">
      <w:bodyDiv w:val="1"/>
      <w:marLeft w:val="0"/>
      <w:marRight w:val="0"/>
      <w:marTop w:val="0"/>
      <w:marBottom w:val="0"/>
      <w:divBdr>
        <w:top w:val="none" w:sz="0" w:space="0" w:color="auto"/>
        <w:left w:val="none" w:sz="0" w:space="0" w:color="auto"/>
        <w:bottom w:val="none" w:sz="0" w:space="0" w:color="auto"/>
        <w:right w:val="none" w:sz="0" w:space="0" w:color="auto"/>
      </w:divBdr>
    </w:div>
    <w:div w:id="1303729939">
      <w:bodyDiv w:val="1"/>
      <w:marLeft w:val="0"/>
      <w:marRight w:val="0"/>
      <w:marTop w:val="0"/>
      <w:marBottom w:val="0"/>
      <w:divBdr>
        <w:top w:val="none" w:sz="0" w:space="0" w:color="auto"/>
        <w:left w:val="none" w:sz="0" w:space="0" w:color="auto"/>
        <w:bottom w:val="none" w:sz="0" w:space="0" w:color="auto"/>
        <w:right w:val="none" w:sz="0" w:space="0" w:color="auto"/>
      </w:divBdr>
    </w:div>
    <w:div w:id="1363823117">
      <w:bodyDiv w:val="1"/>
      <w:marLeft w:val="0"/>
      <w:marRight w:val="0"/>
      <w:marTop w:val="0"/>
      <w:marBottom w:val="0"/>
      <w:divBdr>
        <w:top w:val="none" w:sz="0" w:space="0" w:color="auto"/>
        <w:left w:val="none" w:sz="0" w:space="0" w:color="auto"/>
        <w:bottom w:val="none" w:sz="0" w:space="0" w:color="auto"/>
        <w:right w:val="none" w:sz="0" w:space="0" w:color="auto"/>
      </w:divBdr>
    </w:div>
    <w:div w:id="1454010367">
      <w:bodyDiv w:val="1"/>
      <w:marLeft w:val="0"/>
      <w:marRight w:val="0"/>
      <w:marTop w:val="0"/>
      <w:marBottom w:val="0"/>
      <w:divBdr>
        <w:top w:val="none" w:sz="0" w:space="0" w:color="auto"/>
        <w:left w:val="none" w:sz="0" w:space="0" w:color="auto"/>
        <w:bottom w:val="none" w:sz="0" w:space="0" w:color="auto"/>
        <w:right w:val="none" w:sz="0" w:space="0" w:color="auto"/>
      </w:divBdr>
    </w:div>
    <w:div w:id="1459251912">
      <w:bodyDiv w:val="1"/>
      <w:marLeft w:val="0"/>
      <w:marRight w:val="0"/>
      <w:marTop w:val="0"/>
      <w:marBottom w:val="0"/>
      <w:divBdr>
        <w:top w:val="none" w:sz="0" w:space="0" w:color="auto"/>
        <w:left w:val="none" w:sz="0" w:space="0" w:color="auto"/>
        <w:bottom w:val="none" w:sz="0" w:space="0" w:color="auto"/>
        <w:right w:val="none" w:sz="0" w:space="0" w:color="auto"/>
      </w:divBdr>
    </w:div>
    <w:div w:id="1543593251">
      <w:bodyDiv w:val="1"/>
      <w:marLeft w:val="0"/>
      <w:marRight w:val="0"/>
      <w:marTop w:val="0"/>
      <w:marBottom w:val="0"/>
      <w:divBdr>
        <w:top w:val="none" w:sz="0" w:space="0" w:color="auto"/>
        <w:left w:val="none" w:sz="0" w:space="0" w:color="auto"/>
        <w:bottom w:val="none" w:sz="0" w:space="0" w:color="auto"/>
        <w:right w:val="none" w:sz="0" w:space="0" w:color="auto"/>
      </w:divBdr>
    </w:div>
    <w:div w:id="1558663890">
      <w:bodyDiv w:val="1"/>
      <w:marLeft w:val="0"/>
      <w:marRight w:val="0"/>
      <w:marTop w:val="0"/>
      <w:marBottom w:val="0"/>
      <w:divBdr>
        <w:top w:val="none" w:sz="0" w:space="0" w:color="auto"/>
        <w:left w:val="none" w:sz="0" w:space="0" w:color="auto"/>
        <w:bottom w:val="none" w:sz="0" w:space="0" w:color="auto"/>
        <w:right w:val="none" w:sz="0" w:space="0" w:color="auto"/>
      </w:divBdr>
    </w:div>
    <w:div w:id="1589339456">
      <w:bodyDiv w:val="1"/>
      <w:marLeft w:val="0"/>
      <w:marRight w:val="0"/>
      <w:marTop w:val="0"/>
      <w:marBottom w:val="0"/>
      <w:divBdr>
        <w:top w:val="none" w:sz="0" w:space="0" w:color="auto"/>
        <w:left w:val="none" w:sz="0" w:space="0" w:color="auto"/>
        <w:bottom w:val="none" w:sz="0" w:space="0" w:color="auto"/>
        <w:right w:val="none" w:sz="0" w:space="0" w:color="auto"/>
      </w:divBdr>
    </w:div>
    <w:div w:id="1635215781">
      <w:bodyDiv w:val="1"/>
      <w:marLeft w:val="0"/>
      <w:marRight w:val="0"/>
      <w:marTop w:val="0"/>
      <w:marBottom w:val="0"/>
      <w:divBdr>
        <w:top w:val="none" w:sz="0" w:space="0" w:color="auto"/>
        <w:left w:val="none" w:sz="0" w:space="0" w:color="auto"/>
        <w:bottom w:val="none" w:sz="0" w:space="0" w:color="auto"/>
        <w:right w:val="none" w:sz="0" w:space="0" w:color="auto"/>
      </w:divBdr>
    </w:div>
    <w:div w:id="1652447017">
      <w:bodyDiv w:val="1"/>
      <w:marLeft w:val="0"/>
      <w:marRight w:val="0"/>
      <w:marTop w:val="0"/>
      <w:marBottom w:val="0"/>
      <w:divBdr>
        <w:top w:val="none" w:sz="0" w:space="0" w:color="auto"/>
        <w:left w:val="none" w:sz="0" w:space="0" w:color="auto"/>
        <w:bottom w:val="none" w:sz="0" w:space="0" w:color="auto"/>
        <w:right w:val="none" w:sz="0" w:space="0" w:color="auto"/>
      </w:divBdr>
    </w:div>
    <w:div w:id="1652561831">
      <w:bodyDiv w:val="1"/>
      <w:marLeft w:val="0"/>
      <w:marRight w:val="0"/>
      <w:marTop w:val="0"/>
      <w:marBottom w:val="0"/>
      <w:divBdr>
        <w:top w:val="none" w:sz="0" w:space="0" w:color="auto"/>
        <w:left w:val="none" w:sz="0" w:space="0" w:color="auto"/>
        <w:bottom w:val="none" w:sz="0" w:space="0" w:color="auto"/>
        <w:right w:val="none" w:sz="0" w:space="0" w:color="auto"/>
      </w:divBdr>
    </w:div>
    <w:div w:id="1668365388">
      <w:bodyDiv w:val="1"/>
      <w:marLeft w:val="0"/>
      <w:marRight w:val="0"/>
      <w:marTop w:val="0"/>
      <w:marBottom w:val="0"/>
      <w:divBdr>
        <w:top w:val="none" w:sz="0" w:space="0" w:color="auto"/>
        <w:left w:val="none" w:sz="0" w:space="0" w:color="auto"/>
        <w:bottom w:val="none" w:sz="0" w:space="0" w:color="auto"/>
        <w:right w:val="none" w:sz="0" w:space="0" w:color="auto"/>
      </w:divBdr>
    </w:div>
    <w:div w:id="1676684930">
      <w:bodyDiv w:val="1"/>
      <w:marLeft w:val="0"/>
      <w:marRight w:val="0"/>
      <w:marTop w:val="0"/>
      <w:marBottom w:val="0"/>
      <w:divBdr>
        <w:top w:val="none" w:sz="0" w:space="0" w:color="auto"/>
        <w:left w:val="none" w:sz="0" w:space="0" w:color="auto"/>
        <w:bottom w:val="none" w:sz="0" w:space="0" w:color="auto"/>
        <w:right w:val="none" w:sz="0" w:space="0" w:color="auto"/>
      </w:divBdr>
    </w:div>
    <w:div w:id="1709179511">
      <w:bodyDiv w:val="1"/>
      <w:marLeft w:val="0"/>
      <w:marRight w:val="0"/>
      <w:marTop w:val="0"/>
      <w:marBottom w:val="0"/>
      <w:divBdr>
        <w:top w:val="none" w:sz="0" w:space="0" w:color="auto"/>
        <w:left w:val="none" w:sz="0" w:space="0" w:color="auto"/>
        <w:bottom w:val="none" w:sz="0" w:space="0" w:color="auto"/>
        <w:right w:val="none" w:sz="0" w:space="0" w:color="auto"/>
      </w:divBdr>
    </w:div>
    <w:div w:id="1926644065">
      <w:bodyDiv w:val="1"/>
      <w:marLeft w:val="0"/>
      <w:marRight w:val="0"/>
      <w:marTop w:val="0"/>
      <w:marBottom w:val="0"/>
      <w:divBdr>
        <w:top w:val="none" w:sz="0" w:space="0" w:color="auto"/>
        <w:left w:val="none" w:sz="0" w:space="0" w:color="auto"/>
        <w:bottom w:val="none" w:sz="0" w:space="0" w:color="auto"/>
        <w:right w:val="none" w:sz="0" w:space="0" w:color="auto"/>
      </w:divBdr>
    </w:div>
    <w:div w:id="2026246563">
      <w:bodyDiv w:val="1"/>
      <w:marLeft w:val="0"/>
      <w:marRight w:val="0"/>
      <w:marTop w:val="0"/>
      <w:marBottom w:val="0"/>
      <w:divBdr>
        <w:top w:val="none" w:sz="0" w:space="0" w:color="auto"/>
        <w:left w:val="none" w:sz="0" w:space="0" w:color="auto"/>
        <w:bottom w:val="none" w:sz="0" w:space="0" w:color="auto"/>
        <w:right w:val="none" w:sz="0" w:space="0" w:color="auto"/>
      </w:divBdr>
      <w:divsChild>
        <w:div w:id="276572375">
          <w:marLeft w:val="1080"/>
          <w:marRight w:val="0"/>
          <w:marTop w:val="100"/>
          <w:marBottom w:val="360"/>
          <w:divBdr>
            <w:top w:val="none" w:sz="0" w:space="0" w:color="auto"/>
            <w:left w:val="none" w:sz="0" w:space="0" w:color="auto"/>
            <w:bottom w:val="none" w:sz="0" w:space="0" w:color="auto"/>
            <w:right w:val="none" w:sz="0" w:space="0" w:color="auto"/>
          </w:divBdr>
        </w:div>
        <w:div w:id="755519716">
          <w:marLeft w:val="1080"/>
          <w:marRight w:val="0"/>
          <w:marTop w:val="100"/>
          <w:marBottom w:val="360"/>
          <w:divBdr>
            <w:top w:val="none" w:sz="0" w:space="0" w:color="auto"/>
            <w:left w:val="none" w:sz="0" w:space="0" w:color="auto"/>
            <w:bottom w:val="none" w:sz="0" w:space="0" w:color="auto"/>
            <w:right w:val="none" w:sz="0" w:space="0" w:color="auto"/>
          </w:divBdr>
        </w:div>
        <w:div w:id="1658413389">
          <w:marLeft w:val="1080"/>
          <w:marRight w:val="0"/>
          <w:marTop w:val="10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ALL/?uri=CELEX:52023SC0339" TargetMode="External"/><Relationship Id="rId13" Type="http://schemas.openxmlformats.org/officeDocument/2006/relationships/hyperlink" Target="https://eur-lex.europa.eu/legal-content/SV/TXT/PDF/?uri=CELEX:52021DC0082&amp;from=SV" TargetMode="External"/><Relationship Id="rId18" Type="http://schemas.openxmlformats.org/officeDocument/2006/relationships/hyperlink" Target="https://eur-lex.europa.eu/legal-content/SV/TXT/?uri=CELEX%3A52023PC0416" TargetMode="External"/><Relationship Id="rId26" Type="http://schemas.openxmlformats.org/officeDocument/2006/relationships/hyperlink" Target="https://eur-lex.europa.eu/legal-content/SV/TXT/?uri=CELEX%3A52023DC0102" TargetMode="External"/><Relationship Id="rId39" Type="http://schemas.openxmlformats.org/officeDocument/2006/relationships/hyperlink" Target="https://publications.jrc.ec.europa.eu/repository/handle/JRC136274" TargetMode="External"/><Relationship Id="rId3" Type="http://schemas.openxmlformats.org/officeDocument/2006/relationships/hyperlink" Target="https://www.eea.europa.eu/publications/european-climate-risk-assessment" TargetMode="External"/><Relationship Id="rId21" Type="http://schemas.openxmlformats.org/officeDocument/2006/relationships/hyperlink" Target="https://climate-risk-dashboard.climateanalytics.org/" TargetMode="External"/><Relationship Id="rId34" Type="http://schemas.openxmlformats.org/officeDocument/2006/relationships/hyperlink" Target="https://eurocodes.jrc.ec.europa.eu/2nd-generation/second-generation-eurocodes-what-new" TargetMode="External"/><Relationship Id="rId42" Type="http://schemas.openxmlformats.org/officeDocument/2006/relationships/hyperlink" Target="https://eur-lex.europa.eu/legal-content/SV/TXT/?uri=CELEX%3A52023JC0020" TargetMode="External"/><Relationship Id="rId7" Type="http://schemas.openxmlformats.org/officeDocument/2006/relationships/hyperlink" Target="https://www.consilium.europa.eu/media/67654/20231027-european-council-conclusions-sv.pdf" TargetMode="External"/><Relationship Id="rId12" Type="http://schemas.openxmlformats.org/officeDocument/2006/relationships/hyperlink" Target="https://eur-lex.europa.eu/legal-content/SV/TXT/?uri=CELEX%3A52023JC0019" TargetMode="External"/><Relationship Id="rId17" Type="http://schemas.openxmlformats.org/officeDocument/2006/relationships/hyperlink" Target="https://eur-lex.europa.eu/legal-content/SV/TXT/?uri=COM%3A2023%3A728%3AFIN" TargetMode="External"/><Relationship Id="rId25" Type="http://schemas.openxmlformats.org/officeDocument/2006/relationships/hyperlink" Target="https://www.ipcc.ch/assessment-report/ar6/" TargetMode="External"/><Relationship Id="rId33" Type="http://schemas.openxmlformats.org/officeDocument/2006/relationships/hyperlink" Target="https://osha.europa.eu/sites/default/files/Heat-at-work-Guidance-for-workplaces_SV.pdf" TargetMode="External"/><Relationship Id="rId38" Type="http://schemas.openxmlformats.org/officeDocument/2006/relationships/hyperlink" Target="https://publications.jrc.ec.europa.eu/repository/handle/JRC136274" TargetMode="External"/><Relationship Id="rId2" Type="http://schemas.openxmlformats.org/officeDocument/2006/relationships/hyperlink" Target="https://climate.copernicus.eu/copernicus-2023-hottest-year-record" TargetMode="External"/><Relationship Id="rId16" Type="http://schemas.openxmlformats.org/officeDocument/2006/relationships/hyperlink" Target="https://www.wekeo.eu/" TargetMode="External"/><Relationship Id="rId20" Type="http://schemas.openxmlformats.org/officeDocument/2006/relationships/hyperlink" Target="https://drmkc.jrc.ec.europa.eu/risk-data-hub" TargetMode="External"/><Relationship Id="rId29" Type="http://schemas.openxmlformats.org/officeDocument/2006/relationships/hyperlink" Target="https://health.ec.europa.eu/non-communicable-diseases/healthier-together-eu-non-communicable-diseases-initiative_en?prefLang=sv" TargetMode="External"/><Relationship Id="rId41" Type="http://schemas.openxmlformats.org/officeDocument/2006/relationships/hyperlink" Target="https://eur-lex.europa.eu/legal-content/sv/ALL/?uri=CELEX%3A52020DC0103" TargetMode="External"/><Relationship Id="rId1" Type="http://schemas.openxmlformats.org/officeDocument/2006/relationships/hyperlink" Target="https://eur-lex.europa.eu/legal-content/SV/TXT/?uri=COM%3A2024%3A63%3AFIN" TargetMode="External"/><Relationship Id="rId6" Type="http://schemas.openxmlformats.org/officeDocument/2006/relationships/hyperlink" Target="https://www.europarl.europa.eu/doceo/document/TA-9-2022-0330_SV.html" TargetMode="External"/><Relationship Id="rId11" Type="http://schemas.openxmlformats.org/officeDocument/2006/relationships/hyperlink" Target="https://civil-protection-humanitarian-aid.ec.europa.eu/what/civil-protection/european-disaster-risk-management_en?prefLang=sv" TargetMode="External"/><Relationship Id="rId24" Type="http://schemas.openxmlformats.org/officeDocument/2006/relationships/hyperlink" Target="https://eur-lex.europa.eu/legal-content/SV/TXT/?uri=CELEX:52023DC0061" TargetMode="External"/><Relationship Id="rId32" Type="http://schemas.openxmlformats.org/officeDocument/2006/relationships/hyperlink" Target="https://www.cop28.com/en/cop28-uae-declaration-on-climate-and-health" TargetMode="External"/><Relationship Id="rId37" Type="http://schemas.openxmlformats.org/officeDocument/2006/relationships/hyperlink" Target="https://eur-lex.europa.eu/legal-content/SV/TXT/?uri=CELEX%3A52022DC0409" TargetMode="External"/><Relationship Id="rId40" Type="http://schemas.openxmlformats.org/officeDocument/2006/relationships/hyperlink" Target="https://www.ecb.europa.eu/pub/economic-bulletin/focus/2023/html/ecb.ebbox202306_05~f5ec994b9e.en.html" TargetMode="External"/><Relationship Id="rId5" Type="http://schemas.openxmlformats.org/officeDocument/2006/relationships/hyperlink" Target="https://www.ecb.europa.eu/press/pr/date/2023/html/ecb.pr231218_1~6b3bea9532.en.html" TargetMode="External"/><Relationship Id="rId15" Type="http://schemas.openxmlformats.org/officeDocument/2006/relationships/hyperlink" Target="https://dataspace.copernicus.eu/" TargetMode="External"/><Relationship Id="rId23" Type="http://schemas.openxmlformats.org/officeDocument/2006/relationships/hyperlink" Target="https://new-european-bauhaus.europa.eu/get-involved/use-compass_en?prefLang=sv" TargetMode="External"/><Relationship Id="rId28" Type="http://schemas.openxmlformats.org/officeDocument/2006/relationships/hyperlink" Target="https://www.exhaustion.eu/" TargetMode="External"/><Relationship Id="rId36" Type="http://schemas.openxmlformats.org/officeDocument/2006/relationships/hyperlink" Target="http://www.tradeministersonclimate.org/" TargetMode="External"/><Relationship Id="rId10" Type="http://schemas.openxmlformats.org/officeDocument/2006/relationships/hyperlink" Target="https://commission.europa.eu/energy-climate-change-environment/implementation-eu-countries/energy-and-climate-governance-and-reporting/national-energy-and-climate-plans_sv" TargetMode="External"/><Relationship Id="rId19" Type="http://schemas.openxmlformats.org/officeDocument/2006/relationships/hyperlink" Target="https://climate-adapt.eea.europa.eu/en/knowledge/european-climate-data-explorer/" TargetMode="External"/><Relationship Id="rId31" Type="http://schemas.openxmlformats.org/officeDocument/2006/relationships/hyperlink" Target="https://www.who.int/europe/publications/i/item/EURO-Budapest2023-6" TargetMode="External"/><Relationship Id="rId44" Type="http://schemas.openxmlformats.org/officeDocument/2006/relationships/hyperlink" Target="https://eur-lex.europa.eu/legal-content/SV/TXT/?uri=CELEX%3A52023PC0240" TargetMode="External"/><Relationship Id="rId4" Type="http://schemas.openxmlformats.org/officeDocument/2006/relationships/hyperlink" Target="https://www.weforum.org/publications/global-risks-report-2024/" TargetMode="External"/><Relationship Id="rId9" Type="http://schemas.openxmlformats.org/officeDocument/2006/relationships/hyperlink" Target="https://climate.ec.europa.eu/system/files/2023-12/SWD_2023_932_1_EN.pdf" TargetMode="External"/><Relationship Id="rId14" Type="http://schemas.openxmlformats.org/officeDocument/2006/relationships/hyperlink" Target="https://climate.ec.europa.eu/document/download/768bc81f-5f48-48e3-b4d4-e02ba09faca1_en" TargetMode="External"/><Relationship Id="rId22" Type="http://schemas.openxmlformats.org/officeDocument/2006/relationships/hyperlink" Target="https://eur-lex.europa.eu/legal-content/SV/ALL/?uri=COM:2023:667:FIN" TargetMode="External"/><Relationship Id="rId27" Type="http://schemas.openxmlformats.org/officeDocument/2006/relationships/hyperlink" Target="https://research-and-innovation.ec.europa.eu/funding/funding-opportunities/funding-programmes-and-open-calls/horizon-europe/eu-missions-horizon-europe/restore-our-ocean-and-waters_sv" TargetMode="External"/><Relationship Id="rId30" Type="http://schemas.openxmlformats.org/officeDocument/2006/relationships/hyperlink" Target="https://health.ec.europa.eu/publications/comprehensive-approach-mental-health_sv" TargetMode="External"/><Relationship Id="rId35" Type="http://schemas.openxmlformats.org/officeDocument/2006/relationships/hyperlink" Target="https://climate.ec.europa.eu/document/download/768bc81f-5f48-48e3-b4d4-e02ba09faca1_en" TargetMode="External"/><Relationship Id="rId43" Type="http://schemas.openxmlformats.org/officeDocument/2006/relationships/hyperlink" Target="https://eur-lex.europa.eu/legal-content/SV/TXT/?uri=COM%3A2023%3A535%3AF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FDF3D715AA394A9B15E0E0FAA07E37" ma:contentTypeVersion="19" ma:contentTypeDescription="Create a new document." ma:contentTypeScope="" ma:versionID="5bf29b2a3c6ecafbb31bdd03e5262a3d">
  <xsd:schema xmlns:xsd="http://www.w3.org/2001/XMLSchema" xmlns:xs="http://www.w3.org/2001/XMLSchema" xmlns:p="http://schemas.microsoft.com/office/2006/metadata/properties" xmlns:ns1="http://schemas.microsoft.com/sharepoint/v3" xmlns:ns2="33e07890-6196-4e26-9dd2-53178dae8e48" xmlns:ns3="faa54b14-608b-44ba-8621-4287d9574b27" targetNamespace="http://schemas.microsoft.com/office/2006/metadata/properties" ma:root="true" ma:fieldsID="cc6c822d7742d136d6b2ce621399e9cf" ns1:_="" ns2:_="" ns3:_="">
    <xsd:import namespace="http://schemas.microsoft.com/sharepoint/v3"/>
    <xsd:import namespace="33e07890-6196-4e26-9dd2-53178dae8e48"/>
    <xsd:import namespace="faa54b14-608b-44ba-8621-4287d9574b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e07890-6196-4e26-9dd2-53178dae8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a54b14-608b-44ba-8621-4287d9574b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e2d1171-1b20-46c7-b5af-210c5dce4f7c}" ma:internalName="TaxCatchAll" ma:showField="CatchAllData" ma:web="faa54b14-608b-44ba-8621-4287d9574b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e07890-6196-4e26-9dd2-53178dae8e48">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faa54b14-608b-44ba-8621-4287d9574b2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E9AAA-56B9-46EF-B05C-1F80F5D0F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e07890-6196-4e26-9dd2-53178dae8e48"/>
    <ds:schemaRef ds:uri="faa54b14-608b-44ba-8621-4287d9574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ED45BD-9959-4C35-B33C-C6B8397C3E22}">
  <ds:schemaRefs>
    <ds:schemaRef ds:uri="http://schemas.microsoft.com/sharepoint/v3/contenttype/forms"/>
  </ds:schemaRefs>
</ds:datastoreItem>
</file>

<file path=customXml/itemProps3.xml><?xml version="1.0" encoding="utf-8"?>
<ds:datastoreItem xmlns:ds="http://schemas.openxmlformats.org/officeDocument/2006/customXml" ds:itemID="{03FF0186-E0D7-4E5E-B46D-6F54AD0AB0DF}">
  <ds:schemaRefs>
    <ds:schemaRef ds:uri="http://schemas.microsoft.com/office/2006/metadata/properties"/>
    <ds:schemaRef ds:uri="http://schemas.microsoft.com/office/infopath/2007/PartnerControls"/>
    <ds:schemaRef ds:uri="http://schemas.microsoft.com/sharepoint/v3"/>
    <ds:schemaRef ds:uri="33e07890-6196-4e26-9dd2-53178dae8e48"/>
    <ds:schemaRef ds:uri="faa54b14-608b-44ba-8621-4287d9574b27"/>
  </ds:schemaRefs>
</ds:datastoreItem>
</file>

<file path=customXml/itemProps4.xml><?xml version="1.0" encoding="utf-8"?>
<ds:datastoreItem xmlns:ds="http://schemas.openxmlformats.org/officeDocument/2006/customXml" ds:itemID="{191330BA-1D1D-41FC-98E6-05E6627A8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10094</Words>
  <Characters>57542</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67501</CharactersWithSpaces>
  <SharedDoc>false</SharedDoc>
  <HLinks>
    <vt:vector size="264" baseType="variant">
      <vt:variant>
        <vt:i4>7208998</vt:i4>
      </vt:variant>
      <vt:variant>
        <vt:i4>132</vt:i4>
      </vt:variant>
      <vt:variant>
        <vt:i4>0</vt:i4>
      </vt:variant>
      <vt:variant>
        <vt:i4>5</vt:i4>
      </vt:variant>
      <vt:variant>
        <vt:lpwstr>https://eur-lex.europa.eu/legal-content/EN/TXT/?uri=CELEX%3A52023PC0240</vt:lpwstr>
      </vt:variant>
      <vt:variant>
        <vt:lpwstr/>
      </vt:variant>
      <vt:variant>
        <vt:i4>8257634</vt:i4>
      </vt:variant>
      <vt:variant>
        <vt:i4>129</vt:i4>
      </vt:variant>
      <vt:variant>
        <vt:i4>0</vt:i4>
      </vt:variant>
      <vt:variant>
        <vt:i4>5</vt:i4>
      </vt:variant>
      <vt:variant>
        <vt:lpwstr>https://eur-lex.europa.eu/legal-content/EN/TXT/?uri=COM%3A2023%3A535%3AFIN</vt:lpwstr>
      </vt:variant>
      <vt:variant>
        <vt:lpwstr/>
      </vt:variant>
      <vt:variant>
        <vt:i4>7471140</vt:i4>
      </vt:variant>
      <vt:variant>
        <vt:i4>126</vt:i4>
      </vt:variant>
      <vt:variant>
        <vt:i4>0</vt:i4>
      </vt:variant>
      <vt:variant>
        <vt:i4>5</vt:i4>
      </vt:variant>
      <vt:variant>
        <vt:lpwstr>https://eur-lex.europa.eu/legal-content/EN/TXT/?uri=CELEX%3A52023JC0020</vt:lpwstr>
      </vt:variant>
      <vt:variant>
        <vt:lpwstr/>
      </vt:variant>
      <vt:variant>
        <vt:i4>7536690</vt:i4>
      </vt:variant>
      <vt:variant>
        <vt:i4>123</vt:i4>
      </vt:variant>
      <vt:variant>
        <vt:i4>0</vt:i4>
      </vt:variant>
      <vt:variant>
        <vt:i4>5</vt:i4>
      </vt:variant>
      <vt:variant>
        <vt:lpwstr>https://eur-lex.europa.eu/legal-content/en/ALL/?uri=CELEX%3A52020DC0103</vt:lpwstr>
      </vt:variant>
      <vt:variant>
        <vt:lpwstr/>
      </vt:variant>
      <vt:variant>
        <vt:i4>3407966</vt:i4>
      </vt:variant>
      <vt:variant>
        <vt:i4>120</vt:i4>
      </vt:variant>
      <vt:variant>
        <vt:i4>0</vt:i4>
      </vt:variant>
      <vt:variant>
        <vt:i4>5</vt:i4>
      </vt:variant>
      <vt:variant>
        <vt:lpwstr>https://www.ecb.europa.eu/pub/economic-bulletin/focus/2023/html/ecb.ebbox202306_05~f5ec994b9e.en.html</vt:lpwstr>
      </vt:variant>
      <vt:variant>
        <vt:lpwstr/>
      </vt:variant>
      <vt:variant>
        <vt:i4>131136</vt:i4>
      </vt:variant>
      <vt:variant>
        <vt:i4>117</vt:i4>
      </vt:variant>
      <vt:variant>
        <vt:i4>0</vt:i4>
      </vt:variant>
      <vt:variant>
        <vt:i4>5</vt:i4>
      </vt:variant>
      <vt:variant>
        <vt:lpwstr>https://publications.jrc.ec.europa.eu/repository/handle/JRC136274</vt:lpwstr>
      </vt:variant>
      <vt:variant>
        <vt:lpwstr/>
      </vt:variant>
      <vt:variant>
        <vt:i4>8257569</vt:i4>
      </vt:variant>
      <vt:variant>
        <vt:i4>114</vt:i4>
      </vt:variant>
      <vt:variant>
        <vt:i4>0</vt:i4>
      </vt:variant>
      <vt:variant>
        <vt:i4>5</vt:i4>
      </vt:variant>
      <vt:variant>
        <vt:lpwstr>https://eur-lex.europa.eu/legal-content/EN/TXT/?uri=CELEX%3A52022DC0409</vt:lpwstr>
      </vt:variant>
      <vt:variant>
        <vt:lpwstr/>
      </vt:variant>
      <vt:variant>
        <vt:i4>3407975</vt:i4>
      </vt:variant>
      <vt:variant>
        <vt:i4>111</vt:i4>
      </vt:variant>
      <vt:variant>
        <vt:i4>0</vt:i4>
      </vt:variant>
      <vt:variant>
        <vt:i4>5</vt:i4>
      </vt:variant>
      <vt:variant>
        <vt:lpwstr>http://www.tradeministersonclimate.org/</vt:lpwstr>
      </vt:variant>
      <vt:variant>
        <vt:lpwstr/>
      </vt:variant>
      <vt:variant>
        <vt:i4>5767227</vt:i4>
      </vt:variant>
      <vt:variant>
        <vt:i4>108</vt:i4>
      </vt:variant>
      <vt:variant>
        <vt:i4>0</vt:i4>
      </vt:variant>
      <vt:variant>
        <vt:i4>5</vt:i4>
      </vt:variant>
      <vt:variant>
        <vt:lpwstr>https://climate.ec.europa.eu/document/download/768bc81f-5f48-48e3-b4d4-e02ba09faca1_en</vt:lpwstr>
      </vt:variant>
      <vt:variant>
        <vt:lpwstr/>
      </vt:variant>
      <vt:variant>
        <vt:i4>3014781</vt:i4>
      </vt:variant>
      <vt:variant>
        <vt:i4>105</vt:i4>
      </vt:variant>
      <vt:variant>
        <vt:i4>0</vt:i4>
      </vt:variant>
      <vt:variant>
        <vt:i4>5</vt:i4>
      </vt:variant>
      <vt:variant>
        <vt:lpwstr>https://eurocodes.jrc.ec.europa.eu/2nd-generation/second-generation-eurocodes-what-new</vt:lpwstr>
      </vt:variant>
      <vt:variant>
        <vt:lpwstr/>
      </vt:variant>
      <vt:variant>
        <vt:i4>6422573</vt:i4>
      </vt:variant>
      <vt:variant>
        <vt:i4>102</vt:i4>
      </vt:variant>
      <vt:variant>
        <vt:i4>0</vt:i4>
      </vt:variant>
      <vt:variant>
        <vt:i4>5</vt:i4>
      </vt:variant>
      <vt:variant>
        <vt:lpwstr>https://osha.europa.eu/en/oshnews/heat-work-guidance-workplaces</vt:lpwstr>
      </vt:variant>
      <vt:variant>
        <vt:lpwstr/>
      </vt:variant>
      <vt:variant>
        <vt:i4>1441862</vt:i4>
      </vt:variant>
      <vt:variant>
        <vt:i4>99</vt:i4>
      </vt:variant>
      <vt:variant>
        <vt:i4>0</vt:i4>
      </vt:variant>
      <vt:variant>
        <vt:i4>5</vt:i4>
      </vt:variant>
      <vt:variant>
        <vt:lpwstr>https://www.cop28.com/en/cop28-uae-declaration-on-climate-and-health</vt:lpwstr>
      </vt:variant>
      <vt:variant>
        <vt:lpwstr/>
      </vt:variant>
      <vt:variant>
        <vt:i4>4063335</vt:i4>
      </vt:variant>
      <vt:variant>
        <vt:i4>96</vt:i4>
      </vt:variant>
      <vt:variant>
        <vt:i4>0</vt:i4>
      </vt:variant>
      <vt:variant>
        <vt:i4>5</vt:i4>
      </vt:variant>
      <vt:variant>
        <vt:lpwstr>https://www.who.int/europe/publications/i/item/EURO-Budapest2023-6</vt:lpwstr>
      </vt:variant>
      <vt:variant>
        <vt:lpwstr/>
      </vt:variant>
      <vt:variant>
        <vt:i4>7274505</vt:i4>
      </vt:variant>
      <vt:variant>
        <vt:i4>93</vt:i4>
      </vt:variant>
      <vt:variant>
        <vt:i4>0</vt:i4>
      </vt:variant>
      <vt:variant>
        <vt:i4>5</vt:i4>
      </vt:variant>
      <vt:variant>
        <vt:lpwstr>https://health.ec.europa.eu/publications/comprehensive-approach-mental-health_en</vt:lpwstr>
      </vt:variant>
      <vt:variant>
        <vt:lpwstr/>
      </vt:variant>
      <vt:variant>
        <vt:i4>7012420</vt:i4>
      </vt:variant>
      <vt:variant>
        <vt:i4>90</vt:i4>
      </vt:variant>
      <vt:variant>
        <vt:i4>0</vt:i4>
      </vt:variant>
      <vt:variant>
        <vt:i4>5</vt:i4>
      </vt:variant>
      <vt:variant>
        <vt:lpwstr>https://health.ec.europa.eu/non-communicable-diseases/healthier-together-eu-non-communicable-diseases-initiative_en</vt:lpwstr>
      </vt:variant>
      <vt:variant>
        <vt:lpwstr/>
      </vt:variant>
      <vt:variant>
        <vt:i4>7274616</vt:i4>
      </vt:variant>
      <vt:variant>
        <vt:i4>87</vt:i4>
      </vt:variant>
      <vt:variant>
        <vt:i4>0</vt:i4>
      </vt:variant>
      <vt:variant>
        <vt:i4>5</vt:i4>
      </vt:variant>
      <vt:variant>
        <vt:lpwstr>https://www.exhaustion.eu/</vt:lpwstr>
      </vt:variant>
      <vt:variant>
        <vt:lpwstr/>
      </vt:variant>
      <vt:variant>
        <vt:i4>1704042</vt:i4>
      </vt:variant>
      <vt:variant>
        <vt:i4>84</vt:i4>
      </vt:variant>
      <vt:variant>
        <vt:i4>0</vt:i4>
      </vt:variant>
      <vt:variant>
        <vt:i4>5</vt:i4>
      </vt:variant>
      <vt:variant>
        <vt:lpwstr>https://research-and-innovation.ec.europa.eu/funding/funding-opportunities/funding-programmes-and-open-calls/horizon-europe/eu-missions-horizon-europe/restore-our-ocean-and-waters_en</vt:lpwstr>
      </vt:variant>
      <vt:variant>
        <vt:lpwstr/>
      </vt:variant>
      <vt:variant>
        <vt:i4>8257573</vt:i4>
      </vt:variant>
      <vt:variant>
        <vt:i4>81</vt:i4>
      </vt:variant>
      <vt:variant>
        <vt:i4>0</vt:i4>
      </vt:variant>
      <vt:variant>
        <vt:i4>5</vt:i4>
      </vt:variant>
      <vt:variant>
        <vt:lpwstr>https://eur-lex.europa.eu/legal-content/EN/TXT/?uri=CELEX%3A52023DC0102</vt:lpwstr>
      </vt:variant>
      <vt:variant>
        <vt:lpwstr/>
      </vt:variant>
      <vt:variant>
        <vt:i4>2359411</vt:i4>
      </vt:variant>
      <vt:variant>
        <vt:i4>78</vt:i4>
      </vt:variant>
      <vt:variant>
        <vt:i4>0</vt:i4>
      </vt:variant>
      <vt:variant>
        <vt:i4>5</vt:i4>
      </vt:variant>
      <vt:variant>
        <vt:lpwstr>https://www.worldbank.org/en/publication/changing-wealth-of-nations</vt:lpwstr>
      </vt:variant>
      <vt:variant>
        <vt:lpwstr/>
      </vt:variant>
      <vt:variant>
        <vt:i4>6357098</vt:i4>
      </vt:variant>
      <vt:variant>
        <vt:i4>72</vt:i4>
      </vt:variant>
      <vt:variant>
        <vt:i4>0</vt:i4>
      </vt:variant>
      <vt:variant>
        <vt:i4>5</vt:i4>
      </vt:variant>
      <vt:variant>
        <vt:lpwstr>https://www.ipcc.ch/assessment-report/ar6/</vt:lpwstr>
      </vt:variant>
      <vt:variant>
        <vt:lpwstr/>
      </vt:variant>
      <vt:variant>
        <vt:i4>393239</vt:i4>
      </vt:variant>
      <vt:variant>
        <vt:i4>69</vt:i4>
      </vt:variant>
      <vt:variant>
        <vt:i4>0</vt:i4>
      </vt:variant>
      <vt:variant>
        <vt:i4>5</vt:i4>
      </vt:variant>
      <vt:variant>
        <vt:lpwstr>https://eur-lex.europa.eu/legal-content/EN/TXT/?uri=CELEX:52023DC0061</vt:lpwstr>
      </vt:variant>
      <vt:variant>
        <vt:lpwstr/>
      </vt:variant>
      <vt:variant>
        <vt:i4>5767203</vt:i4>
      </vt:variant>
      <vt:variant>
        <vt:i4>66</vt:i4>
      </vt:variant>
      <vt:variant>
        <vt:i4>0</vt:i4>
      </vt:variant>
      <vt:variant>
        <vt:i4>5</vt:i4>
      </vt:variant>
      <vt:variant>
        <vt:lpwstr>https://new-european-bauhaus.europa.eu/get-involved/use-compass_en</vt:lpwstr>
      </vt:variant>
      <vt:variant>
        <vt:lpwstr/>
      </vt:variant>
      <vt:variant>
        <vt:i4>786496</vt:i4>
      </vt:variant>
      <vt:variant>
        <vt:i4>63</vt:i4>
      </vt:variant>
      <vt:variant>
        <vt:i4>0</vt:i4>
      </vt:variant>
      <vt:variant>
        <vt:i4>5</vt:i4>
      </vt:variant>
      <vt:variant>
        <vt:lpwstr>https://eur-lex.europa.eu/legal-content/EN/ALL/?uri=COM:2023:667:FIN</vt:lpwstr>
      </vt:variant>
      <vt:variant>
        <vt:lpwstr/>
      </vt:variant>
      <vt:variant>
        <vt:i4>5439558</vt:i4>
      </vt:variant>
      <vt:variant>
        <vt:i4>60</vt:i4>
      </vt:variant>
      <vt:variant>
        <vt:i4>0</vt:i4>
      </vt:variant>
      <vt:variant>
        <vt:i4>5</vt:i4>
      </vt:variant>
      <vt:variant>
        <vt:lpwstr>https://climate-risk-dashboard.climateanalytics.org/</vt:lpwstr>
      </vt:variant>
      <vt:variant>
        <vt:lpwstr/>
      </vt:variant>
      <vt:variant>
        <vt:i4>196668</vt:i4>
      </vt:variant>
      <vt:variant>
        <vt:i4>57</vt:i4>
      </vt:variant>
      <vt:variant>
        <vt:i4>0</vt:i4>
      </vt:variant>
      <vt:variant>
        <vt:i4>5</vt:i4>
      </vt:variant>
      <vt:variant>
        <vt:lpwstr>https://drmkc.jrc.ec.europa.eu/risk-data-hub</vt:lpwstr>
      </vt:variant>
      <vt:variant>
        <vt:lpwstr>/</vt:lpwstr>
      </vt:variant>
      <vt:variant>
        <vt:i4>5046346</vt:i4>
      </vt:variant>
      <vt:variant>
        <vt:i4>54</vt:i4>
      </vt:variant>
      <vt:variant>
        <vt:i4>0</vt:i4>
      </vt:variant>
      <vt:variant>
        <vt:i4>5</vt:i4>
      </vt:variant>
      <vt:variant>
        <vt:lpwstr>https://climate-adapt.eea.europa.eu/en/knowledge/european-climate-data-explorer/</vt:lpwstr>
      </vt:variant>
      <vt:variant>
        <vt:lpwstr/>
      </vt:variant>
      <vt:variant>
        <vt:i4>7012384</vt:i4>
      </vt:variant>
      <vt:variant>
        <vt:i4>51</vt:i4>
      </vt:variant>
      <vt:variant>
        <vt:i4>0</vt:i4>
      </vt:variant>
      <vt:variant>
        <vt:i4>5</vt:i4>
      </vt:variant>
      <vt:variant>
        <vt:lpwstr>https://eur-lex.europa.eu/legal-content/EN/TXT/?uri=CELEX%3A52023PC0416</vt:lpwstr>
      </vt:variant>
      <vt:variant>
        <vt:lpwstr/>
      </vt:variant>
      <vt:variant>
        <vt:i4>7405667</vt:i4>
      </vt:variant>
      <vt:variant>
        <vt:i4>48</vt:i4>
      </vt:variant>
      <vt:variant>
        <vt:i4>0</vt:i4>
      </vt:variant>
      <vt:variant>
        <vt:i4>5</vt:i4>
      </vt:variant>
      <vt:variant>
        <vt:lpwstr>https://eur-lex.europa.eu/legal-content/EN/TXT/?uri=COM%3A2023%3A728%3AFIN</vt:lpwstr>
      </vt:variant>
      <vt:variant>
        <vt:lpwstr/>
      </vt:variant>
      <vt:variant>
        <vt:i4>1245270</vt:i4>
      </vt:variant>
      <vt:variant>
        <vt:i4>45</vt:i4>
      </vt:variant>
      <vt:variant>
        <vt:i4>0</vt:i4>
      </vt:variant>
      <vt:variant>
        <vt:i4>5</vt:i4>
      </vt:variant>
      <vt:variant>
        <vt:lpwstr>https://www.wekeo.eu/</vt:lpwstr>
      </vt:variant>
      <vt:variant>
        <vt:lpwstr/>
      </vt:variant>
      <vt:variant>
        <vt:i4>1179649</vt:i4>
      </vt:variant>
      <vt:variant>
        <vt:i4>42</vt:i4>
      </vt:variant>
      <vt:variant>
        <vt:i4>0</vt:i4>
      </vt:variant>
      <vt:variant>
        <vt:i4>5</vt:i4>
      </vt:variant>
      <vt:variant>
        <vt:lpwstr>https://dataspace.copernicus.eu/</vt:lpwstr>
      </vt:variant>
      <vt:variant>
        <vt:lpwstr/>
      </vt:variant>
      <vt:variant>
        <vt:i4>5767227</vt:i4>
      </vt:variant>
      <vt:variant>
        <vt:i4>39</vt:i4>
      </vt:variant>
      <vt:variant>
        <vt:i4>0</vt:i4>
      </vt:variant>
      <vt:variant>
        <vt:i4>5</vt:i4>
      </vt:variant>
      <vt:variant>
        <vt:lpwstr>https://climate.ec.europa.eu/document/download/768bc81f-5f48-48e3-b4d4-e02ba09faca1_en</vt:lpwstr>
      </vt:variant>
      <vt:variant>
        <vt:lpwstr/>
      </vt:variant>
      <vt:variant>
        <vt:i4>4325464</vt:i4>
      </vt:variant>
      <vt:variant>
        <vt:i4>36</vt:i4>
      </vt:variant>
      <vt:variant>
        <vt:i4>0</vt:i4>
      </vt:variant>
      <vt:variant>
        <vt:i4>5</vt:i4>
      </vt:variant>
      <vt:variant>
        <vt:lpwstr>https://eur-lex.europa.eu/legal-content/EN/TXT/PDF/?uri=CELEX:52021DC0082&amp;from=EN</vt:lpwstr>
      </vt:variant>
      <vt:variant>
        <vt:lpwstr/>
      </vt:variant>
      <vt:variant>
        <vt:i4>7405604</vt:i4>
      </vt:variant>
      <vt:variant>
        <vt:i4>33</vt:i4>
      </vt:variant>
      <vt:variant>
        <vt:i4>0</vt:i4>
      </vt:variant>
      <vt:variant>
        <vt:i4>5</vt:i4>
      </vt:variant>
      <vt:variant>
        <vt:lpwstr>https://eur-lex.europa.eu/legal-content/EN/TXT/?uri=CELEX%3A52023JC0019</vt:lpwstr>
      </vt:variant>
      <vt:variant>
        <vt:lpwstr/>
      </vt:variant>
      <vt:variant>
        <vt:i4>589885</vt:i4>
      </vt:variant>
      <vt:variant>
        <vt:i4>30</vt:i4>
      </vt:variant>
      <vt:variant>
        <vt:i4>0</vt:i4>
      </vt:variant>
      <vt:variant>
        <vt:i4>5</vt:i4>
      </vt:variant>
      <vt:variant>
        <vt:lpwstr>https://civil-protection-humanitarian-aid.ec.europa.eu/what/civil-protection/european-disaster-risk-management_en</vt:lpwstr>
      </vt:variant>
      <vt:variant>
        <vt:lpwstr/>
      </vt:variant>
      <vt:variant>
        <vt:i4>7798798</vt:i4>
      </vt:variant>
      <vt:variant>
        <vt:i4>27</vt:i4>
      </vt:variant>
      <vt:variant>
        <vt:i4>0</vt:i4>
      </vt:variant>
      <vt:variant>
        <vt:i4>5</vt:i4>
      </vt:variant>
      <vt:variant>
        <vt:lpwstr>https://commission.europa.eu/energy-climate-change-environment/implementation-eu-countries/energy-and-climate-governance-and-reporting/national-energy-and-climate-plans_en</vt:lpwstr>
      </vt:variant>
      <vt:variant>
        <vt:lpwstr/>
      </vt:variant>
      <vt:variant>
        <vt:i4>6226007</vt:i4>
      </vt:variant>
      <vt:variant>
        <vt:i4>24</vt:i4>
      </vt:variant>
      <vt:variant>
        <vt:i4>0</vt:i4>
      </vt:variant>
      <vt:variant>
        <vt:i4>5</vt:i4>
      </vt:variant>
      <vt:variant>
        <vt:lpwstr>https://climate.ec.europa.eu/system/files/2023-12/SWD_2023_932_1_EN.pdf</vt:lpwstr>
      </vt:variant>
      <vt:variant>
        <vt:lpwstr/>
      </vt:variant>
      <vt:variant>
        <vt:i4>1638400</vt:i4>
      </vt:variant>
      <vt:variant>
        <vt:i4>21</vt:i4>
      </vt:variant>
      <vt:variant>
        <vt:i4>0</vt:i4>
      </vt:variant>
      <vt:variant>
        <vt:i4>5</vt:i4>
      </vt:variant>
      <vt:variant>
        <vt:lpwstr>https://eur-lex.europa.eu/legal-content/EN/ALL/?uri=CELEX:52023SC0339</vt:lpwstr>
      </vt:variant>
      <vt:variant>
        <vt:lpwstr/>
      </vt:variant>
      <vt:variant>
        <vt:i4>131099</vt:i4>
      </vt:variant>
      <vt:variant>
        <vt:i4>18</vt:i4>
      </vt:variant>
      <vt:variant>
        <vt:i4>0</vt:i4>
      </vt:variant>
      <vt:variant>
        <vt:i4>5</vt:i4>
      </vt:variant>
      <vt:variant>
        <vt:lpwstr>https://www.consilium.europa.eu/media/67627/20241027-european-council-conclusions.pdf</vt:lpwstr>
      </vt:variant>
      <vt:variant>
        <vt:lpwstr/>
      </vt:variant>
      <vt:variant>
        <vt:i4>327717</vt:i4>
      </vt:variant>
      <vt:variant>
        <vt:i4>15</vt:i4>
      </vt:variant>
      <vt:variant>
        <vt:i4>0</vt:i4>
      </vt:variant>
      <vt:variant>
        <vt:i4>5</vt:i4>
      </vt:variant>
      <vt:variant>
        <vt:lpwstr>https://www.europarl.europa.eu/doceo/document/TA-9-2022-0330_EN.html</vt:lpwstr>
      </vt:variant>
      <vt:variant>
        <vt:lpwstr/>
      </vt:variant>
      <vt:variant>
        <vt:i4>6684748</vt:i4>
      </vt:variant>
      <vt:variant>
        <vt:i4>12</vt:i4>
      </vt:variant>
      <vt:variant>
        <vt:i4>0</vt:i4>
      </vt:variant>
      <vt:variant>
        <vt:i4>5</vt:i4>
      </vt:variant>
      <vt:variant>
        <vt:lpwstr>https://www.ecb.europa.eu/press/pr/date/2023/html/ecb.pr231218_1~6b3bea9532.en.html</vt:lpwstr>
      </vt:variant>
      <vt:variant>
        <vt:lpwstr/>
      </vt:variant>
      <vt:variant>
        <vt:i4>7077949</vt:i4>
      </vt:variant>
      <vt:variant>
        <vt:i4>9</vt:i4>
      </vt:variant>
      <vt:variant>
        <vt:i4>0</vt:i4>
      </vt:variant>
      <vt:variant>
        <vt:i4>5</vt:i4>
      </vt:variant>
      <vt:variant>
        <vt:lpwstr>https://www.weforum.org/publications/global-risks-report-2024/</vt:lpwstr>
      </vt:variant>
      <vt:variant>
        <vt:lpwstr/>
      </vt:variant>
      <vt:variant>
        <vt:i4>3342457</vt:i4>
      </vt:variant>
      <vt:variant>
        <vt:i4>6</vt:i4>
      </vt:variant>
      <vt:variant>
        <vt:i4>0</vt:i4>
      </vt:variant>
      <vt:variant>
        <vt:i4>5</vt:i4>
      </vt:variant>
      <vt:variant>
        <vt:lpwstr>https://www.eea.europa.eu/publications/european-climate-risk-assessment</vt:lpwstr>
      </vt:variant>
      <vt:variant>
        <vt:lpwstr/>
      </vt:variant>
      <vt:variant>
        <vt:i4>1835017</vt:i4>
      </vt:variant>
      <vt:variant>
        <vt:i4>3</vt:i4>
      </vt:variant>
      <vt:variant>
        <vt:i4>0</vt:i4>
      </vt:variant>
      <vt:variant>
        <vt:i4>5</vt:i4>
      </vt:variant>
      <vt:variant>
        <vt:lpwstr>https://climate.copernicus.eu/copernicus-2023-hottest-year-record</vt:lpwstr>
      </vt:variant>
      <vt:variant>
        <vt:lpwstr/>
      </vt:variant>
      <vt:variant>
        <vt:i4>5832730</vt:i4>
      </vt:variant>
      <vt:variant>
        <vt:i4>0</vt:i4>
      </vt:variant>
      <vt:variant>
        <vt:i4>0</vt:i4>
      </vt:variant>
      <vt:variant>
        <vt:i4>5</vt:i4>
      </vt:variant>
      <vt:variant>
        <vt:lpwstr>https://eur-lex.europa.eu/legal-content/EN/TXT/?uri=COM%3A2024%3A63%3AFIN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2024-03-11T21:25:00Z</dcterms:created>
  <dcterms:modified xsi:type="dcterms:W3CDTF">2024-03-18T22:02:00Z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9.0, Build 20230317</vt:lpwstr>
  </property>
  <property fmtid="{D5CDD505-2E9C-101B-9397-08002B2CF9AE}" pid="4" name="MSIP_Label_6bd9ddd1-4d20-43f6-abfa-fc3c07406f94_Name">
    <vt:lpwstr>Commission Use</vt:lpwstr>
  </property>
  <property fmtid="{D5CDD505-2E9C-101B-9397-08002B2CF9AE}" pid="5" name="Part">
    <vt:lpwstr>1</vt:lpwstr>
  </property>
  <property fmtid="{D5CDD505-2E9C-101B-9397-08002B2CF9AE}" pid="6" name="MediaServiceImageTags">
    <vt:lpwstr/>
  </property>
  <property fmtid="{D5CDD505-2E9C-101B-9397-08002B2CF9AE}" pid="7" name="ContentTypeId">
    <vt:lpwstr>0x010100ECFDF3D715AA394A9B15E0E0FAA07E37</vt:lpwstr>
  </property>
  <property fmtid="{D5CDD505-2E9C-101B-9397-08002B2CF9AE}" pid="8" name="MSIP_Label_6bd9ddd1-4d20-43f6-abfa-fc3c07406f94_ContentBits">
    <vt:lpwstr>0</vt:lpwstr>
  </property>
  <property fmtid="{D5CDD505-2E9C-101B-9397-08002B2CF9AE}" pid="9" name="CPTemplateID">
    <vt:lpwstr>CP-014</vt:lpwstr>
  </property>
  <property fmtid="{D5CDD505-2E9C-101B-9397-08002B2CF9AE}" pid="10" name="MSIP_Label_6bd9ddd1-4d20-43f6-abfa-fc3c07406f94_SiteId">
    <vt:lpwstr>b24c8b06-522c-46fe-9080-70926f8dddb1</vt:lpwstr>
  </property>
  <property fmtid="{D5CDD505-2E9C-101B-9397-08002B2CF9AE}" pid="11" name="MSIP_Label_6bd9ddd1-4d20-43f6-abfa-fc3c07406f94_Method">
    <vt:lpwstr>Standard</vt:lpwstr>
  </property>
  <property fmtid="{D5CDD505-2E9C-101B-9397-08002B2CF9AE}" pid="12" name="MSIP_Label_6bd9ddd1-4d20-43f6-abfa-fc3c07406f94_Enabled">
    <vt:lpwstr>true</vt:lpwstr>
  </property>
  <property fmtid="{D5CDD505-2E9C-101B-9397-08002B2CF9AE}" pid="13" name="Total parts">
    <vt:lpwstr>1</vt:lpwstr>
  </property>
  <property fmtid="{D5CDD505-2E9C-101B-9397-08002B2CF9AE}" pid="14" name="MSIP_Label_6bd9ddd1-4d20-43f6-abfa-fc3c07406f94_SetDate">
    <vt:lpwstr>2024-02-09T06:41:38Z</vt:lpwstr>
  </property>
  <property fmtid="{D5CDD505-2E9C-101B-9397-08002B2CF9AE}" pid="15" name="Level of sensitivity">
    <vt:lpwstr>Standard treatment</vt:lpwstr>
  </property>
  <property fmtid="{D5CDD505-2E9C-101B-9397-08002B2CF9AE}" pid="16" name="MSIP_Label_6bd9ddd1-4d20-43f6-abfa-fc3c07406f94_ActionId">
    <vt:lpwstr>823e5efc-0c59-42b9-b19c-7cfeca294b5c</vt:lpwstr>
  </property>
</Properties>
</file>