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2849" w14:textId="6945DDD0" w:rsidR="00361784" w:rsidRPr="00A05214" w:rsidRDefault="00CC7280" w:rsidP="00CC7280">
      <w:pPr>
        <w:pStyle w:val="Pagedecouverture"/>
        <w:rPr>
          <w:noProof/>
        </w:rPr>
      </w:pPr>
      <w:r>
        <w:rPr>
          <w:noProof/>
        </w:rPr>
        <w:pict w14:anchorId="21178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54478F5-A289-45DD-AA84-BF8B4FCA06EA" style="width:455.25pt;height:369.75pt">
            <v:imagedata r:id="rId11" o:title=""/>
          </v:shape>
        </w:pict>
      </w:r>
    </w:p>
    <w:p w14:paraId="0C126817" w14:textId="77777777" w:rsidR="00361784" w:rsidRPr="00A05214" w:rsidRDefault="00361784" w:rsidP="00361784">
      <w:pPr>
        <w:rPr>
          <w:noProof/>
        </w:rPr>
        <w:sectPr w:rsidR="00361784" w:rsidRPr="00A05214" w:rsidSect="00CC7280">
          <w:footerReference w:type="default" r:id="rId12"/>
          <w:pgSz w:w="11907" w:h="16839"/>
          <w:pgMar w:top="1134" w:right="1417" w:bottom="1134" w:left="1417" w:header="709" w:footer="709" w:gutter="0"/>
          <w:pgNumType w:start="0"/>
          <w:cols w:space="720"/>
          <w:docGrid w:linePitch="360"/>
        </w:sectPr>
      </w:pPr>
    </w:p>
    <w:p w14:paraId="392FFFAA" w14:textId="77777777" w:rsidR="00361784" w:rsidRPr="00A05214" w:rsidRDefault="00361784" w:rsidP="005F7C57">
      <w:pPr>
        <w:pStyle w:val="Exposdesmotifstitre"/>
        <w:rPr>
          <w:noProof/>
        </w:rPr>
      </w:pPr>
      <w:bookmarkStart w:id="0" w:name="_GoBack"/>
      <w:bookmarkEnd w:id="0"/>
      <w:r w:rsidRPr="00A05214">
        <w:rPr>
          <w:noProof/>
        </w:rPr>
        <w:lastRenderedPageBreak/>
        <w:t>MOTIVERING</w:t>
      </w:r>
    </w:p>
    <w:p w14:paraId="016FF746" w14:textId="77777777" w:rsidR="00361784" w:rsidRPr="00A05214" w:rsidRDefault="00361784" w:rsidP="005F7C57">
      <w:pPr>
        <w:pStyle w:val="ManualHeading1"/>
        <w:rPr>
          <w:noProof/>
        </w:rPr>
      </w:pPr>
      <w:r w:rsidRPr="00A05214">
        <w:rPr>
          <w:noProof/>
        </w:rPr>
        <w:t>1.</w:t>
      </w:r>
      <w:r w:rsidRPr="00A05214">
        <w:rPr>
          <w:noProof/>
        </w:rPr>
        <w:tab/>
        <w:t>BAKGRUND TILL FÖRSLAGET</w:t>
      </w:r>
    </w:p>
    <w:p w14:paraId="3F6DFC17" w14:textId="77777777" w:rsidR="00361784" w:rsidRPr="00A05214" w:rsidRDefault="00361784" w:rsidP="005F7C57">
      <w:pPr>
        <w:pStyle w:val="ManualHeading2"/>
        <w:rPr>
          <w:rFonts w:eastAsia="Arial Unicode MS"/>
          <w:noProof/>
        </w:rPr>
      </w:pPr>
      <w:r w:rsidRPr="00A05214">
        <w:rPr>
          <w:noProof/>
          <w:color w:val="000000"/>
          <w:u w:color="000000"/>
          <w:bdr w:val="nil"/>
        </w:rPr>
        <w:t>•</w:t>
      </w:r>
      <w:r w:rsidRPr="00A05214">
        <w:rPr>
          <w:noProof/>
        </w:rPr>
        <w:tab/>
        <w:t>Motiv och syfte med förslaget</w:t>
      </w:r>
    </w:p>
    <w:p w14:paraId="796CD904" w14:textId="6C9F5E78" w:rsidR="00361784" w:rsidRPr="00A05214" w:rsidRDefault="00361784" w:rsidP="00361784">
      <w:pPr>
        <w:rPr>
          <w:noProof/>
        </w:rPr>
      </w:pPr>
      <w:r w:rsidRPr="00A05214">
        <w:rPr>
          <w:noProof/>
        </w:rPr>
        <w:t xml:space="preserve">Huvudsyftet med förslaget är att i unionsrätten genomföra de bevarande- och tillämpningsföreskrifter som antogs vid årsmötet i Fiskeriorganisationen för Nordatlantens västra del (Nafo) i september 2022. Den regionala fiskeriförvaltningsorganisationen Nafo ansvarar för förvaltningen av fiskeresurserna i Nordatlantens västra del inom dess behörighet. Nafos bevarande- och förvaltningsföreskrifter tillämpas uteslutande i Nafos regleringsområde, dvs. det fria havet, vilket definieras som området bortom de områden där kuststaterna utövar fiskerijurisdiktion. EU är avtalsslutande part i Nafo sedan 1979. </w:t>
      </w:r>
    </w:p>
    <w:p w14:paraId="5FCE71E0" w14:textId="77777777" w:rsidR="00361784" w:rsidRPr="00A05214" w:rsidRDefault="00361784" w:rsidP="00361784">
      <w:pPr>
        <w:rPr>
          <w:rFonts w:eastAsia="Arial Unicode MS"/>
          <w:noProof/>
        </w:rPr>
      </w:pPr>
      <w:r w:rsidRPr="00A05214">
        <w:rPr>
          <w:noProof/>
        </w:rPr>
        <w:t xml:space="preserve">I Nafokonventionen fastställs att de bevarandeföreskrifter som antas av Nafokommissionen är bindande (artiklarna XIV, VI.8 och VI.9) och att de avtalsslutande parterna är skyldiga att genomföra dem. </w:t>
      </w:r>
    </w:p>
    <w:p w14:paraId="0DF38F4C" w14:textId="171D1576" w:rsidR="00361784" w:rsidRPr="00A05214" w:rsidRDefault="00361784" w:rsidP="00361784">
      <w:pPr>
        <w:rPr>
          <w:rFonts w:eastAsia="Arial Unicode MS"/>
          <w:noProof/>
        </w:rPr>
      </w:pPr>
      <w:r w:rsidRPr="00A05214">
        <w:rPr>
          <w:noProof/>
        </w:rPr>
        <w:t>Genom förordning (EU) 2019/833 genomfördes Nafos bevarande- och tillämpningsföreskrifter i unionsrätten, och förordningen ändrades 2021 och 2022 för att genomföra de föreskrifter som antogs av Nafo 2019, 2020 och 2021. Detta förslag omfattar de ändringar som Nafo antog vid sitt årsmöte i september 2022. De ändringarna trädde i kraft den 1 december 2022 och är tillämpliga från och med den dagen.</w:t>
      </w:r>
    </w:p>
    <w:p w14:paraId="53CCFFD2" w14:textId="3692A341" w:rsidR="00361784" w:rsidRPr="00A05214" w:rsidRDefault="00361784" w:rsidP="005F7C57">
      <w:pPr>
        <w:pStyle w:val="ManualHeading2"/>
        <w:rPr>
          <w:rFonts w:eastAsia="Arial Unicode MS"/>
          <w:noProof/>
          <w:color w:val="000000"/>
          <w:u w:color="000000"/>
          <w:bdr w:val="nil"/>
        </w:rPr>
      </w:pPr>
      <w:r w:rsidRPr="00A05214">
        <w:rPr>
          <w:noProof/>
          <w:color w:val="000000"/>
          <w:u w:color="000000"/>
          <w:bdr w:val="nil"/>
        </w:rPr>
        <w:t>•</w:t>
      </w:r>
      <w:r w:rsidRPr="00A05214">
        <w:rPr>
          <w:noProof/>
        </w:rPr>
        <w:tab/>
        <w:t>Förenlighet med befintliga bestämmelser inom området</w:t>
      </w:r>
    </w:p>
    <w:p w14:paraId="7A7EF161" w14:textId="77777777" w:rsidR="00361784" w:rsidRPr="00A05214" w:rsidRDefault="00361784" w:rsidP="00361784">
      <w:pPr>
        <w:rPr>
          <w:rFonts w:eastAsia="Arial Unicode MS"/>
          <w:noProof/>
        </w:rPr>
      </w:pPr>
      <w:r w:rsidRPr="00A05214">
        <w:rPr>
          <w:noProof/>
        </w:rPr>
        <w:t xml:space="preserve">Förslaget är förenligt med förordning (EU) 2019/833. </w:t>
      </w:r>
    </w:p>
    <w:p w14:paraId="72FF0B20" w14:textId="59216B4E" w:rsidR="00361784" w:rsidRPr="00A05214" w:rsidRDefault="00361784" w:rsidP="00361784">
      <w:pPr>
        <w:pBdr>
          <w:top w:val="nil"/>
          <w:left w:val="nil"/>
          <w:bottom w:val="nil"/>
          <w:right w:val="nil"/>
          <w:between w:val="nil"/>
          <w:bar w:val="nil"/>
        </w:pBdr>
        <w:spacing w:before="0" w:after="240"/>
        <w:rPr>
          <w:rFonts w:eastAsia="Arial Unicode MS"/>
          <w:noProof/>
        </w:rPr>
      </w:pPr>
      <w:r w:rsidRPr="00A05214">
        <w:rPr>
          <w:noProof/>
        </w:rPr>
        <w:t>Förslaget är i överensstämmelse med del VI (extern politik) i förordning (EU) nr 1380/2013 om den gemensamma fiskeripolitiken, i vilken det fastställs att unionen ska sköta sina externa förbindelser på fiskeriområdet i enlighet med sina internationella förpliktelser och grunda EU:s fiskeverksamhet på regionalt fiskesamarbete.</w:t>
      </w:r>
    </w:p>
    <w:p w14:paraId="3D5AB240" w14:textId="7E389F98" w:rsidR="00361784" w:rsidRPr="00A05214" w:rsidRDefault="00361784" w:rsidP="00361784">
      <w:pPr>
        <w:pBdr>
          <w:top w:val="nil"/>
          <w:left w:val="nil"/>
          <w:bottom w:val="nil"/>
          <w:right w:val="nil"/>
          <w:between w:val="nil"/>
          <w:bar w:val="nil"/>
        </w:pBdr>
        <w:spacing w:before="0" w:after="240"/>
        <w:rPr>
          <w:rFonts w:eastAsia="Arial Unicode MS"/>
          <w:noProof/>
        </w:rPr>
      </w:pPr>
      <w:r w:rsidRPr="00A05214">
        <w:rPr>
          <w:noProof/>
        </w:rPr>
        <w:t>Förslaget kompletterar både förordning (EU) 2017/2403 om hållbar förvaltning av externa fiskeflottor, där det fastställs att unionsfiskefartyg måste inneha fisketillstånd som utfärdats av regionala fiskeriförvaltningsorganisationer, och rådets förordning (EG) nr 1005/2008 om olagligt, orapporterat och oreglerat fiske, enligt vilken Nafos förteckning över IUU-fartyg ska föras in i unionens förteckning över IUU-fartyg.</w:t>
      </w:r>
    </w:p>
    <w:p w14:paraId="5B75232E" w14:textId="77777777" w:rsidR="00361784" w:rsidRPr="00A05214" w:rsidRDefault="00361784" w:rsidP="00361784">
      <w:pPr>
        <w:pBdr>
          <w:top w:val="nil"/>
          <w:left w:val="nil"/>
          <w:bottom w:val="nil"/>
          <w:right w:val="nil"/>
          <w:between w:val="nil"/>
          <w:bar w:val="nil"/>
        </w:pBdr>
        <w:spacing w:before="0" w:after="240"/>
        <w:rPr>
          <w:rFonts w:eastAsia="Arial Unicode MS"/>
          <w:noProof/>
        </w:rPr>
      </w:pPr>
      <w:r w:rsidRPr="00A05214">
        <w:rPr>
          <w:noProof/>
        </w:rPr>
        <w:t xml:space="preserve">Detta förslag omfattar inte de fiskemöjligheter för EU som beslutas av Nafo. Enligt artikel 43.3 i fördraget om Europeiska unionens funktionssätt (EUF-fördraget) är det rådet som har befogenhet att besluta om åtgärder om fastställande av priser, avgifter, stöd och kvantitativa begränsningar samt om fastställande och fördelning av fiskemöjligheter. </w:t>
      </w:r>
    </w:p>
    <w:p w14:paraId="37D38510" w14:textId="77777777" w:rsidR="00361784" w:rsidRPr="00A05214" w:rsidRDefault="00361784" w:rsidP="00361784">
      <w:pPr>
        <w:pStyle w:val="ManualHeading2"/>
        <w:rPr>
          <w:rFonts w:eastAsia="Arial Unicode MS"/>
          <w:noProof/>
        </w:rPr>
      </w:pPr>
      <w:r w:rsidRPr="00A05214">
        <w:rPr>
          <w:noProof/>
          <w:color w:val="000000"/>
          <w:u w:color="000000"/>
          <w:bdr w:val="nil"/>
        </w:rPr>
        <w:t>•</w:t>
      </w:r>
      <w:r w:rsidRPr="00A05214">
        <w:rPr>
          <w:noProof/>
        </w:rPr>
        <w:tab/>
        <w:t>Förenlighet med unionens politik inom andra områden</w:t>
      </w:r>
    </w:p>
    <w:p w14:paraId="48A47920" w14:textId="77777777" w:rsidR="00361784" w:rsidRPr="00A05214" w:rsidRDefault="00361784" w:rsidP="00361784">
      <w:pPr>
        <w:pBdr>
          <w:top w:val="nil"/>
          <w:left w:val="nil"/>
          <w:bottom w:val="nil"/>
          <w:right w:val="nil"/>
          <w:between w:val="nil"/>
          <w:bar w:val="nil"/>
        </w:pBdr>
        <w:spacing w:before="0" w:after="240"/>
        <w:rPr>
          <w:rFonts w:eastAsia="Arial Unicode MS"/>
          <w:noProof/>
          <w:szCs w:val="24"/>
        </w:rPr>
      </w:pPr>
      <w:r w:rsidRPr="00A05214">
        <w:rPr>
          <w:noProof/>
        </w:rPr>
        <w:t xml:space="preserve">Förslaget är förenligt med övrig unionspolitik. </w:t>
      </w:r>
    </w:p>
    <w:p w14:paraId="68C790F2" w14:textId="77777777" w:rsidR="00361784" w:rsidRPr="00A05214" w:rsidRDefault="00361784" w:rsidP="005F7C57">
      <w:pPr>
        <w:pStyle w:val="ManualHeading1"/>
        <w:rPr>
          <w:noProof/>
        </w:rPr>
      </w:pPr>
      <w:r w:rsidRPr="00A05214">
        <w:rPr>
          <w:noProof/>
        </w:rPr>
        <w:t>2.</w:t>
      </w:r>
      <w:r w:rsidRPr="00A05214">
        <w:rPr>
          <w:noProof/>
        </w:rPr>
        <w:tab/>
        <w:t>RÄTTSLIG GRUND, SUBSIDIARITETSPRINCIPEN OCH PROPORTIONALITETSPRINCIPEN</w:t>
      </w:r>
    </w:p>
    <w:p w14:paraId="4B108954"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Rättslig grund</w:t>
      </w:r>
    </w:p>
    <w:p w14:paraId="54712731" w14:textId="77777777" w:rsidR="00361784" w:rsidRPr="00A05214" w:rsidRDefault="00361784" w:rsidP="00361784">
      <w:pPr>
        <w:pBdr>
          <w:top w:val="nil"/>
          <w:left w:val="nil"/>
          <w:bottom w:val="nil"/>
          <w:right w:val="nil"/>
          <w:between w:val="nil"/>
          <w:bar w:val="nil"/>
        </w:pBdr>
        <w:spacing w:before="0" w:after="240"/>
        <w:rPr>
          <w:rFonts w:eastAsia="Arial Unicode MS"/>
          <w:noProof/>
          <w:szCs w:val="24"/>
        </w:rPr>
      </w:pPr>
      <w:r w:rsidRPr="00A05214">
        <w:rPr>
          <w:noProof/>
        </w:rPr>
        <w:t>Förslaget grundar sig på artikel 43.2 i EUF-fördraget, eftersom det innehåller bestämmelser som är nödvändiga för uppnåendet av den gemensamma fiskeripolitikens mål.</w:t>
      </w:r>
    </w:p>
    <w:p w14:paraId="13F96E2D" w14:textId="77777777" w:rsidR="00361784" w:rsidRPr="00A05214" w:rsidRDefault="00361784" w:rsidP="00361784">
      <w:pPr>
        <w:pBdr>
          <w:top w:val="nil"/>
          <w:left w:val="nil"/>
          <w:bottom w:val="nil"/>
          <w:right w:val="nil"/>
          <w:between w:val="nil"/>
          <w:bar w:val="nil"/>
        </w:pBdr>
        <w:spacing w:before="0" w:after="240"/>
        <w:rPr>
          <w:rFonts w:eastAsia="Arial Unicode MS"/>
          <w:noProof/>
        </w:rPr>
      </w:pPr>
    </w:p>
    <w:p w14:paraId="630472FC"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 xml:space="preserve">Subsidiaritetsprincipen (för icke-exklusiv befogenhet) </w:t>
      </w:r>
    </w:p>
    <w:p w14:paraId="3CBC280E" w14:textId="77777777" w:rsidR="00361784" w:rsidRPr="00A05214" w:rsidRDefault="00361784" w:rsidP="00361784">
      <w:pPr>
        <w:pBdr>
          <w:top w:val="nil"/>
          <w:left w:val="nil"/>
          <w:bottom w:val="nil"/>
          <w:right w:val="nil"/>
          <w:between w:val="nil"/>
          <w:bar w:val="nil"/>
        </w:pBdr>
        <w:spacing w:before="0" w:after="240"/>
        <w:rPr>
          <w:noProof/>
          <w:szCs w:val="24"/>
        </w:rPr>
      </w:pPr>
      <w:r w:rsidRPr="00A05214">
        <w:rPr>
          <w:noProof/>
        </w:rPr>
        <w:t>Förslaget avser ett område där unionen har exklusiv befogenhet (artikel 3.1 d i EUF-fördraget). Subsidiaritetsprincipen är därför inte tillämplig.</w:t>
      </w:r>
    </w:p>
    <w:p w14:paraId="19597A41"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Proportionalitetsprincipen</w:t>
      </w:r>
    </w:p>
    <w:p w14:paraId="18B3C8F0" w14:textId="77777777" w:rsidR="00361784" w:rsidRPr="00A05214" w:rsidRDefault="00361784" w:rsidP="00361784">
      <w:pPr>
        <w:pBdr>
          <w:top w:val="nil"/>
          <w:left w:val="nil"/>
          <w:bottom w:val="nil"/>
          <w:right w:val="nil"/>
          <w:between w:val="nil"/>
          <w:bar w:val="nil"/>
        </w:pBdr>
        <w:spacing w:before="0" w:after="240"/>
        <w:rPr>
          <w:rFonts w:eastAsia="Arial Unicode MS"/>
          <w:noProof/>
        </w:rPr>
      </w:pPr>
      <w:r w:rsidRPr="00A05214">
        <w:rPr>
          <w:noProof/>
        </w:rPr>
        <w:t>Förslaget kommer att säkerställa att EU fullgör sina skyldigheter i förhållande till Nafo, utan att det går utöver vad som är nödvändigt för att uppnå detta mål.</w:t>
      </w:r>
    </w:p>
    <w:p w14:paraId="443050F1"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Val av instrument</w:t>
      </w:r>
    </w:p>
    <w:p w14:paraId="0C9DF868" w14:textId="77777777" w:rsidR="00CE6A3D" w:rsidRPr="00A05214" w:rsidRDefault="00CE6A3D" w:rsidP="00CE6A3D">
      <w:pPr>
        <w:pBdr>
          <w:top w:val="nil"/>
          <w:left w:val="nil"/>
          <w:bottom w:val="nil"/>
          <w:right w:val="nil"/>
          <w:between w:val="nil"/>
          <w:bar w:val="nil"/>
        </w:pBdr>
        <w:spacing w:before="0" w:after="240"/>
        <w:rPr>
          <w:rFonts w:eastAsia="Arial Unicode MS"/>
          <w:noProof/>
        </w:rPr>
      </w:pPr>
      <w:r w:rsidRPr="00A05214">
        <w:rPr>
          <w:noProof/>
        </w:rPr>
        <w:t xml:space="preserve">Det valda instrumentet ändrar förordning (EU) 2019/833. </w:t>
      </w:r>
    </w:p>
    <w:p w14:paraId="234F72DE" w14:textId="77777777" w:rsidR="00361784" w:rsidRPr="00A05214" w:rsidRDefault="00361784" w:rsidP="005F7C57">
      <w:pPr>
        <w:pStyle w:val="ManualHeading1"/>
        <w:rPr>
          <w:noProof/>
        </w:rPr>
      </w:pPr>
      <w:r w:rsidRPr="00A05214">
        <w:rPr>
          <w:noProof/>
        </w:rPr>
        <w:t>3.</w:t>
      </w:r>
      <w:r w:rsidRPr="00A05214">
        <w:rPr>
          <w:noProof/>
        </w:rPr>
        <w:tab/>
        <w:t>RESULTAT AV EFTERHANDSUTVÄRDERINGAR, SAMRÅD MED BERÖRDA PARTER OCH KONSEKVENSBEDÖMNINGAR</w:t>
      </w:r>
    </w:p>
    <w:p w14:paraId="39F67442"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Efterhandsutvärderingar/kontroller av ändamålsenligheten med befintlig lagstiftning</w:t>
      </w:r>
    </w:p>
    <w:p w14:paraId="3ED6D800" w14:textId="77777777" w:rsidR="00CE6A3D" w:rsidRPr="00A05214" w:rsidRDefault="00CE6A3D" w:rsidP="00CE6A3D">
      <w:pPr>
        <w:pBdr>
          <w:top w:val="nil"/>
          <w:left w:val="nil"/>
          <w:bottom w:val="nil"/>
          <w:right w:val="nil"/>
          <w:between w:val="nil"/>
          <w:bar w:val="nil"/>
        </w:pBdr>
        <w:spacing w:before="0" w:after="240"/>
        <w:rPr>
          <w:rFonts w:eastAsia="Arial Unicode MS"/>
          <w:noProof/>
          <w:szCs w:val="24"/>
        </w:rPr>
      </w:pPr>
      <w:r w:rsidRPr="00A05214">
        <w:rPr>
          <w:noProof/>
        </w:rPr>
        <w:t>Ej tillämpligt.</w:t>
      </w:r>
    </w:p>
    <w:p w14:paraId="5329518A"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Samråd med berörda parter</w:t>
      </w:r>
    </w:p>
    <w:p w14:paraId="7329F74B" w14:textId="3A3FE3E8" w:rsidR="00CE6A3D" w:rsidRPr="00A05214" w:rsidRDefault="00CE6A3D" w:rsidP="00CE6A3D">
      <w:pPr>
        <w:pBdr>
          <w:top w:val="nil"/>
          <w:left w:val="nil"/>
          <w:bottom w:val="nil"/>
          <w:right w:val="nil"/>
          <w:between w:val="nil"/>
          <w:bar w:val="nil"/>
        </w:pBdr>
        <w:spacing w:before="0" w:after="240"/>
        <w:rPr>
          <w:rFonts w:eastAsia="Arial Unicode MS"/>
          <w:noProof/>
        </w:rPr>
      </w:pPr>
      <w:r w:rsidRPr="00A05214">
        <w:rPr>
          <w:noProof/>
        </w:rPr>
        <w:t xml:space="preserve">Syftet med detta förslag är att ändra förordning (EU) 2019/833 genom att de bevarande- och tillämpningsföreskrifter som antogs vid Nafos årsmöte i september 2022 genomförs unionsrätten. EU-medlemsstaternas nationella experter och branschföreträdare konsulterades både inför Nafos årsmöte, vid vilket dessa föreskrifter antogs, och under Nafoförhandlingarna.  </w:t>
      </w:r>
    </w:p>
    <w:p w14:paraId="2C00E21F"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Insamling och användning av sakkunnigutlåtanden</w:t>
      </w:r>
    </w:p>
    <w:p w14:paraId="38EF8C10" w14:textId="5834D64B" w:rsidR="00CE6A3D" w:rsidRPr="00A05214" w:rsidRDefault="00CE6A3D" w:rsidP="00CE6A3D">
      <w:pPr>
        <w:pBdr>
          <w:top w:val="nil"/>
          <w:left w:val="nil"/>
          <w:bottom w:val="nil"/>
          <w:right w:val="nil"/>
          <w:between w:val="nil"/>
          <w:bar w:val="nil"/>
        </w:pBdr>
        <w:spacing w:before="0" w:after="240"/>
        <w:rPr>
          <w:rFonts w:eastAsia="Arial Unicode MS"/>
          <w:noProof/>
        </w:rPr>
      </w:pPr>
      <w:r w:rsidRPr="00A05214">
        <w:rPr>
          <w:noProof/>
        </w:rPr>
        <w:t xml:space="preserve">Genom detta förslag genomförs i unionsrätten Nafos bevarande- och tillämpningsföreskrifter som antagits i enlighet med vetenskapliga råd och kontrollråd från Nafos ständiga utskott. </w:t>
      </w:r>
    </w:p>
    <w:p w14:paraId="58DD229E"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Konsekvensbedömning</w:t>
      </w:r>
    </w:p>
    <w:p w14:paraId="3685FB50" w14:textId="131FEFCA" w:rsidR="00CE6A3D" w:rsidRPr="00A05214" w:rsidRDefault="00CE6A3D" w:rsidP="00CE6A3D">
      <w:pPr>
        <w:pBdr>
          <w:top w:val="nil"/>
          <w:left w:val="nil"/>
          <w:bottom w:val="nil"/>
          <w:right w:val="nil"/>
          <w:between w:val="nil"/>
          <w:bar w:val="nil"/>
        </w:pBdr>
        <w:spacing w:before="0" w:after="240"/>
        <w:rPr>
          <w:rFonts w:eastAsia="Arial Unicode MS"/>
          <w:noProof/>
        </w:rPr>
      </w:pPr>
      <w:r w:rsidRPr="00A05214">
        <w:rPr>
          <w:noProof/>
        </w:rPr>
        <w:t xml:space="preserve">Ej tillämpligt. Genom detta förslag genomförs i unionsrätten Nafos bevarande- och tillämpningsföreskrifter som är bindande för de avtalsslutande parterna och direkt tillämpliga för medlemsstaterna. </w:t>
      </w:r>
    </w:p>
    <w:p w14:paraId="4D0705D3"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Lagstiftningens ändamålsenlighet och förenkling</w:t>
      </w:r>
    </w:p>
    <w:p w14:paraId="217760B9" w14:textId="77777777" w:rsidR="00CE6A3D" w:rsidRPr="00A05214" w:rsidRDefault="00CE6A3D" w:rsidP="00CE6A3D">
      <w:pPr>
        <w:pBdr>
          <w:top w:val="nil"/>
          <w:left w:val="nil"/>
          <w:bottom w:val="nil"/>
          <w:right w:val="nil"/>
          <w:between w:val="nil"/>
          <w:bar w:val="nil"/>
        </w:pBdr>
        <w:spacing w:before="0" w:after="240"/>
        <w:rPr>
          <w:rFonts w:eastAsia="Arial Unicode MS"/>
          <w:noProof/>
          <w:szCs w:val="24"/>
        </w:rPr>
      </w:pPr>
      <w:r w:rsidRPr="00A05214">
        <w:rPr>
          <w:noProof/>
        </w:rPr>
        <w:t>Detta förslag omfattas inte av programmet om lagstiftningens ändamålsenlighet och resultat (</w:t>
      </w:r>
      <w:r w:rsidRPr="00A05214">
        <w:rPr>
          <w:i/>
          <w:noProof/>
        </w:rPr>
        <w:t>Refitprogrammet</w:t>
      </w:r>
      <w:r w:rsidRPr="00A05214">
        <w:rPr>
          <w:noProof/>
        </w:rPr>
        <w:t>).</w:t>
      </w:r>
    </w:p>
    <w:p w14:paraId="7BC6505A"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Grundläggande rättigheter</w:t>
      </w:r>
    </w:p>
    <w:p w14:paraId="020580EA" w14:textId="77777777" w:rsidR="00CE6A3D" w:rsidRPr="00A05214" w:rsidRDefault="00CE6A3D" w:rsidP="00CE6A3D">
      <w:pPr>
        <w:pBdr>
          <w:top w:val="nil"/>
          <w:left w:val="nil"/>
          <w:bottom w:val="nil"/>
          <w:right w:val="nil"/>
          <w:between w:val="nil"/>
          <w:bar w:val="nil"/>
        </w:pBdr>
        <w:spacing w:before="0" w:after="240"/>
        <w:rPr>
          <w:rFonts w:eastAsia="Arial Unicode MS"/>
          <w:noProof/>
          <w:szCs w:val="24"/>
        </w:rPr>
      </w:pPr>
      <w:r w:rsidRPr="00A05214">
        <w:rPr>
          <w:noProof/>
        </w:rPr>
        <w:t>Förslaget får inga konsekvenser för skyddet av grundläggande rättigheter.</w:t>
      </w:r>
    </w:p>
    <w:p w14:paraId="282F39FF" w14:textId="77777777" w:rsidR="00361784" w:rsidRPr="00A05214" w:rsidRDefault="00361784" w:rsidP="005F7C57">
      <w:pPr>
        <w:pStyle w:val="ManualHeading1"/>
        <w:rPr>
          <w:noProof/>
        </w:rPr>
      </w:pPr>
      <w:r w:rsidRPr="00A05214">
        <w:rPr>
          <w:noProof/>
        </w:rPr>
        <w:t>4.</w:t>
      </w:r>
      <w:r w:rsidRPr="00A05214">
        <w:rPr>
          <w:noProof/>
        </w:rPr>
        <w:tab/>
        <w:t>BUDGETKONSEKVENSER</w:t>
      </w:r>
    </w:p>
    <w:p w14:paraId="36D0ACD4" w14:textId="77777777" w:rsidR="00CE6A3D" w:rsidRPr="00A05214" w:rsidRDefault="00CE6A3D" w:rsidP="00CE6A3D">
      <w:pPr>
        <w:pBdr>
          <w:top w:val="nil"/>
          <w:left w:val="nil"/>
          <w:bottom w:val="nil"/>
          <w:right w:val="nil"/>
          <w:between w:val="nil"/>
          <w:bar w:val="nil"/>
        </w:pBdr>
        <w:spacing w:before="0" w:after="240"/>
        <w:rPr>
          <w:rFonts w:eastAsia="Arial Unicode MS"/>
          <w:noProof/>
          <w:szCs w:val="24"/>
        </w:rPr>
      </w:pPr>
      <w:r w:rsidRPr="00A05214">
        <w:rPr>
          <w:noProof/>
        </w:rPr>
        <w:t>Förslaget påverkar inte unionens budget.</w:t>
      </w:r>
    </w:p>
    <w:p w14:paraId="7E830C8A" w14:textId="77777777" w:rsidR="00361784" w:rsidRPr="00A05214" w:rsidRDefault="00361784" w:rsidP="005F7C57">
      <w:pPr>
        <w:pStyle w:val="ManualHeading1"/>
        <w:rPr>
          <w:noProof/>
        </w:rPr>
      </w:pPr>
      <w:r w:rsidRPr="00A05214">
        <w:rPr>
          <w:noProof/>
        </w:rPr>
        <w:t>5.</w:t>
      </w:r>
      <w:r w:rsidRPr="00A05214">
        <w:rPr>
          <w:noProof/>
        </w:rPr>
        <w:tab/>
        <w:t>ÖVRIGA INSLAG</w:t>
      </w:r>
    </w:p>
    <w:p w14:paraId="04850DF0"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Genomförandeplaner samt åtgärder för övervakning, utvärdering och rapportering</w:t>
      </w:r>
    </w:p>
    <w:p w14:paraId="7F7450C7" w14:textId="77777777" w:rsidR="00CE6A3D" w:rsidRPr="00A05214" w:rsidRDefault="00CE6A3D" w:rsidP="00CE6A3D">
      <w:pPr>
        <w:pBdr>
          <w:top w:val="nil"/>
          <w:left w:val="nil"/>
          <w:bottom w:val="nil"/>
          <w:right w:val="nil"/>
          <w:between w:val="nil"/>
          <w:bar w:val="nil"/>
        </w:pBdr>
        <w:spacing w:before="0" w:after="240"/>
        <w:rPr>
          <w:rFonts w:eastAsia="Arial Unicode MS"/>
          <w:noProof/>
          <w:szCs w:val="24"/>
        </w:rPr>
      </w:pPr>
      <w:r w:rsidRPr="00A05214">
        <w:rPr>
          <w:noProof/>
        </w:rPr>
        <w:t>Ej tillämpligt.</w:t>
      </w:r>
    </w:p>
    <w:p w14:paraId="2C4BE305"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Förklarande dokument (för direktiv)</w:t>
      </w:r>
    </w:p>
    <w:p w14:paraId="7651130D" w14:textId="77777777" w:rsidR="00CE6A3D" w:rsidRPr="00A05214" w:rsidRDefault="00CE6A3D" w:rsidP="00CE6A3D">
      <w:pPr>
        <w:pBdr>
          <w:top w:val="nil"/>
          <w:left w:val="nil"/>
          <w:bottom w:val="nil"/>
          <w:right w:val="nil"/>
          <w:between w:val="nil"/>
          <w:bar w:val="nil"/>
        </w:pBdr>
        <w:spacing w:before="0" w:after="240"/>
        <w:rPr>
          <w:rFonts w:eastAsia="Arial Unicode MS"/>
          <w:noProof/>
          <w:szCs w:val="24"/>
        </w:rPr>
      </w:pPr>
      <w:r w:rsidRPr="00A05214">
        <w:rPr>
          <w:noProof/>
        </w:rPr>
        <w:t>Ej tillämpligt.</w:t>
      </w:r>
    </w:p>
    <w:p w14:paraId="1F54CA91" w14:textId="77777777" w:rsidR="00361784" w:rsidRPr="00A05214" w:rsidRDefault="00361784" w:rsidP="005F7C57">
      <w:pPr>
        <w:pStyle w:val="ManualHeading2"/>
        <w:rPr>
          <w:rFonts w:eastAsia="Arial Unicode MS"/>
          <w:noProof/>
          <w:u w:color="000000"/>
          <w:bdr w:val="nil"/>
        </w:rPr>
      </w:pPr>
      <w:r w:rsidRPr="00A05214">
        <w:rPr>
          <w:noProof/>
          <w:u w:color="000000"/>
          <w:bdr w:val="nil"/>
        </w:rPr>
        <w:t>•</w:t>
      </w:r>
      <w:r w:rsidRPr="00A05214">
        <w:rPr>
          <w:noProof/>
        </w:rPr>
        <w:tab/>
      </w:r>
      <w:r w:rsidRPr="00A05214">
        <w:rPr>
          <w:noProof/>
          <w:u w:color="000000"/>
          <w:bdr w:val="nil"/>
        </w:rPr>
        <w:t>Ingående redogörelse för de specifika bestämmelserna i förslaget</w:t>
      </w:r>
    </w:p>
    <w:p w14:paraId="12EBE56F" w14:textId="49589844" w:rsidR="00676D9B" w:rsidRPr="00A05214" w:rsidRDefault="00CE6A3D" w:rsidP="00CE6A3D">
      <w:pPr>
        <w:pBdr>
          <w:top w:val="nil"/>
          <w:left w:val="nil"/>
          <w:bottom w:val="nil"/>
          <w:right w:val="nil"/>
          <w:between w:val="nil"/>
          <w:bar w:val="nil"/>
        </w:pBdr>
        <w:spacing w:before="0" w:after="240"/>
        <w:rPr>
          <w:noProof/>
        </w:rPr>
      </w:pPr>
      <w:r w:rsidRPr="00A05214">
        <w:rPr>
          <w:noProof/>
        </w:rPr>
        <w:t>Genom förslaget genomförs de bevarande- och tillämpningsföreskrifter som antogs vid Nafos årsmöte i september 2022 när det gäller i) nya skyldigheter för flaggmedlemsstaterna i fråga om inlämning av forskningsplaner och fartygskrav för deltagande i forskningsverksamhet, ii) reglering av provtråldrag vid första inträdet i en sektion under en fiskeresa, iii) justeringar av fredningstider för kungsfiskar i sektion 3M, iv) förbud mot landning, omlastning och behållande ombord av håkäring, och v) hänvisning till IUU-fartyg på andra regionala fiskeriförvaltningsorganisationers förteckningar.</w:t>
      </w:r>
    </w:p>
    <w:p w14:paraId="7ECD951C" w14:textId="106E0896" w:rsidR="00CE6A3D" w:rsidRPr="00A05214" w:rsidRDefault="00CE6A3D" w:rsidP="00CE6A3D">
      <w:pPr>
        <w:pBdr>
          <w:top w:val="nil"/>
          <w:left w:val="nil"/>
          <w:bottom w:val="nil"/>
          <w:right w:val="nil"/>
          <w:between w:val="nil"/>
          <w:bar w:val="nil"/>
        </w:pBdr>
        <w:spacing w:before="0" w:after="240"/>
        <w:rPr>
          <w:noProof/>
        </w:rPr>
      </w:pPr>
      <w:r w:rsidRPr="00A05214">
        <w:rPr>
          <w:noProof/>
        </w:rPr>
        <w:t>Genom förslaget delegeras också befogenheter till kommissionen att ändra förordning (EU) 2019/833 när det gäller medlemsstaternas skyldigheter i fråga om inlämning av forskningsplaner och fartygskrav för bedrivande av forskningsverksamhet, om Nafo ändrar dessa föreskrifter i framtiden. Det är nödvändigt att snarast genomföra dessa bestämmelser i unionsrätten så att unionsfartygen kan fiska på samma villkor som fartyg från Nafos andra avtalsslutande parter under framtida fiskeperioder.</w:t>
      </w:r>
    </w:p>
    <w:p w14:paraId="2FDE3F72" w14:textId="77777777" w:rsidR="00361784" w:rsidRPr="00A05214" w:rsidRDefault="00CE6A3D" w:rsidP="00CE6A3D">
      <w:pPr>
        <w:pBdr>
          <w:top w:val="nil"/>
          <w:left w:val="nil"/>
          <w:bottom w:val="nil"/>
          <w:right w:val="nil"/>
          <w:between w:val="nil"/>
          <w:bar w:val="nil"/>
        </w:pBdr>
        <w:spacing w:before="0" w:after="240"/>
        <w:rPr>
          <w:noProof/>
        </w:rPr>
        <w:sectPr w:rsidR="00361784" w:rsidRPr="00A05214" w:rsidSect="00CC7280">
          <w:footerReference w:type="default" r:id="rId13"/>
          <w:footerReference w:type="first" r:id="rId14"/>
          <w:pgSz w:w="11907" w:h="16839"/>
          <w:pgMar w:top="1134" w:right="1417" w:bottom="1134" w:left="1417" w:header="709" w:footer="709" w:gutter="0"/>
          <w:cols w:space="708"/>
          <w:docGrid w:linePitch="360"/>
        </w:sectPr>
      </w:pPr>
      <w:r w:rsidRPr="00A05214">
        <w:rPr>
          <w:noProof/>
        </w:rPr>
        <w:t xml:space="preserve"> </w:t>
      </w:r>
    </w:p>
    <w:p w14:paraId="73FF30D6" w14:textId="31C0D468" w:rsidR="00867FCE" w:rsidRDefault="00867FCE" w:rsidP="00867FCE">
      <w:pPr>
        <w:pStyle w:val="Rfrenceinterinstitutionnelle"/>
        <w:rPr>
          <w:noProof/>
        </w:rPr>
      </w:pPr>
      <w:r w:rsidRPr="00867FCE">
        <w:t>2023/0056 (COD)</w:t>
      </w:r>
    </w:p>
    <w:p w14:paraId="7C34BE05" w14:textId="5D1E71C3" w:rsidR="00361784" w:rsidRPr="00A05214" w:rsidRDefault="00A05214" w:rsidP="00A05214">
      <w:pPr>
        <w:pStyle w:val="Statut"/>
        <w:rPr>
          <w:noProof/>
        </w:rPr>
      </w:pPr>
      <w:r w:rsidRPr="00A05214">
        <w:rPr>
          <w:noProof/>
        </w:rPr>
        <w:t>Förslag till</w:t>
      </w:r>
    </w:p>
    <w:p w14:paraId="0E6ABC35" w14:textId="474D9BAA" w:rsidR="00361784" w:rsidRPr="00A05214" w:rsidRDefault="00A05214" w:rsidP="00A05214">
      <w:pPr>
        <w:pStyle w:val="Typedudocument"/>
        <w:rPr>
          <w:noProof/>
        </w:rPr>
      </w:pPr>
      <w:r w:rsidRPr="00A05214">
        <w:rPr>
          <w:noProof/>
        </w:rPr>
        <w:t>EUROPAPARLAMENTETS OCH RÅDETS FÖRORDNING</w:t>
      </w:r>
    </w:p>
    <w:p w14:paraId="2FC2F06E" w14:textId="16606681" w:rsidR="00361784" w:rsidRPr="00A05214" w:rsidRDefault="00A05214" w:rsidP="00A05214">
      <w:pPr>
        <w:pStyle w:val="Titreobjet"/>
        <w:rPr>
          <w:noProof/>
        </w:rPr>
      </w:pPr>
      <w:r w:rsidRPr="00A05214">
        <w:rPr>
          <w:noProof/>
        </w:rPr>
        <w:t>om ändring av förordning (EU) 2019/833 om fastställande av bevarande- och tillämpningsföreskrifter som är tillämpliga i regleringsområdet för Fiskeriorganisationen för Nordatlantens västra del</w:t>
      </w:r>
    </w:p>
    <w:p w14:paraId="648E881F" w14:textId="77777777" w:rsidR="00361784" w:rsidRPr="00A05214" w:rsidRDefault="00361784" w:rsidP="005F7C57">
      <w:pPr>
        <w:pStyle w:val="Institutionquiagit"/>
        <w:rPr>
          <w:noProof/>
        </w:rPr>
      </w:pPr>
      <w:r w:rsidRPr="00A05214">
        <w:rPr>
          <w:noProof/>
        </w:rPr>
        <w:t>EUROPAPARLAMENTET OCH EUROPEISKA UNIONENS RÅD HAR ANTAGIT DENNA FÖRORDNING</w:t>
      </w:r>
    </w:p>
    <w:p w14:paraId="4B08F723" w14:textId="77777777" w:rsidR="00361784" w:rsidRPr="00A05214" w:rsidRDefault="00361784" w:rsidP="005F7C57">
      <w:pPr>
        <w:rPr>
          <w:noProof/>
        </w:rPr>
      </w:pPr>
      <w:r w:rsidRPr="00A05214">
        <w:rPr>
          <w:noProof/>
        </w:rPr>
        <w:t>med beaktande av fördraget om Europeiska unionens funktionssätt, särskilt artikel 43.2,</w:t>
      </w:r>
    </w:p>
    <w:p w14:paraId="31FDC671" w14:textId="77777777" w:rsidR="00361784" w:rsidRPr="00A05214" w:rsidRDefault="00361784" w:rsidP="005F7C57">
      <w:pPr>
        <w:rPr>
          <w:noProof/>
        </w:rPr>
      </w:pPr>
      <w:r w:rsidRPr="00A05214">
        <w:rPr>
          <w:noProof/>
        </w:rPr>
        <w:t>med beaktande av Europeiska kommissionens förslag,</w:t>
      </w:r>
    </w:p>
    <w:p w14:paraId="6FB2B6E3" w14:textId="77777777" w:rsidR="00361784" w:rsidRPr="00A05214" w:rsidRDefault="00361784" w:rsidP="005F7C57">
      <w:pPr>
        <w:rPr>
          <w:noProof/>
        </w:rPr>
      </w:pPr>
      <w:r w:rsidRPr="00A05214">
        <w:rPr>
          <w:noProof/>
        </w:rPr>
        <w:t>efter översändande av utkastet till lagstiftningsakt till de nationella parlamenten,</w:t>
      </w:r>
    </w:p>
    <w:p w14:paraId="361F1A80" w14:textId="77777777" w:rsidR="00361784" w:rsidRPr="00A05214" w:rsidRDefault="00361784" w:rsidP="005F7C57">
      <w:pPr>
        <w:rPr>
          <w:noProof/>
        </w:rPr>
      </w:pPr>
      <w:r w:rsidRPr="00A05214">
        <w:rPr>
          <w:noProof/>
        </w:rPr>
        <w:t>med beaktande av Europeiska ekonomiska och sociala kommitténs yttrande</w:t>
      </w:r>
      <w:r w:rsidRPr="00A05214">
        <w:rPr>
          <w:rStyle w:val="FootnoteReference0"/>
          <w:noProof/>
        </w:rPr>
        <w:footnoteReference w:id="2"/>
      </w:r>
      <w:r w:rsidRPr="00A05214">
        <w:rPr>
          <w:noProof/>
        </w:rPr>
        <w:t>,</w:t>
      </w:r>
    </w:p>
    <w:p w14:paraId="62487A0A" w14:textId="77777777" w:rsidR="00361784" w:rsidRPr="00A05214" w:rsidRDefault="00361784" w:rsidP="005F7C57">
      <w:pPr>
        <w:rPr>
          <w:noProof/>
        </w:rPr>
      </w:pPr>
      <w:r w:rsidRPr="00A05214">
        <w:rPr>
          <w:noProof/>
        </w:rPr>
        <w:t>i enlighet med det ordinarie lagstiftningsförfarandet, och</w:t>
      </w:r>
    </w:p>
    <w:p w14:paraId="117EADCC" w14:textId="77777777" w:rsidR="00361784" w:rsidRPr="00A05214" w:rsidRDefault="00361784" w:rsidP="005F7C57">
      <w:pPr>
        <w:rPr>
          <w:noProof/>
        </w:rPr>
      </w:pPr>
      <w:r w:rsidRPr="00A05214">
        <w:rPr>
          <w:noProof/>
        </w:rPr>
        <w:t>av följande skäl:</w:t>
      </w:r>
    </w:p>
    <w:p w14:paraId="43DE2E9F" w14:textId="39549DC5" w:rsidR="00271896" w:rsidRPr="00A05214" w:rsidRDefault="006F26E2" w:rsidP="006F26E2">
      <w:pPr>
        <w:pStyle w:val="ManualConsidrant"/>
        <w:rPr>
          <w:noProof/>
        </w:rPr>
      </w:pPr>
      <w:r w:rsidRPr="006F26E2">
        <w:t>(1)</w:t>
      </w:r>
      <w:r w:rsidRPr="006F26E2">
        <w:tab/>
      </w:r>
      <w:r w:rsidR="00271896" w:rsidRPr="00A05214">
        <w:rPr>
          <w:noProof/>
        </w:rPr>
        <w:t>Genom Europaparlamentets och rådets förordning (EU) 2019/833</w:t>
      </w:r>
      <w:r w:rsidR="00271896" w:rsidRPr="00A05214">
        <w:rPr>
          <w:rStyle w:val="FootnoteReference0"/>
          <w:noProof/>
        </w:rPr>
        <w:footnoteReference w:id="3"/>
      </w:r>
      <w:r w:rsidR="00271896" w:rsidRPr="00A05214">
        <w:rPr>
          <w:noProof/>
        </w:rPr>
        <w:t xml:space="preserve"> genomfördes i unionsrätten de senaste bevarande- och tillämpningsföreskrifter som är tillämpliga i regleringsområdet för Fiskeriorganisationen för Nordatlantens västra del (Nafo). Förordningen har senare ändrats för att genomföra de Nafoföreskrifter som antogs vid Nafos årsmöten 2019, 2020 och 2021</w:t>
      </w:r>
      <w:r w:rsidR="00271896" w:rsidRPr="00A05214">
        <w:rPr>
          <w:rStyle w:val="FootnoteReference0"/>
          <w:noProof/>
        </w:rPr>
        <w:footnoteReference w:id="4"/>
      </w:r>
      <w:r w:rsidR="00271896" w:rsidRPr="00A05214">
        <w:rPr>
          <w:noProof/>
        </w:rPr>
        <w:t>.</w:t>
      </w:r>
    </w:p>
    <w:p w14:paraId="3DAF567D" w14:textId="094BBB14" w:rsidR="00271896" w:rsidRPr="00A05214" w:rsidRDefault="006F26E2" w:rsidP="006F26E2">
      <w:pPr>
        <w:pStyle w:val="ManualConsidrant"/>
        <w:rPr>
          <w:noProof/>
        </w:rPr>
      </w:pPr>
      <w:r w:rsidRPr="006F26E2">
        <w:t>(2)</w:t>
      </w:r>
      <w:r w:rsidRPr="006F26E2">
        <w:tab/>
      </w:r>
      <w:r w:rsidR="00271896" w:rsidRPr="00A05214">
        <w:rPr>
          <w:noProof/>
        </w:rPr>
        <w:t>Vid sitt 44:e årsmöte i september 2022 antog Nafo ett antal rättsligt bindande föreskrifter för bevarande av fiskeresurserna inom dess behörighet när det gäller nya skyldigheter för flaggmedlemsstaterna i fråga om inlämning av forskningsplaner och fartygskrav för bedrivande av forskningsverksamhet, reglering av provtråldrag vid första inträdet i en sektion under en fiskeresa, justeringar av fredningstider för kungsfiskar i sektion 3M, förbud mot landning, omlastning och behållande ombord av håkäring samt hänvisning till fartyg som deltar i olagligt, orapporterat och oreglerat fiske (</w:t>
      </w:r>
      <w:r w:rsidR="00271896" w:rsidRPr="00A05214">
        <w:rPr>
          <w:i/>
          <w:noProof/>
        </w:rPr>
        <w:t>IUU-fartyg</w:t>
      </w:r>
      <w:r w:rsidR="00271896" w:rsidRPr="00A05214">
        <w:rPr>
          <w:noProof/>
        </w:rPr>
        <w:t>) och som är upptagna på andra regionala fiskeriförvaltningsorganisationers förteckningar.</w:t>
      </w:r>
    </w:p>
    <w:p w14:paraId="0A95D341" w14:textId="65870EB2" w:rsidR="00271896" w:rsidRPr="00A05214" w:rsidRDefault="006F26E2" w:rsidP="006F26E2">
      <w:pPr>
        <w:pStyle w:val="ManualConsidrant"/>
        <w:rPr>
          <w:noProof/>
        </w:rPr>
      </w:pPr>
      <w:r w:rsidRPr="006F26E2">
        <w:t>(3)</w:t>
      </w:r>
      <w:r w:rsidRPr="006F26E2">
        <w:tab/>
      </w:r>
      <w:r w:rsidR="00271896" w:rsidRPr="00A05214">
        <w:rPr>
          <w:noProof/>
        </w:rPr>
        <w:t>Föreskrifterna ifråga riktar sig till Nafos avtalsslutande parter och innehåller också skyldigheter för aktörerna. Nafos bevarande- och tillämpningsföreskrifter trädde i kraft den 1 december 2022 och är bindande för Nafos samtliga avtalsslutande parter. För Europeiska unionens vidkommande måste de delar som inte redan ingår i unionsrätten genomföras i denna.</w:t>
      </w:r>
    </w:p>
    <w:p w14:paraId="30D60FEC" w14:textId="79705558" w:rsidR="00271896" w:rsidRPr="00A05214" w:rsidRDefault="006F26E2" w:rsidP="006F26E2">
      <w:pPr>
        <w:pStyle w:val="ManualConsidrant"/>
        <w:rPr>
          <w:noProof/>
        </w:rPr>
      </w:pPr>
      <w:r w:rsidRPr="006F26E2">
        <w:t>(4)</w:t>
      </w:r>
      <w:r w:rsidRPr="006F26E2">
        <w:tab/>
      </w:r>
      <w:r w:rsidR="00271896" w:rsidRPr="00A05214">
        <w:rPr>
          <w:noProof/>
        </w:rPr>
        <w:t>Förordning (EU) 2019/833 bör därför ändras så att dessa nya Nafoföreskrifter genomförs.</w:t>
      </w:r>
    </w:p>
    <w:p w14:paraId="234C7F49" w14:textId="5A89F45C" w:rsidR="007F0FF4" w:rsidRPr="00A05214" w:rsidRDefault="006F26E2" w:rsidP="006F26E2">
      <w:pPr>
        <w:pStyle w:val="ManualConsidrant"/>
        <w:rPr>
          <w:noProof/>
        </w:rPr>
      </w:pPr>
      <w:r w:rsidRPr="006F26E2">
        <w:t>(5)</w:t>
      </w:r>
      <w:r w:rsidRPr="006F26E2">
        <w:tab/>
      </w:r>
      <w:r w:rsidR="00CB742F" w:rsidRPr="00A05214">
        <w:rPr>
          <w:noProof/>
        </w:rPr>
        <w:t>Vissa bestämmelser i bevarande- och tillämpningsföreskrifterna kommer sannolikt att ändras vid Nafos framtida årsmöten efter att det införts nya bestämmelser om planer för fiskeriforskning. För att sådana framtida ändringar av bevarande- och tillämpningsföreskrifterna snabbt ska kunna genomföras i unionsrätten, bör befogenheten att anta akter i enlighet med artikel 290 i fördraget om Europeiska unionens funktionssätt delegeras till kommissionen med avseende på medlemsstaternas skyldigheter i fråga om inlämning av forskningsplaner och fartygskrav för bedrivande av forskningsverksamhet.</w:t>
      </w:r>
    </w:p>
    <w:p w14:paraId="35E45BDA" w14:textId="7C2CB789" w:rsidR="00271896" w:rsidRPr="00A05214" w:rsidRDefault="006F26E2" w:rsidP="006F26E2">
      <w:pPr>
        <w:pStyle w:val="ManualConsidrant"/>
        <w:rPr>
          <w:noProof/>
        </w:rPr>
      </w:pPr>
      <w:r w:rsidRPr="006F26E2">
        <w:t>(6)</w:t>
      </w:r>
      <w:r w:rsidRPr="006F26E2">
        <w:tab/>
      </w:r>
      <w:r w:rsidR="00271896" w:rsidRPr="00A05214">
        <w:rPr>
          <w:noProof/>
        </w:rPr>
        <w:t>Det är särskilt viktigt att kommissionen genomför lämpliga samråd under sitt förberedande arbete, även med experter, och att dessa samråd genomförs i enlighet med principerna i det interinstitutionella avtalet om bättre lagstiftning av den 13 april 2016</w:t>
      </w:r>
      <w:r w:rsidR="00271896" w:rsidRPr="00A05214">
        <w:rPr>
          <w:rStyle w:val="FootnoteReference0"/>
          <w:noProof/>
        </w:rPr>
        <w:footnoteReference w:id="5"/>
      </w:r>
      <w:r w:rsidR="00271896" w:rsidRPr="00A05214">
        <w:rPr>
          <w:noProof/>
        </w:rPr>
        <w:t>. För att säkerställa lika stor delaktighet i förberedelsen av delegerade akter bör Europaparlamentet och rådet få alla handlingar samtidigt som medlemsstaternas experter, och deras experter bör systematiskt ges tillträde till möten i kommissionens expertgrupper som arbetar med förberedelse av delegerade akter.</w:t>
      </w:r>
    </w:p>
    <w:p w14:paraId="14A485F3" w14:textId="091EC308" w:rsidR="00271896" w:rsidRPr="00A05214" w:rsidRDefault="006F26E2" w:rsidP="006F26E2">
      <w:pPr>
        <w:pStyle w:val="ManualConsidrant"/>
        <w:rPr>
          <w:noProof/>
        </w:rPr>
      </w:pPr>
      <w:r w:rsidRPr="006F26E2">
        <w:t>(7)</w:t>
      </w:r>
      <w:r w:rsidRPr="006F26E2">
        <w:tab/>
      </w:r>
      <w:r w:rsidR="00271896" w:rsidRPr="00A05214">
        <w:rPr>
          <w:noProof/>
        </w:rPr>
        <w:t>Förordning (EU) 2019/833 bör därför ändras i enlighet med detta.</w:t>
      </w:r>
    </w:p>
    <w:p w14:paraId="06B38742" w14:textId="77777777" w:rsidR="00361784" w:rsidRPr="00A05214" w:rsidRDefault="00361784" w:rsidP="005F7C57">
      <w:pPr>
        <w:pStyle w:val="Formuledadoption"/>
        <w:rPr>
          <w:noProof/>
        </w:rPr>
      </w:pPr>
      <w:r w:rsidRPr="00A05214">
        <w:rPr>
          <w:noProof/>
        </w:rPr>
        <w:t>HÄRIGENOM FÖRESKRIVS FÖLJANDE.</w:t>
      </w:r>
    </w:p>
    <w:p w14:paraId="3058A97F" w14:textId="77777777" w:rsidR="00271896" w:rsidRPr="00A05214" w:rsidRDefault="00271896" w:rsidP="00271896">
      <w:pPr>
        <w:pStyle w:val="Titrearticle"/>
        <w:rPr>
          <w:noProof/>
        </w:rPr>
      </w:pPr>
      <w:r w:rsidRPr="00A05214">
        <w:rPr>
          <w:noProof/>
        </w:rPr>
        <w:t>Artikel 1</w:t>
      </w:r>
    </w:p>
    <w:p w14:paraId="546B41A8" w14:textId="77777777" w:rsidR="00271896" w:rsidRPr="00A05214" w:rsidRDefault="00271896" w:rsidP="00271896">
      <w:pPr>
        <w:jc w:val="center"/>
        <w:rPr>
          <w:b/>
          <w:noProof/>
        </w:rPr>
      </w:pPr>
      <w:r w:rsidRPr="00A05214">
        <w:rPr>
          <w:b/>
          <w:noProof/>
        </w:rPr>
        <w:t>Ändringar av förordning (EU) 2019/833</w:t>
      </w:r>
    </w:p>
    <w:p w14:paraId="31C29FAD" w14:textId="77777777" w:rsidR="00271896" w:rsidRPr="00A05214" w:rsidRDefault="00271896" w:rsidP="00271896">
      <w:pPr>
        <w:rPr>
          <w:noProof/>
        </w:rPr>
      </w:pPr>
      <w:r w:rsidRPr="00A05214">
        <w:rPr>
          <w:noProof/>
        </w:rPr>
        <w:t>Förordning (EU) 2019/833 ska ändras på följande sätt:</w:t>
      </w:r>
    </w:p>
    <w:p w14:paraId="12747AEE" w14:textId="6F8CD6F1" w:rsidR="00271896" w:rsidRPr="00A05214" w:rsidRDefault="006F26E2" w:rsidP="006F26E2">
      <w:pPr>
        <w:pStyle w:val="Point0"/>
        <w:rPr>
          <w:noProof/>
        </w:rPr>
      </w:pPr>
      <w:r w:rsidRPr="006F26E2">
        <w:t>(1)</w:t>
      </w:r>
      <w:r w:rsidRPr="006F26E2">
        <w:tab/>
      </w:r>
      <w:r w:rsidR="00271896" w:rsidRPr="00A05214">
        <w:rPr>
          <w:noProof/>
        </w:rPr>
        <w:t>Artikel 4.2 ska ersättas med följande:</w:t>
      </w:r>
    </w:p>
    <w:p w14:paraId="199CB017" w14:textId="70484475" w:rsidR="00313EEB" w:rsidRPr="00A05214" w:rsidRDefault="00313EEB" w:rsidP="00A3600D">
      <w:pPr>
        <w:pStyle w:val="Text1"/>
        <w:rPr>
          <w:noProof/>
        </w:rPr>
      </w:pPr>
      <w:r w:rsidRPr="00A05214">
        <w:rPr>
          <w:noProof/>
        </w:rPr>
        <w:t>”2. Flaggmedlemsstaten ska</w:t>
      </w:r>
    </w:p>
    <w:p w14:paraId="2B1C1B9A" w14:textId="7FC7A663" w:rsidR="00313EEB" w:rsidRPr="00A05214" w:rsidRDefault="00313EEB" w:rsidP="00A3600D">
      <w:pPr>
        <w:pStyle w:val="Text1"/>
        <w:rPr>
          <w:noProof/>
        </w:rPr>
      </w:pPr>
      <w:r w:rsidRPr="00A05214">
        <w:rPr>
          <w:noProof/>
        </w:rPr>
        <w:t>a) genom elektronisk överföring i det format som föreskrivs i bilaga II.C till bevarande- och tillämpningsföreskrifterna, som det hänvisas till i punkt 5 i bilagan till denna förordning, och innan forskningen inleds, till kommissionen anmäla alla forskningsfartyg som har rätt att föra dess flagg och som har tillstånd att bedriva forskningsverksamhet i regleringsområdet,</w:t>
      </w:r>
    </w:p>
    <w:p w14:paraId="705BB417" w14:textId="3FEC8C13" w:rsidR="00422459" w:rsidRPr="00A05214" w:rsidRDefault="00313EEB" w:rsidP="00A3600D">
      <w:pPr>
        <w:pStyle w:val="Text1"/>
        <w:rPr>
          <w:noProof/>
        </w:rPr>
      </w:pPr>
      <w:r w:rsidRPr="00A05214">
        <w:rPr>
          <w:noProof/>
        </w:rPr>
        <w:t xml:space="preserve">b) tillhandahålla kommissionen en forskningsplan för alla fartyg som har rätt att föra dess flagg och som har tillstånd att bedriva forskningsverksamhet i regleringsområdet, minst 40 dagar före junimötet i Nafos vetenskapliga råd, när det gäller icke-återkommande nya undersökningar och forskningsverksamheter och när de fångster som behålls ombord under forskningsverksamheten är avsedda för saluföring; i andra fall ska en forskningsplan tillhandahållas minst tio dagar innan forskningen inleds, </w:t>
      </w:r>
    </w:p>
    <w:p w14:paraId="0918CBB2" w14:textId="1C927ECA" w:rsidR="00422459" w:rsidRPr="00A05214" w:rsidRDefault="007E13F1" w:rsidP="00A3600D">
      <w:pPr>
        <w:pStyle w:val="Text1"/>
        <w:rPr>
          <w:noProof/>
        </w:rPr>
      </w:pPr>
      <w:r w:rsidRPr="00A05214">
        <w:rPr>
          <w:noProof/>
        </w:rPr>
        <w:t>c) säkerställa att forskningsplaner för undersökningar som genomförs i regleringsområdet och som avser bestånd för vilka fiskemöjligheter fastställts minst innehåller</w:t>
      </w:r>
    </w:p>
    <w:p w14:paraId="174B3087" w14:textId="77777777" w:rsidR="00422459" w:rsidRPr="00A05214" w:rsidRDefault="00A3600D" w:rsidP="00A95A7C">
      <w:pPr>
        <w:pStyle w:val="Text2"/>
        <w:rPr>
          <w:noProof/>
        </w:rPr>
      </w:pPr>
      <w:r w:rsidRPr="00A05214">
        <w:rPr>
          <w:noProof/>
        </w:rPr>
        <w:t>i)</w:t>
      </w:r>
      <w:r w:rsidRPr="00A05214">
        <w:rPr>
          <w:noProof/>
        </w:rPr>
        <w:tab/>
        <w:t xml:space="preserve">fartygsidentifikation, </w:t>
      </w:r>
    </w:p>
    <w:p w14:paraId="3A915BBF" w14:textId="77777777" w:rsidR="00A3600D" w:rsidRPr="00A05214" w:rsidRDefault="00A3600D" w:rsidP="00A95A7C">
      <w:pPr>
        <w:pStyle w:val="Text2"/>
        <w:rPr>
          <w:noProof/>
        </w:rPr>
      </w:pPr>
      <w:r w:rsidRPr="00A05214">
        <w:rPr>
          <w:noProof/>
        </w:rPr>
        <w:t xml:space="preserve">ii) </w:t>
      </w:r>
      <w:r w:rsidRPr="00A05214">
        <w:rPr>
          <w:noProof/>
        </w:rPr>
        <w:tab/>
        <w:t>syfte,</w:t>
      </w:r>
    </w:p>
    <w:p w14:paraId="75798AC5" w14:textId="77777777" w:rsidR="00422459" w:rsidRPr="00A05214" w:rsidRDefault="00A3600D" w:rsidP="00A95A7C">
      <w:pPr>
        <w:pStyle w:val="Text2"/>
        <w:rPr>
          <w:noProof/>
        </w:rPr>
      </w:pPr>
      <w:r w:rsidRPr="00A05214">
        <w:rPr>
          <w:noProof/>
        </w:rPr>
        <w:t>iii)</w:t>
      </w:r>
      <w:r w:rsidRPr="00A05214">
        <w:rPr>
          <w:noProof/>
        </w:rPr>
        <w:tab/>
        <w:t xml:space="preserve">en sammanfattning av vetenskapliga metoder eller förfaranden, </w:t>
      </w:r>
    </w:p>
    <w:p w14:paraId="52CDA658" w14:textId="77777777" w:rsidR="00422459" w:rsidRPr="00A05214" w:rsidRDefault="00A3600D" w:rsidP="00A95A7C">
      <w:pPr>
        <w:pStyle w:val="Text2"/>
        <w:rPr>
          <w:noProof/>
        </w:rPr>
      </w:pPr>
      <w:r w:rsidRPr="00A05214">
        <w:rPr>
          <w:noProof/>
        </w:rPr>
        <w:t>iv)</w:t>
      </w:r>
      <w:r w:rsidRPr="00A05214">
        <w:rPr>
          <w:noProof/>
        </w:rPr>
        <w:tab/>
        <w:t xml:space="preserve">plats och datum för forskningsverksamheten, </w:t>
      </w:r>
    </w:p>
    <w:p w14:paraId="367364B2" w14:textId="77777777" w:rsidR="00422459" w:rsidRPr="00A05214" w:rsidRDefault="00A3600D" w:rsidP="00A95A7C">
      <w:pPr>
        <w:pStyle w:val="Text2"/>
        <w:rPr>
          <w:noProof/>
        </w:rPr>
      </w:pPr>
      <w:r w:rsidRPr="00A05214">
        <w:rPr>
          <w:noProof/>
        </w:rPr>
        <w:t>v)</w:t>
      </w:r>
      <w:r w:rsidRPr="00A05214">
        <w:rPr>
          <w:noProof/>
        </w:rPr>
        <w:tab/>
        <w:t xml:space="preserve">undersökningsledarens namn, </w:t>
      </w:r>
    </w:p>
    <w:p w14:paraId="03EADBA2" w14:textId="77777777" w:rsidR="00422459" w:rsidRPr="00A05214" w:rsidRDefault="00A3600D" w:rsidP="00A95A7C">
      <w:pPr>
        <w:pStyle w:val="Text2"/>
        <w:rPr>
          <w:noProof/>
        </w:rPr>
      </w:pPr>
      <w:r w:rsidRPr="00A05214">
        <w:rPr>
          <w:noProof/>
        </w:rPr>
        <w:t>vi)</w:t>
      </w:r>
      <w:r w:rsidRPr="00A05214">
        <w:rPr>
          <w:noProof/>
        </w:rPr>
        <w:tab/>
        <w:t xml:space="preserve">uppgift om huruvida eventuella fångster som behålls ombord kommer att saluföras, </w:t>
      </w:r>
    </w:p>
    <w:p w14:paraId="63F87698" w14:textId="2253E2DA" w:rsidR="00422459" w:rsidRPr="00A05214" w:rsidRDefault="00A3600D" w:rsidP="00A95A7C">
      <w:pPr>
        <w:pStyle w:val="Text2"/>
        <w:rPr>
          <w:noProof/>
        </w:rPr>
      </w:pPr>
      <w:r w:rsidRPr="00A05214">
        <w:rPr>
          <w:noProof/>
        </w:rPr>
        <w:t>vii)</w:t>
      </w:r>
      <w:r w:rsidRPr="00A05214">
        <w:rPr>
          <w:noProof/>
        </w:rPr>
        <w:tab/>
        <w:t xml:space="preserve">total uppskattad forskningsfångst av målarterna och uppgift om huruvida en observatör med tillräcklig vetenskaplig sakkunskap kommer att finnas ombord, </w:t>
      </w:r>
    </w:p>
    <w:p w14:paraId="4DEA8D85" w14:textId="77777777" w:rsidR="00422459" w:rsidRPr="00A05214" w:rsidRDefault="00A3600D" w:rsidP="00A95A7C">
      <w:pPr>
        <w:pStyle w:val="Text2"/>
        <w:rPr>
          <w:noProof/>
        </w:rPr>
      </w:pPr>
      <w:r w:rsidRPr="00A05214">
        <w:rPr>
          <w:noProof/>
        </w:rPr>
        <w:t>viii)</w:t>
      </w:r>
      <w:r w:rsidRPr="00A05214">
        <w:rPr>
          <w:noProof/>
        </w:rPr>
        <w:tab/>
        <w:t xml:space="preserve">information om när forskningsresultaten kommer att läggas fram för Nafos vetenskapliga råd, </w:t>
      </w:r>
    </w:p>
    <w:p w14:paraId="3A43FB29" w14:textId="40D57DE4" w:rsidR="00422459" w:rsidRPr="00A05214" w:rsidRDefault="00A3600D" w:rsidP="00A95A7C">
      <w:pPr>
        <w:pStyle w:val="Text2"/>
        <w:rPr>
          <w:noProof/>
        </w:rPr>
      </w:pPr>
      <w:r w:rsidRPr="00A05214">
        <w:rPr>
          <w:noProof/>
        </w:rPr>
        <w:t>ix)</w:t>
      </w:r>
      <w:r w:rsidRPr="00A05214">
        <w:rPr>
          <w:noProof/>
        </w:rPr>
        <w:tab/>
        <w:t xml:space="preserve">i förekommande fall, eventuella begäranden om undantag från bestämmelserna i detta led, </w:t>
      </w:r>
    </w:p>
    <w:p w14:paraId="5D07378C" w14:textId="306A6B91" w:rsidR="00422459" w:rsidRPr="00A05214" w:rsidRDefault="00A3600D" w:rsidP="00A95A7C">
      <w:pPr>
        <w:pStyle w:val="Text2"/>
        <w:rPr>
          <w:noProof/>
        </w:rPr>
      </w:pPr>
      <w:r w:rsidRPr="00A05214">
        <w:rPr>
          <w:noProof/>
        </w:rPr>
        <w:t>x)</w:t>
      </w:r>
      <w:r w:rsidRPr="00A05214">
        <w:rPr>
          <w:noProof/>
        </w:rPr>
        <w:tab/>
        <w:t xml:space="preserve">i förekommande fall, uppgift om att verksamheten utgörs av en icke-återkommande ny undersökning eller forskning,  </w:t>
      </w:r>
    </w:p>
    <w:p w14:paraId="78EAE606" w14:textId="406746A8" w:rsidR="00312DDE" w:rsidRPr="00A05214" w:rsidRDefault="00313EEB" w:rsidP="00A3600D">
      <w:pPr>
        <w:pStyle w:val="Text1"/>
        <w:rPr>
          <w:noProof/>
        </w:rPr>
      </w:pPr>
      <w:r w:rsidRPr="00A05214">
        <w:rPr>
          <w:noProof/>
        </w:rPr>
        <w:t>d) omedelbart underrätta kommissionen om inledande och avslutande av forskningsverksamhet som bedrivs av fartyg som tillfälligt deltar i forskning, även under fiskeresor där både kommersiell verksamhet och forskningsverksamhet bedrivs.”</w:t>
      </w:r>
    </w:p>
    <w:p w14:paraId="66877128" w14:textId="36838B89" w:rsidR="007E13F1" w:rsidRPr="00A05214" w:rsidRDefault="006F26E2" w:rsidP="006F26E2">
      <w:pPr>
        <w:pStyle w:val="Point0"/>
        <w:rPr>
          <w:noProof/>
        </w:rPr>
      </w:pPr>
      <w:r w:rsidRPr="006F26E2">
        <w:t>(2)</w:t>
      </w:r>
      <w:r w:rsidRPr="006F26E2">
        <w:tab/>
      </w:r>
      <w:r w:rsidR="007E13F1" w:rsidRPr="00A05214">
        <w:rPr>
          <w:noProof/>
        </w:rPr>
        <w:t>Artikel 4.3 ska ersättas med följande:</w:t>
      </w:r>
    </w:p>
    <w:p w14:paraId="750D0AD5" w14:textId="35261901" w:rsidR="00A01960" w:rsidRPr="00A05214" w:rsidRDefault="007E13F1" w:rsidP="00A3600D">
      <w:pPr>
        <w:pStyle w:val="Text1"/>
        <w:rPr>
          <w:noProof/>
        </w:rPr>
      </w:pPr>
      <w:r w:rsidRPr="00A05214">
        <w:rPr>
          <w:noProof/>
        </w:rPr>
        <w:t>”3. Fartyg som deltar i forskning ska</w:t>
      </w:r>
    </w:p>
    <w:p w14:paraId="10657E86" w14:textId="3E617721" w:rsidR="00A01960" w:rsidRPr="00A05214" w:rsidRDefault="00A3600D" w:rsidP="00A95A7C">
      <w:pPr>
        <w:pStyle w:val="Text1"/>
        <w:rPr>
          <w:noProof/>
        </w:rPr>
      </w:pPr>
      <w:r w:rsidRPr="00A05214">
        <w:rPr>
          <w:noProof/>
        </w:rPr>
        <w:t>a)</w:t>
      </w:r>
      <w:r w:rsidRPr="00A05214">
        <w:rPr>
          <w:noProof/>
        </w:rPr>
        <w:tab/>
        <w:t>alltid ombord förvara en kopia av forskningsplanen på engelska och eventuella ändringar av denna plan,</w:t>
      </w:r>
    </w:p>
    <w:p w14:paraId="20B398F3" w14:textId="0732905A" w:rsidR="00312DDE" w:rsidRPr="00A05214" w:rsidRDefault="00A3600D" w:rsidP="00DA6C3C">
      <w:pPr>
        <w:pStyle w:val="Text1"/>
        <w:ind w:left="1435" w:hanging="585"/>
        <w:rPr>
          <w:noProof/>
        </w:rPr>
      </w:pPr>
      <w:r w:rsidRPr="00A05214">
        <w:rPr>
          <w:noProof/>
        </w:rPr>
        <w:t>b)</w:t>
      </w:r>
      <w:r w:rsidRPr="00A05214">
        <w:rPr>
          <w:noProof/>
        </w:rPr>
        <w:tab/>
        <w:t>när det gäller undersökningar som genomförs i regleringsområdet och som avser bestånd för vilka fiskemöjligheter fastställts, stuva fångster som tagits i samband med forskningsverksamhet åtskilt, med hjälp av nät, plywood, lådor eller på annat sätt, från alla andra fångster som tagits under fiskeresor där både kommersiell verksamhet och forskningsverksamhet bedrivs, och platsen för de fångster som tagits i samband med forskningsverksamhet ska anges i lastplanen.”</w:t>
      </w:r>
    </w:p>
    <w:p w14:paraId="24FF5395" w14:textId="6429E6AE" w:rsidR="001619FE" w:rsidRPr="00A05214" w:rsidRDefault="006F26E2" w:rsidP="006F26E2">
      <w:pPr>
        <w:pStyle w:val="Point0"/>
        <w:rPr>
          <w:noProof/>
        </w:rPr>
      </w:pPr>
      <w:r w:rsidRPr="006F26E2">
        <w:t>(3)</w:t>
      </w:r>
      <w:r w:rsidRPr="006F26E2">
        <w:tab/>
      </w:r>
      <w:r w:rsidR="001619FE" w:rsidRPr="00A05214">
        <w:rPr>
          <w:noProof/>
        </w:rPr>
        <w:t>Artikel 4.4 ska ersättas med följande:</w:t>
      </w:r>
    </w:p>
    <w:p w14:paraId="72364288" w14:textId="77CBD905" w:rsidR="001619FE" w:rsidRPr="00A05214" w:rsidRDefault="001619FE" w:rsidP="00A3600D">
      <w:pPr>
        <w:pStyle w:val="Text1"/>
        <w:rPr>
          <w:noProof/>
        </w:rPr>
      </w:pPr>
      <w:r w:rsidRPr="00A05214">
        <w:rPr>
          <w:noProof/>
        </w:rPr>
        <w:t>”4. Om inte annat stöds av yttrandet från Nafos vetenskapliga råd ska forskningsfartyg som genomför undersökningar i regleringsområdet av bestånd för vilka fiskemöjligheter fastställts och som ombord behåller fångster som tagits vid sådan forskningsverksamhet för att saluföra dessa fångster</w:t>
      </w:r>
    </w:p>
    <w:p w14:paraId="26A35F95" w14:textId="7D63163C" w:rsidR="001619FE" w:rsidRPr="00A05214" w:rsidRDefault="00A3600D" w:rsidP="0019545D">
      <w:pPr>
        <w:pStyle w:val="Text1"/>
        <w:ind w:left="1440" w:hanging="590"/>
        <w:rPr>
          <w:noProof/>
        </w:rPr>
      </w:pPr>
      <w:r w:rsidRPr="00A05214">
        <w:rPr>
          <w:noProof/>
        </w:rPr>
        <w:t xml:space="preserve">a) </w:t>
      </w:r>
      <w:r w:rsidRPr="00A05214">
        <w:rPr>
          <w:noProof/>
        </w:rPr>
        <w:tab/>
        <w:t xml:space="preserve">uppfylla kraven på registrering och rapportering i kapitel V i denna förordning, </w:t>
      </w:r>
    </w:p>
    <w:p w14:paraId="64969A7D" w14:textId="732157BA" w:rsidR="001619FE" w:rsidRPr="00A05214" w:rsidRDefault="00A3600D" w:rsidP="00A3600D">
      <w:pPr>
        <w:pStyle w:val="Text1"/>
        <w:rPr>
          <w:noProof/>
        </w:rPr>
      </w:pPr>
      <w:r w:rsidRPr="00A05214">
        <w:rPr>
          <w:noProof/>
        </w:rPr>
        <w:t>b)</w:t>
      </w:r>
      <w:r w:rsidRPr="00A05214">
        <w:rPr>
          <w:noProof/>
        </w:rPr>
        <w:tab/>
        <w:t xml:space="preserve">ha en observatör med tillräcklig sakkunskap ombord, </w:t>
      </w:r>
    </w:p>
    <w:p w14:paraId="00B19291" w14:textId="48BBFDC0" w:rsidR="001619FE" w:rsidRPr="00A05214" w:rsidRDefault="00A3600D" w:rsidP="00A3600D">
      <w:pPr>
        <w:pStyle w:val="Text1"/>
        <w:rPr>
          <w:noProof/>
        </w:rPr>
      </w:pPr>
      <w:r w:rsidRPr="00A05214">
        <w:rPr>
          <w:noProof/>
        </w:rPr>
        <w:t>c)</w:t>
      </w:r>
      <w:r w:rsidRPr="00A05214">
        <w:rPr>
          <w:noProof/>
        </w:rPr>
        <w:tab/>
        <w:t>räkna av dessa fångster från medlemsstatens berörda kvoter och begränsningar av fiskeansträngningen som fastställs i fiskemöjligheterna.”</w:t>
      </w:r>
    </w:p>
    <w:p w14:paraId="37508065" w14:textId="756CA604" w:rsidR="001619FE" w:rsidRPr="00A05214" w:rsidRDefault="006F26E2" w:rsidP="006F26E2">
      <w:pPr>
        <w:pStyle w:val="Point0"/>
        <w:rPr>
          <w:noProof/>
        </w:rPr>
      </w:pPr>
      <w:r w:rsidRPr="006F26E2">
        <w:t>(4)</w:t>
      </w:r>
      <w:r w:rsidRPr="006F26E2">
        <w:tab/>
      </w:r>
      <w:r w:rsidR="001619FE" w:rsidRPr="00A05214">
        <w:rPr>
          <w:noProof/>
        </w:rPr>
        <w:t>Artikel 4.5 ska ersättas med följande:</w:t>
      </w:r>
    </w:p>
    <w:p w14:paraId="265A739E" w14:textId="6557EB79" w:rsidR="001619FE" w:rsidRPr="00A05214" w:rsidRDefault="001619FE" w:rsidP="00A3600D">
      <w:pPr>
        <w:pStyle w:val="Text1"/>
        <w:rPr>
          <w:noProof/>
        </w:rPr>
      </w:pPr>
      <w:r w:rsidRPr="00A05214">
        <w:rPr>
          <w:noProof/>
        </w:rPr>
        <w:t>”5. Om inte annat föreskrivs i denna förordning eller bevarande- och tillämpningsföreskrifterna ska forskningsfartyg inte begränsas av de bevarande- och förvaltningsföreskrifter som gäller för fångst av fisk i regleringsområdet, särskilt i fråga om maskstorlek, storleksbegränsningar, stängda områden och fredningstider.”</w:t>
      </w:r>
    </w:p>
    <w:p w14:paraId="2AEFEB7A" w14:textId="3F1A77A4" w:rsidR="00031FE8" w:rsidRPr="00A05214" w:rsidRDefault="006F26E2" w:rsidP="006F26E2">
      <w:pPr>
        <w:pStyle w:val="Point0"/>
        <w:rPr>
          <w:noProof/>
        </w:rPr>
      </w:pPr>
      <w:r w:rsidRPr="006F26E2">
        <w:t>(5)</w:t>
      </w:r>
      <w:r w:rsidRPr="006F26E2">
        <w:tab/>
      </w:r>
      <w:r w:rsidR="00031FE8" w:rsidRPr="00A05214">
        <w:rPr>
          <w:noProof/>
        </w:rPr>
        <w:t>Artikel 4.6 ska ersättas med följande:</w:t>
      </w:r>
    </w:p>
    <w:p w14:paraId="512963B6" w14:textId="4215F036" w:rsidR="00031FE8" w:rsidRPr="00A05214" w:rsidRDefault="00004980" w:rsidP="000141B8">
      <w:pPr>
        <w:pStyle w:val="Text1"/>
        <w:rPr>
          <w:noProof/>
        </w:rPr>
      </w:pPr>
      <w:r w:rsidRPr="00A05214">
        <w:rPr>
          <w:noProof/>
        </w:rPr>
        <w:t>”6. Kommissionen ska utan dröjsmål vidarebefordra den information som flaggmedlemsstaterna anmält i enlighet med punkt 2 till Nafos sekretariatschef. ”</w:t>
      </w:r>
    </w:p>
    <w:p w14:paraId="3BE32664" w14:textId="7E0C7611" w:rsidR="007B4DAD" w:rsidRPr="00A05214" w:rsidRDefault="006F26E2" w:rsidP="006F26E2">
      <w:pPr>
        <w:pStyle w:val="Point0"/>
        <w:rPr>
          <w:noProof/>
        </w:rPr>
      </w:pPr>
      <w:r w:rsidRPr="006F26E2">
        <w:t>(6)</w:t>
      </w:r>
      <w:r w:rsidRPr="006F26E2">
        <w:tab/>
      </w:r>
      <w:r w:rsidR="007B4DAD" w:rsidRPr="00A05214">
        <w:rPr>
          <w:noProof/>
        </w:rPr>
        <w:t>I artikel 6.1 ska led e ersättas med följande:</w:t>
      </w:r>
    </w:p>
    <w:p w14:paraId="30DDF8CB" w14:textId="482FEB5B" w:rsidR="00BA4807" w:rsidRPr="00A05214" w:rsidRDefault="007B4DAD" w:rsidP="000141B8">
      <w:pPr>
        <w:pStyle w:val="Text1"/>
        <w:rPr>
          <w:i/>
          <w:noProof/>
        </w:rPr>
      </w:pPr>
      <w:r w:rsidRPr="00A05214">
        <w:rPr>
          <w:noProof/>
        </w:rPr>
        <w:t>”e) stänga sitt fiske efter kungsfiskar i sektion 3M kl. 24.00 UTC det datum då den ackumulerade rapporterade fångsten uppskattas uppgå till 100 % av TAC:en för kungsfiskar i sektion 3M, enligt anmälan i enlighet med punkt 3,”</w:t>
      </w:r>
    </w:p>
    <w:p w14:paraId="2988A9B7" w14:textId="22359E73" w:rsidR="00EE005B" w:rsidRPr="00A05214" w:rsidRDefault="006F26E2" w:rsidP="006F26E2">
      <w:pPr>
        <w:pStyle w:val="Point0"/>
        <w:rPr>
          <w:noProof/>
        </w:rPr>
      </w:pPr>
      <w:r w:rsidRPr="006F26E2">
        <w:t>(7)</w:t>
      </w:r>
      <w:r w:rsidRPr="006F26E2">
        <w:tab/>
      </w:r>
      <w:r w:rsidR="00EE005B" w:rsidRPr="00A05214">
        <w:rPr>
          <w:noProof/>
        </w:rPr>
        <w:t>I artikel 8 ska följande punkt läggas till som punkt 5:</w:t>
      </w:r>
    </w:p>
    <w:p w14:paraId="7E122124" w14:textId="39248532" w:rsidR="00BA4807" w:rsidRPr="00A05214" w:rsidRDefault="00930D5A" w:rsidP="000141B8">
      <w:pPr>
        <w:pStyle w:val="Text1"/>
        <w:rPr>
          <w:noProof/>
        </w:rPr>
      </w:pPr>
      <w:r w:rsidRPr="00A05214">
        <w:rPr>
          <w:noProof/>
        </w:rPr>
        <w:t>”5. Vid första inträdet i en sektion under en fiskeresa får ett fartyg genomföra ett provtråldrag under högst tre timmar. Om de bestånd som omfattas av bifångstbegränsningar utgör den största procentandelen av vikten av den sammanlagda fångsten i draget, ska detta inte betraktas som riktat fiske efter dessa bestånd, och fartyget ska omedelbart förflytta sig i enlighet med bestämmelserna i punkt 1 b. Fartygen ska identifiera eventuella provtråldrag som genomförts i enlighet med denna punkt och i fiskeloggboken registrera koordinater för platsen för ett genomfört provtråldrags början och slut.”</w:t>
      </w:r>
    </w:p>
    <w:p w14:paraId="0983EDBC" w14:textId="3B96C5F8" w:rsidR="001849B8" w:rsidRPr="00A05214" w:rsidRDefault="006F26E2" w:rsidP="006F26E2">
      <w:pPr>
        <w:pStyle w:val="Point0"/>
        <w:rPr>
          <w:noProof/>
        </w:rPr>
      </w:pPr>
      <w:r w:rsidRPr="006F26E2">
        <w:t>(8)</w:t>
      </w:r>
      <w:r w:rsidRPr="006F26E2">
        <w:tab/>
      </w:r>
      <w:r w:rsidR="00271896" w:rsidRPr="00A05214">
        <w:rPr>
          <w:noProof/>
        </w:rPr>
        <w:t>Artikel 12.9 ska ersättas med följande:</w:t>
      </w:r>
    </w:p>
    <w:p w14:paraId="2543F8A0" w14:textId="3026B712" w:rsidR="001849B8" w:rsidRPr="00A05214" w:rsidRDefault="00930D5A" w:rsidP="000141B8">
      <w:pPr>
        <w:pStyle w:val="Text1"/>
        <w:rPr>
          <w:noProof/>
        </w:rPr>
      </w:pPr>
      <w:r w:rsidRPr="00A05214">
        <w:rPr>
          <w:noProof/>
        </w:rPr>
        <w:t>”9. I regleringsområdet ska det vara förbjudet att bedriva riktat fiske efter håkäring (</w:t>
      </w:r>
      <w:r w:rsidRPr="00A05214">
        <w:rPr>
          <w:i/>
          <w:noProof/>
        </w:rPr>
        <w:t>Somniosus microcephalus</w:t>
      </w:r>
      <w:r w:rsidRPr="00A05214">
        <w:rPr>
          <w:noProof/>
        </w:rPr>
        <w:t>) och att behålla, omlasta eller landa delar av eller hel håkäring.”</w:t>
      </w:r>
    </w:p>
    <w:p w14:paraId="3BA5D5DC" w14:textId="5B8294E4" w:rsidR="00271896" w:rsidRPr="00A05214" w:rsidRDefault="006F26E2" w:rsidP="006F26E2">
      <w:pPr>
        <w:pStyle w:val="Point0"/>
        <w:rPr>
          <w:noProof/>
        </w:rPr>
      </w:pPr>
      <w:r w:rsidRPr="006F26E2">
        <w:t>(9)</w:t>
      </w:r>
      <w:r w:rsidRPr="006F26E2">
        <w:tab/>
      </w:r>
      <w:r w:rsidR="00271896" w:rsidRPr="00A05214">
        <w:rPr>
          <w:noProof/>
        </w:rPr>
        <w:t xml:space="preserve">I artikel 44 ska led c ersättas med följande: </w:t>
      </w:r>
    </w:p>
    <w:p w14:paraId="640A3A8D" w14:textId="7DE7480E" w:rsidR="00415A84" w:rsidRPr="00A05214" w:rsidRDefault="00271896" w:rsidP="00271896">
      <w:pPr>
        <w:pStyle w:val="Text1"/>
        <w:rPr>
          <w:noProof/>
        </w:rPr>
      </w:pPr>
      <w:r w:rsidRPr="00A05214">
        <w:rPr>
          <w:noProof/>
        </w:rPr>
        <w:t>”c) finns med på en förteckning över IUU-fartyg som upprättats av Kommissionen för bevarande av marina levande tillgångar i Antarktis</w:t>
      </w:r>
      <w:r w:rsidRPr="00A05214">
        <w:rPr>
          <w:rStyle w:val="FootnoteReference0"/>
          <w:noProof/>
        </w:rPr>
        <w:footnoteReference w:id="6"/>
      </w:r>
      <w:r w:rsidRPr="00A05214">
        <w:rPr>
          <w:noProof/>
        </w:rPr>
        <w:t>, Kommissionen för bevarande av sydlig tonfisk</w:t>
      </w:r>
      <w:r w:rsidRPr="00A05214">
        <w:rPr>
          <w:rStyle w:val="FootnoteReference0"/>
          <w:noProof/>
        </w:rPr>
        <w:footnoteReference w:id="7"/>
      </w:r>
      <w:r w:rsidRPr="00A05214">
        <w:rPr>
          <w:noProof/>
        </w:rPr>
        <w:t>, Interamerikanska kommissionen för tropisk tonfisk</w:t>
      </w:r>
      <w:r w:rsidRPr="00A05214">
        <w:rPr>
          <w:rStyle w:val="FootnoteReference0"/>
          <w:noProof/>
        </w:rPr>
        <w:footnoteReference w:id="8"/>
      </w:r>
      <w:r w:rsidRPr="00A05214">
        <w:rPr>
          <w:noProof/>
        </w:rPr>
        <w:t>, Internationella kommissionen för bevarande av tonfisk i Atlanten</w:t>
      </w:r>
      <w:r w:rsidRPr="00A05214">
        <w:rPr>
          <w:rStyle w:val="FootnoteReference0"/>
          <w:noProof/>
        </w:rPr>
        <w:footnoteReference w:id="9"/>
      </w:r>
      <w:r w:rsidRPr="00A05214">
        <w:rPr>
          <w:noProof/>
        </w:rPr>
        <w:t>, Indiska oceanens tonfiskkommission</w:t>
      </w:r>
      <w:r w:rsidRPr="00A05214">
        <w:rPr>
          <w:rStyle w:val="FootnoteReference0"/>
          <w:noProof/>
        </w:rPr>
        <w:footnoteReference w:id="10"/>
      </w:r>
      <w:r w:rsidRPr="00A05214">
        <w:rPr>
          <w:noProof/>
        </w:rPr>
        <w:t>, Allmänna kommissionen för fiske i Medelhavet</w:t>
      </w:r>
      <w:r w:rsidRPr="00A05214">
        <w:rPr>
          <w:rStyle w:val="FootnoteReference0"/>
          <w:noProof/>
        </w:rPr>
        <w:footnoteReference w:id="11"/>
      </w:r>
      <w:r w:rsidRPr="00A05214">
        <w:rPr>
          <w:noProof/>
        </w:rPr>
        <w:t>, Nordostatlantiska fiskerikommissionen</w:t>
      </w:r>
      <w:r w:rsidRPr="00A05214">
        <w:rPr>
          <w:rStyle w:val="FootnoteReference0"/>
          <w:noProof/>
        </w:rPr>
        <w:footnoteReference w:id="12"/>
      </w:r>
      <w:r w:rsidRPr="00A05214">
        <w:rPr>
          <w:noProof/>
        </w:rPr>
        <w:t>, Fiskerikommissionen för norra Stilla havet</w:t>
      </w:r>
      <w:r w:rsidRPr="00A05214">
        <w:rPr>
          <w:rStyle w:val="FootnoteReference0"/>
          <w:noProof/>
        </w:rPr>
        <w:footnoteReference w:id="13"/>
      </w:r>
      <w:r w:rsidRPr="00A05214">
        <w:rPr>
          <w:noProof/>
        </w:rPr>
        <w:t>, Fiskeorganisationen för Sydostatlanten</w:t>
      </w:r>
      <w:r w:rsidRPr="00A05214">
        <w:rPr>
          <w:rStyle w:val="FootnoteReference0"/>
          <w:noProof/>
        </w:rPr>
        <w:footnoteReference w:id="14"/>
      </w:r>
      <w:r w:rsidRPr="00A05214">
        <w:rPr>
          <w:noProof/>
        </w:rPr>
        <w:t>, Fiskeavtalet för södra Indiska oceanen</w:t>
      </w:r>
      <w:r w:rsidRPr="00A05214">
        <w:rPr>
          <w:rStyle w:val="FootnoteReference0"/>
          <w:noProof/>
        </w:rPr>
        <w:footnoteReference w:id="15"/>
      </w:r>
      <w:r w:rsidRPr="00A05214">
        <w:rPr>
          <w:noProof/>
        </w:rPr>
        <w:t>, Regionala fiskeriförvaltningsorganisationen för södra Stilla havet</w:t>
      </w:r>
      <w:r w:rsidRPr="00A05214">
        <w:rPr>
          <w:rStyle w:val="FootnoteReference0"/>
          <w:noProof/>
        </w:rPr>
        <w:footnoteReference w:id="16"/>
      </w:r>
      <w:r w:rsidRPr="00A05214">
        <w:rPr>
          <w:noProof/>
        </w:rPr>
        <w:t xml:space="preserve"> eller Kommissionen för bevarande och förvaltning av långvandrande fiskbestånd i västra och mellersta Stilla havet</w:t>
      </w:r>
      <w:r w:rsidRPr="00A05214">
        <w:rPr>
          <w:rStyle w:val="FootnoteReference0"/>
          <w:noProof/>
        </w:rPr>
        <w:footnoteReference w:id="17"/>
      </w:r>
      <w:r w:rsidRPr="00A05214">
        <w:rPr>
          <w:noProof/>
        </w:rPr>
        <w:t>.”</w:t>
      </w:r>
    </w:p>
    <w:p w14:paraId="16AE4130" w14:textId="7788F096" w:rsidR="00542D54" w:rsidRPr="00A05214" w:rsidRDefault="006F26E2" w:rsidP="006F26E2">
      <w:pPr>
        <w:pStyle w:val="Point0"/>
        <w:rPr>
          <w:noProof/>
        </w:rPr>
      </w:pPr>
      <w:r w:rsidRPr="006F26E2">
        <w:t>(10)</w:t>
      </w:r>
      <w:r w:rsidRPr="006F26E2">
        <w:tab/>
      </w:r>
      <w:r w:rsidR="00E31845" w:rsidRPr="00A05214">
        <w:rPr>
          <w:noProof/>
        </w:rPr>
        <w:t>I artikel 50.2 ska följande led läggas till som led m:</w:t>
      </w:r>
    </w:p>
    <w:p w14:paraId="383C193B" w14:textId="234B3844" w:rsidR="007F0FF4" w:rsidRPr="00A05214" w:rsidRDefault="00D77A23" w:rsidP="00542D54">
      <w:pPr>
        <w:pStyle w:val="Text1"/>
        <w:rPr>
          <w:noProof/>
        </w:rPr>
      </w:pPr>
      <w:r w:rsidRPr="00A05214">
        <w:rPr>
          <w:noProof/>
        </w:rPr>
        <w:t>”m) flaggmedlemsstatens skyldigheter i fråga om forskningsplaner enligt artikel 4.2,”</w:t>
      </w:r>
    </w:p>
    <w:p w14:paraId="2FEEEB48" w14:textId="61543BD9" w:rsidR="00E31845" w:rsidRPr="00A05214" w:rsidRDefault="006F26E2" w:rsidP="006F26E2">
      <w:pPr>
        <w:pStyle w:val="Point0"/>
        <w:rPr>
          <w:noProof/>
        </w:rPr>
      </w:pPr>
      <w:r w:rsidRPr="006F26E2">
        <w:t>(11)</w:t>
      </w:r>
      <w:r w:rsidRPr="006F26E2">
        <w:tab/>
      </w:r>
      <w:r w:rsidR="00E31845" w:rsidRPr="00A05214">
        <w:rPr>
          <w:noProof/>
        </w:rPr>
        <w:t>I artikel 50.2 ska följande led läggas till som led n:</w:t>
      </w:r>
    </w:p>
    <w:p w14:paraId="13C22693" w14:textId="407763A7" w:rsidR="0019253D" w:rsidRPr="00A05214" w:rsidRDefault="00E31845" w:rsidP="00D77A23">
      <w:pPr>
        <w:pStyle w:val="Text1"/>
        <w:rPr>
          <w:noProof/>
        </w:rPr>
      </w:pPr>
      <w:r w:rsidRPr="00A05214">
        <w:rPr>
          <w:noProof/>
        </w:rPr>
        <w:t>”n) krav på fartyg som deltar i forskning enligt artikel 4.3, 4.4 och 4.5.”</w:t>
      </w:r>
    </w:p>
    <w:p w14:paraId="1A4E9325" w14:textId="77777777" w:rsidR="00361784" w:rsidRPr="00A05214" w:rsidRDefault="00361784" w:rsidP="005F7C57">
      <w:pPr>
        <w:pStyle w:val="Titrearticle"/>
        <w:rPr>
          <w:noProof/>
        </w:rPr>
      </w:pPr>
      <w:r w:rsidRPr="00A05214">
        <w:rPr>
          <w:noProof/>
        </w:rPr>
        <w:t>Artikel 2</w:t>
      </w:r>
    </w:p>
    <w:p w14:paraId="536FBFB1" w14:textId="77777777" w:rsidR="00361784" w:rsidRPr="00A05214" w:rsidRDefault="00361784" w:rsidP="005F7C57">
      <w:pPr>
        <w:rPr>
          <w:noProof/>
        </w:rPr>
      </w:pPr>
      <w:r w:rsidRPr="00A05214">
        <w:rPr>
          <w:noProof/>
        </w:rPr>
        <w:t xml:space="preserve">Denna förordning träder i kraft den tjugonde dagen efter det att den har offentliggjorts i </w:t>
      </w:r>
      <w:r w:rsidRPr="00A05214">
        <w:rPr>
          <w:i/>
          <w:noProof/>
        </w:rPr>
        <w:t>Europeiska unionens officiella tidning</w:t>
      </w:r>
      <w:r w:rsidRPr="00A05214">
        <w:rPr>
          <w:noProof/>
        </w:rPr>
        <w:t>.</w:t>
      </w:r>
    </w:p>
    <w:p w14:paraId="0119CD8F" w14:textId="77777777" w:rsidR="00361784" w:rsidRPr="00A05214" w:rsidRDefault="00361784" w:rsidP="005F7C57">
      <w:pPr>
        <w:pStyle w:val="Applicationdirecte"/>
        <w:rPr>
          <w:noProof/>
        </w:rPr>
      </w:pPr>
      <w:r w:rsidRPr="00A05214">
        <w:rPr>
          <w:noProof/>
        </w:rPr>
        <w:t>Denna förordning är till alla delar bindande och direkt tillämplig i alla medlemsstater.</w:t>
      </w:r>
    </w:p>
    <w:p w14:paraId="55EF9BC6" w14:textId="5E403A09" w:rsidR="00361784" w:rsidRPr="00A05214" w:rsidRDefault="0064308D" w:rsidP="002251D5">
      <w:pPr>
        <w:pStyle w:val="Fait"/>
        <w:rPr>
          <w:noProof/>
        </w:rPr>
      </w:pPr>
      <w:r w:rsidRPr="0064308D">
        <w:t>Utfärdad i Bryssel den</w:t>
      </w:r>
    </w:p>
    <w:p w14:paraId="6437D6F1" w14:textId="77777777" w:rsidR="00361784" w:rsidRPr="00A05214" w:rsidRDefault="00361784" w:rsidP="002251D5">
      <w:pPr>
        <w:pStyle w:val="Institutionquisigne"/>
        <w:rPr>
          <w:noProof/>
        </w:rPr>
      </w:pPr>
      <w:r w:rsidRPr="00A05214">
        <w:rPr>
          <w:noProof/>
        </w:rPr>
        <w:t>På Europaparlamentets vägnar</w:t>
      </w:r>
      <w:r w:rsidRPr="00A05214">
        <w:rPr>
          <w:noProof/>
        </w:rPr>
        <w:tab/>
        <w:t>På rådets vägnar</w:t>
      </w:r>
    </w:p>
    <w:p w14:paraId="4D3DC2F4" w14:textId="77777777" w:rsidR="00361784" w:rsidRPr="00A05214" w:rsidRDefault="00361784" w:rsidP="00361784">
      <w:pPr>
        <w:pStyle w:val="Personnequisigne"/>
        <w:rPr>
          <w:noProof/>
        </w:rPr>
      </w:pPr>
      <w:r w:rsidRPr="00A05214">
        <w:rPr>
          <w:noProof/>
        </w:rPr>
        <w:t>Ordförande</w:t>
      </w:r>
      <w:r w:rsidRPr="00A05214">
        <w:rPr>
          <w:noProof/>
        </w:rPr>
        <w:tab/>
        <w:t>Ordförande</w:t>
      </w:r>
    </w:p>
    <w:sectPr w:rsidR="00361784" w:rsidRPr="00A05214" w:rsidSect="00CC7280">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46B5B" w14:textId="77777777" w:rsidR="005F7C57" w:rsidRDefault="005F7C57" w:rsidP="00361784">
      <w:pPr>
        <w:spacing w:before="0" w:after="0"/>
      </w:pPr>
      <w:r>
        <w:separator/>
      </w:r>
    </w:p>
  </w:endnote>
  <w:endnote w:type="continuationSeparator" w:id="0">
    <w:p w14:paraId="7ED46197" w14:textId="77777777" w:rsidR="005F7C57" w:rsidRDefault="005F7C57" w:rsidP="00361784">
      <w:pPr>
        <w:spacing w:before="0" w:after="0"/>
      </w:pPr>
      <w:r>
        <w:continuationSeparator/>
      </w:r>
    </w:p>
  </w:endnote>
  <w:endnote w:type="continuationNotice" w:id="1">
    <w:p w14:paraId="466A8AC4" w14:textId="77777777" w:rsidR="00CB76F6" w:rsidRDefault="00CB76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B7DF" w14:textId="74FA579A" w:rsidR="004B4C45" w:rsidRPr="00CC7280" w:rsidRDefault="00CC7280" w:rsidP="00CC7280">
    <w:pPr>
      <w:pStyle w:val="Footer"/>
      <w:rPr>
        <w:rFonts w:ascii="Arial" w:hAnsi="Arial" w:cs="Arial"/>
        <w:b/>
        <w:sz w:val="48"/>
      </w:rPr>
    </w:pPr>
    <w:r w:rsidRPr="00CC7280">
      <w:rPr>
        <w:rFonts w:ascii="Arial" w:hAnsi="Arial" w:cs="Arial"/>
        <w:b/>
        <w:sz w:val="48"/>
      </w:rPr>
      <w:t>SV</w:t>
    </w:r>
    <w:r w:rsidRPr="00CC7280">
      <w:rPr>
        <w:rFonts w:ascii="Arial" w:hAnsi="Arial" w:cs="Arial"/>
        <w:b/>
        <w:sz w:val="48"/>
      </w:rPr>
      <w:tab/>
    </w:r>
    <w:r w:rsidRPr="00CC7280">
      <w:rPr>
        <w:rFonts w:ascii="Arial" w:hAnsi="Arial" w:cs="Arial"/>
        <w:b/>
        <w:sz w:val="48"/>
      </w:rPr>
      <w:tab/>
    </w:r>
    <w:r w:rsidRPr="00CC7280">
      <w:tab/>
    </w:r>
    <w:r w:rsidRPr="00CC7280">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B502" w14:textId="1899430F" w:rsidR="00CC7280" w:rsidRPr="00CC7280" w:rsidRDefault="00CC7280" w:rsidP="00CC7280">
    <w:pPr>
      <w:pStyle w:val="Footer"/>
      <w:rPr>
        <w:rFonts w:ascii="Arial" w:hAnsi="Arial" w:cs="Arial"/>
        <w:b/>
        <w:sz w:val="48"/>
      </w:rPr>
    </w:pPr>
    <w:r w:rsidRPr="00CC7280">
      <w:rPr>
        <w:rFonts w:ascii="Arial" w:hAnsi="Arial" w:cs="Arial"/>
        <w:b/>
        <w:sz w:val="48"/>
      </w:rPr>
      <w:t>SV</w:t>
    </w:r>
    <w:r w:rsidRPr="00CC7280">
      <w:rPr>
        <w:rFonts w:ascii="Arial" w:hAnsi="Arial" w:cs="Arial"/>
        <w:b/>
        <w:sz w:val="48"/>
      </w:rPr>
      <w:tab/>
    </w:r>
    <w:r>
      <w:fldChar w:fldCharType="begin"/>
    </w:r>
    <w:r>
      <w:instrText xml:space="preserve"> PAGE  \* MERGEFORMAT </w:instrText>
    </w:r>
    <w:r>
      <w:fldChar w:fldCharType="separate"/>
    </w:r>
    <w:r w:rsidR="002251D5">
      <w:rPr>
        <w:noProof/>
      </w:rPr>
      <w:t>8</w:t>
    </w:r>
    <w:r>
      <w:fldChar w:fldCharType="end"/>
    </w:r>
    <w:r>
      <w:tab/>
    </w:r>
    <w:r w:rsidRPr="00CC7280">
      <w:tab/>
    </w:r>
    <w:r w:rsidRPr="00CC7280">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2FC8F" w14:textId="77777777" w:rsidR="00CC7280" w:rsidRPr="00CC7280" w:rsidRDefault="00CC7280" w:rsidP="00CC7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4D59B" w14:textId="77777777" w:rsidR="005F7C57" w:rsidRDefault="005F7C57" w:rsidP="00361784">
      <w:pPr>
        <w:spacing w:before="0" w:after="0"/>
      </w:pPr>
      <w:r>
        <w:separator/>
      </w:r>
    </w:p>
  </w:footnote>
  <w:footnote w:type="continuationSeparator" w:id="0">
    <w:p w14:paraId="796804AE" w14:textId="77777777" w:rsidR="005F7C57" w:rsidRDefault="005F7C57" w:rsidP="00361784">
      <w:pPr>
        <w:spacing w:before="0" w:after="0"/>
      </w:pPr>
      <w:r>
        <w:continuationSeparator/>
      </w:r>
    </w:p>
  </w:footnote>
  <w:footnote w:type="continuationNotice" w:id="1">
    <w:p w14:paraId="6A620E19" w14:textId="77777777" w:rsidR="00CB76F6" w:rsidRDefault="00CB76F6">
      <w:pPr>
        <w:spacing w:before="0" w:after="0"/>
      </w:pPr>
    </w:p>
  </w:footnote>
  <w:footnote w:id="2">
    <w:p w14:paraId="3E1BE0F3" w14:textId="4AD716F1" w:rsidR="005F7C57" w:rsidRDefault="005F7C57" w:rsidP="005F7C57">
      <w:pPr>
        <w:pStyle w:val="FootnoteText"/>
      </w:pPr>
      <w:r>
        <w:rPr>
          <w:rStyle w:val="FootnoteReference0"/>
        </w:rPr>
        <w:footnoteRef/>
      </w:r>
      <w:r>
        <w:tab/>
        <w:t>EUT C , , s. .</w:t>
      </w:r>
    </w:p>
  </w:footnote>
  <w:footnote w:id="3">
    <w:p w14:paraId="4E919C9F" w14:textId="77777777" w:rsidR="005F7C57" w:rsidRPr="00F645AE" w:rsidRDefault="005F7C57" w:rsidP="00271896">
      <w:pPr>
        <w:pStyle w:val="FootnoteText"/>
      </w:pPr>
      <w:r>
        <w:rPr>
          <w:rStyle w:val="FootnoteReference0"/>
        </w:rPr>
        <w:footnoteRef/>
      </w:r>
      <w:r>
        <w:tab/>
        <w:t>Europaparlamentets och rådets förordning (EU) 2019/833 av den 20 maj 2019 om fastställande av bevarande- och tillämpningsföreskrifter som är tillämpliga i regleringsområdet för Fiskeriorganisationen för Nordatlantens västra del, om ändring av förordning (EU) 2016/1627 och om upphävande av rådets förordningar (EG) nr 2115/2005 och (EG) nr 1386/2007 (EUT L 141, 28.5.2019, s. 1).</w:t>
      </w:r>
    </w:p>
  </w:footnote>
  <w:footnote w:id="4">
    <w:p w14:paraId="43327181" w14:textId="74A5D038" w:rsidR="005F7C57" w:rsidRPr="00756B17" w:rsidRDefault="005F7C57" w:rsidP="00756B17">
      <w:pPr>
        <w:pStyle w:val="FootnoteText"/>
      </w:pPr>
      <w:r>
        <w:rPr>
          <w:rStyle w:val="FootnoteReference0"/>
        </w:rPr>
        <w:footnoteRef/>
      </w:r>
      <w:r>
        <w:tab/>
        <w:t>Europaparlamentets och rådets förordning (EU) 2021/1231 av den 14 juli 2021 om ändring av förordning (EU) 2019/833 om fastställande av bevarande- och tillämpningsföreskrifter som är tillämpliga i regleringsområdet för Fiskeriorganisationen för Nordatlantens västra del (EUT L 274, 30.7.2021, s. 32) och Europaparlamentets och rådets förordning (EU) 2022/2037 av den 19 oktober 2022 om ändring av förordning (EU) 2019/833 om fastställande av bevarande- och tillämpningsföreskrifter som är tillämpliga i regleringsområdet för Fiskeriorganisationen för Nordatlantens västra del (EUT L 275, 25.10.2022, s. 11).</w:t>
      </w:r>
    </w:p>
  </w:footnote>
  <w:footnote w:id="5">
    <w:p w14:paraId="0139315E" w14:textId="77777777" w:rsidR="005F7C57" w:rsidRPr="00BC15AB" w:rsidRDefault="005F7C57" w:rsidP="00271896">
      <w:pPr>
        <w:spacing w:before="0" w:after="0"/>
        <w:ind w:left="851" w:hanging="851"/>
        <w:jc w:val="left"/>
        <w:rPr>
          <w:noProof/>
          <w:sz w:val="20"/>
          <w:szCs w:val="20"/>
        </w:rPr>
      </w:pPr>
      <w:r>
        <w:rPr>
          <w:rStyle w:val="FootnoteReference0"/>
        </w:rPr>
        <w:footnoteRef/>
      </w:r>
      <w:r>
        <w:tab/>
      </w:r>
      <w:r>
        <w:rPr>
          <w:sz w:val="20"/>
        </w:rPr>
        <w:t>EUT L 123, 12.5.2016, s. 1.</w:t>
      </w:r>
    </w:p>
  </w:footnote>
  <w:footnote w:id="6">
    <w:p w14:paraId="0A278BEA" w14:textId="2036414B" w:rsidR="005F7C57" w:rsidRPr="00F8732C" w:rsidRDefault="005F7C57">
      <w:pPr>
        <w:pStyle w:val="FootnoteText"/>
      </w:pPr>
      <w:r>
        <w:rPr>
          <w:rStyle w:val="FootnoteReference0"/>
        </w:rPr>
        <w:footnoteRef/>
      </w:r>
      <w:r>
        <w:tab/>
        <w:t>Konventionen om bevarande av marina levande tillgångar i Antarktis, som upprättades i Canberra den 20 maj 1980 och trädde i kraft den 7 april 1982 (EGT L 252, 5.9.1981, s. 26).</w:t>
      </w:r>
    </w:p>
  </w:footnote>
  <w:footnote w:id="7">
    <w:p w14:paraId="2A2F3C4B" w14:textId="77777777" w:rsidR="005F7C57" w:rsidRPr="00F8732C" w:rsidRDefault="005F7C57">
      <w:pPr>
        <w:pStyle w:val="FootnoteText"/>
      </w:pPr>
      <w:r>
        <w:rPr>
          <w:rStyle w:val="FootnoteReference0"/>
        </w:rPr>
        <w:footnoteRef/>
      </w:r>
      <w:r>
        <w:tab/>
        <w:t>Konventionen för bevarande av sydlig tonfisk, som utfärdades i Canberra den 10 maj 1993 och trädde i kraft den 20 maj 1994 (EUT L 336, 23.12.2015, s. 27).</w:t>
      </w:r>
    </w:p>
  </w:footnote>
  <w:footnote w:id="8">
    <w:p w14:paraId="1AB6DF1E" w14:textId="5C5F6022" w:rsidR="00BF708A" w:rsidRPr="00BF708A" w:rsidRDefault="00BF708A" w:rsidP="00671909">
      <w:pPr>
        <w:pStyle w:val="FootnoteText"/>
      </w:pPr>
      <w:r>
        <w:rPr>
          <w:rStyle w:val="FootnoteReference0"/>
        </w:rPr>
        <w:footnoteRef/>
      </w:r>
      <w:r>
        <w:tab/>
        <w:t>Konventionen om förstärkning av den interamerikanska kommission för tropisk tonfisk som inrättades genom 1949 års konvention mellan Amerikas förenta stater och Republiken Costa Rica (”Antiguakonventionen”), som utfärdades i Washington den 14 november 2003 och trädde i kraft den 27 augusti 2010 (EUT L 224, 16.8.2006, s. 22).</w:t>
      </w:r>
    </w:p>
  </w:footnote>
  <w:footnote w:id="9">
    <w:p w14:paraId="67A0D7E2" w14:textId="4B8BC3B0" w:rsidR="005F7C57" w:rsidRPr="00F8732C" w:rsidRDefault="005F7C57">
      <w:pPr>
        <w:pStyle w:val="FootnoteText"/>
      </w:pPr>
      <w:r>
        <w:rPr>
          <w:rStyle w:val="FootnoteReference0"/>
        </w:rPr>
        <w:footnoteRef/>
      </w:r>
      <w:r>
        <w:tab/>
        <w:t>Internationella konventionen för bevarande av tonfisk i Atlanten, som undertecknades i Paris den 10 juli 1984 och trädde i kraft den 9 januari 1997 (EGT L 162, 18.6.1986, s. 34).</w:t>
      </w:r>
    </w:p>
  </w:footnote>
  <w:footnote w:id="10">
    <w:p w14:paraId="2086EE71" w14:textId="51D335AA" w:rsidR="005F7C57" w:rsidRPr="00F8732C" w:rsidRDefault="005F7C57">
      <w:pPr>
        <w:pStyle w:val="FootnoteText"/>
      </w:pPr>
      <w:r>
        <w:rPr>
          <w:rStyle w:val="FootnoteReference0"/>
        </w:rPr>
        <w:footnoteRef/>
      </w:r>
      <w:r>
        <w:tab/>
        <w:t>Överenskommelsen om inrättande av Indiska oceanens tonfiskkommission, som undertecknades i Rom den 25 november 1993 och trädde i kraft den 27 mars 1996 (EGT L 236, 5.10.1995, s. 25).</w:t>
      </w:r>
    </w:p>
  </w:footnote>
  <w:footnote w:id="11">
    <w:p w14:paraId="737629C2" w14:textId="1BEECD14" w:rsidR="005F7C57" w:rsidRPr="00F8732C" w:rsidRDefault="005F7C57">
      <w:pPr>
        <w:pStyle w:val="FootnoteText"/>
      </w:pPr>
      <w:r>
        <w:rPr>
          <w:rStyle w:val="FootnoteReference0"/>
        </w:rPr>
        <w:footnoteRef/>
      </w:r>
      <w:r>
        <w:tab/>
        <w:t>Avtalet om inrättande av Allmänna kommissionen för fiske i Medelhavet, som ursprungligen upprättades i Rom den 24 september 1949 och trädde i kraft den 20 februari 1952 (EGT L 190, 4.7.1998, s. 37).</w:t>
      </w:r>
    </w:p>
  </w:footnote>
  <w:footnote w:id="12">
    <w:p w14:paraId="172CE6F9" w14:textId="6C5804CC" w:rsidR="005F7C57" w:rsidRPr="00F8732C" w:rsidRDefault="005F7C57">
      <w:pPr>
        <w:pStyle w:val="FootnoteText"/>
      </w:pPr>
      <w:r>
        <w:rPr>
          <w:rStyle w:val="FootnoteReference0"/>
        </w:rPr>
        <w:footnoteRef/>
      </w:r>
      <w:r>
        <w:tab/>
        <w:t>Konventionen om framtida multilateralt samarbete om fisket i Nordostatlanten, som undertecknades i London den 18 november 1980 och trädde i kraft den 17 mars 1982, till vilken Europeiska gemenskapen anslöt sig den 13 juli 1981 (</w:t>
      </w:r>
      <w:hyperlink r:id="rId1" w:history="1">
        <w:r>
          <w:t>EGT L 227, 12.8.1981, s. 22</w:t>
        </w:r>
      </w:hyperlink>
      <w:r>
        <w:t>).</w:t>
      </w:r>
    </w:p>
  </w:footnote>
  <w:footnote w:id="13">
    <w:p w14:paraId="30A59CB9" w14:textId="5294448D" w:rsidR="005F7C57" w:rsidRPr="00DA6C3C" w:rsidRDefault="005F7C57">
      <w:pPr>
        <w:pStyle w:val="FootnoteText"/>
        <w:rPr>
          <w:i/>
          <w:highlight w:val="yellow"/>
        </w:rPr>
      </w:pPr>
      <w:r>
        <w:rPr>
          <w:rStyle w:val="FootnoteReference0"/>
        </w:rPr>
        <w:footnoteRef/>
      </w:r>
      <w:r>
        <w:tab/>
        <w:t>Konventionen om bevarande och förvaltning av fiskeresurserna i det fria havet i norra Stilla havet, som utfärdades i Tokyo den 24 februari 2012 och trädde i kraft den 19 juli 2015 (EUT L 55, 28.2.2022, s. 14).</w:t>
      </w:r>
    </w:p>
  </w:footnote>
  <w:footnote w:id="14">
    <w:p w14:paraId="5C7A3CDF" w14:textId="6274C45E" w:rsidR="005F7C57" w:rsidRPr="00DB07C6" w:rsidRDefault="005F7C57">
      <w:pPr>
        <w:pStyle w:val="FootnoteText"/>
      </w:pPr>
      <w:r>
        <w:rPr>
          <w:rStyle w:val="FootnoteReference0"/>
        </w:rPr>
        <w:footnoteRef/>
      </w:r>
      <w:r>
        <w:tab/>
        <w:t>Konventionen om bevarande och förvaltning av fiskeresurser i Sydostatlanten, som utfärdades i Windhoek, Namibia, den 20 april 2001 och trädde i kraft den 13 april 2003 (EGT L 234, 31.8.2002, s. 40).</w:t>
      </w:r>
    </w:p>
  </w:footnote>
  <w:footnote w:id="15">
    <w:p w14:paraId="587E24C8" w14:textId="7EE4B29F" w:rsidR="005F7C57" w:rsidRPr="00DB07C6" w:rsidRDefault="005F7C57">
      <w:pPr>
        <w:pStyle w:val="FootnoteText"/>
      </w:pPr>
      <w:r>
        <w:rPr>
          <w:rStyle w:val="FootnoteReference0"/>
        </w:rPr>
        <w:footnoteRef/>
      </w:r>
      <w:r>
        <w:tab/>
        <w:t>Fiskeavtalet för södra Indiska oceanen (Siofa), som undertecknades i Rom den 7 juli 2016 och trädde i kraft den 21 juni 2012 (EUT L 196, 18.7.2006, s. 5 och EUT L 76 M, 16.3.2007, s. 78).</w:t>
      </w:r>
    </w:p>
  </w:footnote>
  <w:footnote w:id="16">
    <w:p w14:paraId="7A55EA77" w14:textId="104993EB" w:rsidR="005F7C57" w:rsidRPr="009E404A" w:rsidRDefault="005F7C57">
      <w:pPr>
        <w:pStyle w:val="FootnoteText"/>
      </w:pPr>
      <w:r>
        <w:rPr>
          <w:rStyle w:val="FootnoteReference0"/>
        </w:rPr>
        <w:footnoteRef/>
      </w:r>
      <w:r>
        <w:tab/>
        <w:t>Konventionen om bevarande och förvaltning av det fria havets fiskeresurser i södra Stilla havet, som utfärdades i Auckland den 14 november 2009 och trädde i kraft den 24 augusti 2012 (EUT L 67, 6.3.2012, s. 1).</w:t>
      </w:r>
    </w:p>
  </w:footnote>
  <w:footnote w:id="17">
    <w:p w14:paraId="4D10C0F4" w14:textId="1BBE4893" w:rsidR="005F7C57" w:rsidRPr="00F8732C" w:rsidRDefault="005F7C57">
      <w:pPr>
        <w:pStyle w:val="FootnoteText"/>
      </w:pPr>
      <w:r>
        <w:rPr>
          <w:rStyle w:val="FootnoteReference0"/>
        </w:rPr>
        <w:footnoteRef/>
      </w:r>
      <w:r>
        <w:tab/>
        <w:t>Konventionen om bevarande och förvaltning av långvandrande fiskbestånd i västra och mellersta Stilla havet, som utfärdades i Honolulu den 5 september 2000 och trädde i kraft den 19 juni 2004 (EUT L 32, 4.2.2005,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A0CADA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99246E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B58382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20838E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C295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FEA45C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A78EF5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7A1EF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5"/>
  </w:num>
  <w:num w:numId="3">
    <w:abstractNumId w:val="2"/>
  </w:num>
  <w:num w:numId="4">
    <w:abstractNumId w:val="7"/>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0"/>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2-24 12:02:0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54478F5-A289-45DD-AA84-BF8B4FCA06EA"/>
    <w:docVar w:name="LW_COVERPAGE_TYPE" w:val="1"/>
    <w:docVar w:name="LW_CROSSREFERENCE" w:val="&lt;UNUSED&gt;"/>
    <w:docVar w:name="LW_DocType" w:val="COM"/>
    <w:docVar w:name="LW_EMISSION" w:val="3.3.2023"/>
    <w:docVar w:name="LW_EMISSION_ISODATE" w:val="2023-03-03"/>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056"/>
    <w:docVar w:name="LW_REF.II.NEW.CP_YEAR" w:val="2023"/>
    <w:docVar w:name="LW_REF.INST.NEW" w:val="COM"/>
    <w:docVar w:name="LW_REF.INST.NEW_ADOPTED" w:val="final"/>
    <w:docVar w:name="LW_REF.INST.NEW_TEXT" w:val="(2023) 1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U) 2019/833 om fastställande av bevarande- och tillämpningsföreskrifter som är tillämpliga i regleringsområdet för Fiskeriorganisationen för Nordatlantens västra del"/>
    <w:docVar w:name="LW_TYPE.DOC.CP" w:val="EUROPAPARLAMENTETS OCH RÅDETS FÖRORDNING"/>
    <w:docVar w:name="LwApiVersions" w:val="LW4CoDe 1.23.2.0; LW 8.0, Build 20211117"/>
  </w:docVars>
  <w:rsids>
    <w:rsidRoot w:val="00361784"/>
    <w:rsid w:val="000012AF"/>
    <w:rsid w:val="00004980"/>
    <w:rsid w:val="000141B8"/>
    <w:rsid w:val="00026B08"/>
    <w:rsid w:val="00031FE8"/>
    <w:rsid w:val="00034D96"/>
    <w:rsid w:val="000508FF"/>
    <w:rsid w:val="00056370"/>
    <w:rsid w:val="000823FC"/>
    <w:rsid w:val="00091D04"/>
    <w:rsid w:val="000A53F3"/>
    <w:rsid w:val="000B4F71"/>
    <w:rsid w:val="000B5A30"/>
    <w:rsid w:val="000C084F"/>
    <w:rsid w:val="000D0D61"/>
    <w:rsid w:val="000D5EF3"/>
    <w:rsid w:val="00103224"/>
    <w:rsid w:val="001065F5"/>
    <w:rsid w:val="00113C38"/>
    <w:rsid w:val="001238EF"/>
    <w:rsid w:val="001319D8"/>
    <w:rsid w:val="00133784"/>
    <w:rsid w:val="00144C69"/>
    <w:rsid w:val="00151B78"/>
    <w:rsid w:val="00153BB1"/>
    <w:rsid w:val="00157DFA"/>
    <w:rsid w:val="001619FE"/>
    <w:rsid w:val="0016493E"/>
    <w:rsid w:val="00164EF3"/>
    <w:rsid w:val="00184422"/>
    <w:rsid w:val="001849B8"/>
    <w:rsid w:val="00190F0B"/>
    <w:rsid w:val="0019253D"/>
    <w:rsid w:val="0019545D"/>
    <w:rsid w:val="001973EA"/>
    <w:rsid w:val="00197613"/>
    <w:rsid w:val="001B3D3F"/>
    <w:rsid w:val="001D211D"/>
    <w:rsid w:val="001E45D5"/>
    <w:rsid w:val="001F4B0C"/>
    <w:rsid w:val="00201053"/>
    <w:rsid w:val="002251D5"/>
    <w:rsid w:val="00231B1B"/>
    <w:rsid w:val="00232982"/>
    <w:rsid w:val="00233DC7"/>
    <w:rsid w:val="00236628"/>
    <w:rsid w:val="00243BEE"/>
    <w:rsid w:val="00244EA3"/>
    <w:rsid w:val="00247779"/>
    <w:rsid w:val="0025589D"/>
    <w:rsid w:val="00263EC9"/>
    <w:rsid w:val="0027062E"/>
    <w:rsid w:val="00271896"/>
    <w:rsid w:val="00276074"/>
    <w:rsid w:val="00285BEE"/>
    <w:rsid w:val="0029533F"/>
    <w:rsid w:val="002A243A"/>
    <w:rsid w:val="002A2B97"/>
    <w:rsid w:val="002A485A"/>
    <w:rsid w:val="002A4E62"/>
    <w:rsid w:val="002B30AF"/>
    <w:rsid w:val="002E4B6A"/>
    <w:rsid w:val="002F3EB9"/>
    <w:rsid w:val="002F6AD7"/>
    <w:rsid w:val="00301DEB"/>
    <w:rsid w:val="00312DDE"/>
    <w:rsid w:val="00313EEB"/>
    <w:rsid w:val="00317EA0"/>
    <w:rsid w:val="003261B8"/>
    <w:rsid w:val="0033344A"/>
    <w:rsid w:val="00341EFE"/>
    <w:rsid w:val="00347980"/>
    <w:rsid w:val="00353193"/>
    <w:rsid w:val="00356042"/>
    <w:rsid w:val="00361784"/>
    <w:rsid w:val="0036690F"/>
    <w:rsid w:val="00377B2F"/>
    <w:rsid w:val="00382B04"/>
    <w:rsid w:val="00397BB9"/>
    <w:rsid w:val="00397FF5"/>
    <w:rsid w:val="003A7E41"/>
    <w:rsid w:val="003F4B3A"/>
    <w:rsid w:val="004034C2"/>
    <w:rsid w:val="00406711"/>
    <w:rsid w:val="004067DA"/>
    <w:rsid w:val="004148BE"/>
    <w:rsid w:val="00415A84"/>
    <w:rsid w:val="00422459"/>
    <w:rsid w:val="0042648E"/>
    <w:rsid w:val="00426B15"/>
    <w:rsid w:val="0043602C"/>
    <w:rsid w:val="00436285"/>
    <w:rsid w:val="00437417"/>
    <w:rsid w:val="004700C6"/>
    <w:rsid w:val="00482AE6"/>
    <w:rsid w:val="004867BC"/>
    <w:rsid w:val="004936D2"/>
    <w:rsid w:val="004949C8"/>
    <w:rsid w:val="004B4C1B"/>
    <w:rsid w:val="004B4C45"/>
    <w:rsid w:val="004B7A09"/>
    <w:rsid w:val="004D725F"/>
    <w:rsid w:val="004E63A5"/>
    <w:rsid w:val="00501ED7"/>
    <w:rsid w:val="00502D82"/>
    <w:rsid w:val="0051436C"/>
    <w:rsid w:val="00532FB3"/>
    <w:rsid w:val="0053537C"/>
    <w:rsid w:val="00542D54"/>
    <w:rsid w:val="00557DBE"/>
    <w:rsid w:val="00560891"/>
    <w:rsid w:val="005A33E0"/>
    <w:rsid w:val="005B1EB6"/>
    <w:rsid w:val="005B24D0"/>
    <w:rsid w:val="005B36FF"/>
    <w:rsid w:val="005C2B60"/>
    <w:rsid w:val="005C3BC9"/>
    <w:rsid w:val="005E4F4A"/>
    <w:rsid w:val="005F7C57"/>
    <w:rsid w:val="0061630C"/>
    <w:rsid w:val="006254C6"/>
    <w:rsid w:val="006278E2"/>
    <w:rsid w:val="00634DD1"/>
    <w:rsid w:val="0064308D"/>
    <w:rsid w:val="006506F1"/>
    <w:rsid w:val="00655F1D"/>
    <w:rsid w:val="006612F4"/>
    <w:rsid w:val="00666548"/>
    <w:rsid w:val="00671909"/>
    <w:rsid w:val="00676D9B"/>
    <w:rsid w:val="00681305"/>
    <w:rsid w:val="0069088C"/>
    <w:rsid w:val="006C1AC0"/>
    <w:rsid w:val="006C3B94"/>
    <w:rsid w:val="006D288E"/>
    <w:rsid w:val="006E4B5D"/>
    <w:rsid w:val="006F26E2"/>
    <w:rsid w:val="006F7A9B"/>
    <w:rsid w:val="00711A4C"/>
    <w:rsid w:val="00712D2F"/>
    <w:rsid w:val="00747CEA"/>
    <w:rsid w:val="00753EF9"/>
    <w:rsid w:val="00756B17"/>
    <w:rsid w:val="007579AD"/>
    <w:rsid w:val="00773331"/>
    <w:rsid w:val="007760A8"/>
    <w:rsid w:val="0078689B"/>
    <w:rsid w:val="00791AFA"/>
    <w:rsid w:val="007932EF"/>
    <w:rsid w:val="007B12E4"/>
    <w:rsid w:val="007B4DAD"/>
    <w:rsid w:val="007E05B0"/>
    <w:rsid w:val="007E13F1"/>
    <w:rsid w:val="007F0FF4"/>
    <w:rsid w:val="008302EF"/>
    <w:rsid w:val="008400D1"/>
    <w:rsid w:val="0084424E"/>
    <w:rsid w:val="008663ED"/>
    <w:rsid w:val="00867FCE"/>
    <w:rsid w:val="00872FF8"/>
    <w:rsid w:val="00874D22"/>
    <w:rsid w:val="008933C4"/>
    <w:rsid w:val="00894080"/>
    <w:rsid w:val="008A2914"/>
    <w:rsid w:val="008B2063"/>
    <w:rsid w:val="008D4D91"/>
    <w:rsid w:val="008E4D8E"/>
    <w:rsid w:val="008E5578"/>
    <w:rsid w:val="009001B4"/>
    <w:rsid w:val="00902348"/>
    <w:rsid w:val="009115D7"/>
    <w:rsid w:val="00916C7B"/>
    <w:rsid w:val="00930D5A"/>
    <w:rsid w:val="00931A96"/>
    <w:rsid w:val="0094457D"/>
    <w:rsid w:val="00972050"/>
    <w:rsid w:val="009903E6"/>
    <w:rsid w:val="009943B9"/>
    <w:rsid w:val="009A212B"/>
    <w:rsid w:val="009A4200"/>
    <w:rsid w:val="009A7AE0"/>
    <w:rsid w:val="009B12DA"/>
    <w:rsid w:val="009D243F"/>
    <w:rsid w:val="009E15D7"/>
    <w:rsid w:val="009E3DEF"/>
    <w:rsid w:val="009E404A"/>
    <w:rsid w:val="00A01960"/>
    <w:rsid w:val="00A02D52"/>
    <w:rsid w:val="00A05214"/>
    <w:rsid w:val="00A06290"/>
    <w:rsid w:val="00A12ACE"/>
    <w:rsid w:val="00A228EF"/>
    <w:rsid w:val="00A3524E"/>
    <w:rsid w:val="00A3600D"/>
    <w:rsid w:val="00A4562B"/>
    <w:rsid w:val="00A95A7C"/>
    <w:rsid w:val="00AB5207"/>
    <w:rsid w:val="00AE25D9"/>
    <w:rsid w:val="00AE5691"/>
    <w:rsid w:val="00AF0DDA"/>
    <w:rsid w:val="00B0076F"/>
    <w:rsid w:val="00B1793D"/>
    <w:rsid w:val="00B2434A"/>
    <w:rsid w:val="00B702D3"/>
    <w:rsid w:val="00B8661B"/>
    <w:rsid w:val="00BA4807"/>
    <w:rsid w:val="00BB0E78"/>
    <w:rsid w:val="00BB506F"/>
    <w:rsid w:val="00BB5CCF"/>
    <w:rsid w:val="00BC5118"/>
    <w:rsid w:val="00BD43D6"/>
    <w:rsid w:val="00BF0F65"/>
    <w:rsid w:val="00BF708A"/>
    <w:rsid w:val="00C023BB"/>
    <w:rsid w:val="00C12301"/>
    <w:rsid w:val="00C23BC8"/>
    <w:rsid w:val="00C30AB0"/>
    <w:rsid w:val="00C35812"/>
    <w:rsid w:val="00C42DCD"/>
    <w:rsid w:val="00C46133"/>
    <w:rsid w:val="00C57A68"/>
    <w:rsid w:val="00C717AF"/>
    <w:rsid w:val="00C818C2"/>
    <w:rsid w:val="00C918C7"/>
    <w:rsid w:val="00CA1CE1"/>
    <w:rsid w:val="00CA42F9"/>
    <w:rsid w:val="00CA49D0"/>
    <w:rsid w:val="00CA7C72"/>
    <w:rsid w:val="00CB4ACA"/>
    <w:rsid w:val="00CB742F"/>
    <w:rsid w:val="00CB755A"/>
    <w:rsid w:val="00CB76F6"/>
    <w:rsid w:val="00CC6A2C"/>
    <w:rsid w:val="00CC7280"/>
    <w:rsid w:val="00CE1531"/>
    <w:rsid w:val="00CE6A3D"/>
    <w:rsid w:val="00D20381"/>
    <w:rsid w:val="00D33935"/>
    <w:rsid w:val="00D40666"/>
    <w:rsid w:val="00D4447B"/>
    <w:rsid w:val="00D73C19"/>
    <w:rsid w:val="00D77A23"/>
    <w:rsid w:val="00D9552C"/>
    <w:rsid w:val="00D96FAE"/>
    <w:rsid w:val="00DA6C3C"/>
    <w:rsid w:val="00DB07C6"/>
    <w:rsid w:val="00DC11F2"/>
    <w:rsid w:val="00DD51A5"/>
    <w:rsid w:val="00DE6489"/>
    <w:rsid w:val="00DF5E2B"/>
    <w:rsid w:val="00E06DD4"/>
    <w:rsid w:val="00E156EC"/>
    <w:rsid w:val="00E20F6B"/>
    <w:rsid w:val="00E23EF7"/>
    <w:rsid w:val="00E26B63"/>
    <w:rsid w:val="00E27045"/>
    <w:rsid w:val="00E272EE"/>
    <w:rsid w:val="00E31845"/>
    <w:rsid w:val="00E57BEC"/>
    <w:rsid w:val="00E66D6D"/>
    <w:rsid w:val="00E8613B"/>
    <w:rsid w:val="00E8673D"/>
    <w:rsid w:val="00EA27A5"/>
    <w:rsid w:val="00EA39CF"/>
    <w:rsid w:val="00EB1B17"/>
    <w:rsid w:val="00EE005B"/>
    <w:rsid w:val="00F31ED4"/>
    <w:rsid w:val="00F50DF7"/>
    <w:rsid w:val="00F80078"/>
    <w:rsid w:val="00F8732C"/>
    <w:rsid w:val="00FA6644"/>
    <w:rsid w:val="00FA779A"/>
    <w:rsid w:val="00FC38F8"/>
    <w:rsid w:val="00FC67AB"/>
    <w:rsid w:val="00FD08B4"/>
    <w:rsid w:val="00FF6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88116C3"/>
  <w15:docId w15:val="{A9313CB9-5BFA-415B-82FD-B0EE061D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
    <w:name w:val="footnotereference"/>
    <w:basedOn w:val="DefaultParagraphFont"/>
    <w:rsid w:val="00271896"/>
  </w:style>
  <w:style w:type="paragraph" w:styleId="ListBullet2">
    <w:name w:val="List Bullet 2"/>
    <w:basedOn w:val="Normal"/>
    <w:uiPriority w:val="99"/>
    <w:semiHidden/>
    <w:unhideWhenUsed/>
    <w:rsid w:val="00271896"/>
    <w:pPr>
      <w:numPr>
        <w:numId w:val="2"/>
      </w:numPr>
      <w:contextualSpacing/>
    </w:pPr>
  </w:style>
  <w:style w:type="paragraph" w:styleId="ListNumber2">
    <w:name w:val="List Number 2"/>
    <w:basedOn w:val="Normal"/>
    <w:uiPriority w:val="99"/>
    <w:semiHidden/>
    <w:unhideWhenUsed/>
    <w:rsid w:val="00271896"/>
    <w:pPr>
      <w:numPr>
        <w:numId w:val="3"/>
      </w:numPr>
      <w:contextualSpacing/>
    </w:pPr>
  </w:style>
  <w:style w:type="paragraph" w:styleId="ListBullet">
    <w:name w:val="List Bullet"/>
    <w:basedOn w:val="Normal"/>
    <w:uiPriority w:val="99"/>
    <w:semiHidden/>
    <w:unhideWhenUsed/>
    <w:rsid w:val="004700C6"/>
    <w:pPr>
      <w:numPr>
        <w:numId w:val="4"/>
      </w:numPr>
      <w:contextualSpacing/>
    </w:pPr>
  </w:style>
  <w:style w:type="paragraph" w:styleId="ListBullet3">
    <w:name w:val="List Bullet 3"/>
    <w:basedOn w:val="Normal"/>
    <w:uiPriority w:val="99"/>
    <w:semiHidden/>
    <w:unhideWhenUsed/>
    <w:rsid w:val="004700C6"/>
    <w:pPr>
      <w:numPr>
        <w:numId w:val="5"/>
      </w:numPr>
      <w:contextualSpacing/>
    </w:pPr>
  </w:style>
  <w:style w:type="paragraph" w:styleId="ListBullet4">
    <w:name w:val="List Bullet 4"/>
    <w:basedOn w:val="Normal"/>
    <w:uiPriority w:val="99"/>
    <w:semiHidden/>
    <w:unhideWhenUsed/>
    <w:rsid w:val="004700C6"/>
    <w:pPr>
      <w:numPr>
        <w:numId w:val="6"/>
      </w:numPr>
      <w:contextualSpacing/>
    </w:pPr>
  </w:style>
  <w:style w:type="character" w:styleId="Hyperlink">
    <w:name w:val="Hyperlink"/>
    <w:basedOn w:val="DefaultParagraphFont"/>
    <w:uiPriority w:val="99"/>
    <w:unhideWhenUsed/>
    <w:rsid w:val="00CA7C72"/>
    <w:rPr>
      <w:color w:val="0000FF"/>
      <w:u w:val="single"/>
    </w:rPr>
  </w:style>
  <w:style w:type="paragraph" w:customStyle="1" w:styleId="doc-ti">
    <w:name w:val="doc-ti"/>
    <w:basedOn w:val="Normal"/>
    <w:rsid w:val="00C023BB"/>
    <w:pPr>
      <w:spacing w:before="100" w:beforeAutospacing="1" w:after="100" w:afterAutospacing="1"/>
      <w:jc w:val="left"/>
    </w:pPr>
    <w:rPr>
      <w:rFonts w:eastAsia="Times New Roman"/>
      <w:szCs w:val="24"/>
      <w:lang w:eastAsia="en-IE"/>
    </w:rPr>
  </w:style>
  <w:style w:type="character" w:styleId="CommentReference">
    <w:name w:val="annotation reference"/>
    <w:basedOn w:val="DefaultParagraphFont"/>
    <w:uiPriority w:val="99"/>
    <w:semiHidden/>
    <w:unhideWhenUsed/>
    <w:rsid w:val="001619FE"/>
    <w:rPr>
      <w:sz w:val="16"/>
      <w:szCs w:val="16"/>
    </w:rPr>
  </w:style>
  <w:style w:type="paragraph" w:styleId="CommentText">
    <w:name w:val="annotation text"/>
    <w:basedOn w:val="Normal"/>
    <w:link w:val="CommentTextChar"/>
    <w:uiPriority w:val="99"/>
    <w:unhideWhenUsed/>
    <w:rsid w:val="001619FE"/>
    <w:rPr>
      <w:sz w:val="20"/>
      <w:szCs w:val="20"/>
    </w:rPr>
  </w:style>
  <w:style w:type="character" w:customStyle="1" w:styleId="CommentTextChar">
    <w:name w:val="Comment Text Char"/>
    <w:basedOn w:val="DefaultParagraphFont"/>
    <w:link w:val="CommentText"/>
    <w:uiPriority w:val="99"/>
    <w:rsid w:val="001619FE"/>
    <w:rPr>
      <w:rFonts w:ascii="Times New Roman" w:hAnsi="Times New Roman" w:cs="Times New Roman"/>
      <w:sz w:val="20"/>
      <w:szCs w:val="20"/>
      <w:lang w:val="sv-SE"/>
    </w:rPr>
  </w:style>
  <w:style w:type="paragraph" w:styleId="BalloonText">
    <w:name w:val="Balloon Text"/>
    <w:basedOn w:val="Normal"/>
    <w:link w:val="BalloonTextChar"/>
    <w:uiPriority w:val="99"/>
    <w:semiHidden/>
    <w:unhideWhenUsed/>
    <w:rsid w:val="001619F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FE"/>
    <w:rPr>
      <w:rFonts w:ascii="Segoe UI" w:hAnsi="Segoe UI" w:cs="Segoe UI"/>
      <w:sz w:val="18"/>
      <w:szCs w:val="18"/>
      <w:lang w:val="sv-SE"/>
    </w:rPr>
  </w:style>
  <w:style w:type="paragraph" w:styleId="CommentSubject">
    <w:name w:val="annotation subject"/>
    <w:basedOn w:val="CommentText"/>
    <w:next w:val="CommentText"/>
    <w:link w:val="CommentSubjectChar"/>
    <w:uiPriority w:val="99"/>
    <w:semiHidden/>
    <w:unhideWhenUsed/>
    <w:rsid w:val="001319D8"/>
    <w:rPr>
      <w:b/>
      <w:bCs/>
    </w:rPr>
  </w:style>
  <w:style w:type="character" w:customStyle="1" w:styleId="CommentSubjectChar">
    <w:name w:val="Comment Subject Char"/>
    <w:basedOn w:val="CommentTextChar"/>
    <w:link w:val="CommentSubject"/>
    <w:uiPriority w:val="99"/>
    <w:semiHidden/>
    <w:rsid w:val="001319D8"/>
    <w:rPr>
      <w:rFonts w:ascii="Times New Roman" w:hAnsi="Times New Roman" w:cs="Times New Roman"/>
      <w:b/>
      <w:bCs/>
      <w:sz w:val="20"/>
      <w:szCs w:val="20"/>
      <w:lang w:val="sv-SE"/>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rsid w:val="00397BB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397BB9"/>
    <w:pPr>
      <w:spacing w:after="0"/>
    </w:pPr>
  </w:style>
  <w:style w:type="paragraph" w:styleId="ListNumber">
    <w:name w:val="List Number"/>
    <w:basedOn w:val="Normal"/>
    <w:uiPriority w:val="99"/>
    <w:semiHidden/>
    <w:unhideWhenUsed/>
    <w:rsid w:val="00397BB9"/>
    <w:pPr>
      <w:numPr>
        <w:numId w:val="8"/>
      </w:numPr>
      <w:contextualSpacing/>
    </w:pPr>
  </w:style>
  <w:style w:type="paragraph" w:styleId="ListNumber3">
    <w:name w:val="List Number 3"/>
    <w:basedOn w:val="Normal"/>
    <w:uiPriority w:val="99"/>
    <w:semiHidden/>
    <w:unhideWhenUsed/>
    <w:rsid w:val="00397BB9"/>
    <w:pPr>
      <w:numPr>
        <w:numId w:val="9"/>
      </w:numPr>
      <w:contextualSpacing/>
    </w:pPr>
  </w:style>
  <w:style w:type="paragraph" w:styleId="ListNumber4">
    <w:name w:val="List Number 4"/>
    <w:basedOn w:val="Normal"/>
    <w:uiPriority w:val="99"/>
    <w:semiHidden/>
    <w:unhideWhenUsed/>
    <w:rsid w:val="00397BB9"/>
    <w:pPr>
      <w:numPr>
        <w:numId w:val="10"/>
      </w:numPr>
      <w:contextualSpacing/>
    </w:pPr>
  </w:style>
  <w:style w:type="character" w:styleId="Strong">
    <w:name w:val="Strong"/>
    <w:basedOn w:val="DefaultParagraphFont"/>
    <w:uiPriority w:val="22"/>
    <w:qFormat/>
    <w:rsid w:val="00916C7B"/>
    <w:rPr>
      <w:b/>
      <w:bCs/>
    </w:rPr>
  </w:style>
  <w:style w:type="paragraph" w:styleId="Header">
    <w:name w:val="header"/>
    <w:basedOn w:val="Normal"/>
    <w:link w:val="HeaderChar"/>
    <w:uiPriority w:val="99"/>
    <w:unhideWhenUsed/>
    <w:rsid w:val="00CC7280"/>
    <w:pPr>
      <w:tabs>
        <w:tab w:val="center" w:pos="4535"/>
        <w:tab w:val="right" w:pos="9071"/>
      </w:tabs>
      <w:spacing w:before="0"/>
    </w:pPr>
  </w:style>
  <w:style w:type="character" w:customStyle="1" w:styleId="HeaderChar">
    <w:name w:val="Header Char"/>
    <w:basedOn w:val="DefaultParagraphFont"/>
    <w:link w:val="Header"/>
    <w:uiPriority w:val="99"/>
    <w:rsid w:val="00CC7280"/>
    <w:rPr>
      <w:rFonts w:ascii="Times New Roman" w:hAnsi="Times New Roman" w:cs="Times New Roman"/>
      <w:sz w:val="24"/>
      <w:lang w:val="sv-SE"/>
    </w:rPr>
  </w:style>
  <w:style w:type="paragraph" w:styleId="Footer">
    <w:name w:val="footer"/>
    <w:basedOn w:val="Normal"/>
    <w:link w:val="FooterChar"/>
    <w:uiPriority w:val="99"/>
    <w:unhideWhenUsed/>
    <w:rsid w:val="00CC72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C7280"/>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C7280"/>
    <w:pPr>
      <w:tabs>
        <w:tab w:val="center" w:pos="7285"/>
        <w:tab w:val="right" w:pos="14003"/>
      </w:tabs>
      <w:spacing w:before="0"/>
    </w:pPr>
  </w:style>
  <w:style w:type="paragraph" w:customStyle="1" w:styleId="FooterLandscape">
    <w:name w:val="FooterLandscape"/>
    <w:basedOn w:val="Normal"/>
    <w:rsid w:val="00CC7280"/>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CC72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C7280"/>
    <w:pPr>
      <w:spacing w:before="0"/>
      <w:jc w:val="right"/>
    </w:pPr>
    <w:rPr>
      <w:sz w:val="28"/>
    </w:rPr>
  </w:style>
  <w:style w:type="paragraph" w:customStyle="1" w:styleId="FooterSensitivity">
    <w:name w:val="Footer Sensitivity"/>
    <w:basedOn w:val="Normal"/>
    <w:rsid w:val="00CC72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532FB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16804">
      <w:bodyDiv w:val="1"/>
      <w:marLeft w:val="0"/>
      <w:marRight w:val="0"/>
      <w:marTop w:val="0"/>
      <w:marBottom w:val="0"/>
      <w:divBdr>
        <w:top w:val="none" w:sz="0" w:space="0" w:color="auto"/>
        <w:left w:val="none" w:sz="0" w:space="0" w:color="auto"/>
        <w:bottom w:val="none" w:sz="0" w:space="0" w:color="auto"/>
        <w:right w:val="none" w:sz="0" w:space="0" w:color="auto"/>
      </w:divBdr>
    </w:div>
    <w:div w:id="501510612">
      <w:bodyDiv w:val="1"/>
      <w:marLeft w:val="0"/>
      <w:marRight w:val="0"/>
      <w:marTop w:val="0"/>
      <w:marBottom w:val="0"/>
      <w:divBdr>
        <w:top w:val="none" w:sz="0" w:space="0" w:color="auto"/>
        <w:left w:val="none" w:sz="0" w:space="0" w:color="auto"/>
        <w:bottom w:val="none" w:sz="0" w:space="0" w:color="auto"/>
        <w:right w:val="none" w:sz="0" w:space="0" w:color="auto"/>
      </w:divBdr>
    </w:div>
    <w:div w:id="1126003158">
      <w:bodyDiv w:val="1"/>
      <w:marLeft w:val="0"/>
      <w:marRight w:val="0"/>
      <w:marTop w:val="0"/>
      <w:marBottom w:val="0"/>
      <w:divBdr>
        <w:top w:val="none" w:sz="0" w:space="0" w:color="auto"/>
        <w:left w:val="none" w:sz="0" w:space="0" w:color="auto"/>
        <w:bottom w:val="none" w:sz="0" w:space="0" w:color="auto"/>
        <w:right w:val="none" w:sz="0" w:space="0" w:color="auto"/>
      </w:divBdr>
    </w:div>
    <w:div w:id="1439251250">
      <w:bodyDiv w:val="1"/>
      <w:marLeft w:val="0"/>
      <w:marRight w:val="0"/>
      <w:marTop w:val="0"/>
      <w:marBottom w:val="0"/>
      <w:divBdr>
        <w:top w:val="none" w:sz="0" w:space="0" w:color="auto"/>
        <w:left w:val="none" w:sz="0" w:space="0" w:color="auto"/>
        <w:bottom w:val="none" w:sz="0" w:space="0" w:color="auto"/>
        <w:right w:val="none" w:sz="0" w:space="0" w:color="auto"/>
      </w:divBdr>
    </w:div>
    <w:div w:id="19446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OJ:L:1981:227: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fdbef3ee50b1532340ce198a39db8051">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9995e571ff646e7c305483716c723bce"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50178A7-96F6-4F4B-94AB-F11C21182CAC}">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79e0a09-5deb-44c7-a703-b352a170740d"/>
    <ds:schemaRef ds:uri="39d607b5-3019-4139-86e9-2e131faaffa8"/>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C1F2CA23-709A-4959-B8D2-2FD7CEF64E90}">
  <ds:schemaRefs>
    <ds:schemaRef ds:uri="http://schemas.microsoft.com/sharepoint/v3/contenttype/forms"/>
  </ds:schemaRefs>
</ds:datastoreItem>
</file>

<file path=customXml/itemProps3.xml><?xml version="1.0" encoding="utf-8"?>
<ds:datastoreItem xmlns:ds="http://schemas.openxmlformats.org/officeDocument/2006/customXml" ds:itemID="{3ECB0C10-9A21-4BBD-BCEB-189FE5DC0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415C6-1D46-4368-BDCB-722B47C4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105</TotalTime>
  <Pages>9</Pages>
  <Words>2141</Words>
  <Characters>13938</Characters>
  <Application>Microsoft Office Word</Application>
  <DocSecurity>0</DocSecurity>
  <Lines>258</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82</cp:revision>
  <dcterms:created xsi:type="dcterms:W3CDTF">2023-01-25T07:43:00Z</dcterms:created>
  <dcterms:modified xsi:type="dcterms:W3CDTF">2023-02-24T11:02:00Z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2022-10-18T09:35:27Z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59883200-14ce-45e1-9c8c-3c0cfa4f018f</vt:lpwstr>
  </property>
  <property fmtid="{D5CDD505-2E9C-101B-9397-08002B2CF9AE}" pid="16" name="MSIP_Label_6bd9ddd1-4d20-43f6-abfa-fc3c07406f94_ContentBits">
    <vt:lpwstr>0</vt:lpwstr>
  </property>
  <property fmtid="{D5CDD505-2E9C-101B-9397-08002B2CF9AE}" pid="17" name="ContentTypeId">
    <vt:lpwstr>0x010100258AA79CEB83498886A3A086811232500033285A78CCB54F4DA2ECE5FA2B2AF218</vt:lpwstr>
  </property>
  <property fmtid="{D5CDD505-2E9C-101B-9397-08002B2CF9AE}" pid="18" name="_CopySource">
    <vt:lpwstr>NAFO+amendment+codecision+05102022+LW OK 081222.docx</vt:lpwstr>
  </property>
  <property fmtid="{D5CDD505-2E9C-101B-9397-08002B2CF9AE}" pid="19" name="DQCStatus">
    <vt:lpwstr>Green (DQC version 03)</vt:lpwstr>
  </property>
  <property name="OP_sanitized" fmtid="{D5CDD505-2E9C-101B-9397-08002B2CF9AE}" pid="20">
    <vt:lpwstr>True</vt:lpwstr>
  </property>
</Properties>
</file>